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15/08/2026 à 05:04</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45 ACHAT  |  2 NEUTRE  |  0 VENTE  (sur 47 sociétés)</w:t>
      </w:r>
    </w:p>
    <w:p>
      <w:pPr>
        <w:spacing w:before="20" w:after="20"/>
        <w:ind w:left="360" w:right="360"/>
        <w:shd w:val="clear" w:color="auto" w:fill="EBF5FB"/>
      </w:pPr>
      <w:r>
        <w:rPr>
          <w:b/>
          <w:sz w:val="19"/>
        </w:rPr>
        <w:t xml:space="preserve">Top opportunité :  </w:t>
      </w:r>
      <w:r>
        <w:rPr>
          <w:color w:val="008000"/>
          <w:sz w:val="19"/>
        </w:rPr>
        <w:t>ECOC  (score 77/100)</w:t>
      </w:r>
    </w:p>
    <w:p>
      <w:pPr>
        <w:spacing w:before="20" w:after="20"/>
        <w:ind w:left="360" w:right="360"/>
        <w:shd w:val="clear" w:color="auto" w:fill="EBF5FB"/>
      </w:pPr>
      <w:r>
        <w:rPr>
          <w:b/>
          <w:sz w:val="19"/>
        </w:rPr>
        <w:t xml:space="preserve">Secteur surperformant :  </w:t>
      </w:r>
      <w:r>
        <w:rPr>
          <w:color w:val="008000"/>
          <w:sz w:val="19"/>
        </w:rPr>
        <w:t>SERVICES PUBLICS  (+60.7%)</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18 sociétés — vérifier avant d'investir</w:t>
      </w:r>
    </w:p>
    <w:p>
      <w:pPr>
        <w:spacing w:before="20" w:after="20"/>
        <w:ind w:left="360" w:right="360"/>
        <w:shd w:val="clear" w:color="auto" w:fill="EBF5FB"/>
      </w:pPr>
      <w:r>
        <w:rPr>
          <w:b/>
          <w:sz w:val="19"/>
        </w:rPr>
        <w:t xml:space="preserve">⚠️ Liquidité réduite :  </w:t>
      </w:r>
      <w:r>
        <w:rPr>
          <w:color w:val="C00000"/>
          <w:sz w:val="19"/>
        </w:rPr>
        <w:t>12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497.65 points </w:t>
      </w:r>
      <w:r>
        <w:rPr>
          <w:color w:val="008000"/>
        </w:rPr>
        <w:t>(+0.29%)</w:t>
      </w:r>
      <w:r>
        <w:t xml:space="preserve"> sur la séance. </w:t>
      </w:r>
      <w:r>
        <w:t>La capitalisation globale du marché atteint 19 190,000 milliards FCFA.</w:t>
      </w:r>
    </w:p>
    <w:p/>
    <w:p>
      <w:pPr>
        <w:pStyle w:val="Heading3"/>
      </w:pPr>
      <w:r>
        <w:t>📊 Évolution de l'indice BRVM Composite (100 derniers jours)</w:t>
      </w:r>
    </w:p>
    <w:p>
      <w:r>
        <w:rPr>
          <w:b/>
        </w:rPr>
        <w:t xml:space="preserve">BRVM Composite — </w:t>
      </w:r>
      <w:r>
        <w:t xml:space="preserve">Sur les 100 derniers jours de cotation (2026-03-18 au 2026-08-14), l'indice BRVM Composite a évolué de </w:t>
      </w:r>
      <w:r>
        <w:rPr>
          <w:b/>
          <w:color w:val="008000"/>
        </w:rPr>
        <w:t>+20.91%</w:t>
      </w:r>
      <w:r>
        <w:t>, passant de 411.59 pts à 497.65 pts. Le plus haut atteint est 497.65 pts et le plus bas 397.33 pts. Sur l'ensemble de la période, la moyenne de l'indice s'établit à 437.25 pts, la médiane à 435.56 pts et le mode à 403.36 pts</w:t>
      </w:r>
      <w:r>
        <w:t xml:space="preserve"> (asymétrie positive — plus de jours sous la moyenne). </w:t>
      </w:r>
      <w:r>
        <w:t xml:space="preserve">L'écart-type de 32.30 pts (CV=7.4%) traduit une modérée dispersion des cotations. Le kurtosis de -1.34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+20.93%</w:t>
      </w:r>
      <w:r>
        <w:t xml:space="preserve"> sur la période, passant de 15 869,258 Mds FCFA à 19 190,000 Mds FCFA. Le pic de capitalisation observé est de 19 190,000 Mds FCFA et le plancher de 15 319,235 Mds FCFA. La moyenne de la capitalisation sur la période s'établit à 16 851,434 Mds FCFA, la médiane à 16 782,285 Mds FCFA et le mode à 15 319,235 Mds FCFA</w:t>
      </w:r>
      <w:r>
        <w:t xml:space="preserve"> (asymétrie positive). </w:t>
      </w:r>
      <w:r>
        <w:t>L'écart-type de 1 240,471 Mds FCFA (CV=7.4%) reflète une modérée variabilité de la valorisation du marché. Le kurtosis de -1.33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CABC - CABC - SICABLE COTE D'IVOIRE</w:t>
      </w:r>
      <w:r>
        <w:t xml:space="preserve"> | Prix: 3500 FCFA | </w:t>
      </w:r>
      <w:r>
        <w:rPr>
          <w:b/>
          <w:color w:val="008000"/>
        </w:rPr>
        <w:t>ACHAT FORT</w:t>
      </w:r>
      <w:r>
        <w:t xml:space="preserve"> | Confiance: Faible | Risque: Moyen</w:t>
      </w:r>
    </w:p>
    <w:p>
      <w:pPr>
        <w:pStyle w:val="ListNumber"/>
      </w:pPr>
      <w:r>
        <w:rPr>
          <w:b/>
        </w:rPr>
        <w:t>ECOC - ECOC - ECOBANK COTE D'IVOIRE</w:t>
      </w:r>
      <w:r>
        <w:t xml:space="preserve"> | Prix: 16000 FCFA | </w:t>
      </w:r>
      <w:r>
        <w:rPr>
          <w:b/>
          <w:color w:val="008000"/>
        </w:rPr>
        <w:t>ACHAT FORT</w:t>
      </w:r>
      <w:r>
        <w:t xml:space="preserve"> | Confiance: Élevée | Risque: Faible</w:t>
      </w:r>
    </w:p>
    <w:p>
      <w:pPr>
        <w:pStyle w:val="ListNumber"/>
      </w:pPr>
      <w:r>
        <w:rPr>
          <w:b/>
        </w:rPr>
        <w:t>FTSC - FTSC - FILTISAC COTE D'IVOIRE</w:t>
      </w:r>
      <w:r>
        <w:t xml:space="preserve"> | Prix: 2190 FCFA | </w:t>
      </w:r>
      <w:r>
        <w:rPr>
          <w:b/>
          <w:color w:val="008000"/>
        </w:rPr>
        <w:t>ACHAT FORT</w:t>
      </w:r>
      <w:r>
        <w:t xml:space="preserve"> | Confiance: Faible | Risque: Faible</w:t>
      </w:r>
    </w:p>
    <w:p>
      <w:pPr>
        <w:pStyle w:val="ListNumber"/>
      </w:pPr>
      <w:r>
        <w:rPr>
          <w:b/>
        </w:rPr>
        <w:t>SGBC - SGBC - SOCIETE GENERALE COTE D'IVOIRE</w:t>
      </w:r>
      <w:r>
        <w:t xml:space="preserve"> | Prix: 39000 FCFA | </w:t>
      </w:r>
      <w:r>
        <w:rPr>
          <w:b/>
          <w:color w:val="008000"/>
        </w:rPr>
        <w:t>ACHAT FORT</w:t>
      </w:r>
      <w:r>
        <w:t xml:space="preserve"> | Confiance: Faible | Risque: Faible</w:t>
      </w:r>
    </w:p>
    <w:p>
      <w:pPr>
        <w:pStyle w:val="ListNumber"/>
      </w:pPr>
      <w:r>
        <w:rPr>
          <w:b/>
        </w:rPr>
        <w:t>UNLC - UNLC - UNILEVER COTE D'IVOIRE</w:t>
      </w:r>
      <w:r>
        <w:t xml:space="preserve"> | Prix: 58000 FCFA | </w:t>
      </w:r>
      <w:r>
        <w:rPr>
          <w:b/>
          <w:color w:val="008000"/>
        </w:rPr>
        <w:t>ACHAT FORT</w:t>
      </w:r>
      <w:r>
        <w:t xml:space="preserve"> | Confiance: Faible | Risque: Moyen</w:t>
      </w:r>
    </w:p>
    <w:p>
      <w:pPr>
        <w:pStyle w:val="ListNumber"/>
      </w:pPr>
      <w:r>
        <w:rPr>
          <w:b/>
        </w:rPr>
        <w:t>ABJC - ABJC - SERVAIR ABIDJAN CI</w:t>
      </w:r>
      <w:r>
        <w:t xml:space="preserve"> | Prix: 3170 FCFA | </w:t>
      </w:r>
      <w:r>
        <w:rPr>
          <w:b/>
          <w:color w:val="008000"/>
        </w:rPr>
        <w:t>ACHAT</w:t>
      </w:r>
      <w:r>
        <w:t xml:space="preserve"> | Confiance: Faible | Risque: Moyen</w:t>
      </w:r>
    </w:p>
    <w:p>
      <w:pPr>
        <w:pStyle w:val="ListNumber"/>
      </w:pPr>
      <w:r>
        <w:rPr>
          <w:b/>
        </w:rPr>
        <w:t>BICB - BIIC BN - Banque internationale pour le commerce du benin</w:t>
      </w:r>
      <w:r>
        <w:t xml:space="preserve"> | Prix: 8500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28670 FCFA | </w:t>
      </w:r>
      <w:r>
        <w:rPr>
          <w:b/>
          <w:color w:val="008000"/>
        </w:rPr>
        <w:t>ACHAT</w:t>
      </w:r>
      <w:r>
        <w:t xml:space="preserve"> | Confiance: Élevée | Risque: Moyen</w:t>
      </w:r>
    </w:p>
    <w:p>
      <w:pPr>
        <w:pStyle w:val="ListNumber"/>
      </w:pPr>
      <w:r>
        <w:rPr>
          <w:b/>
        </w:rPr>
        <w:t>BNBC - BNBC - BERNABE CI</w:t>
      </w:r>
      <w:r>
        <w:t xml:space="preserve"> | Prix: 2000 FCFA | </w:t>
      </w:r>
      <w:r>
        <w:rPr>
          <w:b/>
          <w:color w:val="008000"/>
        </w:rPr>
        <w:t>ACHAT</w:t>
      </w:r>
      <w:r>
        <w:t xml:space="preserve"> | Confiance: Élevée | Risque: Moyen</w:t>
      </w:r>
    </w:p>
    <w:p>
      <w:pPr>
        <w:pStyle w:val="ListNumber"/>
      </w:pPr>
      <w:r>
        <w:rPr>
          <w:b/>
        </w:rPr>
        <w:t>BOAB - BANK OF AFRICA BENIN</w:t>
      </w:r>
      <w:r>
        <w:t xml:space="preserve"> | Prix: 8700 FCFA | </w:t>
      </w:r>
      <w:r>
        <w:rPr>
          <w:b/>
          <w:color w:val="008000"/>
        </w:rPr>
        <w:t>ACHAT</w:t>
      </w:r>
      <w:r>
        <w:t xml:space="preserve"> | Confiance: Faible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TTLS - TTLS - TOTAL ENERGIES MARKETING SENEGAL</w:t>
      </w:r>
      <w:r>
        <w:t xml:space="preserve"> | Prix: 3585 FCFA | </w:t>
      </w:r>
      <w:r>
        <w:rPr>
          <w:b/>
          <w:color w:val="C00000"/>
        </w:rPr>
        <w:t>CONSERVER</w:t>
      </w:r>
      <w:r>
        <w:t xml:space="preserve"> | Confiance: Moyen | Risque: Moyen</w:t>
      </w:r>
    </w:p>
    <w:p>
      <w:pPr>
        <w:pStyle w:val="ListNumber"/>
      </w:pPr>
      <w:r>
        <w:rPr>
          <w:b/>
        </w:rPr>
        <w:t>SOGC - SOGC - Société des caoutchoucs de Grand-Béréby</w:t>
      </w:r>
      <w:r>
        <w:t xml:space="preserve"> | Prix: 7850 FCFA | </w:t>
      </w:r>
      <w:r>
        <w:rPr>
          <w:b/>
          <w:color w:val="C00000"/>
        </w:rPr>
        <w:t>CONSERVER</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60.69%</w:t>
      </w:r>
      <w:r>
        <w:t xml:space="preserve">  |  </w:t>
      </w:r>
      <w:r>
        <w:rPr>
          <w:b/>
        </w:rPr>
        <w:t xml:space="preserve">vs BRVM Composite: </w:t>
      </w:r>
      <w:r>
        <w:rPr>
          <w:b/>
          <w:color w:val="008000"/>
        </w:rPr>
        <w:t>+39.78%  🟢 Surperformance</w:t>
      </w:r>
      <w:r>
        <w:br/>
      </w:r>
      <w:r>
        <w:rPr>
          <w:b/>
        </w:rPr>
        <w:t xml:space="preserve">Sentiment général: </w:t>
      </w:r>
      <w:r>
        <w:t xml:space="preserve">ACHAT  |  </w:t>
      </w:r>
      <w:r>
        <w:rPr>
          <w:b/>
        </w:rPr>
        <w:t xml:space="preserve">Risque moyen: </w:t>
      </w:r>
      <w:r>
        <w:t xml:space="preserve">Moyen  |  </w:t>
      </w:r>
      <w:r>
        <w:rPr>
          <w:b/>
        </w:rPr>
        <w:t xml:space="preserve">Prix moyen: </w:t>
      </w:r>
      <w:r>
        <w:t>8562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38.04%</w:t>
      </w:r>
      <w:r>
        <w:t xml:space="preserve">  |  </w:t>
      </w:r>
      <w:r>
        <w:rPr>
          <w:b/>
        </w:rPr>
        <w:t xml:space="preserve">vs BRVM Composite: </w:t>
      </w:r>
      <w:r>
        <w:rPr>
          <w:b/>
          <w:color w:val="008000"/>
        </w:rPr>
        <w:t>+17.13%  🟢 Surperformance</w:t>
      </w:r>
      <w:r>
        <w:br/>
      </w:r>
      <w:r>
        <w:rPr>
          <w:b/>
        </w:rPr>
        <w:t xml:space="preserve">Sentiment général: </w:t>
      </w:r>
      <w:r>
        <w:t xml:space="preserve">ACHAT  |  </w:t>
      </w:r>
      <w:r>
        <w:rPr>
          <w:b/>
        </w:rPr>
        <w:t xml:space="preserve">Risque moyen: </w:t>
      </w:r>
      <w:r>
        <w:t xml:space="preserve">Moyen  |  </w:t>
      </w:r>
      <w:r>
        <w:rPr>
          <w:b/>
        </w:rPr>
        <w:t xml:space="preserve">Prix moyen: </w:t>
      </w:r>
      <w:r>
        <w:t>13106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35.47%</w:t>
      </w:r>
      <w:r>
        <w:t xml:space="preserve">  |  </w:t>
      </w:r>
      <w:r>
        <w:rPr>
          <w:b/>
        </w:rPr>
        <w:t xml:space="preserve">vs BRVM Composite: </w:t>
      </w:r>
      <w:r>
        <w:rPr>
          <w:b/>
          <w:color w:val="008000"/>
        </w:rPr>
        <w:t>+14.56%  🟢 Surperformance</w:t>
      </w:r>
      <w:r>
        <w:br/>
      </w:r>
      <w:r>
        <w:rPr>
          <w:b/>
        </w:rPr>
        <w:t xml:space="preserve">Sentiment général: </w:t>
      </w:r>
      <w:r>
        <w:t xml:space="preserve">ACHAT  |  </w:t>
      </w:r>
      <w:r>
        <w:rPr>
          <w:b/>
        </w:rPr>
        <w:t xml:space="preserve">Risque moyen: </w:t>
      </w:r>
      <w:r>
        <w:t xml:space="preserve">Faible  |  </w:t>
      </w:r>
      <w:r>
        <w:rPr>
          <w:b/>
        </w:rPr>
        <w:t xml:space="preserve">Prix moyen: </w:t>
      </w:r>
      <w:r>
        <w:t>19434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12.90%</w:t>
      </w:r>
      <w:r>
        <w:t xml:space="preserve">  |  </w:t>
      </w:r>
      <w:r>
        <w:rPr>
          <w:b/>
        </w:rPr>
        <w:t xml:space="preserve">vs BRVM Composite: </w:t>
      </w:r>
      <w:r>
        <w:rPr>
          <w:b/>
          <w:color w:val="C00000"/>
        </w:rPr>
        <w:t>-8.01%  🔴 Sous-performance</w:t>
      </w:r>
      <w:r>
        <w:br/>
      </w:r>
      <w:r>
        <w:rPr>
          <w:b/>
        </w:rPr>
        <w:t xml:space="preserve">Sentiment général: </w:t>
      </w:r>
      <w:r>
        <w:t xml:space="preserve">ACHAT  |  </w:t>
      </w:r>
      <w:r>
        <w:rPr>
          <w:b/>
        </w:rPr>
        <w:t xml:space="preserve">Risque moyen: </w:t>
      </w:r>
      <w:r>
        <w:t xml:space="preserve">Moyen  |  </w:t>
      </w:r>
      <w:r>
        <w:rPr>
          <w:b/>
        </w:rPr>
        <w:t xml:space="preserve">Prix moyen: </w:t>
      </w:r>
      <w:r>
        <w:t>2804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10.58%</w:t>
      </w:r>
      <w:r>
        <w:t xml:space="preserve">  |  </w:t>
      </w:r>
      <w:r>
        <w:rPr>
          <w:b/>
        </w:rPr>
        <w:t xml:space="preserve">vs BRVM Composite: </w:t>
      </w:r>
      <w:r>
        <w:rPr>
          <w:b/>
          <w:color w:val="C00000"/>
        </w:rPr>
        <w:t>-10.33%  🔴 Sous-performance</w:t>
      </w:r>
      <w:r>
        <w:br/>
      </w:r>
      <w:r>
        <w:rPr>
          <w:b/>
        </w:rPr>
        <w:t xml:space="preserve">Sentiment général: </w:t>
      </w:r>
      <w:r>
        <w:t xml:space="preserve">ACHAT  |  </w:t>
      </w:r>
      <w:r>
        <w:rPr>
          <w:b/>
        </w:rPr>
        <w:t xml:space="preserve">Risque moyen: </w:t>
      </w:r>
      <w:r>
        <w:t xml:space="preserve">Moyen  |  </w:t>
      </w:r>
      <w:r>
        <w:rPr>
          <w:b/>
        </w:rPr>
        <w:t xml:space="preserve">Prix moyen: </w:t>
      </w:r>
      <w:r>
        <w:t>6322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9.46%</w:t>
      </w:r>
      <w:r>
        <w:t xml:space="preserve">  |  </w:t>
      </w:r>
      <w:r>
        <w:rPr>
          <w:b/>
        </w:rPr>
        <w:t xml:space="preserve">vs BRVM Composite: </w:t>
      </w:r>
      <w:r>
        <w:rPr>
          <w:b/>
          <w:color w:val="C00000"/>
        </w:rPr>
        <w:t>-11.45%  🔴 Sous-performance</w:t>
      </w:r>
      <w:r>
        <w:br/>
      </w:r>
      <w:r>
        <w:rPr>
          <w:b/>
        </w:rPr>
        <w:t xml:space="preserve">Sentiment général: </w:t>
      </w:r>
      <w:r>
        <w:t xml:space="preserve">ACHAT  |  </w:t>
      </w:r>
      <w:r>
        <w:rPr>
          <w:b/>
        </w:rPr>
        <w:t xml:space="preserve">Risque moyen: </w:t>
      </w:r>
      <w:r>
        <w:t xml:space="preserve">Faible  |  </w:t>
      </w:r>
      <w:r>
        <w:rPr>
          <w:b/>
        </w:rPr>
        <w:t xml:space="preserve">Prix moyen: </w:t>
      </w:r>
      <w:r>
        <w:t>17567 FCFA</w:t>
        <w:br/>
      </w:r>
      <w:r>
        <w:rPr>
          <w:b/>
        </w:rPr>
        <w:br/>
        <w:t xml:space="preserve">Sociétés: </w:t>
      </w:r>
      <w:r>
        <w:t>ONTBF (ONTBF - ONATEL BURKINA FASO), ORAC (ORAC - ORANGE COTE D'IVOIRE), SNTS (SNTS - SONATEL SN)</w:t>
      </w:r>
    </w:p>
    <w:p/>
    <w:p>
      <w:pPr>
        <w:pStyle w:val="Heading3"/>
      </w:pPr>
      <w:r>
        <w:t>Secteur: INDUSTRIELS</w:t>
      </w:r>
    </w:p>
    <w:p>
      <w:r>
        <w:rPr>
          <w:b/>
        </w:rPr>
        <w:t xml:space="preserve">Nombre de sociétés: </w:t>
      </w:r>
      <w:r>
        <w:t xml:space="preserve">6  |  </w:t>
      </w:r>
      <w:r>
        <w:rPr>
          <w:b/>
        </w:rPr>
        <w:t xml:space="preserve">Performance moyenne (100j): </w:t>
      </w:r>
      <w:r>
        <w:rPr>
          <w:color w:val="008000"/>
        </w:rPr>
        <w:t>6.00%</w:t>
      </w:r>
      <w:r>
        <w:t xml:space="preserve">  |  </w:t>
      </w:r>
      <w:r>
        <w:rPr>
          <w:b/>
        </w:rPr>
        <w:t xml:space="preserve">vs BRVM Composite: </w:t>
      </w:r>
      <w:r>
        <w:rPr>
          <w:b/>
          <w:color w:val="C00000"/>
        </w:rPr>
        <w:t>-14.90%  🔴 Sous-performance</w:t>
      </w:r>
      <w:r>
        <w:br/>
      </w:r>
      <w:r>
        <w:rPr>
          <w:b/>
        </w:rPr>
        <w:t xml:space="preserve">Sentiment général: </w:t>
      </w:r>
      <w:r>
        <w:t xml:space="preserve">ACHAT  |  </w:t>
      </w:r>
      <w:r>
        <w:rPr>
          <w:b/>
        </w:rPr>
        <w:t xml:space="preserve">Risque moyen: </w:t>
      </w:r>
      <w:r>
        <w:t xml:space="preserve">Moyen  |  </w:t>
      </w:r>
      <w:r>
        <w:rPr>
          <w:b/>
        </w:rPr>
        <w:t xml:space="preserve">Prix moyen: </w:t>
      </w:r>
      <w:r>
        <w:t>2503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BICC, BNBC, BOAN, CIEC, ECOC, LNBB, NSBC, ONTBF, ORGT, PALC, SIBC, SNTS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BICB, BOABF, BOAC, BOAS, CFAC, ETIT, NEIC, NTLC, PRSC, SAFC, SCRC, SEMC, SHEC, SMBC, STBC, TTLC,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BOAB, BOAM, CABC, CBIBF, FTSC, ORAC, SDCC, SDSC, SGBC, SICC, SIVC, SLBC, SPHC, STAC, UNLC</w:t>
            </w:r>
          </w:p>
        </w:tc>
        <w:tc>
          <w:tcPr>
            <w:tcW w:type="dxa" w:w="2160"/>
            <w:shd w:fill="FFC7CE" w:val="clear"/>
          </w:tcPr>
          <w:p>
            <w:pPr>
              <w:spacing w:before="40" w:after="40"/>
            </w:pPr>
            <w:r/>
            <w:r>
              <w:rPr>
                <w:b w:val="0"/>
                <w:sz w:val="16"/>
              </w:rPr>
              <w:t>SOGC, TTLS</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2373515</w:t>
            </w:r>
          </w:p>
        </w:tc>
        <w:tc>
          <w:tcPr>
            <w:tcW w:type="dxa" w:w="1728"/>
          </w:tcPr>
          <w:p>
            <w:r>
              <w:t>161922831 FCFA</w:t>
            </w:r>
          </w:p>
        </w:tc>
        <w:tc>
          <w:tcPr>
            <w:tcW w:type="dxa" w:w="1728"/>
          </w:tcPr>
          <w:p>
            <w:r>
              <w:t>112.50%</w:t>
            </w:r>
          </w:p>
        </w:tc>
        <w:tc>
          <w:tcPr>
            <w:tcW w:type="dxa" w:w="1728"/>
          </w:tcPr>
          <w:p>
            <w:r>
              <w:t>ACHAT</w:t>
            </w:r>
          </w:p>
        </w:tc>
      </w:tr>
      <w:tr>
        <w:tc>
          <w:tcPr>
            <w:tcW w:type="dxa" w:w="1728"/>
          </w:tcPr>
          <w:p>
            <w:r>
              <w:t>SDSC (SDSC - AFRICA GLOBAL LOGISTICS CI)</w:t>
            </w:r>
          </w:p>
        </w:tc>
        <w:tc>
          <w:tcPr>
            <w:tcW w:type="dxa" w:w="1728"/>
          </w:tcPr>
          <w:p>
            <w:r>
              <w:t>15392</w:t>
            </w:r>
          </w:p>
        </w:tc>
        <w:tc>
          <w:tcPr>
            <w:tcW w:type="dxa" w:w="1728"/>
          </w:tcPr>
          <w:p>
            <w:r>
              <w:t>39902570 FCFA</w:t>
            </w:r>
          </w:p>
        </w:tc>
        <w:tc>
          <w:tcPr>
            <w:tcW w:type="dxa" w:w="1728"/>
          </w:tcPr>
          <w:p>
            <w:r>
              <w:t>52.47%</w:t>
            </w:r>
          </w:p>
        </w:tc>
        <w:tc>
          <w:tcPr>
            <w:tcW w:type="dxa" w:w="1728"/>
          </w:tcPr>
          <w:p>
            <w:r>
              <w:t>ACHAT</w:t>
            </w:r>
          </w:p>
        </w:tc>
      </w:tr>
      <w:tr>
        <w:tc>
          <w:tcPr>
            <w:tcW w:type="dxa" w:w="1728"/>
          </w:tcPr>
          <w:p>
            <w:r>
              <w:t>UNXC (UNXC - UNIWAX COTE D'IVOIRE)</w:t>
            </w:r>
          </w:p>
        </w:tc>
        <w:tc>
          <w:tcPr>
            <w:tcW w:type="dxa" w:w="1728"/>
          </w:tcPr>
          <w:p>
            <w:r>
              <w:t>12041</w:t>
            </w:r>
          </w:p>
        </w:tc>
        <w:tc>
          <w:tcPr>
            <w:tcW w:type="dxa" w:w="1728"/>
          </w:tcPr>
          <w:p>
            <w:r>
              <w:t>22799301 FCFA</w:t>
            </w:r>
          </w:p>
        </w:tc>
        <w:tc>
          <w:tcPr>
            <w:tcW w:type="dxa" w:w="1728"/>
          </w:tcPr>
          <w:p>
            <w:r>
              <w:t>0.00%</w:t>
            </w:r>
          </w:p>
        </w:tc>
        <w:tc>
          <w:tcPr>
            <w:tcW w:type="dxa" w:w="1728"/>
          </w:tcPr>
          <w:p>
            <w:r>
              <w:t>ACHAT</w:t>
            </w:r>
          </w:p>
        </w:tc>
      </w:tr>
      <w:tr>
        <w:tc>
          <w:tcPr>
            <w:tcW w:type="dxa" w:w="1728"/>
          </w:tcPr>
          <w:p>
            <w:r>
              <w:t>SOGC (SOGC - Société des caoutchoucs de Grand-Béréby)</w:t>
            </w:r>
          </w:p>
        </w:tc>
        <w:tc>
          <w:tcPr>
            <w:tcW w:type="dxa" w:w="1728"/>
          </w:tcPr>
          <w:p>
            <w:r>
              <w:t>10415</w:t>
            </w:r>
          </w:p>
        </w:tc>
        <w:tc>
          <w:tcPr>
            <w:tcW w:type="dxa" w:w="1728"/>
          </w:tcPr>
          <w:p>
            <w:r>
              <w:t>78376777 FCFA</w:t>
            </w:r>
          </w:p>
        </w:tc>
        <w:tc>
          <w:tcPr>
            <w:tcW w:type="dxa" w:w="1728"/>
          </w:tcPr>
          <w:p>
            <w:r>
              <w:t>-11.60%</w:t>
            </w:r>
          </w:p>
        </w:tc>
        <w:tc>
          <w:tcPr>
            <w:tcW w:type="dxa" w:w="1728"/>
          </w:tcPr>
          <w:p>
            <w:r>
              <w:t>CONSERVER</w:t>
            </w:r>
          </w:p>
        </w:tc>
      </w:tr>
      <w:tr>
        <w:tc>
          <w:tcPr>
            <w:tcW w:type="dxa" w:w="1728"/>
          </w:tcPr>
          <w:p>
            <w:r>
              <w:t>BICB (BIIC BN - Banque internationale pour le commerce du benin)</w:t>
            </w:r>
          </w:p>
        </w:tc>
        <w:tc>
          <w:tcPr>
            <w:tcW w:type="dxa" w:w="1728"/>
          </w:tcPr>
          <w:p>
            <w:r>
              <w:t>10396</w:t>
            </w:r>
          </w:p>
        </w:tc>
        <w:tc>
          <w:tcPr>
            <w:tcW w:type="dxa" w:w="1728"/>
          </w:tcPr>
          <w:p>
            <w:r>
              <w:t>79566872 FCFA</w:t>
            </w:r>
          </w:p>
        </w:tc>
        <w:tc>
          <w:tcPr>
            <w:tcW w:type="dxa" w:w="1728"/>
          </w:tcPr>
          <w:p>
            <w:r>
              <w:t>63.46%</w:t>
            </w:r>
          </w:p>
        </w:tc>
        <w:tc>
          <w:tcPr>
            <w:tcW w:type="dxa" w:w="1728"/>
          </w:tcPr>
          <w:p>
            <w:r>
              <w:t>ACHAT</w:t>
            </w:r>
          </w:p>
        </w:tc>
      </w:tr>
      <w:tr>
        <w:tc>
          <w:tcPr>
            <w:tcW w:type="dxa" w:w="1728"/>
          </w:tcPr>
          <w:p>
            <w:r>
              <w:t>SNTS (SNTS - SONATEL SN)</w:t>
            </w:r>
          </w:p>
        </w:tc>
        <w:tc>
          <w:tcPr>
            <w:tcW w:type="dxa" w:w="1728"/>
          </w:tcPr>
          <w:p>
            <w:r>
              <w:t>9929</w:t>
            </w:r>
          </w:p>
        </w:tc>
        <w:tc>
          <w:tcPr>
            <w:tcW w:type="dxa" w:w="1728"/>
          </w:tcPr>
          <w:p>
            <w:r>
              <w:t>308560240 FCFA</w:t>
            </w:r>
          </w:p>
        </w:tc>
        <w:tc>
          <w:tcPr>
            <w:tcW w:type="dxa" w:w="1728"/>
          </w:tcPr>
          <w:p>
            <w:r>
              <w:t>10.02%</w:t>
            </w:r>
          </w:p>
        </w:tc>
        <w:tc>
          <w:tcPr>
            <w:tcW w:type="dxa" w:w="1728"/>
          </w:tcPr>
          <w:p>
            <w:r>
              <w:t>ACHAT</w:t>
            </w:r>
          </w:p>
        </w:tc>
      </w:tr>
      <w:tr>
        <w:tc>
          <w:tcPr>
            <w:tcW w:type="dxa" w:w="1728"/>
          </w:tcPr>
          <w:p>
            <w:r>
              <w:t>SIBC (SIBC - SOCIETE IVOIRIENNE DE BANQUE)</w:t>
            </w:r>
          </w:p>
        </w:tc>
        <w:tc>
          <w:tcPr>
            <w:tcW w:type="dxa" w:w="1728"/>
          </w:tcPr>
          <w:p>
            <w:r>
              <w:t>8764</w:t>
            </w:r>
          </w:p>
        </w:tc>
        <w:tc>
          <w:tcPr>
            <w:tcW w:type="dxa" w:w="1728"/>
          </w:tcPr>
          <w:p>
            <w:r>
              <w:t>78684120 FCFA</w:t>
            </w:r>
          </w:p>
        </w:tc>
        <w:tc>
          <w:tcPr>
            <w:tcW w:type="dxa" w:w="1728"/>
          </w:tcPr>
          <w:p>
            <w:r>
              <w:t>31.07%</w:t>
            </w:r>
          </w:p>
        </w:tc>
        <w:tc>
          <w:tcPr>
            <w:tcW w:type="dxa" w:w="1728"/>
          </w:tcPr>
          <w:p>
            <w:r>
              <w:t>ACHAT</w:t>
            </w:r>
          </w:p>
        </w:tc>
      </w:tr>
      <w:tr>
        <w:tc>
          <w:tcPr>
            <w:tcW w:type="dxa" w:w="1728"/>
          </w:tcPr>
          <w:p>
            <w:r>
              <w:t>ONTBF (ONTBF - ONATEL BURKINA FASO)</w:t>
            </w:r>
          </w:p>
        </w:tc>
        <w:tc>
          <w:tcPr>
            <w:tcW w:type="dxa" w:w="1728"/>
          </w:tcPr>
          <w:p>
            <w:r>
              <w:t>7304</w:t>
            </w:r>
          </w:p>
        </w:tc>
        <w:tc>
          <w:tcPr>
            <w:tcW w:type="dxa" w:w="1728"/>
          </w:tcPr>
          <w:p>
            <w:r>
              <w:t>20119327 FCFA</w:t>
            </w:r>
          </w:p>
        </w:tc>
        <w:tc>
          <w:tcPr>
            <w:tcW w:type="dxa" w:w="1728"/>
          </w:tcPr>
          <w:p>
            <w:r>
              <w:t>-1.23%</w:t>
            </w:r>
          </w:p>
        </w:tc>
        <w:tc>
          <w:tcPr>
            <w:tcW w:type="dxa" w:w="1728"/>
          </w:tcPr>
          <w:p>
            <w:r>
              <w:t>ACHAT</w:t>
            </w:r>
          </w:p>
        </w:tc>
      </w:tr>
      <w:tr>
        <w:tc>
          <w:tcPr>
            <w:tcW w:type="dxa" w:w="1728"/>
          </w:tcPr>
          <w:p>
            <w:r>
              <w:t>SAFC (SAFCA CI)</w:t>
            </w:r>
          </w:p>
        </w:tc>
        <w:tc>
          <w:tcPr>
            <w:tcW w:type="dxa" w:w="1728"/>
          </w:tcPr>
          <w:p>
            <w:r>
              <w:t>7217</w:t>
            </w:r>
          </w:p>
        </w:tc>
        <w:tc>
          <w:tcPr>
            <w:tcW w:type="dxa" w:w="1728"/>
          </w:tcPr>
          <w:p>
            <w:r>
              <w:t>36160544 FCFA</w:t>
            </w:r>
          </w:p>
        </w:tc>
        <w:tc>
          <w:tcPr>
            <w:tcW w:type="dxa" w:w="1728"/>
          </w:tcPr>
          <w:p>
            <w:r>
              <w:t>1.04%</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ABJC (ABJC - SERVAIR ABIDJAN CI)</w:t>
            </w:r>
          </w:p>
        </w:tc>
        <w:tc>
          <w:tcPr>
            <w:tcW w:type="dxa" w:w="1728"/>
          </w:tcPr>
          <w:p>
            <w:r>
              <w:t>3160</w:t>
            </w:r>
          </w:p>
        </w:tc>
        <w:tc>
          <w:tcPr>
            <w:tcW w:type="dxa" w:w="1728"/>
          </w:tcPr>
          <w:p>
            <w:r>
              <w:t>9515382 FCFA</w:t>
            </w:r>
          </w:p>
        </w:tc>
        <w:tc>
          <w:tcPr>
            <w:tcW w:type="dxa" w:w="1728"/>
          </w:tcPr>
          <w:p>
            <w:r>
              <w:t>-2.46%</w:t>
            </w:r>
          </w:p>
        </w:tc>
        <w:tc>
          <w:tcPr>
            <w:tcW w:type="dxa" w:w="1728"/>
          </w:tcPr>
          <w:p>
            <w:r>
              <w:t>ACHAT</w:t>
            </w:r>
          </w:p>
        </w:tc>
      </w:tr>
      <w:tr>
        <w:tc>
          <w:tcPr>
            <w:tcW w:type="dxa" w:w="1728"/>
          </w:tcPr>
          <w:p>
            <w:r>
              <w:t>TTLS (TTLS - TOTAL ENERGIES MARKETING SENEGAL)</w:t>
            </w:r>
          </w:p>
        </w:tc>
        <w:tc>
          <w:tcPr>
            <w:tcW w:type="dxa" w:w="1728"/>
          </w:tcPr>
          <w:p>
            <w:r>
              <w:t>3124</w:t>
            </w:r>
          </w:p>
        </w:tc>
        <w:tc>
          <w:tcPr>
            <w:tcW w:type="dxa" w:w="1728"/>
          </w:tcPr>
          <w:p>
            <w:r>
              <w:t>11503967 FCFA</w:t>
            </w:r>
          </w:p>
        </w:tc>
        <w:tc>
          <w:tcPr>
            <w:tcW w:type="dxa" w:w="1728"/>
          </w:tcPr>
          <w:p>
            <w:r>
              <w:t>9.80%</w:t>
            </w:r>
          </w:p>
        </w:tc>
        <w:tc>
          <w:tcPr>
            <w:tcW w:type="dxa" w:w="1728"/>
          </w:tcPr>
          <w:p>
            <w:r>
              <w:t>CONSERVER</w:t>
            </w:r>
          </w:p>
        </w:tc>
      </w:tr>
      <w:tr>
        <w:tc>
          <w:tcPr>
            <w:tcW w:type="dxa" w:w="1728"/>
          </w:tcPr>
          <w:p>
            <w:r>
              <w:t>CFAC (CFAC - CFAO MOTORS CI)</w:t>
            </w:r>
          </w:p>
        </w:tc>
        <w:tc>
          <w:tcPr>
            <w:tcW w:type="dxa" w:w="1728"/>
          </w:tcPr>
          <w:p>
            <w:r>
              <w:t>3033</w:t>
            </w:r>
          </w:p>
        </w:tc>
        <w:tc>
          <w:tcPr>
            <w:tcW w:type="dxa" w:w="1728"/>
          </w:tcPr>
          <w:p>
            <w:r>
              <w:t>5025467 FCFA</w:t>
            </w:r>
          </w:p>
        </w:tc>
        <w:tc>
          <w:tcPr>
            <w:tcW w:type="dxa" w:w="1728"/>
          </w:tcPr>
          <w:p>
            <w:r>
              <w:t>-5.40%</w:t>
            </w:r>
          </w:p>
        </w:tc>
        <w:tc>
          <w:tcPr>
            <w:tcW w:type="dxa" w:w="1728"/>
          </w:tcPr>
          <w:p>
            <w:r>
              <w:t>ACHAT</w:t>
            </w:r>
          </w:p>
        </w:tc>
      </w:tr>
      <w:tr>
        <w:tc>
          <w:tcPr>
            <w:tcW w:type="dxa" w:w="1728"/>
          </w:tcPr>
          <w:p>
            <w:r>
              <w:t>CABC (CABC - SICABLE COTE D'IVOIRE)</w:t>
            </w:r>
          </w:p>
        </w:tc>
        <w:tc>
          <w:tcPr>
            <w:tcW w:type="dxa" w:w="1728"/>
          </w:tcPr>
          <w:p>
            <w:r>
              <w:t>2665</w:t>
            </w:r>
          </w:p>
        </w:tc>
        <w:tc>
          <w:tcPr>
            <w:tcW w:type="dxa" w:w="1728"/>
          </w:tcPr>
          <w:p>
            <w:r>
              <w:t>9510932 FCFA</w:t>
            </w:r>
          </w:p>
        </w:tc>
        <w:tc>
          <w:tcPr>
            <w:tcW w:type="dxa" w:w="1728"/>
          </w:tcPr>
          <w:p>
            <w:r>
              <w:t>7.86%</w:t>
            </w:r>
          </w:p>
        </w:tc>
        <w:tc>
          <w:tcPr>
            <w:tcW w:type="dxa" w:w="1728"/>
          </w:tcPr>
          <w:p>
            <w:r>
              <w:t>ACHAT FORT</w:t>
            </w:r>
          </w:p>
        </w:tc>
      </w:tr>
      <w:tr>
        <w:tc>
          <w:tcPr>
            <w:tcW w:type="dxa" w:w="1728"/>
          </w:tcPr>
          <w:p>
            <w:r>
              <w:t>PALC (PALC - PALM COTE D'IVOIRE)</w:t>
            </w:r>
          </w:p>
        </w:tc>
        <w:tc>
          <w:tcPr>
            <w:tcW w:type="dxa" w:w="1728"/>
          </w:tcPr>
          <w:p>
            <w:r>
              <w:t>2342</w:t>
            </w:r>
          </w:p>
        </w:tc>
        <w:tc>
          <w:tcPr>
            <w:tcW w:type="dxa" w:w="1728"/>
          </w:tcPr>
          <w:p>
            <w:r>
              <w:t>20790768 FCFA</w:t>
            </w:r>
          </w:p>
        </w:tc>
        <w:tc>
          <w:tcPr>
            <w:tcW w:type="dxa" w:w="1728"/>
          </w:tcPr>
          <w:p>
            <w:r>
              <w:t>-2.04%</w:t>
            </w:r>
          </w:p>
        </w:tc>
        <w:tc>
          <w:tcPr>
            <w:tcW w:type="dxa" w:w="1728"/>
          </w:tcPr>
          <w:p>
            <w:r>
              <w:t>ACHAT</w:t>
            </w:r>
          </w:p>
        </w:tc>
      </w:tr>
      <w:tr>
        <w:tc>
          <w:tcPr>
            <w:tcW w:type="dxa" w:w="1728"/>
          </w:tcPr>
          <w:p>
            <w:r>
              <w:t>SLBC (SLBC - SOLIBRA COTE D'IVOIRE)</w:t>
            </w:r>
          </w:p>
        </w:tc>
        <w:tc>
          <w:tcPr>
            <w:tcW w:type="dxa" w:w="1728"/>
          </w:tcPr>
          <w:p>
            <w:r>
              <w:t>2059</w:t>
            </w:r>
          </w:p>
        </w:tc>
        <w:tc>
          <w:tcPr>
            <w:tcW w:type="dxa" w:w="1728"/>
          </w:tcPr>
          <w:p>
            <w:r>
              <w:t>79652001 FCFA</w:t>
            </w:r>
          </w:p>
        </w:tc>
        <w:tc>
          <w:tcPr>
            <w:tcW w:type="dxa" w:w="1728"/>
          </w:tcPr>
          <w:p>
            <w:r>
              <w:t>-4.49%</w:t>
            </w:r>
          </w:p>
        </w:tc>
        <w:tc>
          <w:tcPr>
            <w:tcW w:type="dxa" w:w="1728"/>
          </w:tcPr>
          <w:p>
            <w:r>
              <w:t>ACHAT</w:t>
            </w:r>
          </w:p>
        </w:tc>
      </w:tr>
      <w:tr>
        <w:tc>
          <w:tcPr>
            <w:tcW w:type="dxa" w:w="1728"/>
          </w:tcPr>
          <w:p>
            <w:r>
              <w:t>SMBC (SMBC - Société Multinationale de Bitumes COTE D'IVOIRE)</w:t>
            </w:r>
          </w:p>
        </w:tc>
        <w:tc>
          <w:tcPr>
            <w:tcW w:type="dxa" w:w="1728"/>
          </w:tcPr>
          <w:p>
            <w:r>
              <w:t>1994</w:t>
            </w:r>
          </w:p>
        </w:tc>
        <w:tc>
          <w:tcPr>
            <w:tcW w:type="dxa" w:w="1728"/>
          </w:tcPr>
          <w:p>
            <w:r>
              <w:t>31749316 FCFA</w:t>
            </w:r>
          </w:p>
        </w:tc>
        <w:tc>
          <w:tcPr>
            <w:tcW w:type="dxa" w:w="1728"/>
          </w:tcPr>
          <w:p>
            <w:r>
              <w:t>23.43%</w:t>
            </w:r>
          </w:p>
        </w:tc>
        <w:tc>
          <w:tcPr>
            <w:tcW w:type="dxa" w:w="1728"/>
          </w:tcPr>
          <w:p>
            <w:r>
              <w:t>ACHAT</w:t>
            </w:r>
          </w:p>
        </w:tc>
      </w:tr>
      <w:tr>
        <w:tc>
          <w:tcPr>
            <w:tcW w:type="dxa" w:w="1728"/>
          </w:tcPr>
          <w:p>
            <w:r>
              <w:t>BNBC (BNBC - BERNABE CI)</w:t>
            </w:r>
          </w:p>
        </w:tc>
        <w:tc>
          <w:tcPr>
            <w:tcW w:type="dxa" w:w="1728"/>
          </w:tcPr>
          <w:p>
            <w:r>
              <w:t>1973</w:t>
            </w:r>
          </w:p>
        </w:tc>
        <w:tc>
          <w:tcPr>
            <w:tcW w:type="dxa" w:w="1728"/>
          </w:tcPr>
          <w:p>
            <w:r>
              <w:t>3801128 FCFA</w:t>
            </w:r>
          </w:p>
        </w:tc>
        <w:tc>
          <w:tcPr>
            <w:tcW w:type="dxa" w:w="1728"/>
          </w:tcPr>
          <w:p>
            <w:r>
              <w:t>26.98%</w:t>
            </w:r>
          </w:p>
        </w:tc>
        <w:tc>
          <w:tcPr>
            <w:tcW w:type="dxa" w:w="1728"/>
          </w:tcPr>
          <w:p>
            <w:r>
              <w:t>ACHAT</w:t>
            </w:r>
          </w:p>
        </w:tc>
      </w:tr>
      <w:tr>
        <w:tc>
          <w:tcPr>
            <w:tcW w:type="dxa" w:w="1728"/>
          </w:tcPr>
          <w:p>
            <w:r>
              <w:t>SPHC (SPHC - Société Africaine de Plantation d'Hévéas de Côte d'Ivoire)</w:t>
            </w:r>
          </w:p>
        </w:tc>
        <w:tc>
          <w:tcPr>
            <w:tcW w:type="dxa" w:w="1728"/>
          </w:tcPr>
          <w:p>
            <w:r>
              <w:t>1913</w:t>
            </w:r>
          </w:p>
        </w:tc>
        <w:tc>
          <w:tcPr>
            <w:tcW w:type="dxa" w:w="1728"/>
          </w:tcPr>
          <w:p>
            <w:r>
              <w:t>14443569 FCFA</w:t>
            </w:r>
          </w:p>
        </w:tc>
        <w:tc>
          <w:tcPr>
            <w:tcW w:type="dxa" w:w="1728"/>
          </w:tcPr>
          <w:p>
            <w:r>
              <w:t>-4.13%</w:t>
            </w:r>
          </w:p>
        </w:tc>
        <w:tc>
          <w:tcPr>
            <w:tcW w:type="dxa" w:w="1728"/>
          </w:tcPr>
          <w:p>
            <w:r>
              <w:t>ACHAT</w:t>
            </w:r>
          </w:p>
        </w:tc>
      </w:tr>
      <w:tr>
        <w:tc>
          <w:tcPr>
            <w:tcW w:type="dxa" w:w="1728"/>
          </w:tcPr>
          <w:p>
            <w:r>
              <w:t>NSBC (NSBC - NSIA BANQUE COTE D'IVOIRE)</w:t>
            </w:r>
          </w:p>
        </w:tc>
        <w:tc>
          <w:tcPr>
            <w:tcW w:type="dxa" w:w="1728"/>
          </w:tcPr>
          <w:p>
            <w:r>
              <w:t>1711</w:t>
            </w:r>
          </w:p>
        </w:tc>
        <w:tc>
          <w:tcPr>
            <w:tcW w:type="dxa" w:w="1728"/>
          </w:tcPr>
          <w:p>
            <w:r>
              <w:t>39470460 FCFA</w:t>
            </w:r>
          </w:p>
        </w:tc>
        <w:tc>
          <w:tcPr>
            <w:tcW w:type="dxa" w:w="1728"/>
          </w:tcPr>
          <w:p>
            <w:r>
              <w:t>64.39%</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CBIBF - CBIBF - CORIS BANK INTERNATIONAL BURKINA FASO</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2. SDCC - SDCC - Société de Distribution d'Eau de Côte d'Ivoire</w:t>
      </w:r>
    </w:p>
    <w:p>
      <w:r>
        <w:rPr>
          <w:b/>
        </w:rPr>
        <w:t xml:space="preserve">Score de divergence: </w:t>
      </w:r>
      <w:r>
        <w:t>5/8</w:t>
        <w:br/>
      </w:r>
      <w:r>
        <w:rPr>
          <w:b/>
        </w:rPr>
        <w:t xml:space="preserve">Description: </w:t>
      </w:r>
      <w:r>
        <w:t>Signaux de vente: MM, MACD | Recommandation finale: ACHAT</w:t>
        <w:br/>
      </w:r>
    </w:p>
    <w:p/>
    <w:p>
      <w:pPr>
        <w:pStyle w:val="Heading3"/>
      </w:pPr>
      <w:r>
        <w:t>3. ABJC - ABJC - SERVAIR ABIDJAN CI</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4. BOAB - BANK OF AFRICA BENIN</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5. BOAM - BANK OF AFRICA MALI</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6. CABC - CABC - SICABLE COTE D'IVOIRE</w:t>
      </w:r>
    </w:p>
    <w:p>
      <w:r>
        <w:rPr>
          <w:b/>
        </w:rPr>
        <w:t xml:space="preserve">Score de divergence: </w:t>
      </w:r>
      <w:r>
        <w:t>4/8</w:t>
        <w:br/>
      </w:r>
      <w:r>
        <w:rPr>
          <w:b/>
        </w:rPr>
        <w:t xml:space="preserve">Description: </w:t>
      </w:r>
      <w:r>
        <w:t>Signaux d'achat: Stochastique | Signaux de vente: MM, MACD | Recommandation finale: ACHAT FORT</w:t>
        <w:br/>
      </w:r>
    </w:p>
    <w:p/>
    <w:p>
      <w:pPr>
        <w:pStyle w:val="Heading3"/>
      </w:pPr>
      <w:r>
        <w:t>7. FTSC - FTSC - FILTISAC COTE D'IVOIRE</w:t>
      </w:r>
    </w:p>
    <w:p>
      <w:r>
        <w:rPr>
          <w:b/>
        </w:rPr>
        <w:t xml:space="preserve">Score de divergence: </w:t>
      </w:r>
      <w:r>
        <w:t>4/8</w:t>
        <w:br/>
      </w:r>
      <w:r>
        <w:rPr>
          <w:b/>
        </w:rPr>
        <w:t xml:space="preserve">Description: </w:t>
      </w:r>
      <w:r>
        <w:t>Signaux d'achat: MACD | Signaux de vente: MM, Stochastique | Recommandation finale: ACHAT FORT</w:t>
        <w:br/>
      </w:r>
    </w:p>
    <w:p/>
    <w:p>
      <w:pPr>
        <w:pStyle w:val="Heading3"/>
      </w:pPr>
      <w:r>
        <w:t>8. ORAC - ORAC - ORANGE COTE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9. SDSC - SDSC - AFRICA GLOBAL LOGISTICS CI</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10. SGBC - SGBC - SOCIETE GENERALE COTE D'IVOIRE</w:t>
      </w:r>
    </w:p>
    <w:p>
      <w:r>
        <w:rPr>
          <w:b/>
        </w:rPr>
        <w:t xml:space="preserve">Score de divergence: </w:t>
      </w:r>
      <w:r>
        <w:t>4/8</w:t>
        <w:br/>
      </w:r>
      <w:r>
        <w:rPr>
          <w:b/>
        </w:rPr>
        <w:t xml:space="preserve">Description: </w:t>
      </w:r>
      <w:r>
        <w:t>Signaux d'achat: MACD | Signaux de vente: MM, Stochastique | Recommandation finale: ACHAT FORT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21</w:t>
            </w:r>
          </w:p>
        </w:tc>
        <w:tc>
          <w:tcPr>
            <w:tcW w:type="dxa" w:w="2160"/>
          </w:tcPr>
          <w:p>
            <w:r>
              <w:t>0</w:t>
            </w:r>
          </w:p>
        </w:tc>
      </w:tr>
      <w:tr>
        <w:tc>
          <w:tcPr>
            <w:tcW w:type="dxa" w:w="2160"/>
          </w:tcPr>
          <w:p>
            <w:r>
              <w:t>Risque Moyen</w:t>
            </w:r>
          </w:p>
        </w:tc>
        <w:tc>
          <w:tcPr>
            <w:tcW w:type="dxa" w:w="2160"/>
          </w:tcPr>
          <w:p>
            <w:r>
              <w:t>0</w:t>
            </w:r>
          </w:p>
        </w:tc>
        <w:tc>
          <w:tcPr>
            <w:tcW w:type="dxa" w:w="2160"/>
          </w:tcPr>
          <w:p>
            <w:r>
              <w:t>26</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SNTS (SNTS - SONATEL SN)</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BOAN (BANK OF AFRICA NIGER)</w:t>
      </w:r>
    </w:p>
    <w:p>
      <w:pPr>
        <w:pStyle w:val="ListBullet"/>
      </w:pPr>
      <w:r>
        <w:t>• CABC (CABC - SICABLE COTE D'IVOIRE)</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SICC (SICC - SICOR COTE D'IVOIRE)</w:t>
      </w:r>
    </w:p>
    <w:p>
      <w:pPr>
        <w:pStyle w:val="ListBullet"/>
      </w:pPr>
      <w:r>
        <w:t>• SMBC (SMBC - Société Multinationale de Bitumes COTE D'IVOIRE)</w:t>
      </w:r>
    </w:p>
    <w:p>
      <w:pPr>
        <w:pStyle w:val="ListBullet"/>
      </w:pPr>
      <w:r>
        <w:t>• STAC (STAC - SETAO COTE D'IVOIRE)</w:t>
      </w:r>
    </w:p>
    <w:p>
      <w:pPr>
        <w:pStyle w:val="ListBullet"/>
      </w:pPr>
      <w:r>
        <w:t>• TTLS (TTLS - TOTAL ENERGIES MARKETING SENEGAL)</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L'indice MXV des matières premières fluctue autour de 2 800 points, indiquant une stabilité relative après des variations récentes. Par ailleurs, le contexte géopolitique mondial incite les investisseurs à rechercher des stratégies de protection d'actifs. Enfin, l'engouement pour les produits financiers hyperspéculatifs comme les "perps" (perpetual contracts) est en hausse, un signal de prise de risque accrue sur les marchés développés.</w:t>
      </w:r>
    </w:p>
    <w:p>
      <w:pPr>
        <w:pStyle w:val="Heading3"/>
      </w:pPr>
      <w:r>
        <w:rPr>
          <w:color w:val="500050"/>
        </w:rPr>
        <w:t>⚡ Impact estimé sur la BRVM</w:t>
      </w:r>
    </w:p>
    <w:p>
      <w:pPr>
        <w:spacing w:before="20" w:after="40"/>
        <w:ind w:left="280"/>
      </w:pPr>
      <w:r>
        <w:rPr>
          <w:i/>
          <w:sz w:val="18"/>
        </w:rPr>
        <w:t>La stabilité des matières premières est neutre pour la BRVM, mais un contexte géopolitique tendu pourrait favoriser un report vers les valeurs refuges. Les secteurs défensifs de la cote, comme **NTLC** et **PALC** (consommation de base), pourraient bénéficier d'un intérêt accru si la volatilité mondiale s'intensifie. À l'inverse, la spéculation sur les produits dérivés mondiaux n'a pas d'impact direct sur les flux vers la BRVM.</w:t>
      </w:r>
    </w:p>
    <w:p>
      <w:pPr>
        <w:pStyle w:val="Heading2"/>
      </w:pPr>
      <w:r>
        <w:rPr>
          <w:color w:val="006E32"/>
        </w:rPr>
        <w:t>🌍 Plan Africain</w:t>
      </w:r>
    </w:p>
    <w:p>
      <w:pPr>
        <w:spacing w:before="20" w:after="40"/>
        <w:ind w:left="0"/>
      </w:pPr>
      <w:r>
        <w:rPr>
          <w:sz w:val="18"/>
        </w:rPr>
        <w:t>L'investissement dans l'économie des soins est présenté comme un "levier de croissance stratégique" par un officiel sénégalais, et l'OMS recommande l'investissement privé dans la santé en Mauritanie. Par ailleurs, la Senelec a émis 108 milliards de FCFA de dette verte à la Bourse de Luxembourg, une opération de financement innovante pour la région.</w:t>
      </w:r>
    </w:p>
    <w:p>
      <w:pPr>
        <w:pStyle w:val="Heading3"/>
      </w:pPr>
      <w:r>
        <w:rPr>
          <w:color w:val="500050"/>
        </w:rPr>
        <w:t>⚡ Impact estimé sur la BRVM</w:t>
      </w:r>
    </w:p>
    <w:p>
      <w:pPr>
        <w:spacing w:before="20" w:after="40"/>
        <w:ind w:left="280"/>
      </w:pPr>
      <w:r>
        <w:rPr>
          <w:i/>
          <w:sz w:val="18"/>
        </w:rPr>
        <w:t>Ces nouvelles sont positives pour le secteur de la santé et des services, mais aucune société de ce secteur n'est directement cotée à la BRVM. L'émission de dette verte de Senelec démontre un appétit des investisseurs pour les obligations africaines, ce qui pourrait indirectement renforcer l'attractivité des émissions obligataires sur la BRVM. L'impact direct sur les sociétés cotées reste limité.</w:t>
      </w:r>
    </w:p>
    <w:p>
      <w:pPr>
        <w:pStyle w:val="Heading2"/>
      </w:pPr>
      <w:r>
        <w:rPr>
          <w:color w:val="145A28"/>
        </w:rPr>
        <w:t>🌍 Plan Afrique de l'Ouest</w:t>
      </w:r>
    </w:p>
    <w:p>
      <w:pPr>
        <w:spacing w:before="20" w:after="40"/>
        <w:ind w:left="0"/>
      </w:pPr>
      <w:r>
        <w:rPr>
          <w:sz w:val="18"/>
        </w:rPr>
        <w:t>Le projet de monnaie unique de la CEDEAO, l'Eco, est au cœur des discussions, avec un lancement envisagé pour 2027. Cependant, les divergences économiques et politiques entre les États membres rendent ce projet ambitieux et incertain. La fin de mandat du président de la Commission de la CEDEAO marque une période de transition institutionnelle pour la sous-région.</w:t>
      </w:r>
    </w:p>
    <w:p>
      <w:pPr>
        <w:pStyle w:val="Heading3"/>
      </w:pPr>
      <w:r>
        <w:rPr>
          <w:color w:val="500050"/>
        </w:rPr>
        <w:t>⚡ Impact estimé sur la BRVM</w:t>
      </w:r>
    </w:p>
    <w:p>
      <w:pPr>
        <w:spacing w:before="20" w:after="40"/>
        <w:ind w:left="280"/>
      </w:pPr>
      <w:r>
        <w:rPr>
          <w:i/>
          <w:sz w:val="18"/>
        </w:rPr>
        <w:t>L'incertitude autour de la monnaie unique est un facteur de risque macroéconomique pour les entreprises cotées opérant dans plusieurs pays de la zone, notamment les banques comme **BOAC**, **BOAN** et **BOAM**. Une convergence économique réussie pourrait à terme réduire les coûts de transaction, mais les délais et les obstacles actuels maintiennent un statu quo.</w:t>
      </w:r>
    </w:p>
    <w:p>
      <w:pPr>
        <w:pStyle w:val="Heading2"/>
      </w:pPr>
      <w:r>
        <w:rPr>
          <w:color w:val="8C4600"/>
        </w:rPr>
        <w:t>🏦 Plan UEMOA / Zone Franc</w:t>
      </w:r>
    </w:p>
    <w:p>
      <w:pPr>
        <w:spacing w:before="20" w:after="40"/>
        <w:ind w:left="0"/>
      </w:pPr>
      <w:r>
        <w:rPr>
          <w:sz w:val="18"/>
        </w:rPr>
        <w:t>La libération de 82 militaires maliens détenus par des groupes jihadistes est un signe d'apaisement sécuritaire dans la région, avec des implications positives pour la stabilité économique. Le geste diplomatique du Mali envers la France, avec la grâce d'un agent français, pourrait également contribuer à détendre les relations internationales de la zone.</w:t>
      </w:r>
    </w:p>
    <w:p>
      <w:pPr>
        <w:pStyle w:val="Heading3"/>
      </w:pPr>
      <w:r>
        <w:rPr>
          <w:color w:val="500050"/>
        </w:rPr>
        <w:t>⚡ Impact estimé sur la BRVM</w:t>
      </w:r>
    </w:p>
    <w:p>
      <w:pPr>
        <w:spacing w:before="20" w:after="40"/>
        <w:ind w:left="280"/>
      </w:pPr>
      <w:r>
        <w:rPr>
          <w:i/>
          <w:sz w:val="18"/>
        </w:rPr>
        <w:t>Un apaisement sécuritaire au Mali est un signal positif pour la confiance des investisseurs dans la région UEMOA. Cela pourrait soutenir les valorisations des sociétés ayant des activités dans les pays de l'Union, comme **SNTS** et **ONTBF** (télécommunications), qui bénéficient d'un environnement plus stable pour leurs opérations.</w:t>
      </w:r>
    </w:p>
    <w:p>
      <w:pPr>
        <w:pStyle w:val="Heading2"/>
      </w:pPr>
      <w:r>
        <w:rPr>
          <w:color w:val="003366"/>
        </w:rPr>
        <w:t>📈 Plan BRVM</w:t>
      </w:r>
    </w:p>
    <w:p>
      <w:pPr>
        <w:spacing w:before="20" w:after="40"/>
        <w:ind w:left="0"/>
      </w:pPr>
      <w:r>
        <w:rPr>
          <w:sz w:val="18"/>
        </w:rPr>
        <w:t>Les résultats encourageants des sociétés cotées ivoiriennes à la BRVM ont été mis en avant, reflétant une dynamique positive des fondamentaux des entreprises. L'indice BRVM Composite se situe à 497.65 points, dans un contexte de flux d'actualités modérés.</w:t>
      </w:r>
    </w:p>
    <w:p>
      <w:pPr>
        <w:pStyle w:val="Heading3"/>
      </w:pPr>
      <w:r>
        <w:rPr>
          <w:color w:val="500050"/>
        </w:rPr>
        <w:t>⚡ Impact estimé sur la BRVM</w:t>
      </w:r>
    </w:p>
    <w:p>
      <w:pPr>
        <w:spacing w:before="20" w:after="40"/>
        <w:ind w:left="280"/>
      </w:pPr>
      <w:r>
        <w:rPr>
          <w:i/>
          <w:sz w:val="18"/>
        </w:rPr>
        <w:t>Les bons résultats des sociétés ivoiriennes, qui représentent une part importante de la cote, sont un soutien majeur pour l'indice. Les investisseurs devraient surveiller les valeurs bancaires (**ECOC**, **BOAC**, **SIBC**) et les valeurs industrielles qui pourraient continuer à bénéficier de cette dynamique. L'absence d'actualités négatives spécifiques à la BRVM suggère une stabilité à court terme.</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stratégies de protection des actifs dans un contexte d'instabilité géopolitique croissante sont au centre des préoccupations des investisseurs mondiaux. Cette incertitude globale pousse à la prudence et à la recherche de placements plus sûrs.</w:t>
      </w:r>
    </w:p>
    <w:p>
      <w:pPr>
        <w:pStyle w:val="Heading3"/>
      </w:pPr>
      <w:r>
        <w:rPr>
          <w:color w:val="500050"/>
        </w:rPr>
        <w:t>⚡ Impact estimé sur la BRVM</w:t>
      </w:r>
    </w:p>
    <w:p>
      <w:pPr>
        <w:spacing w:before="20" w:after="40"/>
        <w:ind w:left="280"/>
      </w:pPr>
      <w:r>
        <w:rPr>
          <w:i/>
          <w:sz w:val="18"/>
        </w:rPr>
        <w:t>L'instabilité géopolitique mondiale peut inciter les investisseurs internationaux à réduire leur exposition aux actifs risqués, y compris les marchés émergents comme la BRVM. Cependant, la BRVM, de par sa faible corrélation avec les marchés développés, peut être perçue comme une diversification intéressante, mais le sentiment de risque global reste un frein.</w:t>
      </w:r>
    </w:p>
    <w:p>
      <w:pPr>
        <w:pStyle w:val="Heading2"/>
      </w:pPr>
      <w:r>
        <w:rPr>
          <w:color w:val="006E32"/>
        </w:rPr>
        <w:t>🌍 Plan Africain</w:t>
      </w:r>
    </w:p>
    <w:p>
      <w:pPr>
        <w:spacing w:before="20" w:after="40"/>
        <w:ind w:left="0"/>
      </w:pPr>
      <w:r>
        <w:rPr>
          <w:sz w:val="18"/>
        </w:rPr>
        <w:t>Les discussions sur la monnaie unique de la CEDEAO dominent l'agenda politique régional. La libération de prisonniers au Mali est un événement positif pour la stabilité politique de la sous-région.</w:t>
      </w:r>
    </w:p>
    <w:p>
      <w:pPr>
        <w:pStyle w:val="Heading3"/>
      </w:pPr>
      <w:r>
        <w:rPr>
          <w:color w:val="500050"/>
        </w:rPr>
        <w:t>⚡ Impact estimé sur la BRVM</w:t>
      </w:r>
    </w:p>
    <w:p>
      <w:pPr>
        <w:spacing w:before="20" w:after="40"/>
        <w:ind w:left="280"/>
      </w:pPr>
      <w:r>
        <w:rPr>
          <w:i/>
          <w:sz w:val="18"/>
        </w:rPr>
        <w:t>La stabilité politique au Mali est cruciale pour la perception du risque pays dans toute la zone UEMOA. Une amélioration de la situation sécuritaire pourrait renforcer la confiance des investisseurs et favoriser les flux de capitaux vers la BRVM, bénéficiant à l'ensemble des secteurs.</w:t>
      </w:r>
    </w:p>
    <w:p>
      <w:pPr>
        <w:pStyle w:val="Heading2"/>
      </w:pPr>
      <w:r>
        <w:rPr>
          <w:color w:val="145A28"/>
        </w:rPr>
        <w:t>🌍 Plan Afrique de l'Ouest</w:t>
      </w:r>
    </w:p>
    <w:p>
      <w:pPr>
        <w:spacing w:before="20" w:after="40"/>
        <w:ind w:left="0"/>
      </w:pPr>
      <w:r>
        <w:rPr>
          <w:sz w:val="18"/>
        </w:rPr>
        <w:t>La question de la monnaie unique de la CEDEAO reste un sujet de divergence majeur entre les États membres. La fin de mandat d'Omar Alieu Touray à la tête de la Commission de la CEDEAO introduit une période de transition et d'incertitude sur les priorités de l'organisation.</w:t>
      </w:r>
    </w:p>
    <w:p>
      <w:pPr>
        <w:pStyle w:val="Heading3"/>
      </w:pPr>
      <w:r>
        <w:rPr>
          <w:color w:val="500050"/>
        </w:rPr>
        <w:t>⚡ Impact estimé sur la BRVM</w:t>
      </w:r>
    </w:p>
    <w:p>
      <w:pPr>
        <w:spacing w:before="20" w:after="40"/>
        <w:ind w:left="280"/>
      </w:pPr>
      <w:r>
        <w:rPr>
          <w:i/>
          <w:sz w:val="18"/>
        </w:rPr>
        <w:t>Les incertitudes politiques et institutionnelles au sein de la CEDEAO peuvent créer de la volatilité pour les entreprises cotées ayant une forte exposition régionale. Les banques panafricaines comme **BOAM** et **BOAC** sont particulièrement sensibles à ces évolutions politiques.</w:t>
      </w:r>
    </w:p>
    <w:p>
      <w:pPr>
        <w:pStyle w:val="Heading2"/>
      </w:pPr>
      <w:r>
        <w:rPr>
          <w:color w:val="8C4600"/>
        </w:rPr>
        <w:t>🏦 Plan UEMOA / Zone Franc</w:t>
      </w:r>
    </w:p>
    <w:p>
      <w:pPr>
        <w:spacing w:before="20" w:after="40"/>
        <w:ind w:left="0"/>
      </w:pPr>
      <w:r>
        <w:rPr>
          <w:sz w:val="18"/>
        </w:rPr>
        <w:t>Les événements politiques au Mali (libération de militaires, grâce d'un agent français) sont les principaux faits marquants de la zone. Ils indiquent une possible évolution des dynamiques diplomatiques et sécuritaires.</w:t>
      </w:r>
    </w:p>
    <w:p>
      <w:pPr>
        <w:pStyle w:val="Heading3"/>
      </w:pPr>
      <w:r>
        <w:rPr>
          <w:color w:val="500050"/>
        </w:rPr>
        <w:t>⚡ Impact estimé sur la BRVM</w:t>
      </w:r>
    </w:p>
    <w:p>
      <w:pPr>
        <w:spacing w:before="20" w:after="40"/>
        <w:ind w:left="280"/>
      </w:pPr>
      <w:r>
        <w:rPr>
          <w:i/>
          <w:sz w:val="18"/>
        </w:rPr>
        <w:t>Ces évolutions sont globalement positives pour la stabilité de la zone UEMOA. Une réduction des tensions pourrait améliorer le climat des affaires et soutenir les valorisations des sociétés cotées, notamment dans les secteurs des télécommunications (**ONTBF**, **SNTS**) et de l'énergie (**TTLC**).</w:t>
      </w:r>
    </w:p>
    <w:p>
      <w:pPr>
        <w:pStyle w:val="Heading2"/>
      </w:pPr>
      <w:r>
        <w:rPr>
          <w:color w:val="003366"/>
        </w:rPr>
        <w:t>📈 Plan BRVM</w:t>
      </w:r>
    </w:p>
    <w:p>
      <w:pPr>
        <w:spacing w:before="20" w:after="40"/>
        <w:ind w:left="0"/>
      </w:pPr>
      <w:r>
        <w:rPr>
          <w:sz w:val="18"/>
        </w:rPr>
        <w:t>Aucune actualité réglementaire ou politique spécifique à la BRVM n'a été rapportée dans les données fournies.</w:t>
      </w:r>
    </w:p>
    <w:p>
      <w:pPr>
        <w:pStyle w:val="Heading3"/>
      </w:pPr>
      <w:r>
        <w:rPr>
          <w:color w:val="500050"/>
        </w:rPr>
        <w:t>⚡ Impact estimé sur la BRVM</w:t>
      </w:r>
    </w:p>
    <w:p>
      <w:pPr>
        <w:spacing w:before="20" w:after="40"/>
        <w:ind w:left="280"/>
      </w:pPr>
      <w:r>
        <w:rPr>
          <w:i/>
          <w:sz w:val="18"/>
        </w:rPr>
        <w:t>Données insuffisantes.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L'indice MXV des matières premières est stable autour de 2 800 points. La montée des produits financiers spéculatifs ("perps") est un signe de recherche de rendement dans un environnement de taux bas, mais aussi un risque pour la stabilité financière mondiale.</w:t>
      </w:r>
    </w:p>
    <w:p>
      <w:pPr>
        <w:pStyle w:val="Heading3"/>
      </w:pPr>
      <w:r>
        <w:rPr>
          <w:color w:val="500050"/>
        </w:rPr>
        <w:t>⚡ Impact estimé sur la BRVM</w:t>
      </w:r>
    </w:p>
    <w:p>
      <w:pPr>
        <w:spacing w:before="20" w:after="40"/>
        <w:ind w:left="280"/>
      </w:pPr>
      <w:r>
        <w:rPr>
          <w:i/>
          <w:sz w:val="18"/>
        </w:rPr>
        <w:t>La stabilité des matières premières est un facteur neutre pour la BRVM. La tendance mondiale à la prise de risque spéculatif n'a pas d'impact direct sur les flux vers la BRVM, qui reste un marché de niche pour les investisseurs institutionnels à la recherche de rendements stables et de dividendes.</w:t>
      </w:r>
    </w:p>
    <w:p>
      <w:pPr>
        <w:pStyle w:val="Heading2"/>
      </w:pPr>
      <w:r>
        <w:rPr>
          <w:color w:val="006E32"/>
        </w:rPr>
        <w:t>🌍 Plan Africain</w:t>
      </w:r>
    </w:p>
    <w:p>
      <w:pPr>
        <w:spacing w:before="20" w:after="40"/>
        <w:ind w:left="0"/>
      </w:pPr>
      <w:r>
        <w:rPr>
          <w:sz w:val="18"/>
        </w:rPr>
        <w:t>L'émission de dette verte de Senelec à la Bourse de Luxembourg est un exemple de financement innovant pour les entreprises africaines. Cela montre un intérêt des investisseurs internationaux pour la dette africaine.</w:t>
      </w:r>
    </w:p>
    <w:p>
      <w:pPr>
        <w:pStyle w:val="Heading3"/>
      </w:pPr>
      <w:r>
        <w:rPr>
          <w:color w:val="500050"/>
        </w:rPr>
        <w:t>⚡ Impact estimé sur la BRVM</w:t>
      </w:r>
    </w:p>
    <w:p>
      <w:pPr>
        <w:spacing w:before="20" w:after="40"/>
        <w:ind w:left="280"/>
      </w:pPr>
      <w:r>
        <w:rPr>
          <w:i/>
          <w:sz w:val="18"/>
        </w:rPr>
        <w:t>Cette opération pourrait inspirer d'autres émissions obligataires sur la BRVM, renforçant le marché obligataire régional. Cela pourrait offrir une alternative aux investisseurs et potentiellement détourner une partie des capitaux des actions vers les obligations, mais cela reste à surveiller.</w:t>
      </w:r>
    </w:p>
    <w:p>
      <w:pPr>
        <w:pStyle w:val="Heading2"/>
      </w:pPr>
      <w:r>
        <w:rPr>
          <w:color w:val="145A28"/>
        </w:rPr>
        <w:t>🌍 Plan Afrique de l'Ouest</w:t>
      </w:r>
    </w:p>
    <w:p>
      <w:pPr>
        <w:spacing w:before="20" w:after="40"/>
        <w:ind w:left="0"/>
      </w:pPr>
      <w:r>
        <w:rPr>
          <w:sz w:val="18"/>
        </w:rPr>
        <w:t>Les discussions sur la monnaie unique de la CEDEAO sont le principal sujet financier de la sous-région. L'incertitude sur ce projet peut affecter les flux de capitaux et les stratégies d'investissement régionales.</w:t>
      </w:r>
    </w:p>
    <w:p>
      <w:pPr>
        <w:pStyle w:val="Heading3"/>
      </w:pPr>
      <w:r>
        <w:rPr>
          <w:color w:val="500050"/>
        </w:rPr>
        <w:t>⚡ Impact estimé sur la BRVM</w:t>
      </w:r>
    </w:p>
    <w:p>
      <w:pPr>
        <w:spacing w:before="20" w:after="40"/>
        <w:ind w:left="280"/>
      </w:pPr>
      <w:r>
        <w:rPr>
          <w:i/>
          <w:sz w:val="18"/>
        </w:rPr>
        <w:t>L'incertitude monétaire peut inciter les investisseurs à la prudence. La BRVM, en tant que place financière intégrée à l'UEMOA, pourrait bénéficier d'un statut de "valeur sûre" régionale si le projet Eco venait à échouer, mais les risques de change et de politique monétaire restent des facteurs de vigilance.</w:t>
      </w:r>
    </w:p>
    <w:p>
      <w:pPr>
        <w:pStyle w:val="Heading2"/>
      </w:pPr>
      <w:r>
        <w:rPr>
          <w:color w:val="8C4600"/>
        </w:rPr>
        <w:t>🏦 Plan UEMOA / Zone Franc</w:t>
      </w:r>
    </w:p>
    <w:p>
      <w:pPr>
        <w:spacing w:before="20" w:after="40"/>
        <w:ind w:left="0"/>
      </w:pPr>
      <w:r>
        <w:rPr>
          <w:sz w:val="18"/>
        </w:rPr>
        <w:t>Aucune donnée spécifique sur le marché des titres publics ou la liquidité bancaire dans l'UEMOA n'a été fournie.</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L'indice BRVM Composite est à 497.65 points. Les résultats encourageants des sociétés cotées ivoiriennes sont un point positif pour le marché.</w:t>
      </w:r>
    </w:p>
    <w:p>
      <w:pPr>
        <w:pStyle w:val="Heading3"/>
      </w:pPr>
      <w:r>
        <w:rPr>
          <w:color w:val="500050"/>
        </w:rPr>
        <w:t>⚡ Impact estimé sur la BRVM</w:t>
      </w:r>
    </w:p>
    <w:p>
      <w:pPr>
        <w:spacing w:before="20" w:after="40"/>
        <w:ind w:left="280"/>
      </w:pPr>
      <w:r>
        <w:rPr>
          <w:i/>
          <w:sz w:val="18"/>
        </w:rPr>
        <w:t>Les investisseurs devraient se concentrer sur les valeurs présentant de bons fondamentaux. Les banques (**ECOC**, **BOAC**, **SIBC**, **BNBC**) et les valeurs de consommation (**UNXC**, **LNBB**) pourraient offrir des opportunités. Les valeurs télécoms (**ONTBF**, **SNTS**) et l'énergie (**TTLC**) restent des valeurs de rendement à surveiller. La prudence est de mise sur les valeurs exposées aux risques sécuritaires régionaux.</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 contexte macroéconomique et politique est marqué par une stabilité relative, mais des incertitudes persistent. Les discussions sur la monnaie unique de la CEDEAO et les tensions géopolitiques mondiales créent un environnement de prudence. Cependant, les fondamentaux des sociétés cotées ivoiriennes sont encourageants, et l'apaisement sécuritaire au Mali est un point positif. **Recommandation** : privilégier une approche sélective, en se concentrant sur les valeurs bancaires et de consommation de base solides, tout en surveillant l'évolution du projet de monnaie unique et les flux de capitaux régionaux.</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2026-08-11</w:t>
            </w:r>
          </w:p>
        </w:tc>
        <w:tc>
          <w:tcPr>
            <w:tcW w:type="dxa" w:w="1728"/>
          </w:tcPr>
          <w:p>
            <w:r>
              <w:rPr>
                <w:sz w:val="14"/>
              </w:rPr>
              <w:t>Protection des actifs dans un contexte d’instabilité géopolitique - Cy</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géopolitique mon</w:t>
            </w:r>
          </w:p>
        </w:tc>
      </w:tr>
      <w:tr>
        <w:tc>
          <w:tcPr>
            <w:tcW w:type="dxa" w:w="1728"/>
          </w:tcPr>
          <w:p>
            <w:r>
              <w:rPr>
                <w:sz w:val="14"/>
              </w:rPr>
              <w:t>2026-08-11</w:t>
            </w:r>
          </w:p>
        </w:tc>
        <w:tc>
          <w:tcPr>
            <w:tcW w:type="dxa" w:w="1728"/>
          </w:tcPr>
          <w:p>
            <w:r>
              <w:rPr>
                <w:sz w:val="14"/>
              </w:rPr>
              <w:t>La folie des « perps », ces produits financiers hyperspéculatifs qui p</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2026-08-10</w:t>
            </w:r>
          </w:p>
        </w:tc>
        <w:tc>
          <w:tcPr>
            <w:tcW w:type="dxa" w:w="1728"/>
          </w:tcPr>
          <w:p>
            <w:r>
              <w:rPr>
                <w:sz w:val="14"/>
              </w:rPr>
              <w:t>Les prix du pétrole ont chuté, tandis que le cours de l'argent a bondi</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2026-08-11</w:t>
            </w:r>
          </w:p>
        </w:tc>
        <w:tc>
          <w:tcPr>
            <w:tcW w:type="dxa" w:w="1728"/>
          </w:tcPr>
          <w:p>
            <w:r>
              <w:rPr>
                <w:sz w:val="14"/>
              </w:rPr>
              <w:t>⚫Synthèse des matières premières : Pétrole, or, gaz naturel, émissions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La BCE va-t-elle relever à nouveau ses taux d’intérêt en 2026, pour en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Monnaie unique en Afrique de l’Ouest : en 2027, l’Eco sur les rails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Côte d'Ivoire : Fin de mandat à la CEDEAO, Omar Alieu Touray chez Alas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2026-08-11</w:t>
            </w:r>
          </w:p>
        </w:tc>
        <w:tc>
          <w:tcPr>
            <w:tcW w:type="dxa" w:w="1728"/>
          </w:tcPr>
          <w:p>
            <w:r>
              <w:rPr>
                <w:sz w:val="14"/>
              </w:rPr>
              <w:t>Creativo El Matador en France - Afriquinfos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2026-08-11</w:t>
            </w:r>
          </w:p>
        </w:tc>
        <w:tc>
          <w:tcPr>
            <w:tcW w:type="dxa" w:w="1728"/>
          </w:tcPr>
          <w:p>
            <w:r>
              <w:rPr>
                <w:sz w:val="14"/>
              </w:rPr>
              <w:t>2è édition du Prix ‘Start-ups de la CEDEAO’: Pourquoi et comment aller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2026-08-13</w:t>
            </w:r>
          </w:p>
        </w:tc>
        <w:tc>
          <w:tcPr>
            <w:tcW w:type="dxa" w:w="1728"/>
          </w:tcPr>
          <w:p>
            <w:r>
              <w:rPr>
                <w:sz w:val="14"/>
              </w:rPr>
              <w:t>Mali : 82 militaires détenus par le JNIM/FLA depuis avril libérés - ko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Le Mali fait un geste envers Paris en graciant un agent français conda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Sénégal : les élus obligés de déclarer leur patrimoine pour lutter con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Mali : Assimi Goïta gracie un Français condamné à 20 ans et ordonne so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Mali : 10 choses à savoir sur Fatou Binta Diop, la discrète conseillèr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Monnaie unique en Afrique de l’Ouest : en 2027, l’Eco sur les rails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Le Mali fait un geste envers Paris en graciant un agent français conda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Mali : Assimi Goïta gracie un Français condamné à 20 ans et ordonne so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Monnaie unique en Afrique de l’Ouest : en 2027, l’Eco sur les rails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Le Mali fait un geste envers Paris en graciant un agent français conda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Sénégal : les élus obligés de déclarer leur patrimoine pour lutter con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Monnaie unique en Afrique de l’Ouest : en 2027, l’Eco sur les rails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Le Mali fait un geste envers Paris en graciant un agent français conda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Sénégal : les élus obligés de déclarer leur patrimoine pour lutter con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Monnaie unique en Afrique de l’Ouest : en 2027, l’Eco sur les rails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Mali : 82 militaires détenus par le JNIM/FLA depuis avril libérés - ko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Le Mali fait un geste envers Paris en graciant un agent français conda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Monnaie unique en Afrique de l’Ouest : en 2027, l’Eco sur les rails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Le Mali fait un geste envers Paris en graciant un agent français conda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Trafic de cocaïne au Sahel : comment le corridor Mali-Niger-Libye alim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Sénégal : près de la moitié des hauts fonctionnaires n’ont pas déclaré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Récapitulatif Hebdomadaire BRVM : Hausse de 0,59% et Mouvements Clés à</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Monnaie unique en Afrique de l’Ouest : en 2027, l’Eco sur les rails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Le Mali fait un geste envers Paris en graciant un agent français conda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Sénégal : les élus obligés de déclarer leur patrimoine pour lutter con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Mali : 10 choses à savoir sur Fatou Binta Diop, la discrète conseillèr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2026-08-13</w:t>
            </w:r>
          </w:p>
        </w:tc>
        <w:tc>
          <w:tcPr>
            <w:tcW w:type="dxa" w:w="1728"/>
          </w:tcPr>
          <w:p>
            <w:r>
              <w:rPr>
                <w:sz w:val="14"/>
              </w:rPr>
              <w:t>Mali : 82 militaires détenus par le JNIM/FLA depuis avril libérés - ko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Le Mali fait un geste envers Paris en graciant un agent français conda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Sénégal : les élus obligés de déclarer leur patrimoine pour lutter con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Trafic de cocaïne au Sahel : comment le corridor Mali-Niger-Libye alim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Sénégal : près de la moitié des hauts fonctionnaires n’ont pas déclaré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Récapitulatif Hebdomadaire BRVM : Hausse de 0,59% et Mouvements Clés à</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matieres_premieres  (2 alerte(s))</w:t>
      </w:r>
    </w:p>
    <w:p>
      <w:pPr>
        <w:spacing w:before="40" w:after="40"/>
        <w:ind w:left="360"/>
      </w:pPr>
      <w:r>
        <w:rPr>
          <w:color w:val="646464"/>
          <w:sz w:val="17"/>
        </w:rPr>
        <w:t xml:space="preserve">[14/08/2026] ⚪  </w:t>
      </w:r>
      <w:r>
        <w:rPr>
          <w:b/>
          <w:color w:val="505050"/>
          <w:sz w:val="18"/>
        </w:rPr>
        <w:t>Marché des matières premières : l'indice MXV fluctue autour de la barre des 2 800 points.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les prix des matières premières, fluctue autour de 2 800 points, indiquant une certaine stabilité après des variations récentes. Cette évolution reflète les tensions entre l'offre et la demande sur les marchés internationaux. Pour la BRVM, cela pourrait avoir des implications indirectes sur les secteurs exportateurs de matièr</w:t>
      </w:r>
    </w:p>
    <w:p>
      <w:pPr>
        <w:spacing w:before="0" w:after="40"/>
        <w:ind w:left="600"/>
      </w:pPr>
      <w:r>
        <w:rPr>
          <w:color w:val="00643C"/>
          <w:sz w:val="16"/>
        </w:rPr>
        <w:t>Points clés : L'indice MXV évolue autour de 2 800 points, signe de stabilité relative.  •  Les fluctuations des matières premières influencent les économies dépendantes des exportations.</w:t>
      </w:r>
    </w:p>
    <w:p>
      <w:pPr>
        <w:spacing w:before="0" w:after="60"/>
        <w:ind w:left="600"/>
      </w:pPr>
      <w:r>
        <w:rPr>
          <w:color w:val="0064B4"/>
          <w:sz w:val="15"/>
        </w:rPr>
        <w:t>Source : https://news.google.com/rss/articles/CBMijgFBVV95cUxPdm9EcFNfVm4tQjFkNE5TM0FRWUd</w:t>
      </w:r>
    </w:p>
    <w:p>
      <w:pPr>
        <w:spacing w:before="40" w:after="40"/>
        <w:ind w:left="360"/>
      </w:pPr>
      <w:r>
        <w:rPr>
          <w:color w:val="646464"/>
          <w:sz w:val="17"/>
        </w:rPr>
        <w:t xml:space="preserve">[13/08/2026] ⚪  </w:t>
      </w:r>
      <w:r>
        <w:rPr>
          <w:b/>
          <w:color w:val="505050"/>
          <w:sz w:val="18"/>
        </w:rPr>
        <w:t>Cacao : comment la Côte d’Ivoire adapte son modèle face aux mutations du marché mondial - agenceecofin.com</w:t>
      </w:r>
      <w:r>
        <w:rPr>
          <w:color w:val="787878"/>
          <w:sz w:val="15"/>
        </w:rPr>
        <w:t xml:space="preserve">  [matieres_premieres]</w:t>
      </w:r>
      <w:r>
        <w:rPr>
          <w:color w:val="B47800"/>
          <w:sz w:val="16"/>
        </w:rPr>
        <w:t xml:space="preserve">  ★ 50/10</w:t>
      </w:r>
    </w:p>
    <w:p>
      <w:pPr>
        <w:spacing w:before="0" w:after="20"/>
        <w:ind w:left="600"/>
      </w:pPr>
      <w:r>
        <w:rPr>
          <w:color w:val="323232"/>
          <w:sz w:val="17"/>
        </w:rPr>
        <w:t>La Côte d'Ivoire, premier producteur mondial de cacao, adapte son modèle économique face aux évolutions du marché mondial, notamment la volatilité des prix et les nouvelles exigences de durabilité. Le pays cherche à renforcer sa position en diversifiant ses débouchés et en améliorant la transformation locale. Cette stratégie vise à stabiliser les r</w:t>
      </w:r>
    </w:p>
    <w:p>
      <w:pPr>
        <w:spacing w:before="0" w:after="40"/>
        <w:ind w:left="600"/>
      </w:pPr>
      <w:r>
        <w:rPr>
          <w:color w:val="00643C"/>
          <w:sz w:val="16"/>
        </w:rPr>
        <w:t>Points clés : Adaptation du modèle ivoirien aux mutations du marché mondial du cacao.  •  Renforcement de la transformation locale et diversification des débouchés.</w:t>
      </w:r>
    </w:p>
    <w:p>
      <w:pPr>
        <w:spacing w:before="0" w:after="60"/>
        <w:ind w:left="600"/>
      </w:pPr>
      <w:r>
        <w:rPr>
          <w:color w:val="0064B4"/>
          <w:sz w:val="15"/>
        </w:rPr>
        <w:t>Source : https://news.google.com/rss/articles/CBMi2gFBVV95cUxQcWViZHFvMGNqTGVhLUN2dl9ETWE</w:t>
      </w:r>
    </w:p>
    <w:p>
      <w:pPr>
        <w:spacing w:before="120" w:after="40"/>
      </w:pPr>
      <w:r>
        <w:rPr>
          <w:b/>
          <w:color w:val="00467F"/>
          <w:sz w:val="20"/>
        </w:rPr>
        <w:t>🔑 politique  (12 alerte(s))</w:t>
      </w:r>
    </w:p>
    <w:p>
      <w:pPr>
        <w:spacing w:before="40" w:after="40"/>
        <w:ind w:left="360"/>
      </w:pPr>
      <w:r>
        <w:rPr>
          <w:color w:val="646464"/>
          <w:sz w:val="17"/>
        </w:rPr>
        <w:t xml:space="preserve">[13/08/2026] 🟢  </w:t>
      </w:r>
      <w:r>
        <w:rPr>
          <w:b/>
          <w:color w:val="008000"/>
          <w:sz w:val="18"/>
        </w:rPr>
        <w:t>Mali : le FLA annonce la libération de 82 militaires maliens - Le Matin d'Algérie</w:t>
      </w:r>
      <w:r>
        <w:rPr>
          <w:color w:val="787878"/>
          <w:sz w:val="15"/>
        </w:rPr>
        <w:t xml:space="preserve">  [politique]</w:t>
      </w:r>
      <w:r>
        <w:rPr>
          <w:color w:val="B47800"/>
          <w:sz w:val="16"/>
        </w:rPr>
        <w:t xml:space="preserve">  ★ 50/10</w:t>
      </w:r>
    </w:p>
    <w:p>
      <w:pPr>
        <w:spacing w:before="0" w:after="20"/>
        <w:ind w:left="600"/>
      </w:pPr>
      <w:r>
        <w:rPr>
          <w:color w:val="323232"/>
          <w:sz w:val="17"/>
        </w:rPr>
        <w:t>Le Front de libération de l'Azawad (FLA) a annoncé la libération de 82 militaires maliens, une avancée dans le processus de résolution du conflit au Mali. Cette nouvelle intervient dans un contexte de tensions sécuritaires dans la région, mais pourrait favoriser un apaisement des relations entre les parties prenantes. Pour les marchés financiers de</w:t>
      </w:r>
    </w:p>
    <w:p>
      <w:pPr>
        <w:spacing w:before="0" w:after="40"/>
        <w:ind w:left="600"/>
      </w:pPr>
      <w:r>
        <w:rPr>
          <w:color w:val="00643C"/>
          <w:sz w:val="16"/>
        </w:rPr>
        <w:t>Points clés : Libération de 82 militaires maliens par le FLA  •  Avancée dans le dialogue et la résolution du conflit au Mali  •  Contexte sécuritaire régional toujours fragile  •  Impact indirect sur la confiance des investisseurs dans la zone UEMOA</w:t>
      </w:r>
    </w:p>
    <w:p>
      <w:pPr>
        <w:spacing w:before="0" w:after="60"/>
        <w:ind w:left="600"/>
      </w:pPr>
      <w:r>
        <w:rPr>
          <w:color w:val="0064B4"/>
          <w:sz w:val="15"/>
        </w:rPr>
        <w:t>Source : https://news.google.com/rss/articles/CBMikAFBVV95cUxOR3V5VUMyQS1QNENMcUVtR0s3ZWJ</w:t>
      </w:r>
    </w:p>
    <w:p>
      <w:pPr>
        <w:spacing w:before="40" w:after="40"/>
        <w:ind w:left="360"/>
      </w:pPr>
      <w:r>
        <w:rPr>
          <w:color w:val="646464"/>
          <w:sz w:val="17"/>
        </w:rPr>
        <w:t xml:space="preserve">[13/08/2026] ⚪  </w:t>
      </w:r>
      <w:r>
        <w:rPr>
          <w:b/>
          <w:color w:val="505050"/>
          <w:sz w:val="18"/>
        </w:rPr>
        <w:t>Mali : Assimi Goïta gracie un Français condamné à 20 ans et ordonne son expulsion - koaci.com</w:t>
      </w:r>
      <w:r>
        <w:rPr>
          <w:color w:val="787878"/>
          <w:sz w:val="15"/>
        </w:rPr>
        <w:t xml:space="preserve">  [politique]</w:t>
      </w:r>
      <w:r>
        <w:rPr>
          <w:color w:val="B47800"/>
          <w:sz w:val="16"/>
        </w:rPr>
        <w:t xml:space="preserve">  ★ 50/10</w:t>
      </w:r>
    </w:p>
    <w:p>
      <w:pPr>
        <w:spacing w:before="0" w:after="20"/>
        <w:ind w:left="600"/>
      </w:pPr>
      <w:r>
        <w:rPr>
          <w:color w:val="323232"/>
          <w:sz w:val="17"/>
        </w:rPr>
        <w:t>Le président de la transition malienne, Assimi Goïta, a gracié un ressortissant français condamné à 20 ans de prison et ordonné son expulsion. Cette décision intervient dans un contexte de tensions diplomatiques entre le Mali et la France. L'information est rapportée par le site koaci.com, spécialisé dans l'actualité ouest-africaine.</w:t>
      </w:r>
    </w:p>
    <w:p>
      <w:pPr>
        <w:spacing w:before="0" w:after="40"/>
        <w:ind w:left="600"/>
      </w:pPr>
      <w:r>
        <w:rPr>
          <w:color w:val="00643C"/>
          <w:sz w:val="16"/>
        </w:rPr>
        <w:t>Points clés : Grâce présidentielle accordée à un Français condamné à 20 ans  •  Expulsion ordonnée vers la France  •  Contexte de tensions diplomatiques Mali-France</w:t>
      </w:r>
    </w:p>
    <w:p>
      <w:pPr>
        <w:spacing w:before="0" w:after="60"/>
        <w:ind w:left="600"/>
      </w:pPr>
      <w:r>
        <w:rPr>
          <w:color w:val="0064B4"/>
          <w:sz w:val="15"/>
        </w:rPr>
        <w:t>Source : https://news.google.com/rss/articles/CBMi4AFBVV95cUxQV2hRckRZZUlRZnVSWGdHRnRyVnh</w:t>
      </w:r>
    </w:p>
    <w:p>
      <w:pPr>
        <w:spacing w:before="40" w:after="40"/>
        <w:ind w:left="360"/>
      </w:pPr>
      <w:r>
        <w:rPr>
          <w:color w:val="646464"/>
          <w:sz w:val="17"/>
        </w:rPr>
        <w:t xml:space="preserve">[13/08/2026] 🟢  </w:t>
      </w:r>
      <w:r>
        <w:rPr>
          <w:b/>
          <w:color w:val="008000"/>
          <w:sz w:val="18"/>
        </w:rPr>
        <w:t>Mali : 82 militaires détenus par le JNIM/FLA depuis avril libérés - koaci.com</w:t>
      </w:r>
      <w:r>
        <w:rPr>
          <w:color w:val="787878"/>
          <w:sz w:val="15"/>
        </w:rPr>
        <w:t xml:space="preserve">  [politique]</w:t>
      </w:r>
      <w:r>
        <w:rPr>
          <w:color w:val="B47800"/>
          <w:sz w:val="16"/>
        </w:rPr>
        <w:t xml:space="preserve">  ★ 50/10</w:t>
      </w:r>
    </w:p>
    <w:p>
      <w:pPr>
        <w:spacing w:before="0" w:after="20"/>
        <w:ind w:left="600"/>
      </w:pPr>
      <w:r>
        <w:rPr>
          <w:color w:val="323232"/>
          <w:sz w:val="17"/>
        </w:rPr>
        <w:t>Le Mali a annoncé la libération de 82 militaires détenus par les groupes jihadistes JNIM/FLA depuis avril. Cette libération intervient dans un contexte de tensions sécuritaires persistantes dans la région. Bien que positive sur le plan humanitaire, elle ne modifie pas fondamentalement la situation sécuritaire régionale. L'impact économique pour l'U</w:t>
      </w:r>
    </w:p>
    <w:p>
      <w:pPr>
        <w:spacing w:before="0" w:after="40"/>
        <w:ind w:left="600"/>
      </w:pPr>
      <w:r>
        <w:rPr>
          <w:color w:val="00643C"/>
          <w:sz w:val="16"/>
        </w:rPr>
        <w:t>Points clés : Libération de 82 militaires maliens détenus depuis avril par JNIM/FLA.  •  Événement sécuritaire majeur au Mali, pays membre de l'UEMOA.  •  Potentiel de réduction des tensions régionales, mais sans effet direct sur les marchés financiers.</w:t>
      </w:r>
    </w:p>
    <w:p>
      <w:pPr>
        <w:spacing w:before="0" w:after="60"/>
        <w:ind w:left="600"/>
      </w:pPr>
      <w:r>
        <w:rPr>
          <w:color w:val="0064B4"/>
          <w:sz w:val="15"/>
        </w:rPr>
        <w:t>Source : https://news.google.com/rss/articles/CBMiygFBVV95cUxOV3YzYVE4MFdiaFRRVzZWS0lUSEl</w:t>
      </w:r>
    </w:p>
    <w:p>
      <w:pPr>
        <w:spacing w:before="40" w:after="40"/>
        <w:ind w:left="360"/>
      </w:pPr>
      <w:r>
        <w:rPr>
          <w:color w:val="646464"/>
          <w:sz w:val="17"/>
        </w:rPr>
        <w:t xml:space="preserve">[13/08/2026] ⚪  </w:t>
      </w:r>
      <w:r>
        <w:rPr>
          <w:b/>
          <w:color w:val="505050"/>
          <w:sz w:val="18"/>
        </w:rPr>
        <w:t xml:space="preserve">Mali : soupçonné de conspiration et condamné à 20 ans de prison, un agent des renseignements français finalement gracié </w:t>
      </w:r>
      <w:r>
        <w:rPr>
          <w:color w:val="787878"/>
          <w:sz w:val="15"/>
        </w:rPr>
        <w:t xml:space="preserve">  [politique]</w:t>
      </w:r>
      <w:r>
        <w:rPr>
          <w:color w:val="B47800"/>
          <w:sz w:val="16"/>
        </w:rPr>
        <w:t xml:space="preserve">  ★ 50/10</w:t>
      </w:r>
    </w:p>
    <w:p>
      <w:pPr>
        <w:spacing w:before="0" w:after="20"/>
        <w:ind w:left="600"/>
      </w:pPr>
      <w:r>
        <w:rPr>
          <w:color w:val="323232"/>
          <w:sz w:val="17"/>
        </w:rPr>
        <w:t>Un agent des renseignements français, condamné à 20 ans de prison au Mali pour conspiration, a été gracié par les autorités maliennes. Cette décision intervient dans un contexte de tensions diplomatiques entre Bamako et Paris. L'événement est principalement politique et n'a pas de lien direct avec les marchés financiers de la zone UEMOA.</w:t>
      </w:r>
    </w:p>
    <w:p>
      <w:pPr>
        <w:spacing w:before="0" w:after="40"/>
        <w:ind w:left="600"/>
      </w:pPr>
      <w:r>
        <w:rPr>
          <w:color w:val="00643C"/>
          <w:sz w:val="16"/>
        </w:rPr>
        <w:t>Points clés : Grâce présidentielle accordée à un agent français condamné pour conspiration.  •  Contexte de relations tendues entre le Mali et la France.  •  Aucun impact économique direct sur la zone UEMOA.</w:t>
      </w:r>
    </w:p>
    <w:p>
      <w:pPr>
        <w:spacing w:before="0" w:after="60"/>
        <w:ind w:left="600"/>
      </w:pPr>
      <w:r>
        <w:rPr>
          <w:color w:val="0064B4"/>
          <w:sz w:val="15"/>
        </w:rPr>
        <w:t>Source : https://news.google.com/rss/articles/CBMi_AFBVV95cUxQTU1XY2oxbVkySV9qU1BNdVhGSnZ</w:t>
      </w:r>
    </w:p>
    <w:p>
      <w:pPr>
        <w:spacing w:before="40" w:after="40"/>
        <w:ind w:left="360"/>
      </w:pPr>
      <w:r>
        <w:rPr>
          <w:color w:val="646464"/>
          <w:sz w:val="17"/>
        </w:rPr>
        <w:t xml:space="preserve">[13/08/2026] ⚪  </w:t>
      </w:r>
      <w:r>
        <w:rPr>
          <w:b/>
          <w:color w:val="505050"/>
          <w:sz w:val="18"/>
        </w:rPr>
        <w:t>Mali : 10 choses à savoir sur Fatou Binta Diop, la discrète conseillère diplomatique d’Assimi Goïta - Jeune Afrique</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dresse le portrait de Fatou Binta Diop, conseillère diplomatique du président de transition malien Assimi Goïta, en mettant en lumière son rôle discret mais influent dans la politique étrangère du Mali. Il détaille son parcours, ses compétences et ses relations, sans révéler d'orientations économiques majeures. Cette nomi</w:t>
      </w:r>
    </w:p>
    <w:p>
      <w:pPr>
        <w:spacing w:before="0" w:after="40"/>
        <w:ind w:left="600"/>
      </w:pPr>
      <w:r>
        <w:rPr>
          <w:color w:val="00643C"/>
          <w:sz w:val="16"/>
        </w:rPr>
        <w:t>Points clés : Fatou Binta Diop est une figure clé de la diplomatie malienne sous Assimi Goïta.  •  Son profil est perçu comme discret mais influent dans les relations internationales du Mali.  •  L'article ne mentionne pas de mesures économiques directes, mais souligne l'importance de la diplomatie dans la stabilité régionale.</w:t>
      </w:r>
    </w:p>
    <w:p>
      <w:pPr>
        <w:spacing w:before="0" w:after="60"/>
        <w:ind w:left="600"/>
      </w:pPr>
      <w:r>
        <w:rPr>
          <w:color w:val="0064B4"/>
          <w:sz w:val="15"/>
        </w:rPr>
        <w:t>Source : https://news.google.com/rss/articles/CBMi2wFBVV95cUxNSWVucXpTbHNvNFRTaDB1cjZfaUF</w:t>
      </w:r>
    </w:p>
    <w:p>
      <w:pPr>
        <w:spacing w:before="120" w:after="40"/>
      </w:pPr>
      <w:r>
        <w:rPr>
          <w:b/>
          <w:color w:val="00467F"/>
          <w:sz w:val="20"/>
        </w:rPr>
        <w:t>🔑 économique  (5 alerte(s))</w:t>
      </w:r>
    </w:p>
    <w:p>
      <w:pPr>
        <w:spacing w:before="40" w:after="40"/>
        <w:ind w:left="360"/>
      </w:pPr>
      <w:r>
        <w:rPr>
          <w:color w:val="646464"/>
          <w:sz w:val="17"/>
        </w:rPr>
        <w:t xml:space="preserve">[13/08/2026] ⚪  </w:t>
      </w:r>
      <w:r>
        <w:rPr>
          <w:b/>
          <w:color w:val="505050"/>
          <w:sz w:val="18"/>
        </w:rPr>
        <w:t>Monnaie unique en Afrique de l’Ouest : en 2027, l’Eco sur les rails ? - Enderi</w:t>
      </w:r>
      <w:r>
        <w:rPr>
          <w:color w:val="787878"/>
          <w:sz w:val="15"/>
        </w:rPr>
        <w:t xml:space="preserve">  [économique]</w:t>
      </w:r>
      <w:r>
        <w:rPr>
          <w:color w:val="B47800"/>
          <w:sz w:val="16"/>
        </w:rPr>
        <w:t xml:space="preserve">  ★ 50/10</w:t>
      </w:r>
    </w:p>
    <w:p>
      <w:pPr>
        <w:spacing w:before="0" w:after="20"/>
        <w:ind w:left="600"/>
      </w:pPr>
      <w:r>
        <w:rPr>
          <w:color w:val="323232"/>
          <w:sz w:val="17"/>
        </w:rPr>
        <w:t>L'article de Enderi évoque le projet de monnaie unique ouest-africaine, l'Eco, dont le lancement est envisagé pour 2027. Il analyse les avancées et les obstacles, notamment les critères de convergence économique et les tensions politiques. Le texte souligne les incertitudes persistantes malgré les engagements des États membres. Il s'agit d'une pers</w:t>
      </w:r>
    </w:p>
    <w:p>
      <w:pPr>
        <w:spacing w:before="0" w:after="40"/>
        <w:ind w:left="600"/>
      </w:pPr>
      <w:r>
        <w:rPr>
          <w:color w:val="00643C"/>
          <w:sz w:val="16"/>
        </w:rPr>
        <w:t>Points clés : Lancement de l'Eco prévu en 2027 en Afrique de l'Ouest.  •  Critères de convergence économique à respecter par les pays membres.  •  Obstacles politiques et économiques à surmonter.  •  Incertitudes sur le calendrier et la faisabilité du projet.</w:t>
      </w:r>
    </w:p>
    <w:p>
      <w:pPr>
        <w:spacing w:before="0" w:after="60"/>
        <w:ind w:left="600"/>
      </w:pPr>
      <w:r>
        <w:rPr>
          <w:color w:val="0064B4"/>
          <w:sz w:val="15"/>
        </w:rPr>
        <w:t>Source : https://news.google.com/rss/articles/CBMiiAFBVV95cUxPQVoyZXItdzNQM1p6Sm96c3JHMWp</w:t>
      </w:r>
    </w:p>
    <w:p>
      <w:pPr>
        <w:spacing w:before="40" w:after="40"/>
        <w:ind w:left="360"/>
      </w:pPr>
      <w:r>
        <w:rPr>
          <w:color w:val="646464"/>
          <w:sz w:val="17"/>
        </w:rPr>
        <w:t xml:space="preserve">[13/08/2026] ⚪  </w:t>
      </w:r>
      <w:r>
        <w:rPr>
          <w:b/>
          <w:color w:val="505050"/>
          <w:sz w:val="18"/>
        </w:rPr>
        <w:t>À quel point le projet de monnaie unique de la CEDEAO est-il réaliste ? - TRT Afrika</w:t>
      </w:r>
      <w:r>
        <w:rPr>
          <w:color w:val="787878"/>
          <w:sz w:val="15"/>
        </w:rPr>
        <w:t xml:space="preserve">  [économique]</w:t>
      </w:r>
      <w:r>
        <w:rPr>
          <w:color w:val="B47800"/>
          <w:sz w:val="16"/>
        </w:rPr>
        <w:t xml:space="preserve">  ★ 50/10</w:t>
      </w:r>
    </w:p>
    <w:p>
      <w:pPr>
        <w:spacing w:before="0" w:after="20"/>
        <w:ind w:left="600"/>
      </w:pPr>
      <w:r>
        <w:rPr>
          <w:color w:val="323232"/>
          <w:sz w:val="17"/>
        </w:rPr>
        <w:t>Le projet de monnaie unique de la CEDEAO, bien qu'ambitieux, se heurte à de nombreux obstacles économiques et politiques, notamment la divergence des économies membres et la question de la souveraineté monétaire. L'initiative, portée par certains pays, reste confrontée à des défis de convergence macroéconomique et de coordination des politiques bud</w:t>
      </w:r>
    </w:p>
    <w:p>
      <w:pPr>
        <w:spacing w:before="0" w:after="40"/>
        <w:ind w:left="600"/>
      </w:pPr>
      <w:r>
        <w:rPr>
          <w:color w:val="00643C"/>
          <w:sz w:val="16"/>
        </w:rPr>
        <w:t>Points clés : Le projet de monnaie unique de la CEDEAO est confronté à des divergences économiques majeures entre les pays membres.  •  La question de la souveraineté monétaire et les réticences politiques freinent l'avancement du projet.  •  Les critères de convergence (inflation, déficit budgétaire, etc.) ne sont pas remplis par la majorité des États.  •  L'échéance de 2027 semble irréaliste, mais le projet reste un objectif stratégique à long terme.</w:t>
      </w:r>
    </w:p>
    <w:p>
      <w:pPr>
        <w:spacing w:before="0" w:after="60"/>
        <w:ind w:left="600"/>
      </w:pPr>
      <w:r>
        <w:rPr>
          <w:color w:val="0064B4"/>
          <w:sz w:val="15"/>
        </w:rPr>
        <w:t>Source : https://news.google.com/rss/articles/CBMiZkFVX3lxTFBuRHRUSV85bnpWNy1MRktyZGVMM3l</w:t>
      </w:r>
    </w:p>
    <w:p>
      <w:pPr>
        <w:spacing w:before="40" w:after="40"/>
        <w:ind w:left="360"/>
      </w:pPr>
      <w:r>
        <w:rPr>
          <w:color w:val="646464"/>
          <w:sz w:val="17"/>
        </w:rPr>
        <w:t xml:space="preserve">[12/08/2026] ⚪  </w:t>
      </w:r>
      <w:r>
        <w:rPr>
          <w:b/>
          <w:color w:val="505050"/>
          <w:sz w:val="18"/>
        </w:rPr>
        <w:t>Côte d'Ivoire : Fin de mandat à la CEDEAO, Omar Alieu Touray chez Alassane Ouattara pour des adieux et des remerciements</w:t>
      </w:r>
      <w:r>
        <w:rPr>
          <w:color w:val="787878"/>
          <w:sz w:val="15"/>
        </w:rPr>
        <w:t xml:space="preserve">  [économique]</w:t>
      </w:r>
      <w:r>
        <w:rPr>
          <w:color w:val="B47800"/>
          <w:sz w:val="16"/>
        </w:rPr>
        <w:t xml:space="preserve">  ★ 50/10</w:t>
      </w:r>
    </w:p>
    <w:p>
      <w:pPr>
        <w:spacing w:before="0" w:after="20"/>
        <w:ind w:left="600"/>
      </w:pPr>
      <w:r>
        <w:rPr>
          <w:color w:val="323232"/>
          <w:sz w:val="17"/>
        </w:rPr>
        <w:t>Le président de la Commission de la CEDEAO, Omar Alieu Touray, a rencontré le président ivoirien Alassane Ouattara à l'occasion de la fin de son mandat, pour des adieux et des remerciements. Cette visite s'inscrit dans le cadre des relations diplomatiques entre la Côte d'Ivoire et l'organisation régionale. Elle marque une transition à la tête de la</w:t>
      </w:r>
    </w:p>
    <w:p>
      <w:pPr>
        <w:spacing w:before="0" w:after="40"/>
        <w:ind w:left="600"/>
      </w:pPr>
      <w:r>
        <w:rPr>
          <w:color w:val="00643C"/>
          <w:sz w:val="16"/>
        </w:rPr>
        <w:t>Points clés : Fin de mandat d'Omar Alieu Touray à la CEDEAO  •  Rencontre avec Alassane Ouattara pour des adieux  •  Contexte diplomatique régional</w:t>
      </w:r>
    </w:p>
    <w:p>
      <w:pPr>
        <w:spacing w:before="0" w:after="60"/>
        <w:ind w:left="600"/>
      </w:pPr>
      <w:r>
        <w:rPr>
          <w:color w:val="0064B4"/>
          <w:sz w:val="15"/>
        </w:rPr>
        <w:t>Source : https://news.google.com/rss/articles/CBMinAJBVV95cUxOa3FWRFNMcjVnVV9ZNG83bUVNM2h</w:t>
      </w:r>
    </w:p>
    <w:p>
      <w:pPr>
        <w:spacing w:before="40" w:after="40"/>
        <w:ind w:left="360"/>
      </w:pPr>
      <w:r>
        <w:rPr>
          <w:color w:val="646464"/>
          <w:sz w:val="17"/>
        </w:rPr>
        <w:t xml:space="preserve">[12/08/2026] ⚪  </w:t>
      </w:r>
      <w:r>
        <w:rPr>
          <w:b/>
          <w:color w:val="505050"/>
          <w:sz w:val="18"/>
        </w:rPr>
        <w:t>À quel point le projet de monnaie unique de la CEDEAO est-il réaliste ? - TRT Afrika</w:t>
      </w:r>
      <w:r>
        <w:rPr>
          <w:color w:val="787878"/>
          <w:sz w:val="15"/>
        </w:rPr>
        <w:t xml:space="preserve">  [économique]</w:t>
      </w:r>
      <w:r>
        <w:rPr>
          <w:color w:val="B47800"/>
          <w:sz w:val="16"/>
        </w:rPr>
        <w:t xml:space="preserve">  ★ 50/10</w:t>
      </w:r>
    </w:p>
    <w:p>
      <w:pPr>
        <w:spacing w:before="0" w:after="20"/>
        <w:ind w:left="600"/>
      </w:pPr>
      <w:r>
        <w:rPr>
          <w:color w:val="323232"/>
          <w:sz w:val="17"/>
        </w:rPr>
        <w:t>Le projet de monnaie unique de la CEDEAO, bien qu'ambitieux, se heurte à de nombreux obstacles économiques et politiques, notamment la divergence des performances économiques, les critères de convergence non respectés et la souveraineté monétaire des États membres. L'initiative, relancée avec un nouveau calendrier, reste incertaine et nécessite des</w:t>
      </w:r>
    </w:p>
    <w:p>
      <w:pPr>
        <w:spacing w:before="0" w:after="40"/>
        <w:ind w:left="600"/>
      </w:pPr>
      <w:r>
        <w:rPr>
          <w:color w:val="00643C"/>
          <w:sz w:val="16"/>
        </w:rPr>
        <w:t>Points clés : Les critères de convergence macroéconomique (déficit budgétaire, inflation, dette) ne sont pas remplis par la majorité des pays membres.  •  La question de la souveraineté monétaire et la perte de contrôle des politiques monétaires nationales constituent un frein majeur.  •  Le projet prévoit une feuille de route avec des étapes progressives, mais son calendrier a déjà été repoussé à plusieurs reprises.</w:t>
      </w:r>
    </w:p>
    <w:p>
      <w:pPr>
        <w:spacing w:before="0" w:after="60"/>
        <w:ind w:left="600"/>
      </w:pPr>
      <w:r>
        <w:rPr>
          <w:color w:val="0064B4"/>
          <w:sz w:val="15"/>
        </w:rPr>
        <w:t>Source : https://news.google.com/rss/articles/CBMi1gFBVV95cUxOTlk2VndnZEhFZlMyX3kzblBwelN</w:t>
      </w:r>
    </w:p>
    <w:p>
      <w:pPr>
        <w:spacing w:before="40" w:after="40"/>
        <w:ind w:left="360"/>
      </w:pPr>
      <w:r>
        <w:rPr>
          <w:color w:val="646464"/>
          <w:sz w:val="17"/>
        </w:rPr>
        <w:t xml:space="preserve">[11/08/2026] 🟢  </w:t>
      </w:r>
      <w:r>
        <w:rPr>
          <w:b/>
          <w:color w:val="008000"/>
          <w:sz w:val="18"/>
        </w:rPr>
        <w:t>2è édition du Prix ‘Start-ups de la CEDEAO’: Pourquoi et comment aller à la chasse de 30 mille USD dans la cagnotte? - A</w:t>
      </w:r>
      <w:r>
        <w:rPr>
          <w:color w:val="787878"/>
          <w:sz w:val="15"/>
        </w:rPr>
        <w:t xml:space="preserve">  [économique]</w:t>
      </w:r>
      <w:r>
        <w:rPr>
          <w:color w:val="B47800"/>
          <w:sz w:val="16"/>
        </w:rPr>
        <w:t xml:space="preserve">  ★ 50/10</w:t>
      </w:r>
    </w:p>
    <w:p>
      <w:pPr>
        <w:spacing w:before="0" w:after="20"/>
        <w:ind w:left="600"/>
      </w:pPr>
      <w:r>
        <w:rPr>
          <w:color w:val="323232"/>
          <w:sz w:val="17"/>
        </w:rPr>
        <w:t>La deuxième édition du Prix 'Start-ups de la CEDEAO' est lancée, offrant une cagnotte de 30 000 USD aux jeunes entreprises innovantes de la région. L'article explique les raisons de participer, notamment la visibilité et le financement, ainsi que les modalités de candidature. Cette initiative vise à stimuler l'entrepreneuriat et l'innovation en Afr</w:t>
      </w:r>
    </w:p>
    <w:p>
      <w:pPr>
        <w:spacing w:before="0" w:after="40"/>
        <w:ind w:left="600"/>
      </w:pPr>
      <w:r>
        <w:rPr>
          <w:color w:val="00643C"/>
          <w:sz w:val="16"/>
        </w:rPr>
        <w:t>Points clés : Cagnotte de 30 000 USD pour les start-ups de la CEDEAO  •  Opportunité de financement et de visibilité pour les entrepreneurs  •  Encouragement de l'innovation et de la croissance économique régionale</w:t>
      </w:r>
    </w:p>
    <w:p>
      <w:pPr>
        <w:spacing w:before="0" w:after="60"/>
        <w:ind w:left="600"/>
      </w:pPr>
      <w:r>
        <w:rPr>
          <w:color w:val="0064B4"/>
          <w:sz w:val="15"/>
        </w:rPr>
        <w:t>Source : https://news.google.com/rss/articles/CBMi2AFBVV95cUxPRzlaVDlpVXpWVzFrMWpqcXBiV0p</w:t>
      </w:r>
    </w:p>
    <w:p>
      <w:pPr>
        <w:spacing w:before="120" w:after="40"/>
      </w:pPr>
      <w:r>
        <w:rPr>
          <w:b/>
          <w:color w:val="00467F"/>
          <w:sz w:val="20"/>
        </w:rPr>
        <w:t>🔑 geopolitique  (1 alerte(s))</w:t>
      </w:r>
    </w:p>
    <w:p>
      <w:pPr>
        <w:spacing w:before="40" w:after="40"/>
        <w:ind w:left="360"/>
      </w:pPr>
      <w:r>
        <w:rPr>
          <w:color w:val="646464"/>
          <w:sz w:val="17"/>
        </w:rPr>
        <w:t xml:space="preserve">[11/08/2026] ⚪  </w:t>
      </w:r>
      <w:r>
        <w:rPr>
          <w:b/>
          <w:color w:val="505050"/>
          <w:sz w:val="18"/>
        </w:rPr>
        <w:t>Protection des actifs dans un contexte d’instabilité géopolitique - Cyril Jarnias</w:t>
      </w:r>
      <w:r>
        <w:rPr>
          <w:color w:val="787878"/>
          <w:sz w:val="15"/>
        </w:rPr>
        <w:t xml:space="preserve">  [geopolitique]</w:t>
      </w:r>
      <w:r>
        <w:rPr>
          <w:color w:val="B47800"/>
          <w:sz w:val="16"/>
        </w:rPr>
        <w:t xml:space="preserve">  ★ 50/10</w:t>
      </w:r>
    </w:p>
    <w:p>
      <w:pPr>
        <w:spacing w:before="0" w:after="20"/>
        <w:ind w:left="600"/>
      </w:pPr>
      <w:r>
        <w:rPr>
          <w:color w:val="323232"/>
          <w:sz w:val="17"/>
        </w:rPr>
        <w:t>L'article de Cyril Jarnias aborde les stratégies de protection des actifs financiers dans un contexte d'instabilité géopolitique croissante. Il souligne l'importance de la diversification géographique et sectorielle, ainsi que le recours à des valeurs refuges comme l'or et les obligations d'État. L'auteur recommande une gestion proactive des risque</w:t>
      </w:r>
    </w:p>
    <w:p>
      <w:pPr>
        <w:spacing w:before="0" w:after="40"/>
        <w:ind w:left="600"/>
      </w:pPr>
      <w:r>
        <w:rPr>
          <w:color w:val="00643C"/>
          <w:sz w:val="16"/>
        </w:rPr>
        <w:t>Points clés : Diversification des actifs pour réduire l'exposition aux risques géopolitiques.  •  Privilégier les valeurs refuges (or, obligations souveraines) en période de tension.  •  Surveiller les indicateurs politiques et économiques pour anticiper les chocs.</w:t>
      </w:r>
    </w:p>
    <w:p>
      <w:pPr>
        <w:spacing w:before="0" w:after="60"/>
        <w:ind w:left="600"/>
      </w:pPr>
      <w:r>
        <w:rPr>
          <w:color w:val="0064B4"/>
          <w:sz w:val="15"/>
        </w:rPr>
        <w:t>Source : https://news.google.com/rss/articles/CBMigAFBVV95cUxQek1XTkh3T3hIQnZkbjdmakVhd2d</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16,000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2</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12,900</w:t>
            </w:r>
          </w:p>
        </w:tc>
        <w:tc>
          <w:tcPr>
            <w:tcW w:type="dxa" w:w="1080"/>
            <w:shd w:fill="C6EFCE" w:val="clear"/>
          </w:tcPr>
          <w:p>
            <w:r>
              <w:rPr>
                <w:b/>
                <w:sz w:val="16"/>
              </w:rPr>
              <w:t>76/100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2,000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5,120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4,100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2,800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3,060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9,175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31,900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3,150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2,000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6,150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17,450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9,115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5,515</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18,000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8,500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23,015</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5,840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39,000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EBF5FB" w:val="clear"/>
          </w:tcPr>
          <w:p>
            <w:r>
              <w:rPr>
                <w:sz w:val="16"/>
              </w:rPr>
              <w:t>21</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3,500</w:t>
            </w:r>
          </w:p>
        </w:tc>
        <w:tc>
          <w:tcPr>
            <w:tcW w:type="dxa" w:w="1080"/>
            <w:shd w:fill="EBF5FB" w:val="clear"/>
          </w:tcPr>
          <w:p>
            <w:r>
              <w:rPr>
                <w:b/>
                <w:sz w:val="16"/>
              </w:rPr>
              <w:t>69/100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22</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2,190</w:t>
            </w:r>
          </w:p>
        </w:tc>
        <w:tc>
          <w:tcPr>
            <w:tcW w:type="dxa" w:w="1080"/>
            <w:shd w:fill="EBF5FB" w:val="clear"/>
          </w:tcPr>
          <w:p>
            <w:r>
              <w:rPr>
                <w:b/>
                <w:sz w:val="16"/>
              </w:rPr>
              <w:t>69/100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23</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3,660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37,250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28,670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7,100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BOAS</w:t>
            </w:r>
          </w:p>
        </w:tc>
        <w:tc>
          <w:tcPr>
            <w:tcW w:type="dxa" w:w="1080"/>
            <w:shd w:fill="EBF5FB" w:val="clear"/>
          </w:tcPr>
          <w:p>
            <w:r>
              <w:rPr>
                <w:sz w:val="16"/>
              </w:rPr>
              <w:t>SERVICES FINANCIER</w:t>
            </w:r>
          </w:p>
        </w:tc>
        <w:tc>
          <w:tcPr>
            <w:tcW w:type="dxa" w:w="1080"/>
            <w:shd w:fill="EBF5FB" w:val="clear"/>
          </w:tcPr>
          <w:p>
            <w:r>
              <w:rPr>
                <w:sz w:val="16"/>
              </w:rPr>
              <w:t>7,700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2,775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8,005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23,495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3,170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8,700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1,665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68</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SHEC</w:t>
            </w:r>
          </w:p>
        </w:tc>
        <w:tc>
          <w:tcPr>
            <w:tcW w:type="dxa" w:w="1080"/>
            <w:shd w:fill="EBF5FB" w:val="clear"/>
          </w:tcPr>
          <w:p>
            <w:r>
              <w:rPr>
                <w:sz w:val="16"/>
              </w:rPr>
              <w:t>ENERGIE</w:t>
            </w:r>
          </w:p>
        </w:tc>
        <w:tc>
          <w:tcPr>
            <w:tcW w:type="dxa" w:w="1080"/>
            <w:shd w:fill="EBF5FB" w:val="clear"/>
          </w:tcPr>
          <w:p>
            <w:r>
              <w:rPr>
                <w:sz w:val="16"/>
              </w:rPr>
              <w:t>2,200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2,430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16,355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2,635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28,700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2,200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10,080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58,000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44</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4,495</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45</w:t>
            </w:r>
          </w:p>
        </w:tc>
        <w:tc>
          <w:tcPr>
            <w:tcW w:type="dxa" w:w="1080"/>
            <w:shd w:fill="FEFEFE" w:val="clear"/>
          </w:tcPr>
          <w:p>
            <w:r>
              <w:rPr>
                <w:sz w:val="16"/>
              </w:rPr>
              <w:t>SDCC</w:t>
            </w:r>
          </w:p>
        </w:tc>
        <w:tc>
          <w:tcPr>
            <w:tcW w:type="dxa" w:w="1080"/>
            <w:shd w:fill="FEFEFE" w:val="clear"/>
          </w:tcPr>
          <w:p>
            <w:r>
              <w:rPr>
                <w:sz w:val="16"/>
              </w:rPr>
              <w:t>SERVICES PUBLICS</w:t>
            </w:r>
          </w:p>
        </w:tc>
        <w:tc>
          <w:tcPr>
            <w:tcW w:type="dxa" w:w="1080"/>
            <w:shd w:fill="FEFEFE" w:val="clear"/>
          </w:tcPr>
          <w:p>
            <w:r>
              <w:rPr>
                <w:sz w:val="16"/>
              </w:rPr>
              <w:t>11,610</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r>
        <w:tc>
          <w:tcPr>
            <w:tcW w:type="dxa" w:w="1080"/>
            <w:shd w:fill="FEFEFE" w:val="clear"/>
          </w:tcPr>
          <w:p>
            <w:r>
              <w:rPr>
                <w:sz w:val="16"/>
              </w:rPr>
              <w:t>46</w:t>
            </w:r>
          </w:p>
        </w:tc>
        <w:tc>
          <w:tcPr>
            <w:tcW w:type="dxa" w:w="1080"/>
            <w:shd w:fill="FEFEFE" w:val="clear"/>
          </w:tcPr>
          <w:p>
            <w:r>
              <w:rPr>
                <w:sz w:val="16"/>
              </w:rPr>
              <w:t>SOGC</w:t>
            </w:r>
          </w:p>
        </w:tc>
        <w:tc>
          <w:tcPr>
            <w:tcW w:type="dxa" w:w="1080"/>
            <w:shd w:fill="FEFEFE" w:val="clear"/>
          </w:tcPr>
          <w:p>
            <w:r>
              <w:rPr>
                <w:sz w:val="16"/>
              </w:rPr>
              <w:t>CONSOMMATION DE BA</w:t>
            </w:r>
          </w:p>
        </w:tc>
        <w:tc>
          <w:tcPr>
            <w:tcW w:type="dxa" w:w="1080"/>
            <w:shd w:fill="FEFEFE" w:val="clear"/>
          </w:tcPr>
          <w:p>
            <w:r>
              <w:rPr>
                <w:sz w:val="16"/>
              </w:rPr>
              <w:t>7,850</w:t>
            </w:r>
          </w:p>
        </w:tc>
        <w:tc>
          <w:tcPr>
            <w:tcW w:type="dxa" w:w="1080"/>
            <w:shd w:fill="FEFEFE" w:val="clear"/>
          </w:tcPr>
          <w:p>
            <w:r>
              <w:rPr>
                <w:b/>
                <w:sz w:val="16"/>
              </w:rPr>
              <w:t>50/100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r>
        <w:tc>
          <w:tcPr>
            <w:tcW w:type="dxa" w:w="1080"/>
            <w:shd w:fill="FEFEFE" w:val="clear"/>
          </w:tcPr>
          <w:p>
            <w:r>
              <w:rPr>
                <w:sz w:val="16"/>
              </w:rPr>
              <w:t>47</w:t>
            </w:r>
          </w:p>
        </w:tc>
        <w:tc>
          <w:tcPr>
            <w:tcW w:type="dxa" w:w="1080"/>
            <w:shd w:fill="FEFEFE" w:val="clear"/>
          </w:tcPr>
          <w:p>
            <w:r>
              <w:rPr>
                <w:sz w:val="16"/>
              </w:rPr>
              <w:t>TTLS</w:t>
            </w:r>
          </w:p>
        </w:tc>
        <w:tc>
          <w:tcPr>
            <w:tcW w:type="dxa" w:w="1080"/>
            <w:shd w:fill="FEFEFE" w:val="clear"/>
          </w:tcPr>
          <w:p>
            <w:r>
              <w:rPr>
                <w:sz w:val="16"/>
              </w:rPr>
              <w:t>ENERGIE</w:t>
            </w:r>
          </w:p>
        </w:tc>
        <w:tc>
          <w:tcPr>
            <w:tcW w:type="dxa" w:w="1080"/>
            <w:shd w:fill="FEFEFE" w:val="clear"/>
          </w:tcPr>
          <w:p>
            <w:r>
              <w:rPr>
                <w:sz w:val="16"/>
              </w:rPr>
              <w:t>3,585</w:t>
            </w:r>
          </w:p>
        </w:tc>
        <w:tc>
          <w:tcPr>
            <w:tcW w:type="dxa" w:w="1080"/>
            <w:shd w:fill="FEFEFE" w:val="clear"/>
          </w:tcPr>
          <w:p>
            <w:r>
              <w:rPr>
                <w:b/>
                <w:sz w:val="16"/>
              </w:rPr>
              <w:t>48/100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16,000</w:t>
            </w:r>
          </w:p>
        </w:tc>
        <w:tc>
          <w:tcPr>
            <w:tcW w:type="dxa" w:w="1728"/>
            <w:shd w:fill="DEEAF1" w:val="clear"/>
          </w:tcPr>
          <w:p>
            <w:r>
              <w:rPr>
                <w:sz w:val="17"/>
              </w:rPr>
              <w:t>77/100</w:t>
            </w:r>
          </w:p>
        </w:tc>
        <w:tc>
          <w:tcPr>
            <w:tcW w:type="dxa" w:w="1728"/>
            <w:shd w:fill="DEEAF1" w:val="clear"/>
          </w:tcPr>
          <w:p>
            <w:r>
              <w:rPr>
                <w:sz w:val="17"/>
              </w:rPr>
              <w:t>10.6%</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12,900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LNBB</w:t>
            </w:r>
          </w:p>
        </w:tc>
        <w:tc>
          <w:tcPr>
            <w:tcW w:type="dxa" w:w="1728"/>
            <w:shd w:fill="DEEAF1" w:val="clear"/>
          </w:tcPr>
          <w:p>
            <w:r>
              <w:rPr>
                <w:sz w:val="17"/>
              </w:rPr>
              <w:t xml:space="preserve">LNBB - LOTERIE NATIONALE DU </w:t>
            </w:r>
          </w:p>
        </w:tc>
        <w:tc>
          <w:tcPr>
            <w:tcW w:type="dxa" w:w="1728"/>
            <w:shd w:fill="DEEAF1" w:val="clear"/>
          </w:tcPr>
          <w:p>
            <w:r>
              <w:rPr>
                <w:sz w:val="17"/>
              </w:rPr>
              <w:t>4,100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2,800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3,060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9,175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SNTS</w:t>
            </w:r>
          </w:p>
        </w:tc>
        <w:tc>
          <w:tcPr>
            <w:tcW w:type="dxa" w:w="1728"/>
            <w:shd w:fill="DEEAF1" w:val="clear"/>
          </w:tcPr>
          <w:p>
            <w:r>
              <w:rPr>
                <w:sz w:val="17"/>
              </w:rPr>
              <w:t>SNTS - SONATEL SN</w:t>
            </w:r>
          </w:p>
        </w:tc>
        <w:tc>
          <w:tcPr>
            <w:tcW w:type="dxa" w:w="1728"/>
            <w:shd w:fill="DEEAF1" w:val="clear"/>
          </w:tcPr>
          <w:p>
            <w:r>
              <w:rPr>
                <w:sz w:val="17"/>
              </w:rPr>
              <w:t>31,900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3,150</w:t>
            </w:r>
          </w:p>
        </w:tc>
        <w:tc>
          <w:tcPr>
            <w:tcW w:type="dxa" w:w="1728"/>
            <w:shd w:fill="DEEAF1" w:val="clear"/>
          </w:tcPr>
          <w:p>
            <w:r>
              <w:rPr>
                <w:sz w:val="17"/>
              </w:rPr>
              <w:t>73/100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16,000</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12,900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2,000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BOAN</w:t>
            </w:r>
          </w:p>
        </w:tc>
        <w:tc>
          <w:tcPr>
            <w:tcW w:type="dxa" w:w="1728"/>
            <w:shd w:fill="E2EFDA" w:val="clear"/>
          </w:tcPr>
          <w:p>
            <w:r>
              <w:rPr>
                <w:sz w:val="17"/>
              </w:rPr>
              <w:t>BANK OF AFRICA NIGER</w:t>
            </w:r>
          </w:p>
        </w:tc>
        <w:tc>
          <w:tcPr>
            <w:tcW w:type="dxa" w:w="1728"/>
            <w:shd w:fill="E2EFDA" w:val="clear"/>
          </w:tcPr>
          <w:p>
            <w:r>
              <w:rPr>
                <w:sz w:val="17"/>
              </w:rPr>
              <w:t>5,120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LNBB</w:t>
            </w:r>
          </w:p>
        </w:tc>
        <w:tc>
          <w:tcPr>
            <w:tcW w:type="dxa" w:w="1728"/>
            <w:shd w:fill="E2EFDA" w:val="clear"/>
          </w:tcPr>
          <w:p>
            <w:r>
              <w:rPr>
                <w:sz w:val="17"/>
              </w:rPr>
              <w:t xml:space="preserve">LNBB - LOTERIE NATIONALE DU </w:t>
            </w:r>
          </w:p>
        </w:tc>
        <w:tc>
          <w:tcPr>
            <w:tcW w:type="dxa" w:w="1728"/>
            <w:shd w:fill="E2EFDA" w:val="clear"/>
          </w:tcPr>
          <w:p>
            <w:r>
              <w:rPr>
                <w:sz w:val="17"/>
              </w:rPr>
              <w:t>4,100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2,800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ORGT</w:t>
            </w:r>
          </w:p>
        </w:tc>
        <w:tc>
          <w:tcPr>
            <w:tcW w:type="dxa" w:w="1728"/>
            <w:shd w:fill="E2EFDA" w:val="clear"/>
          </w:tcPr>
          <w:p>
            <w:r>
              <w:rPr>
                <w:sz w:val="17"/>
              </w:rPr>
              <w:t>ORGT - ORAGROUP TOGO</w:t>
            </w:r>
          </w:p>
        </w:tc>
        <w:tc>
          <w:tcPr>
            <w:tcW w:type="dxa" w:w="1728"/>
            <w:shd w:fill="E2EFDA" w:val="clear"/>
          </w:tcPr>
          <w:p>
            <w:r>
              <w:rPr>
                <w:sz w:val="17"/>
              </w:rPr>
              <w:t>3,060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9,175</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16,000</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12,900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2,000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BOAN</w:t>
            </w:r>
          </w:p>
        </w:tc>
        <w:tc>
          <w:tcPr>
            <w:tcW w:type="dxa" w:w="1728"/>
            <w:shd w:fill="FCE4D6" w:val="clear"/>
          </w:tcPr>
          <w:p>
            <w:r>
              <w:rPr>
                <w:sz w:val="17"/>
              </w:rPr>
              <w:t>BANK OF AFRICA NIGER</w:t>
            </w:r>
          </w:p>
        </w:tc>
        <w:tc>
          <w:tcPr>
            <w:tcW w:type="dxa" w:w="1728"/>
            <w:shd w:fill="FCE4D6" w:val="clear"/>
          </w:tcPr>
          <w:p>
            <w:r>
              <w:rPr>
                <w:sz w:val="17"/>
              </w:rPr>
              <w:t>5,120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LNBB</w:t>
            </w:r>
          </w:p>
        </w:tc>
        <w:tc>
          <w:tcPr>
            <w:tcW w:type="dxa" w:w="1728"/>
            <w:shd w:fill="FCE4D6" w:val="clear"/>
          </w:tcPr>
          <w:p>
            <w:r>
              <w:rPr>
                <w:sz w:val="17"/>
              </w:rPr>
              <w:t xml:space="preserve">LNBB - LOTERIE NATIONALE DU </w:t>
            </w:r>
          </w:p>
        </w:tc>
        <w:tc>
          <w:tcPr>
            <w:tcW w:type="dxa" w:w="1728"/>
            <w:shd w:fill="FCE4D6" w:val="clear"/>
          </w:tcPr>
          <w:p>
            <w:r>
              <w:rPr>
                <w:sz w:val="17"/>
              </w:rPr>
              <w:t>4,100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2,800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ORGT</w:t>
            </w:r>
          </w:p>
        </w:tc>
        <w:tc>
          <w:tcPr>
            <w:tcW w:type="dxa" w:w="1728"/>
            <w:shd w:fill="FCE4D6" w:val="clear"/>
          </w:tcPr>
          <w:p>
            <w:r>
              <w:rPr>
                <w:sz w:val="17"/>
              </w:rPr>
              <w:t>ORGT - ORAGROUP TOGO</w:t>
            </w:r>
          </w:p>
        </w:tc>
        <w:tc>
          <w:tcPr>
            <w:tcW w:type="dxa" w:w="1728"/>
            <w:shd w:fill="FCE4D6" w:val="clear"/>
          </w:tcPr>
          <w:p>
            <w:r>
              <w:rPr>
                <w:sz w:val="17"/>
              </w:rPr>
              <w:t>3,060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9,175</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BOAM — BANK OF AFRICA MALI</w:t>
      </w:r>
    </w:p>
    <w:p>
      <w:pPr>
        <w:pStyle w:val="ListBullet"/>
        <w:spacing w:before="20"/>
        <w:ind w:left="400"/>
      </w:pPr>
      <w:r>
        <w:rPr>
          <w:sz w:val="18"/>
        </w:rPr>
        <w:t>🔴 RSI surachat (72.2 &gt; 70) — risque de correction</w:t>
      </w:r>
    </w:p>
    <w:p>
      <w:pPr>
        <w:pStyle w:val="ListBullet"/>
        <w:spacing w:before="20"/>
        <w:ind w:left="400"/>
      </w:pPr>
      <w:r>
        <w:rPr>
          <w:sz w:val="18"/>
        </w:rPr>
        <w:t>⚠️ Cours à 0.0% du plus haut 100j (6,150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(89.2 &gt; 70) — risque de correction</w:t>
      </w:r>
    </w:p>
    <w:p>
      <w:pPr>
        <w:pStyle w:val="ListBullet"/>
        <w:spacing w:before="20"/>
        <w:ind w:left="400"/>
      </w:pPr>
      <w:r>
        <w:rPr>
          <w:sz w:val="18"/>
        </w:rPr>
        <w:t>⚠️ Cours à 0.0% du plus haut 100j (18,000 FCFA)</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RSI surachat (93.2 &gt; 70) — risque de correction</w:t>
      </w:r>
    </w:p>
    <w:p>
      <w:pPr>
        <w:pStyle w:val="ListBullet"/>
        <w:spacing w:before="20"/>
        <w:ind w:left="400"/>
      </w:pPr>
      <w:r>
        <w:rPr>
          <w:sz w:val="18"/>
        </w:rPr>
        <w:t>⚠️ Cours à 0.0% du plus haut 100j (10,080 FCFA)</w:t>
      </w:r>
    </w:p>
    <w:p>
      <w:pPr>
        <w:pStyle w:val="ListBullet"/>
        <w:spacing w:before="20"/>
        <w:ind w:left="400"/>
      </w:pPr>
      <w:r>
        <w:rPr>
          <w:sz w:val="18"/>
        </w:rPr>
        <w:t>🟠 Divergence tech(VENTE) / fond(ACHAT) — recommandation ajustée à ACHAT</w:t>
      </w:r>
    </w:p>
    <w:p>
      <w:pPr>
        <w:spacing w:before="120"/>
      </w:pPr>
      <w:r>
        <w:rPr>
          <w:b/>
          <w:color w:val="0050A0"/>
          <w:sz w:val="20"/>
        </w:rPr>
        <w:t>BICB — BIIC BN - Banque internationale pour le commerce du benin</w:t>
      </w:r>
    </w:p>
    <w:p>
      <w:pPr>
        <w:pStyle w:val="ListBullet"/>
        <w:spacing w:before="20"/>
        <w:ind w:left="400"/>
      </w:pPr>
      <w:r>
        <w:rPr>
          <w:sz w:val="18"/>
        </w:rPr>
        <w:t>🔴 RSI surachat (71.1 &gt; 70) — risque de correction</w:t>
      </w:r>
    </w:p>
    <w:p>
      <w:pPr>
        <w:pStyle w:val="ListBullet"/>
        <w:spacing w:before="20"/>
        <w:ind w:left="400"/>
      </w:pPr>
      <w:r>
        <w:rPr>
          <w:sz w:val="18"/>
        </w:rPr>
        <w:t>⚠️ Cours à 0.0% du plus haut 100j (8,500 FCFA)</w:t>
      </w:r>
    </w:p>
    <w:p>
      <w:pPr>
        <w:spacing w:before="120"/>
      </w:pPr>
      <w:r>
        <w:rPr>
          <w:b/>
          <w:color w:val="0050A0"/>
          <w:sz w:val="20"/>
        </w:rPr>
        <w:t>BOAC — BANK OF AFRICA COTE D'IVOIRE</w:t>
      </w:r>
    </w:p>
    <w:p>
      <w:pPr>
        <w:pStyle w:val="ListBullet"/>
        <w:spacing w:before="20"/>
        <w:ind w:left="400"/>
      </w:pPr>
      <w:r>
        <w:rPr>
          <w:sz w:val="18"/>
        </w:rPr>
        <w:t>🔴 RSI surachat (88.7 &gt; 70) — risque de correction</w:t>
      </w:r>
    </w:p>
    <w:p>
      <w:pPr>
        <w:pStyle w:val="ListBullet"/>
        <w:spacing w:before="20"/>
        <w:ind w:left="400"/>
      </w:pPr>
      <w:r>
        <w:rPr>
          <w:sz w:val="18"/>
        </w:rPr>
        <w:t>⚠️ Cours à 0.0% du plus haut 100j (12,900 FCFA)</w:t>
      </w:r>
    </w:p>
    <w:p>
      <w:pPr>
        <w:spacing w:before="120"/>
      </w:pPr>
      <w:r>
        <w:rPr>
          <w:b/>
          <w:color w:val="0050A0"/>
          <w:sz w:val="20"/>
        </w:rPr>
        <w:t>CBIBF — CBIBF - CORIS BANK INTERNATIONAL BURKINA FASO</w:t>
      </w:r>
    </w:p>
    <w:p>
      <w:pPr>
        <w:pStyle w:val="ListBullet"/>
        <w:spacing w:before="20"/>
        <w:ind w:left="400"/>
      </w:pPr>
      <w:r>
        <w:rPr>
          <w:sz w:val="18"/>
        </w:rPr>
        <w:t>🔴 RSI surachat (76.0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RSI surachat (85.0 &gt; 70) — risque de correction</w:t>
      </w:r>
    </w:p>
    <w:p>
      <w:pPr>
        <w:pStyle w:val="ListBullet"/>
        <w:spacing w:before="20"/>
        <w:ind w:left="400"/>
      </w:pPr>
      <w:r>
        <w:rPr>
          <w:sz w:val="18"/>
        </w:rPr>
        <w:t>⚠️ Cours à 0.0% du plus haut 100j (17,450 FCFA)</w:t>
      </w:r>
    </w:p>
    <w:p>
      <w:pPr>
        <w:spacing w:before="120"/>
      </w:pPr>
      <w:r>
        <w:rPr>
          <w:b/>
          <w:color w:val="0050A0"/>
          <w:sz w:val="20"/>
        </w:rPr>
        <w:t>SDSC — SDSC - AFRICA GLOBAL LOGISTICS CI</w:t>
      </w:r>
    </w:p>
    <w:p>
      <w:pPr>
        <w:pStyle w:val="ListBullet"/>
        <w:spacing w:before="20"/>
        <w:ind w:left="400"/>
      </w:pPr>
      <w:r>
        <w:rPr>
          <w:sz w:val="18"/>
        </w:rPr>
        <w:t>⚠️ Cours à 1.6% du plus haut 100j (2,820 FCFA)</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0.5% du plus haut 100j (39,200 FCFA)</w:t>
      </w:r>
    </w:p>
    <w:p>
      <w:pPr>
        <w:pStyle w:val="ListBullet"/>
        <w:spacing w:before="20"/>
        <w:ind w:left="400"/>
      </w:pPr>
      <w:r>
        <w:rPr>
          <w:sz w:val="18"/>
        </w:rPr>
        <w:t>🟠 Divergence tech(VENTE) / fond(ACHAT) — recommandation ajustée à ACHAT FORT</w:t>
      </w:r>
    </w:p>
    <w:p>
      <w:pPr>
        <w:spacing w:before="120"/>
      </w:pPr>
      <w:r>
        <w:rPr>
          <w:b/>
          <w:color w:val="0050A0"/>
          <w:sz w:val="20"/>
        </w:rPr>
        <w:t>ABJC — ABJC - SERVAIR ABIDJAN CI</w:t>
      </w:r>
    </w:p>
    <w:p>
      <w:pPr>
        <w:pStyle w:val="ListBullet"/>
        <w:spacing w:before="20"/>
        <w:ind w:left="400"/>
      </w:pPr>
      <w:r>
        <w:rPr>
          <w:sz w:val="18"/>
        </w:rPr>
        <w:t>🟠 Divergence tech(VENTE) / fond(ACHAT) — recommandation ajustée à ACHAT</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2.8% du plus haut 100j (29,490 FCFA)</w:t>
      </w:r>
    </w:p>
    <w:p>
      <w:pPr>
        <w:spacing w:before="120"/>
      </w:pPr>
      <w:r>
        <w:rPr>
          <w:b/>
          <w:color w:val="0050A0"/>
          <w:sz w:val="20"/>
        </w:rPr>
        <w:t>BOAB — BANK OF AFRICA BENIN</w:t>
      </w:r>
    </w:p>
    <w:p>
      <w:pPr>
        <w:pStyle w:val="ListBullet"/>
        <w:spacing w:before="20"/>
        <w:ind w:left="400"/>
      </w:pPr>
      <w:r>
        <w:rPr>
          <w:sz w:val="18"/>
        </w:rPr>
        <w:t>🟠 Divergence tech(VENTE) / fond(ACHAT) — recommandation ajustée à ACHAT</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 FORT</w:t>
      </w:r>
    </w:p>
    <w:p>
      <w:pPr>
        <w:spacing w:before="120"/>
      </w:pPr>
      <w:r>
        <w:rPr>
          <w:b/>
          <w:color w:val="0050A0"/>
          <w:sz w:val="20"/>
        </w:rPr>
        <w:t>CIEC — CIEC - Compagnie Ivoirienne d'Electricité</w:t>
      </w:r>
    </w:p>
    <w:p>
      <w:pPr>
        <w:pStyle w:val="ListBullet"/>
        <w:spacing w:before="20"/>
        <w:ind w:left="400"/>
      </w:pPr>
      <w:r>
        <w:rPr>
          <w:sz w:val="18"/>
        </w:rPr>
        <w:t>⚠️ Cours à 0.0% du plus haut 100j (5,515 FCFA)</w:t>
      </w:r>
    </w:p>
    <w:p>
      <w:pPr>
        <w:spacing w:before="120"/>
      </w:pPr>
      <w:r>
        <w:rPr>
          <w:b/>
          <w:color w:val="0050A0"/>
          <w:sz w:val="20"/>
        </w:rPr>
        <w:t>FTSC — FTSC - FILTISAC COTE D'IVOIRE</w:t>
      </w:r>
    </w:p>
    <w:p>
      <w:pPr>
        <w:pStyle w:val="ListBullet"/>
        <w:spacing w:before="20"/>
        <w:ind w:left="400"/>
      </w:pPr>
      <w:r>
        <w:rPr>
          <w:sz w:val="18"/>
        </w:rPr>
        <w:t>🟠 Divergence tech(VENTE) / fond(ACHAT) — recommandation ajustée à ACHAT FORT</w:t>
      </w:r>
    </w:p>
    <w:p>
      <w:pPr>
        <w:spacing w:before="120"/>
      </w:pPr>
      <w:r>
        <w:rPr>
          <w:b/>
          <w:color w:val="0050A0"/>
          <w:sz w:val="20"/>
        </w:rPr>
        <w:t>ORGT — ORGT - ORAGROUP TOGO</w:t>
      </w:r>
    </w:p>
    <w:p>
      <w:pPr>
        <w:pStyle w:val="ListBullet"/>
        <w:spacing w:before="20"/>
        <w:ind w:left="400"/>
      </w:pPr>
      <w:r>
        <w:rPr>
          <w:sz w:val="18"/>
        </w:rPr>
        <w:t>🔴 RSI surachat (82.1 &gt; 70) — risque de correction</w:t>
      </w:r>
    </w:p>
    <w:p>
      <w:pPr>
        <w:spacing w:before="120"/>
      </w:pPr>
      <w:r>
        <w:rPr>
          <w:b/>
          <w:color w:val="0050A0"/>
          <w:sz w:val="20"/>
        </w:rPr>
        <w:t>SDCC — SDCC - Société de Distribution d'Eau de Côte d'Ivoire</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Cours à 1.8% du plus haut 100j (32,500 FCFA)</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Cours à 0.0% du plus haut 100j (3,150 FCFA)</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 FORT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21 société(s) (45%)</w:t>
            </w:r>
          </w:p>
        </w:tc>
        <w:tc>
          <w:tcPr>
            <w:tcW w:type="dxa" w:w="1644"/>
            <w:shd w:fill="FFEB9C" w:val="clear"/>
          </w:tcPr>
          <w:p>
            <w:r>
              <w:rPr>
                <w:b/>
                <w:color w:val="825A00"/>
                <w:sz w:val="19"/>
              </w:rPr>
              <w:t>26 société(s) (55%)</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21.5/100</w:t>
            </w:r>
          </w:p>
        </w:tc>
        <w:tc>
          <w:tcPr>
            <w:tcW w:type="dxa" w:w="1644"/>
            <w:shd w:fill="DEEAF1" w:val="clear"/>
          </w:tcPr>
          <w:p>
            <w:r>
              <w:rPr>
                <w:b/>
                <w:color w:val="000000"/>
                <w:sz w:val="19"/>
              </w:rPr>
              <w:t>20.3/100</w:t>
            </w:r>
          </w:p>
        </w:tc>
      </w:tr>
    </w:tbl>
    <w:p/>
    <w:p>
      <w:r>
        <w:rPr>
          <w:i/>
          <w:color w:val="006400"/>
          <w:sz w:val="18"/>
        </w:rPr>
        <w:t>✅ Le marché BRVM présente globalement un profil de risque FAIBLE (score moyen 21.5/100).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35.6/100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UNLC</w:t>
            </w:r>
          </w:p>
        </w:tc>
        <w:tc>
          <w:tcPr>
            <w:tcW w:type="dxa" w:w="2268"/>
            <w:shd w:fill="FFFFFF" w:val="clear"/>
          </w:tcPr>
          <w:p>
            <w:r>
              <w:rPr>
                <w:sz w:val="16"/>
              </w:rPr>
              <w:t>UNLC - UNILEVER COTE D'IVOIR…</w:t>
            </w:r>
          </w:p>
        </w:tc>
        <w:tc>
          <w:tcPr>
            <w:tcW w:type="dxa" w:w="1701"/>
            <w:shd w:fill="FFFFFF" w:val="clear"/>
          </w:tcPr>
          <w:p>
            <w:r>
              <w:rPr>
                <w:sz w:val="16"/>
              </w:rPr>
              <w:t>CONSOMMATION DE BA</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Liquidité très faible</w:t>
            </w:r>
          </w:p>
        </w:tc>
      </w:tr>
      <w:tr>
        <w:tc>
          <w:tcPr>
            <w:tcW w:type="dxa" w:w="567"/>
            <w:shd w:fill="FFFFFF" w:val="clear"/>
          </w:tcPr>
          <w:p>
            <w:r>
              <w:rPr>
                <w:b/>
                <w:sz w:val="16"/>
              </w:rPr>
              <w:t>#4</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31.9/100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SICC (35.6/100 — Moyen) : </w:t>
      </w:r>
      <w:r>
        <w:rPr>
          <w:sz w:val="17"/>
        </w:rPr>
        <w:t>Volatilité=Élevée | Bêta=Défensif | Liquidité=Très faible | Divergence signaux=taux divergence=40% (Très divergent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UNLC (32.8/100 — Moyen) : </w:t>
      </w:r>
      <w:r>
        <w:rPr>
          <w:sz w:val="17"/>
        </w:rPr>
        <w:t>Volatilité=Moyenne | Bêta=Très agressif | Liquidité=Très faible | Divergence signaux=taux divergence=20% (Mixte ⚠️) | Stabilité=Modérée</w:t>
      </w:r>
    </w:p>
    <w:p>
      <w:pPr>
        <w:pStyle w:val="ListBullet"/>
      </w:pPr>
      <w:r>
        <w:rPr>
          <w:b/>
          <w:color w:val="B40000"/>
          <w:sz w:val="18"/>
        </w:rPr>
        <w:t xml:space="preserve">#4 SAFC (31.9/100 — Moyen) : </w:t>
      </w:r>
      <w:r>
        <w:rPr>
          <w:sz w:val="17"/>
        </w:rPr>
        <w:t>Volatilité=Élevée | Bêta=Défensif | Liquidité=Bonne | Divergence signaux=taux divergence=40% (Très divergent ❌) | Stabilité=Instable</w:t>
      </w:r>
    </w:p>
    <w:p>
      <w:pPr>
        <w:pStyle w:val="ListBullet"/>
      </w:pPr>
      <w:r>
        <w:rPr>
          <w:b/>
          <w:color w:val="B40000"/>
          <w:sz w:val="18"/>
        </w:rPr>
        <w:t xml:space="preserve">#5 NSBC (31.3/100 — Moyen) : </w:t>
      </w:r>
      <w:r>
        <w:rPr>
          <w:sz w:val="17"/>
        </w:rPr>
        <w:t>Volatilité=Élevée | Bêta=Agressif | Liquidité=Bonne | Divergence signaux=taux divergence=20% (Mixte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15.5/100</w:t>
            </w:r>
          </w:p>
        </w:tc>
        <w:tc>
          <w:tcPr>
            <w:tcW w:type="dxa" w:w="1134"/>
            <w:shd w:fill="C6EFCE" w:val="clear"/>
          </w:tcPr>
          <w:p>
            <w:r>
              <w:rPr>
                <w:sz w:val="16"/>
              </w:rPr>
              <w:t>Faible</w:t>
            </w:r>
          </w:p>
        </w:tc>
        <w:tc>
          <w:tcPr>
            <w:tcW w:type="dxa" w:w="2381"/>
            <w:shd w:fill="FFFFFF" w:val="clear"/>
          </w:tcPr>
          <w:p>
            <w:r>
              <w:rPr>
                <w:sz w:val="16"/>
              </w:rPr>
              <w:t>📐 Bêta défensif</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35.6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31.9</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Instable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28.8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27.5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FFEB9C" w:val="clear"/>
          </w:tcPr>
          <w:p>
            <w:r>
              <w:rPr>
                <w:b/>
                <w:color w:val="825A00"/>
                <w:sz w:val="15"/>
              </w:rPr>
              <w:t>22.0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21.6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17.1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16.1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-11.22%  |  Médiane : -8.36%</w:t>
            </w:r>
          </w:p>
        </w:tc>
      </w:tr>
      <w:tr>
        <w:tc>
          <w:tcPr>
            <w:tcW w:type="dxa" w:w="2835"/>
            <w:shd w:fill="DEEAF1" w:val="clear"/>
          </w:tcPr>
          <w:p>
            <w:r>
              <w:rPr>
                <w:b/>
                <w:sz w:val="18"/>
              </w:rPr>
              <w:t>Répartition</w:t>
            </w:r>
          </w:p>
        </w:tc>
        <w:tc>
          <w:tcPr>
            <w:tcW w:type="dxa" w:w="7370"/>
          </w:tcPr>
          <w:p>
            <w:r>
              <w:rPr>
                <w:b/>
                <w:sz w:val="18"/>
              </w:rPr>
              <w:t>📈 6 sociétés en hausse (&gt;+1%)   📉 37 en baisse (&lt;-1%)   ➡️ 4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37 sociétés sur 47 sont orientées à la baisse avec une variation moyenne de -11.22%.</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3,500 FCFA</w:t>
            </w:r>
          </w:p>
        </w:tc>
        <w:tc>
          <w:tcPr>
            <w:tcW w:type="dxa" w:w="1417"/>
            <w:shd w:fill="FFFFFF" w:val="clear"/>
          </w:tcPr>
          <w:p>
            <w:r>
              <w:rPr>
                <w:sz w:val="16"/>
              </w:rPr>
              <w:t>6,108 FCFA</w:t>
            </w:r>
          </w:p>
        </w:tc>
        <w:tc>
          <w:tcPr>
            <w:tcW w:type="dxa" w:w="1134"/>
            <w:shd w:fill="C6EFCE" w:val="clear"/>
          </w:tcPr>
          <w:p>
            <w:r>
              <w:rPr>
                <w:b/>
                <w:color w:val="007800"/>
                <w:sz w:val="16"/>
              </w:rPr>
              <w:t>+74.50%</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23,015 FCFA</w:t>
            </w:r>
          </w:p>
        </w:tc>
        <w:tc>
          <w:tcPr>
            <w:tcW w:type="dxa" w:w="1417"/>
            <w:shd w:fill="FFFFFF" w:val="clear"/>
          </w:tcPr>
          <w:p>
            <w:r>
              <w:rPr>
                <w:sz w:val="16"/>
              </w:rPr>
              <w:t>27,211 FCFA</w:t>
            </w:r>
          </w:p>
        </w:tc>
        <w:tc>
          <w:tcPr>
            <w:tcW w:type="dxa" w:w="1134"/>
            <w:shd w:fill="C6EFCE" w:val="clear"/>
          </w:tcPr>
          <w:p>
            <w:r>
              <w:rPr>
                <w:b/>
                <w:color w:val="007800"/>
                <w:sz w:val="16"/>
              </w:rPr>
              <w:t>+18.23%</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58,000 FCFA</w:t>
            </w:r>
          </w:p>
        </w:tc>
        <w:tc>
          <w:tcPr>
            <w:tcW w:type="dxa" w:w="1417"/>
            <w:shd w:fill="FFFFFF" w:val="clear"/>
          </w:tcPr>
          <w:p>
            <w:r>
              <w:rPr>
                <w:sz w:val="16"/>
              </w:rPr>
              <w:t>64,649 FCFA</w:t>
            </w:r>
          </w:p>
        </w:tc>
        <w:tc>
          <w:tcPr>
            <w:tcW w:type="dxa" w:w="1134"/>
            <w:shd w:fill="C6EFCE" w:val="clear"/>
          </w:tcPr>
          <w:p>
            <w:r>
              <w:rPr>
                <w:b/>
                <w:color w:val="007800"/>
                <w:sz w:val="16"/>
              </w:rPr>
              <w:t>+11.46%</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23,495 FCFA</w:t>
            </w:r>
          </w:p>
        </w:tc>
        <w:tc>
          <w:tcPr>
            <w:tcW w:type="dxa" w:w="1417"/>
            <w:shd w:fill="FFFFFF" w:val="clear"/>
          </w:tcPr>
          <w:p>
            <w:r>
              <w:rPr>
                <w:sz w:val="16"/>
              </w:rPr>
              <w:t>25,512 FCFA</w:t>
            </w:r>
          </w:p>
        </w:tc>
        <w:tc>
          <w:tcPr>
            <w:tcW w:type="dxa" w:w="1134"/>
            <w:shd w:fill="C6EFCE" w:val="clear"/>
          </w:tcPr>
          <w:p>
            <w:r>
              <w:rPr>
                <w:b/>
                <w:color w:val="007800"/>
                <w:sz w:val="16"/>
              </w:rPr>
              <w:t>+8.59%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2,190 FCFA</w:t>
            </w:r>
          </w:p>
        </w:tc>
        <w:tc>
          <w:tcPr>
            <w:tcW w:type="dxa" w:w="1417"/>
            <w:shd w:fill="FFFFFF" w:val="clear"/>
          </w:tcPr>
          <w:p>
            <w:r>
              <w:rPr>
                <w:sz w:val="16"/>
              </w:rPr>
              <w:t>2,282 FCFA</w:t>
            </w:r>
          </w:p>
        </w:tc>
        <w:tc>
          <w:tcPr>
            <w:tcW w:type="dxa" w:w="1134"/>
            <w:shd w:fill="C6EFCE" w:val="clear"/>
          </w:tcPr>
          <w:p>
            <w:r>
              <w:rPr>
                <w:b/>
                <w:color w:val="007800"/>
                <w:sz w:val="16"/>
              </w:rPr>
              <w:t>+4.21%</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(+74.5%) — signal potentiellement excessif, à croiser avec l'analyse technique. Trajectoire : 📈 Hausse continue. Cours actuel : 3,500 FCFA → prédit J+10 : 6,108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(+18.2%) — potentiel de revalorisation notable. Trajectoire : 📈 Hausse continue. Cours actuel : 23,015 FCFA → prédit J+10 : 27,211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(+11.5%) — potentiel de revalorisation notable. Trajectoire : 📈 Hausse continue. Cours actuel : 58,000 FCFA → prédit J+10 : 64,649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modérée (+8.6%) — signal raisonnable et crédible. Trajectoire : 📈 Hausse continue. Cours actuel : 23,495 FCFA → prédit J+10 : 25,512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(+4.2%) — progression graduelle attendue. Trajectoire : 📈 Hausse continue. Cours actuel : 2,190 FCFA → prédit J+10 : 2,282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68 FCFA</w:t>
            </w:r>
          </w:p>
        </w:tc>
        <w:tc>
          <w:tcPr>
            <w:tcW w:type="dxa" w:w="1417"/>
            <w:shd w:fill="FFFFFF" w:val="clear"/>
          </w:tcPr>
          <w:p>
            <w:r>
              <w:rPr>
                <w:sz w:val="16"/>
              </w:rPr>
              <w:t>31 FCFA</w:t>
            </w:r>
          </w:p>
        </w:tc>
        <w:tc>
          <w:tcPr>
            <w:tcW w:type="dxa" w:w="1134"/>
            <w:shd w:fill="FFC7CE" w:val="clear"/>
          </w:tcPr>
          <w:p>
            <w:r>
              <w:rPr>
                <w:b/>
                <w:color w:val="B40000"/>
                <w:sz w:val="16"/>
              </w:rPr>
              <w:t>-54.15%</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3,660 FCFA</w:t>
            </w:r>
          </w:p>
        </w:tc>
        <w:tc>
          <w:tcPr>
            <w:tcW w:type="dxa" w:w="1417"/>
            <w:shd w:fill="FFFFFF" w:val="clear"/>
          </w:tcPr>
          <w:p>
            <w:r>
              <w:rPr>
                <w:sz w:val="16"/>
              </w:rPr>
              <w:t>1,678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5,840 FCFA</w:t>
            </w:r>
          </w:p>
        </w:tc>
        <w:tc>
          <w:tcPr>
            <w:tcW w:type="dxa" w:w="1417"/>
            <w:shd w:fill="FFFFFF" w:val="clear"/>
          </w:tcPr>
          <w:p>
            <w:r>
              <w:rPr>
                <w:sz w:val="16"/>
              </w:rPr>
              <w:t>2,678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5,515 FCFA</w:t>
            </w:r>
          </w:p>
        </w:tc>
        <w:tc>
          <w:tcPr>
            <w:tcW w:type="dxa" w:w="1417"/>
            <w:shd w:fill="FFFFFF" w:val="clear"/>
          </w:tcPr>
          <w:p>
            <w:r>
              <w:rPr>
                <w:sz w:val="16"/>
              </w:rPr>
              <w:t>3,206 FCFA</w:t>
            </w:r>
          </w:p>
        </w:tc>
        <w:tc>
          <w:tcPr>
            <w:tcW w:type="dxa" w:w="1134"/>
            <w:shd w:fill="FFC7CE" w:val="clear"/>
          </w:tcPr>
          <w:p>
            <w:r>
              <w:rPr>
                <w:b/>
                <w:color w:val="B40000"/>
                <w:sz w:val="16"/>
              </w:rPr>
              <w:t>-41.88%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28,700 FCFA</w:t>
            </w:r>
          </w:p>
        </w:tc>
        <w:tc>
          <w:tcPr>
            <w:tcW w:type="dxa" w:w="1417"/>
            <w:shd w:fill="FFFFFF" w:val="clear"/>
          </w:tcPr>
          <w:p>
            <w:r>
              <w:rPr>
                <w:sz w:val="16"/>
              </w:rPr>
              <w:t>17,396 FCFA</w:t>
            </w:r>
          </w:p>
        </w:tc>
        <w:tc>
          <w:tcPr>
            <w:tcW w:type="dxa" w:w="1134"/>
            <w:shd w:fill="FFC7CE" w:val="clear"/>
          </w:tcPr>
          <w:p>
            <w:r>
              <w:rPr>
                <w:b/>
                <w:color w:val="B40000"/>
                <w:sz w:val="16"/>
              </w:rPr>
              <w:t>-39.39%</w:t>
            </w:r>
          </w:p>
        </w:tc>
        <w:tc>
          <w:tcPr>
            <w:tcW w:type="dxa" w:w="1020"/>
            <w:shd w:fill="FFC7CE" w:val="clear"/>
          </w:tcPr>
          <w:p>
            <w:r>
              <w:rPr>
                <w:sz w:val="16"/>
              </w:rPr>
              <w:t>Faible</w:t>
            </w:r>
          </w:p>
        </w:tc>
      </w:tr>
    </w:tbl>
    <w:p/>
    <w:p>
      <w:pPr>
        <w:pStyle w:val="ListBullet"/>
      </w:pPr>
      <w:r>
        <w:rPr>
          <w:b/>
          <w:color w:val="B40000"/>
          <w:sz w:val="18"/>
        </w:rPr>
        <w:t xml:space="preserve">#1 ETIT </w:t>
      </w:r>
      <w:r>
        <w:rPr>
          <w:sz w:val="17"/>
        </w:rPr>
        <w:t>(ETIT - Ecobank Transnational Incorporate) — baisse très forte (-54.1%) — amplitude potentiellement surestimée par le modèle. Trajectoire : 📉 Baisse continue. Cours actuel : 68 FCFA → prédit J+10 : 31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3,660 FCFA → prédit J+10 : 1,678 FCFA. ⚠️ Confiance limitée — volatilité élevée. Ne pas agir sur ce seul signal.</w:t>
      </w:r>
    </w:p>
    <w:p>
      <w:pPr>
        <w:pStyle w:val="ListBullet"/>
      </w:pPr>
      <w:r>
        <w:rPr>
          <w:b/>
          <w:color w:val="B40000"/>
          <w:sz w:val="18"/>
        </w:rPr>
        <w:t xml:space="preserve">#3 SAFC </w:t>
      </w:r>
      <w:r>
        <w:rPr>
          <w:sz w:val="17"/>
        </w:rPr>
        <w:t>(SAFCA CI) — baisse très forte (-54.1%) — amplitude potentiellement surestimée par le modèle. Trajectoire : 📉 Baisse continue. Cours actuel : 5,840 FCFA → prédit J+10 : 2,678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(-41.9%) — amplitude potentiellement surestimée par le modèle. Trajectoire : 📉 Baisse continue. Cours actuel : 5,515 FCFA → prédit J+10 : 3,206 FCFA. ⚠️ Confiance limitée — volatilité élevée. Ne pas agir sur ce seul signal.</w:t>
      </w:r>
    </w:p>
    <w:p>
      <w:pPr>
        <w:pStyle w:val="ListBullet"/>
      </w:pPr>
      <w:r>
        <w:rPr>
          <w:b/>
          <w:color w:val="B40000"/>
          <w:sz w:val="18"/>
        </w:rPr>
        <w:t xml:space="preserve">#5 CBIBF </w:t>
      </w:r>
      <w:r>
        <w:rPr>
          <w:sz w:val="17"/>
        </w:rPr>
        <w:t>(CBIBF - CORIS BANK INTERNATIONAL BURKINA) — baisse très forte (-39.4%) — amplitude potentiellement surestimée par le modèle. Trajectoire : 📉 Baisse continue. Cours actuel : 28,700 FCFA → prédit J+10 : 17,396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3,500</w:t>
            </w:r>
          </w:p>
        </w:tc>
        <w:tc>
          <w:tcPr>
            <w:tcW w:type="dxa" w:w="1417"/>
            <w:shd w:fill="FFFFFF" w:val="clear"/>
          </w:tcPr>
          <w:p>
            <w:r>
              <w:rPr>
                <w:sz w:val="16"/>
              </w:rPr>
              <w:t>6,108</w:t>
            </w:r>
          </w:p>
        </w:tc>
        <w:tc>
          <w:tcPr>
            <w:tcW w:type="dxa" w:w="1134"/>
            <w:shd w:fill="C6EFCE" w:val="clear"/>
          </w:tcPr>
          <w:p>
            <w:r>
              <w:rPr>
                <w:b/>
                <w:color w:val="007800"/>
                <w:sz w:val="16"/>
              </w:rPr>
              <w:t>+74.50%</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23,015</w:t>
            </w:r>
          </w:p>
        </w:tc>
        <w:tc>
          <w:tcPr>
            <w:tcW w:type="dxa" w:w="1417"/>
            <w:shd w:fill="FFFFFF" w:val="clear"/>
          </w:tcPr>
          <w:p>
            <w:r>
              <w:rPr>
                <w:sz w:val="16"/>
              </w:rPr>
              <w:t>27,211</w:t>
            </w:r>
          </w:p>
        </w:tc>
        <w:tc>
          <w:tcPr>
            <w:tcW w:type="dxa" w:w="1134"/>
            <w:shd w:fill="C6EFCE" w:val="clear"/>
          </w:tcPr>
          <w:p>
            <w:r>
              <w:rPr>
                <w:b/>
                <w:color w:val="007800"/>
                <w:sz w:val="16"/>
              </w:rPr>
              <w:t>+18.23%</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58,000</w:t>
            </w:r>
          </w:p>
        </w:tc>
        <w:tc>
          <w:tcPr>
            <w:tcW w:type="dxa" w:w="1417"/>
            <w:shd w:fill="FFFFFF" w:val="clear"/>
          </w:tcPr>
          <w:p>
            <w:r>
              <w:rPr>
                <w:sz w:val="16"/>
              </w:rPr>
              <w:t>64,649</w:t>
            </w:r>
          </w:p>
        </w:tc>
        <w:tc>
          <w:tcPr>
            <w:tcW w:type="dxa" w:w="1134"/>
            <w:shd w:fill="C6EFCE" w:val="clear"/>
          </w:tcPr>
          <w:p>
            <w:r>
              <w:rPr>
                <w:b/>
                <w:color w:val="007800"/>
                <w:sz w:val="16"/>
              </w:rPr>
              <w:t>+11.46%</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23,495</w:t>
            </w:r>
          </w:p>
        </w:tc>
        <w:tc>
          <w:tcPr>
            <w:tcW w:type="dxa" w:w="1417"/>
            <w:shd w:fill="FFFFFF" w:val="clear"/>
          </w:tcPr>
          <w:p>
            <w:r>
              <w:rPr>
                <w:sz w:val="16"/>
              </w:rPr>
              <w:t>25,512</w:t>
            </w:r>
          </w:p>
        </w:tc>
        <w:tc>
          <w:tcPr>
            <w:tcW w:type="dxa" w:w="1134"/>
            <w:shd w:fill="C6EFCE" w:val="clear"/>
          </w:tcPr>
          <w:p>
            <w:r>
              <w:rPr>
                <w:b/>
                <w:color w:val="007800"/>
                <w:sz w:val="16"/>
              </w:rPr>
              <w:t>+8.59%</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2,190</w:t>
            </w:r>
          </w:p>
        </w:tc>
        <w:tc>
          <w:tcPr>
            <w:tcW w:type="dxa" w:w="1417"/>
            <w:shd w:fill="FFFFFF" w:val="clear"/>
          </w:tcPr>
          <w:p>
            <w:r>
              <w:rPr>
                <w:sz w:val="16"/>
              </w:rPr>
              <w:t>2,282</w:t>
            </w:r>
          </w:p>
        </w:tc>
        <w:tc>
          <w:tcPr>
            <w:tcW w:type="dxa" w:w="1134"/>
            <w:shd w:fill="C6EFCE" w:val="clear"/>
          </w:tcPr>
          <w:p>
            <w:r>
              <w:rPr>
                <w:b/>
                <w:color w:val="007800"/>
                <w:sz w:val="16"/>
              </w:rPr>
              <w:t>+4.21%</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9,115</w:t>
            </w:r>
          </w:p>
        </w:tc>
        <w:tc>
          <w:tcPr>
            <w:tcW w:type="dxa" w:w="1417"/>
            <w:shd w:fill="FFFFFF" w:val="clear"/>
          </w:tcPr>
          <w:p>
            <w:r>
              <w:rPr>
                <w:sz w:val="16"/>
              </w:rPr>
              <w:t>9,359</w:t>
            </w:r>
          </w:p>
        </w:tc>
        <w:tc>
          <w:tcPr>
            <w:tcW w:type="dxa" w:w="1134"/>
            <w:shd w:fill="C6EFCE" w:val="clear"/>
          </w:tcPr>
          <w:p>
            <w:r>
              <w:rPr>
                <w:b/>
                <w:color w:val="007800"/>
                <w:sz w:val="16"/>
              </w:rPr>
              <w:t>+2.68%</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7,850</w:t>
            </w:r>
          </w:p>
        </w:tc>
        <w:tc>
          <w:tcPr>
            <w:tcW w:type="dxa" w:w="1417"/>
            <w:shd w:fill="FFFFFF" w:val="clear"/>
          </w:tcPr>
          <w:p>
            <w:r>
              <w:rPr>
                <w:sz w:val="16"/>
              </w:rPr>
              <w:t>7,879</w:t>
            </w:r>
          </w:p>
        </w:tc>
        <w:tc>
          <w:tcPr>
            <w:tcW w:type="dxa" w:w="1134"/>
            <w:shd w:fill="FFEB9C" w:val="clear"/>
          </w:tcPr>
          <w:p>
            <w:r>
              <w:rPr>
                <w:b/>
                <w:color w:val="646400"/>
                <w:sz w:val="16"/>
              </w:rPr>
              <w:t>+0.37%</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37,250</w:t>
            </w:r>
          </w:p>
        </w:tc>
        <w:tc>
          <w:tcPr>
            <w:tcW w:type="dxa" w:w="1417"/>
            <w:shd w:fill="FFFFFF" w:val="clear"/>
          </w:tcPr>
          <w:p>
            <w:r>
              <w:rPr>
                <w:sz w:val="16"/>
              </w:rPr>
              <w:t>37,147</w:t>
            </w:r>
          </w:p>
        </w:tc>
        <w:tc>
          <w:tcPr>
            <w:tcW w:type="dxa" w:w="1134"/>
            <w:shd w:fill="FFEB9C" w:val="clear"/>
          </w:tcPr>
          <w:p>
            <w:r>
              <w:rPr>
                <w:b/>
                <w:color w:val="646400"/>
                <w:sz w:val="16"/>
              </w:rPr>
              <w:t>-0.28%</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3,060</w:t>
            </w:r>
          </w:p>
        </w:tc>
        <w:tc>
          <w:tcPr>
            <w:tcW w:type="dxa" w:w="1417"/>
            <w:shd w:fill="FFFFFF" w:val="clear"/>
          </w:tcPr>
          <w:p>
            <w:r>
              <w:rPr>
                <w:sz w:val="16"/>
              </w:rPr>
              <w:t>3,048</w:t>
            </w:r>
          </w:p>
        </w:tc>
        <w:tc>
          <w:tcPr>
            <w:tcW w:type="dxa" w:w="1134"/>
            <w:shd w:fill="FFEB9C" w:val="clear"/>
          </w:tcPr>
          <w:p>
            <w:r>
              <w:rPr>
                <w:b/>
                <w:color w:val="646400"/>
                <w:sz w:val="16"/>
              </w:rPr>
              <w:t>-0.40%</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16,000</w:t>
            </w:r>
          </w:p>
        </w:tc>
        <w:tc>
          <w:tcPr>
            <w:tcW w:type="dxa" w:w="1417"/>
            <w:shd w:fill="FFFFFF" w:val="clear"/>
          </w:tcPr>
          <w:p>
            <w:r>
              <w:rPr>
                <w:sz w:val="16"/>
              </w:rPr>
              <w:t>15,892</w:t>
            </w:r>
          </w:p>
        </w:tc>
        <w:tc>
          <w:tcPr>
            <w:tcW w:type="dxa" w:w="1134"/>
            <w:shd w:fill="FFEB9C" w:val="clear"/>
          </w:tcPr>
          <w:p>
            <w:r>
              <w:rPr>
                <w:b/>
                <w:color w:val="646400"/>
                <w:sz w:val="16"/>
              </w:rPr>
              <w:t>-0.68%</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2,000</w:t>
            </w:r>
          </w:p>
        </w:tc>
        <w:tc>
          <w:tcPr>
            <w:tcW w:type="dxa" w:w="1417"/>
            <w:shd w:fill="FFFFFF" w:val="clear"/>
          </w:tcPr>
          <w:p>
            <w:r>
              <w:rPr>
                <w:sz w:val="16"/>
              </w:rPr>
              <w:t>1,976</w:t>
            </w:r>
          </w:p>
        </w:tc>
        <w:tc>
          <w:tcPr>
            <w:tcW w:type="dxa" w:w="1134"/>
            <w:shd w:fill="FFC7CE" w:val="clear"/>
          </w:tcPr>
          <w:p>
            <w:r>
              <w:rPr>
                <w:b/>
                <w:color w:val="B40000"/>
                <w:sz w:val="16"/>
              </w:rPr>
              <w:t>-1.19%</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2,800</w:t>
            </w:r>
          </w:p>
        </w:tc>
        <w:tc>
          <w:tcPr>
            <w:tcW w:type="dxa" w:w="1417"/>
            <w:shd w:fill="FFFFFF" w:val="clear"/>
          </w:tcPr>
          <w:p>
            <w:r>
              <w:rPr>
                <w:sz w:val="16"/>
              </w:rPr>
              <w:t>2,759</w:t>
            </w:r>
          </w:p>
        </w:tc>
        <w:tc>
          <w:tcPr>
            <w:tcW w:type="dxa" w:w="1134"/>
            <w:shd w:fill="FFC7CE" w:val="clear"/>
          </w:tcPr>
          <w:p>
            <w:r>
              <w:rPr>
                <w:b/>
                <w:color w:val="B40000"/>
                <w:sz w:val="16"/>
              </w:rPr>
              <w:t>-1.47%</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31,900</w:t>
            </w:r>
          </w:p>
        </w:tc>
        <w:tc>
          <w:tcPr>
            <w:tcW w:type="dxa" w:w="1417"/>
            <w:shd w:fill="FFFFFF" w:val="clear"/>
          </w:tcPr>
          <w:p>
            <w:r>
              <w:rPr>
                <w:sz w:val="16"/>
              </w:rPr>
              <w:t>31,352</w:t>
            </w:r>
          </w:p>
        </w:tc>
        <w:tc>
          <w:tcPr>
            <w:tcW w:type="dxa" w:w="1134"/>
            <w:shd w:fill="FFC7CE" w:val="clear"/>
          </w:tcPr>
          <w:p>
            <w:r>
              <w:rPr>
                <w:b/>
                <w:color w:val="B40000"/>
                <w:sz w:val="16"/>
              </w:rPr>
              <w:t>-1.72%</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5,120</w:t>
            </w:r>
          </w:p>
        </w:tc>
        <w:tc>
          <w:tcPr>
            <w:tcW w:type="dxa" w:w="1417"/>
            <w:shd w:fill="FFFFFF" w:val="clear"/>
          </w:tcPr>
          <w:p>
            <w:r>
              <w:rPr>
                <w:sz w:val="16"/>
              </w:rPr>
              <w:t>5,017</w:t>
            </w:r>
          </w:p>
        </w:tc>
        <w:tc>
          <w:tcPr>
            <w:tcW w:type="dxa" w:w="1134"/>
            <w:shd w:fill="FFC7CE" w:val="clear"/>
          </w:tcPr>
          <w:p>
            <w:r>
              <w:rPr>
                <w:b/>
                <w:color w:val="B40000"/>
                <w:sz w:val="16"/>
              </w:rPr>
              <w:t>-2.02%</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8,005</w:t>
            </w:r>
          </w:p>
        </w:tc>
        <w:tc>
          <w:tcPr>
            <w:tcW w:type="dxa" w:w="1417"/>
            <w:shd w:fill="FFFFFF" w:val="clear"/>
          </w:tcPr>
          <w:p>
            <w:r>
              <w:rPr>
                <w:sz w:val="16"/>
              </w:rPr>
              <w:t>7,776</w:t>
            </w:r>
          </w:p>
        </w:tc>
        <w:tc>
          <w:tcPr>
            <w:tcW w:type="dxa" w:w="1134"/>
            <w:shd w:fill="FFC7CE" w:val="clear"/>
          </w:tcPr>
          <w:p>
            <w:r>
              <w:rPr>
                <w:b/>
                <w:color w:val="B40000"/>
                <w:sz w:val="16"/>
              </w:rPr>
              <w:t>-2.87%</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3,150</w:t>
            </w:r>
          </w:p>
        </w:tc>
        <w:tc>
          <w:tcPr>
            <w:tcW w:type="dxa" w:w="1417"/>
            <w:shd w:fill="FFFFFF" w:val="clear"/>
          </w:tcPr>
          <w:p>
            <w:r>
              <w:rPr>
                <w:sz w:val="16"/>
              </w:rPr>
              <w:t>3,046</w:t>
            </w:r>
          </w:p>
        </w:tc>
        <w:tc>
          <w:tcPr>
            <w:tcW w:type="dxa" w:w="1134"/>
            <w:shd w:fill="FFC7CE" w:val="clear"/>
          </w:tcPr>
          <w:p>
            <w:r>
              <w:rPr>
                <w:b/>
                <w:color w:val="B40000"/>
                <w:sz w:val="16"/>
              </w:rPr>
              <w:t>-3.31%</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16,355</w:t>
            </w:r>
          </w:p>
        </w:tc>
        <w:tc>
          <w:tcPr>
            <w:tcW w:type="dxa" w:w="1417"/>
            <w:shd w:fill="FFFFFF" w:val="clear"/>
          </w:tcPr>
          <w:p>
            <w:r>
              <w:rPr>
                <w:sz w:val="16"/>
              </w:rPr>
              <w:t>15,802</w:t>
            </w:r>
          </w:p>
        </w:tc>
        <w:tc>
          <w:tcPr>
            <w:tcW w:type="dxa" w:w="1134"/>
            <w:shd w:fill="FFC7CE" w:val="clear"/>
          </w:tcPr>
          <w:p>
            <w:r>
              <w:rPr>
                <w:b/>
                <w:color w:val="B40000"/>
                <w:sz w:val="16"/>
              </w:rPr>
              <w:t>-3.38%</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39,000</w:t>
            </w:r>
          </w:p>
        </w:tc>
        <w:tc>
          <w:tcPr>
            <w:tcW w:type="dxa" w:w="1417"/>
            <w:shd w:fill="FFFFFF" w:val="clear"/>
          </w:tcPr>
          <w:p>
            <w:r>
              <w:rPr>
                <w:sz w:val="16"/>
              </w:rPr>
              <w:t>37,676</w:t>
            </w:r>
          </w:p>
        </w:tc>
        <w:tc>
          <w:tcPr>
            <w:tcW w:type="dxa" w:w="1134"/>
            <w:shd w:fill="FFC7CE" w:val="clear"/>
          </w:tcPr>
          <w:p>
            <w:r>
              <w:rPr>
                <w:b/>
                <w:color w:val="B40000"/>
                <w:sz w:val="16"/>
              </w:rPr>
              <w:t>-3.40%</w:t>
            </w:r>
          </w:p>
        </w:tc>
        <w:tc>
          <w:tcPr>
            <w:tcW w:type="dxa" w:w="1134"/>
            <w:shd w:fill="FFEB9C" w:val="clear"/>
          </w:tcPr>
          <w:p>
            <w:r>
              <w:rPr>
                <w:sz w:val="16"/>
              </w:rPr>
              <w:t>Moyenne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4,100</w:t>
            </w:r>
          </w:p>
        </w:tc>
        <w:tc>
          <w:tcPr>
            <w:tcW w:type="dxa" w:w="1417"/>
            <w:shd w:fill="FFFFFF" w:val="clear"/>
          </w:tcPr>
          <w:p>
            <w:r>
              <w:rPr>
                <w:sz w:val="16"/>
              </w:rPr>
              <w:t>3,944</w:t>
            </w:r>
          </w:p>
        </w:tc>
        <w:tc>
          <w:tcPr>
            <w:tcW w:type="dxa" w:w="1134"/>
            <w:shd w:fill="FFC7CE" w:val="clear"/>
          </w:tcPr>
          <w:p>
            <w:r>
              <w:rPr>
                <w:b/>
                <w:color w:val="B40000"/>
                <w:sz w:val="16"/>
              </w:rPr>
              <w:t>-3.82%</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18,000</w:t>
            </w:r>
          </w:p>
        </w:tc>
        <w:tc>
          <w:tcPr>
            <w:tcW w:type="dxa" w:w="1417"/>
            <w:shd w:fill="FFFFFF" w:val="clear"/>
          </w:tcPr>
          <w:p>
            <w:r>
              <w:rPr>
                <w:sz w:val="16"/>
              </w:rPr>
              <w:t>17,227</w:t>
            </w:r>
          </w:p>
        </w:tc>
        <w:tc>
          <w:tcPr>
            <w:tcW w:type="dxa" w:w="1134"/>
            <w:shd w:fill="FFC7CE" w:val="clear"/>
          </w:tcPr>
          <w:p>
            <w:r>
              <w:rPr>
                <w:b/>
                <w:color w:val="B40000"/>
                <w:sz w:val="16"/>
              </w:rPr>
              <w:t>-4.29%</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4,495</w:t>
            </w:r>
          </w:p>
        </w:tc>
        <w:tc>
          <w:tcPr>
            <w:tcW w:type="dxa" w:w="1417"/>
            <w:shd w:fill="FFFFFF" w:val="clear"/>
          </w:tcPr>
          <w:p>
            <w:r>
              <w:rPr>
                <w:sz w:val="16"/>
              </w:rPr>
              <w:t>4,262</w:t>
            </w:r>
          </w:p>
        </w:tc>
        <w:tc>
          <w:tcPr>
            <w:tcW w:type="dxa" w:w="1134"/>
            <w:shd w:fill="FFC7CE" w:val="clear"/>
          </w:tcPr>
          <w:p>
            <w:r>
              <w:rPr>
                <w:b/>
                <w:color w:val="B40000"/>
                <w:sz w:val="16"/>
              </w:rPr>
              <w:t>-5.18%</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17,450</w:t>
            </w:r>
          </w:p>
        </w:tc>
        <w:tc>
          <w:tcPr>
            <w:tcW w:type="dxa" w:w="1417"/>
            <w:shd w:fill="FFFFFF" w:val="clear"/>
          </w:tcPr>
          <w:p>
            <w:r>
              <w:rPr>
                <w:sz w:val="16"/>
              </w:rPr>
              <w:t>16,479</w:t>
            </w:r>
          </w:p>
        </w:tc>
        <w:tc>
          <w:tcPr>
            <w:tcW w:type="dxa" w:w="1134"/>
            <w:shd w:fill="FFC7CE" w:val="clear"/>
          </w:tcPr>
          <w:p>
            <w:r>
              <w:rPr>
                <w:b/>
                <w:color w:val="B40000"/>
                <w:sz w:val="16"/>
              </w:rPr>
              <w:t>-5.56%</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2,000</w:t>
            </w:r>
          </w:p>
        </w:tc>
        <w:tc>
          <w:tcPr>
            <w:tcW w:type="dxa" w:w="1417"/>
            <w:shd w:fill="FFFFFF" w:val="clear"/>
          </w:tcPr>
          <w:p>
            <w:r>
              <w:rPr>
                <w:sz w:val="16"/>
              </w:rPr>
              <w:t>1,854</w:t>
            </w:r>
          </w:p>
        </w:tc>
        <w:tc>
          <w:tcPr>
            <w:tcW w:type="dxa" w:w="1134"/>
            <w:shd w:fill="FFC7CE" w:val="clear"/>
          </w:tcPr>
          <w:p>
            <w:r>
              <w:rPr>
                <w:b/>
                <w:color w:val="B40000"/>
                <w:sz w:val="16"/>
              </w:rPr>
              <w:t>-7.31%</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11,610</w:t>
            </w:r>
          </w:p>
        </w:tc>
        <w:tc>
          <w:tcPr>
            <w:tcW w:type="dxa" w:w="1417"/>
            <w:shd w:fill="FFFFFF" w:val="clear"/>
          </w:tcPr>
          <w:p>
            <w:r>
              <w:rPr>
                <w:sz w:val="16"/>
              </w:rPr>
              <w:t>10,639</w:t>
            </w:r>
          </w:p>
        </w:tc>
        <w:tc>
          <w:tcPr>
            <w:tcW w:type="dxa" w:w="1134"/>
            <w:shd w:fill="FFC7CE" w:val="clear"/>
          </w:tcPr>
          <w:p>
            <w:r>
              <w:rPr>
                <w:b/>
                <w:color w:val="B40000"/>
                <w:sz w:val="16"/>
              </w:rPr>
              <w:t>-8.36%</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28,670</w:t>
            </w:r>
          </w:p>
        </w:tc>
        <w:tc>
          <w:tcPr>
            <w:tcW w:type="dxa" w:w="1417"/>
            <w:shd w:fill="FFFFFF" w:val="clear"/>
          </w:tcPr>
          <w:p>
            <w:r>
              <w:rPr>
                <w:sz w:val="16"/>
              </w:rPr>
              <w:t>26,100</w:t>
            </w:r>
          </w:p>
        </w:tc>
        <w:tc>
          <w:tcPr>
            <w:tcW w:type="dxa" w:w="1134"/>
            <w:shd w:fill="FFC7CE" w:val="clear"/>
          </w:tcPr>
          <w:p>
            <w:r>
              <w:rPr>
                <w:b/>
                <w:color w:val="B40000"/>
                <w:sz w:val="16"/>
              </w:rPr>
              <w:t>-8.96%</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7,100</w:t>
            </w:r>
          </w:p>
        </w:tc>
        <w:tc>
          <w:tcPr>
            <w:tcW w:type="dxa" w:w="1417"/>
            <w:shd w:fill="FFFFFF" w:val="clear"/>
          </w:tcPr>
          <w:p>
            <w:r>
              <w:rPr>
                <w:sz w:val="16"/>
              </w:rPr>
              <w:t>6,462</w:t>
            </w:r>
          </w:p>
        </w:tc>
        <w:tc>
          <w:tcPr>
            <w:tcW w:type="dxa" w:w="1134"/>
            <w:shd w:fill="FFC7CE" w:val="clear"/>
          </w:tcPr>
          <w:p>
            <w:r>
              <w:rPr>
                <w:b/>
                <w:color w:val="B40000"/>
                <w:sz w:val="16"/>
              </w:rPr>
              <w:t>-8.98%</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2,775</w:t>
            </w:r>
          </w:p>
        </w:tc>
        <w:tc>
          <w:tcPr>
            <w:tcW w:type="dxa" w:w="1417"/>
            <w:shd w:fill="FFFFFF" w:val="clear"/>
          </w:tcPr>
          <w:p>
            <w:r>
              <w:rPr>
                <w:sz w:val="16"/>
              </w:rPr>
              <w:t>2,525</w:t>
            </w:r>
          </w:p>
        </w:tc>
        <w:tc>
          <w:tcPr>
            <w:tcW w:type="dxa" w:w="1134"/>
            <w:shd w:fill="FFC7CE" w:val="clear"/>
          </w:tcPr>
          <w:p>
            <w:r>
              <w:rPr>
                <w:b/>
                <w:color w:val="B40000"/>
                <w:sz w:val="16"/>
              </w:rPr>
              <w:t>-9.03%</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1,490</w:t>
            </w:r>
          </w:p>
        </w:tc>
        <w:tc>
          <w:tcPr>
            <w:tcW w:type="dxa" w:w="1417"/>
            <w:shd w:fill="FFFFFF" w:val="clear"/>
          </w:tcPr>
          <w:p>
            <w:r>
              <w:rPr>
                <w:sz w:val="16"/>
              </w:rPr>
              <w:t>1,335</w:t>
            </w:r>
          </w:p>
        </w:tc>
        <w:tc>
          <w:tcPr>
            <w:tcW w:type="dxa" w:w="1134"/>
            <w:shd w:fill="FFC7CE" w:val="clear"/>
          </w:tcPr>
          <w:p>
            <w:r>
              <w:rPr>
                <w:b/>
                <w:color w:val="B40000"/>
                <w:sz w:val="16"/>
              </w:rPr>
              <w:t>-10.39%</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8,700</w:t>
            </w:r>
          </w:p>
        </w:tc>
        <w:tc>
          <w:tcPr>
            <w:tcW w:type="dxa" w:w="1417"/>
            <w:shd w:fill="FFFFFF" w:val="clear"/>
          </w:tcPr>
          <w:p>
            <w:r>
              <w:rPr>
                <w:sz w:val="16"/>
              </w:rPr>
              <w:t>7,698</w:t>
            </w:r>
          </w:p>
        </w:tc>
        <w:tc>
          <w:tcPr>
            <w:tcW w:type="dxa" w:w="1134"/>
            <w:shd w:fill="FFC7CE" w:val="clear"/>
          </w:tcPr>
          <w:p>
            <w:r>
              <w:rPr>
                <w:b/>
                <w:color w:val="B40000"/>
                <w:sz w:val="16"/>
              </w:rPr>
              <w:t>-11.52%</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3,585</w:t>
            </w:r>
          </w:p>
        </w:tc>
        <w:tc>
          <w:tcPr>
            <w:tcW w:type="dxa" w:w="1417"/>
            <w:shd w:fill="FFFFFF" w:val="clear"/>
          </w:tcPr>
          <w:p>
            <w:r>
              <w:rPr>
                <w:sz w:val="16"/>
              </w:rPr>
              <w:t>3,172</w:t>
            </w:r>
          </w:p>
        </w:tc>
        <w:tc>
          <w:tcPr>
            <w:tcW w:type="dxa" w:w="1134"/>
            <w:shd w:fill="FFC7CE" w:val="clear"/>
          </w:tcPr>
          <w:p>
            <w:r>
              <w:rPr>
                <w:b/>
                <w:color w:val="B40000"/>
                <w:sz w:val="16"/>
              </w:rPr>
              <w:t>-11.53%</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3,170</w:t>
            </w:r>
          </w:p>
        </w:tc>
        <w:tc>
          <w:tcPr>
            <w:tcW w:type="dxa" w:w="1417"/>
            <w:shd w:fill="FFFFFF" w:val="clear"/>
          </w:tcPr>
          <w:p>
            <w:r>
              <w:rPr>
                <w:sz w:val="16"/>
              </w:rPr>
              <w:t>2,794</w:t>
            </w:r>
          </w:p>
        </w:tc>
        <w:tc>
          <w:tcPr>
            <w:tcW w:type="dxa" w:w="1134"/>
            <w:shd w:fill="FFC7CE" w:val="clear"/>
          </w:tcPr>
          <w:p>
            <w:r>
              <w:rPr>
                <w:b/>
                <w:color w:val="B40000"/>
                <w:sz w:val="16"/>
              </w:rPr>
              <w:t>-11.86%</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7,700</w:t>
            </w:r>
          </w:p>
        </w:tc>
        <w:tc>
          <w:tcPr>
            <w:tcW w:type="dxa" w:w="1417"/>
            <w:shd w:fill="FFFFFF" w:val="clear"/>
          </w:tcPr>
          <w:p>
            <w:r>
              <w:rPr>
                <w:sz w:val="16"/>
              </w:rPr>
              <w:t>6,716</w:t>
            </w:r>
          </w:p>
        </w:tc>
        <w:tc>
          <w:tcPr>
            <w:tcW w:type="dxa" w:w="1134"/>
            <w:shd w:fill="FFC7CE" w:val="clear"/>
          </w:tcPr>
          <w:p>
            <w:r>
              <w:rPr>
                <w:b/>
                <w:color w:val="B40000"/>
                <w:sz w:val="16"/>
              </w:rPr>
              <w:t>-12.78%</w:t>
            </w:r>
          </w:p>
        </w:tc>
        <w:tc>
          <w:tcPr>
            <w:tcW w:type="dxa" w:w="1134"/>
            <w:shd w:fill="FFEB9C" w:val="clear"/>
          </w:tcPr>
          <w:p>
            <w:r>
              <w:rPr>
                <w:sz w:val="16"/>
              </w:rPr>
              <w:t>Moyenne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6,150</w:t>
            </w:r>
          </w:p>
        </w:tc>
        <w:tc>
          <w:tcPr>
            <w:tcW w:type="dxa" w:w="1417"/>
            <w:shd w:fill="FFFFFF" w:val="clear"/>
          </w:tcPr>
          <w:p>
            <w:r>
              <w:rPr>
                <w:sz w:val="16"/>
              </w:rPr>
              <w:t>5,277</w:t>
            </w:r>
          </w:p>
        </w:tc>
        <w:tc>
          <w:tcPr>
            <w:tcW w:type="dxa" w:w="1134"/>
            <w:shd w:fill="FFC7CE" w:val="clear"/>
          </w:tcPr>
          <w:p>
            <w:r>
              <w:rPr>
                <w:b/>
                <w:color w:val="B40000"/>
                <w:sz w:val="16"/>
              </w:rPr>
              <w:t>-14.19%</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1,665</w:t>
            </w:r>
          </w:p>
        </w:tc>
        <w:tc>
          <w:tcPr>
            <w:tcW w:type="dxa" w:w="1417"/>
            <w:shd w:fill="FFFFFF" w:val="clear"/>
          </w:tcPr>
          <w:p>
            <w:r>
              <w:rPr>
                <w:sz w:val="16"/>
              </w:rPr>
              <w:t>1,411</w:t>
            </w:r>
          </w:p>
        </w:tc>
        <w:tc>
          <w:tcPr>
            <w:tcW w:type="dxa" w:w="1134"/>
            <w:shd w:fill="FFC7CE" w:val="clear"/>
          </w:tcPr>
          <w:p>
            <w:r>
              <w:rPr>
                <w:b/>
                <w:color w:val="B40000"/>
                <w:sz w:val="16"/>
              </w:rPr>
              <w:t>-15.28%</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10,080</w:t>
            </w:r>
          </w:p>
        </w:tc>
        <w:tc>
          <w:tcPr>
            <w:tcW w:type="dxa" w:w="1417"/>
            <w:shd w:fill="FFFFFF" w:val="clear"/>
          </w:tcPr>
          <w:p>
            <w:r>
              <w:rPr>
                <w:sz w:val="16"/>
              </w:rPr>
              <w:t>8,150</w:t>
            </w:r>
          </w:p>
        </w:tc>
        <w:tc>
          <w:tcPr>
            <w:tcW w:type="dxa" w:w="1134"/>
            <w:shd w:fill="FFC7CE" w:val="clear"/>
          </w:tcPr>
          <w:p>
            <w:r>
              <w:rPr>
                <w:b/>
                <w:color w:val="B40000"/>
                <w:sz w:val="16"/>
              </w:rPr>
              <w:t>-19.14%</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9,175</w:t>
            </w:r>
          </w:p>
        </w:tc>
        <w:tc>
          <w:tcPr>
            <w:tcW w:type="dxa" w:w="1417"/>
            <w:shd w:fill="FFFFFF" w:val="clear"/>
          </w:tcPr>
          <w:p>
            <w:r>
              <w:rPr>
                <w:sz w:val="16"/>
              </w:rPr>
              <w:t>7,209</w:t>
            </w:r>
          </w:p>
        </w:tc>
        <w:tc>
          <w:tcPr>
            <w:tcW w:type="dxa" w:w="1134"/>
            <w:shd w:fill="FFC7CE" w:val="clear"/>
          </w:tcPr>
          <w:p>
            <w:r>
              <w:rPr>
                <w:b/>
                <w:color w:val="B40000"/>
                <w:sz w:val="16"/>
              </w:rPr>
              <w:t>-21.43%</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2,430</w:t>
            </w:r>
          </w:p>
        </w:tc>
        <w:tc>
          <w:tcPr>
            <w:tcW w:type="dxa" w:w="1417"/>
            <w:shd w:fill="FFFFFF" w:val="clear"/>
          </w:tcPr>
          <w:p>
            <w:r>
              <w:rPr>
                <w:sz w:val="16"/>
              </w:rPr>
              <w:t>1,853</w:t>
            </w:r>
          </w:p>
        </w:tc>
        <w:tc>
          <w:tcPr>
            <w:tcW w:type="dxa" w:w="1134"/>
            <w:shd w:fill="FFC7CE" w:val="clear"/>
          </w:tcPr>
          <w:p>
            <w:r>
              <w:rPr>
                <w:b/>
                <w:color w:val="B40000"/>
                <w:sz w:val="16"/>
              </w:rPr>
              <w:t>-23.76%</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2,200</w:t>
            </w:r>
          </w:p>
        </w:tc>
        <w:tc>
          <w:tcPr>
            <w:tcW w:type="dxa" w:w="1417"/>
            <w:shd w:fill="FFFFFF" w:val="clear"/>
          </w:tcPr>
          <w:p>
            <w:r>
              <w:rPr>
                <w:sz w:val="16"/>
              </w:rPr>
              <w:t>1,636</w:t>
            </w:r>
          </w:p>
        </w:tc>
        <w:tc>
          <w:tcPr>
            <w:tcW w:type="dxa" w:w="1134"/>
            <w:shd w:fill="FFC7CE" w:val="clear"/>
          </w:tcPr>
          <w:p>
            <w:r>
              <w:rPr>
                <w:b/>
                <w:color w:val="B40000"/>
                <w:sz w:val="16"/>
              </w:rPr>
              <w:t>-25.65%</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12,900</w:t>
            </w:r>
          </w:p>
        </w:tc>
        <w:tc>
          <w:tcPr>
            <w:tcW w:type="dxa" w:w="1417"/>
            <w:shd w:fill="FFFFFF" w:val="clear"/>
          </w:tcPr>
          <w:p>
            <w:r>
              <w:rPr>
                <w:sz w:val="16"/>
              </w:rPr>
              <w:t>8,874</w:t>
            </w:r>
          </w:p>
        </w:tc>
        <w:tc>
          <w:tcPr>
            <w:tcW w:type="dxa" w:w="1134"/>
            <w:shd w:fill="FFC7CE" w:val="clear"/>
          </w:tcPr>
          <w:p>
            <w:r>
              <w:rPr>
                <w:b/>
                <w:color w:val="B40000"/>
                <w:sz w:val="16"/>
              </w:rPr>
              <w:t>-31.21%</w:t>
            </w:r>
          </w:p>
        </w:tc>
        <w:tc>
          <w:tcPr>
            <w:tcW w:type="dxa" w:w="1134"/>
            <w:shd w:fill="FFEB9C" w:val="clear"/>
          </w:tcPr>
          <w:p>
            <w:r>
              <w:rPr>
                <w:sz w:val="16"/>
              </w:rPr>
              <w:t>Moyenne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8,500</w:t>
            </w:r>
          </w:p>
        </w:tc>
        <w:tc>
          <w:tcPr>
            <w:tcW w:type="dxa" w:w="1417"/>
            <w:shd w:fill="FFFFFF" w:val="clear"/>
          </w:tcPr>
          <w:p>
            <w:r>
              <w:rPr>
                <w:sz w:val="16"/>
              </w:rPr>
              <w:t>5,490</w:t>
            </w:r>
          </w:p>
        </w:tc>
        <w:tc>
          <w:tcPr>
            <w:tcW w:type="dxa" w:w="1134"/>
            <w:shd w:fill="FFC7CE" w:val="clear"/>
          </w:tcPr>
          <w:p>
            <w:r>
              <w:rPr>
                <w:b/>
                <w:color w:val="B40000"/>
                <w:sz w:val="16"/>
              </w:rPr>
              <w:t>-35.42%</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2,200</w:t>
            </w:r>
          </w:p>
        </w:tc>
        <w:tc>
          <w:tcPr>
            <w:tcW w:type="dxa" w:w="1417"/>
            <w:shd w:fill="FFFFFF" w:val="clear"/>
          </w:tcPr>
          <w:p>
            <w:r>
              <w:rPr>
                <w:sz w:val="16"/>
              </w:rPr>
              <w:t>1,364</w:t>
            </w:r>
          </w:p>
        </w:tc>
        <w:tc>
          <w:tcPr>
            <w:tcW w:type="dxa" w:w="1134"/>
            <w:shd w:fill="FFC7CE" w:val="clear"/>
          </w:tcPr>
          <w:p>
            <w:r>
              <w:rPr>
                <w:b/>
                <w:color w:val="B40000"/>
                <w:sz w:val="16"/>
              </w:rPr>
              <w:t>-37.99%</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2,635</w:t>
            </w:r>
          </w:p>
        </w:tc>
        <w:tc>
          <w:tcPr>
            <w:tcW w:type="dxa" w:w="1417"/>
            <w:shd w:fill="FFFFFF" w:val="clear"/>
          </w:tcPr>
          <w:p>
            <w:r>
              <w:rPr>
                <w:sz w:val="16"/>
              </w:rPr>
              <w:t>1,599</w:t>
            </w:r>
          </w:p>
        </w:tc>
        <w:tc>
          <w:tcPr>
            <w:tcW w:type="dxa" w:w="1134"/>
            <w:shd w:fill="FFC7CE" w:val="clear"/>
          </w:tcPr>
          <w:p>
            <w:r>
              <w:rPr>
                <w:b/>
                <w:color w:val="B40000"/>
                <w:sz w:val="16"/>
              </w:rPr>
              <w:t>-39.31%</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28,700</w:t>
            </w:r>
          </w:p>
        </w:tc>
        <w:tc>
          <w:tcPr>
            <w:tcW w:type="dxa" w:w="1417"/>
            <w:shd w:fill="FFFFFF" w:val="clear"/>
          </w:tcPr>
          <w:p>
            <w:r>
              <w:rPr>
                <w:sz w:val="16"/>
              </w:rPr>
              <w:t>17,396</w:t>
            </w:r>
          </w:p>
        </w:tc>
        <w:tc>
          <w:tcPr>
            <w:tcW w:type="dxa" w:w="1134"/>
            <w:shd w:fill="FFC7CE" w:val="clear"/>
          </w:tcPr>
          <w:p>
            <w:r>
              <w:rPr>
                <w:b/>
                <w:color w:val="B40000"/>
                <w:sz w:val="16"/>
              </w:rPr>
              <w:t>-39.39%</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5,515</w:t>
            </w:r>
          </w:p>
        </w:tc>
        <w:tc>
          <w:tcPr>
            <w:tcW w:type="dxa" w:w="1417"/>
            <w:shd w:fill="FFFFFF" w:val="clear"/>
          </w:tcPr>
          <w:p>
            <w:r>
              <w:rPr>
                <w:sz w:val="16"/>
              </w:rPr>
              <w:t>3,206</w:t>
            </w:r>
          </w:p>
        </w:tc>
        <w:tc>
          <w:tcPr>
            <w:tcW w:type="dxa" w:w="1134"/>
            <w:shd w:fill="FFC7CE" w:val="clear"/>
          </w:tcPr>
          <w:p>
            <w:r>
              <w:rPr>
                <w:b/>
                <w:color w:val="B40000"/>
                <w:sz w:val="16"/>
              </w:rPr>
              <w:t>-41.88%</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5,840</w:t>
            </w:r>
          </w:p>
        </w:tc>
        <w:tc>
          <w:tcPr>
            <w:tcW w:type="dxa" w:w="1417"/>
            <w:shd w:fill="FFFFFF" w:val="clear"/>
          </w:tcPr>
          <w:p>
            <w:r>
              <w:rPr>
                <w:sz w:val="16"/>
              </w:rPr>
              <w:t>2,678</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3,660</w:t>
            </w:r>
          </w:p>
        </w:tc>
        <w:tc>
          <w:tcPr>
            <w:tcW w:type="dxa" w:w="1417"/>
            <w:shd w:fill="FFFFFF" w:val="clear"/>
          </w:tcPr>
          <w:p>
            <w:r>
              <w:rPr>
                <w:sz w:val="16"/>
              </w:rPr>
              <w:t>1,678</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68</w:t>
            </w:r>
          </w:p>
        </w:tc>
        <w:tc>
          <w:tcPr>
            <w:tcW w:type="dxa" w:w="1417"/>
            <w:shd w:fill="FFFFFF" w:val="clear"/>
          </w:tcPr>
          <w:p>
            <w:r>
              <w:rPr>
                <w:sz w:val="16"/>
              </w:rPr>
              <w:t>31</w:t>
            </w:r>
          </w:p>
        </w:tc>
        <w:tc>
          <w:tcPr>
            <w:tcW w:type="dxa" w:w="1134"/>
            <w:shd w:fill="FFC7CE" w:val="clear"/>
          </w:tcPr>
          <w:p>
            <w:r>
              <w:rPr>
                <w:b/>
                <w:color w:val="B40000"/>
                <w:sz w:val="16"/>
              </w:rPr>
              <w:t>-54.15%</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34.59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3,114 titres</w:t>
            </w:r>
          </w:p>
        </w:tc>
        <w:tc>
          <w:tcPr>
            <w:tcW w:type="dxa" w:w="2268"/>
            <w:shd w:fill="FFF2CC" w:val="clear"/>
          </w:tcPr>
          <w:p>
            <w:r>
              <w:rPr>
                <w:b/>
                <w:color w:val="503200"/>
                <w:sz w:val="16"/>
              </w:rPr>
              <w:t xml:space="preserve">Cours actuel : </w:t>
            </w:r>
            <w:r>
              <w:rPr>
                <w:color w:val="000000"/>
                <w:sz w:val="17"/>
              </w:rPr>
              <w:t>3,170 FCFA</w:t>
            </w:r>
          </w:p>
          <w:p>
            <w:r>
              <w:rPr>
                <w:b/>
                <w:color w:val="503200"/>
                <w:sz w:val="16"/>
              </w:rPr>
              <w:t xml:space="preserve">Var. 100 jours : </w:t>
            </w:r>
            <w:r>
              <w:rPr>
                <w:b/>
                <w:color w:val="B40000"/>
                <w:sz w:val="17"/>
              </w:rPr>
              <w:t>-2.46%</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54.3%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7.41% (Moyenne) — μ=3,214 FCFA, σ=238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β=-0.7325 (Contre-cyclique) — Cov=-0.000027, Var(idx)=0.000036, ρ=-0.129,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3,114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σ_j=3.42%/j (Modérée) — Vol. annualisée≈54.3%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2,966</w:t>
            </w:r>
          </w:p>
        </w:tc>
        <w:tc>
          <w:tcPr>
            <w:tcW w:type="dxa" w:w="1440"/>
            <w:shd w:fill="FAFAFA" w:val="clear"/>
          </w:tcPr>
          <w:p>
            <w:r>
              <w:rPr>
                <w:b/>
                <w:sz w:val="17"/>
              </w:rPr>
              <w:t>3,111</w:t>
            </w:r>
          </w:p>
        </w:tc>
        <w:tc>
          <w:tcPr>
            <w:tcW w:type="dxa" w:w="1440"/>
            <w:shd w:fill="FAFAFA" w:val="clear"/>
          </w:tcPr>
          <w:p>
            <w:r>
              <w:rPr>
                <w:sz w:val="17"/>
              </w:rPr>
              <w:t>3,257</w:t>
            </w:r>
          </w:p>
        </w:tc>
        <w:tc>
          <w:tcPr>
            <w:tcW w:type="dxa" w:w="1440"/>
            <w:shd w:fill="FAFAFA" w:val="clear"/>
          </w:tcPr>
          <w:p>
            <w:r>
              <w:rPr>
                <w:b/>
                <w:color w:val="C00000"/>
                <w:sz w:val="17"/>
              </w:rPr>
              <w:t>-1.9%</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2,863</w:t>
            </w:r>
          </w:p>
        </w:tc>
        <w:tc>
          <w:tcPr>
            <w:tcW w:type="dxa" w:w="1440"/>
            <w:shd w:fill="FFDCE0" w:val="clear"/>
          </w:tcPr>
          <w:p>
            <w:r>
              <w:rPr>
                <w:b/>
                <w:sz w:val="17"/>
              </w:rPr>
              <w:t>3,066</w:t>
            </w:r>
          </w:p>
        </w:tc>
        <w:tc>
          <w:tcPr>
            <w:tcW w:type="dxa" w:w="1440"/>
            <w:shd w:fill="FFDCE0" w:val="clear"/>
          </w:tcPr>
          <w:p>
            <w:r>
              <w:rPr>
                <w:sz w:val="17"/>
              </w:rPr>
              <w:t>3,268</w:t>
            </w:r>
          </w:p>
        </w:tc>
        <w:tc>
          <w:tcPr>
            <w:tcW w:type="dxa" w:w="1440"/>
            <w:shd w:fill="FFDCE0" w:val="clear"/>
          </w:tcPr>
          <w:p>
            <w:r>
              <w:rPr>
                <w:b/>
                <w:color w:val="C00000"/>
                <w:sz w:val="17"/>
              </w:rPr>
              <w:t>-3.3%</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2,777</w:t>
            </w:r>
          </w:p>
        </w:tc>
        <w:tc>
          <w:tcPr>
            <w:tcW w:type="dxa" w:w="1440"/>
            <w:shd w:fill="FFDCE0" w:val="clear"/>
          </w:tcPr>
          <w:p>
            <w:r>
              <w:rPr>
                <w:b/>
                <w:sz w:val="17"/>
              </w:rPr>
              <w:t>3,022</w:t>
            </w:r>
          </w:p>
        </w:tc>
        <w:tc>
          <w:tcPr>
            <w:tcW w:type="dxa" w:w="1440"/>
            <w:shd w:fill="FFDCE0" w:val="clear"/>
          </w:tcPr>
          <w:p>
            <w:r>
              <w:rPr>
                <w:sz w:val="17"/>
              </w:rPr>
              <w:t>3,266</w:t>
            </w:r>
          </w:p>
        </w:tc>
        <w:tc>
          <w:tcPr>
            <w:tcW w:type="dxa" w:w="1440"/>
            <w:shd w:fill="FFDCE0" w:val="clear"/>
          </w:tcPr>
          <w:p>
            <w:r>
              <w:rPr>
                <w:b/>
                <w:color w:val="C00000"/>
                <w:sz w:val="17"/>
              </w:rPr>
              <w:t>-4.7%</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2,704</w:t>
            </w:r>
          </w:p>
        </w:tc>
        <w:tc>
          <w:tcPr>
            <w:tcW w:type="dxa" w:w="1440"/>
            <w:shd w:fill="FFDCE0" w:val="clear"/>
          </w:tcPr>
          <w:p>
            <w:r>
              <w:rPr>
                <w:b/>
                <w:sz w:val="17"/>
              </w:rPr>
              <w:t>2,983</w:t>
            </w:r>
          </w:p>
        </w:tc>
        <w:tc>
          <w:tcPr>
            <w:tcW w:type="dxa" w:w="1440"/>
            <w:shd w:fill="FFDCE0" w:val="clear"/>
          </w:tcPr>
          <w:p>
            <w:r>
              <w:rPr>
                <w:sz w:val="17"/>
              </w:rPr>
              <w:t>3,262</w:t>
            </w:r>
          </w:p>
        </w:tc>
        <w:tc>
          <w:tcPr>
            <w:tcW w:type="dxa" w:w="1440"/>
            <w:shd w:fill="FFDCE0" w:val="clear"/>
          </w:tcPr>
          <w:p>
            <w:r>
              <w:rPr>
                <w:b/>
                <w:color w:val="C00000"/>
                <w:sz w:val="17"/>
              </w:rPr>
              <w:t>-5.9%</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2,639</w:t>
            </w:r>
          </w:p>
        </w:tc>
        <w:tc>
          <w:tcPr>
            <w:tcW w:type="dxa" w:w="1440"/>
            <w:shd w:fill="FFDCE0" w:val="clear"/>
          </w:tcPr>
          <w:p>
            <w:r>
              <w:rPr>
                <w:b/>
                <w:sz w:val="17"/>
              </w:rPr>
              <w:t>2,947</w:t>
            </w:r>
          </w:p>
        </w:tc>
        <w:tc>
          <w:tcPr>
            <w:tcW w:type="dxa" w:w="1440"/>
            <w:shd w:fill="FFDCE0" w:val="clear"/>
          </w:tcPr>
          <w:p>
            <w:r>
              <w:rPr>
                <w:sz w:val="17"/>
              </w:rPr>
              <w:t>3,255</w:t>
            </w:r>
          </w:p>
        </w:tc>
        <w:tc>
          <w:tcPr>
            <w:tcW w:type="dxa" w:w="1440"/>
            <w:shd w:fill="FFDCE0" w:val="clear"/>
          </w:tcPr>
          <w:p>
            <w:r>
              <w:rPr>
                <w:b/>
                <w:color w:val="C00000"/>
                <w:sz w:val="17"/>
              </w:rPr>
              <w:t>-7.0%</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2,580</w:t>
            </w:r>
          </w:p>
        </w:tc>
        <w:tc>
          <w:tcPr>
            <w:tcW w:type="dxa" w:w="1440"/>
            <w:shd w:fill="FFDCE0" w:val="clear"/>
          </w:tcPr>
          <w:p>
            <w:r>
              <w:rPr>
                <w:b/>
                <w:sz w:val="17"/>
              </w:rPr>
              <w:t>2,913</w:t>
            </w:r>
          </w:p>
        </w:tc>
        <w:tc>
          <w:tcPr>
            <w:tcW w:type="dxa" w:w="1440"/>
            <w:shd w:fill="FFDCE0" w:val="clear"/>
          </w:tcPr>
          <w:p>
            <w:r>
              <w:rPr>
                <w:sz w:val="17"/>
              </w:rPr>
              <w:t>3,247</w:t>
            </w:r>
          </w:p>
        </w:tc>
        <w:tc>
          <w:tcPr>
            <w:tcW w:type="dxa" w:w="1440"/>
            <w:shd w:fill="FFDCE0" w:val="clear"/>
          </w:tcPr>
          <w:p>
            <w:r>
              <w:rPr>
                <w:b/>
                <w:color w:val="C00000"/>
                <w:sz w:val="17"/>
              </w:rPr>
              <w:t>-8.1%</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2,525</w:t>
            </w:r>
          </w:p>
        </w:tc>
        <w:tc>
          <w:tcPr>
            <w:tcW w:type="dxa" w:w="1440"/>
            <w:shd w:fill="FFDCE0" w:val="clear"/>
          </w:tcPr>
          <w:p>
            <w:r>
              <w:rPr>
                <w:b/>
                <w:sz w:val="17"/>
              </w:rPr>
              <w:t>2,881</w:t>
            </w:r>
          </w:p>
        </w:tc>
        <w:tc>
          <w:tcPr>
            <w:tcW w:type="dxa" w:w="1440"/>
            <w:shd w:fill="FFDCE0" w:val="clear"/>
          </w:tcPr>
          <w:p>
            <w:r>
              <w:rPr>
                <w:sz w:val="17"/>
              </w:rPr>
              <w:t>3,238</w:t>
            </w:r>
          </w:p>
        </w:tc>
        <w:tc>
          <w:tcPr>
            <w:tcW w:type="dxa" w:w="1440"/>
            <w:shd w:fill="FFDCE0" w:val="clear"/>
          </w:tcPr>
          <w:p>
            <w:r>
              <w:rPr>
                <w:b/>
                <w:color w:val="C00000"/>
                <w:sz w:val="17"/>
              </w:rPr>
              <w:t>-9.1%</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2,474</w:t>
            </w:r>
          </w:p>
        </w:tc>
        <w:tc>
          <w:tcPr>
            <w:tcW w:type="dxa" w:w="1440"/>
            <w:shd w:fill="FFDCE0" w:val="clear"/>
          </w:tcPr>
          <w:p>
            <w:r>
              <w:rPr>
                <w:b/>
                <w:sz w:val="17"/>
              </w:rPr>
              <w:t>2,851</w:t>
            </w:r>
          </w:p>
        </w:tc>
        <w:tc>
          <w:tcPr>
            <w:tcW w:type="dxa" w:w="1440"/>
            <w:shd w:fill="FFDCE0" w:val="clear"/>
          </w:tcPr>
          <w:p>
            <w:r>
              <w:rPr>
                <w:sz w:val="17"/>
              </w:rPr>
              <w:t>3,228</w:t>
            </w:r>
          </w:p>
        </w:tc>
        <w:tc>
          <w:tcPr>
            <w:tcW w:type="dxa" w:w="1440"/>
            <w:shd w:fill="FFDCE0" w:val="clear"/>
          </w:tcPr>
          <w:p>
            <w:r>
              <w:rPr>
                <w:b/>
                <w:color w:val="C00000"/>
                <w:sz w:val="17"/>
              </w:rPr>
              <w:t>-10.1%</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2,426</w:t>
            </w:r>
          </w:p>
        </w:tc>
        <w:tc>
          <w:tcPr>
            <w:tcW w:type="dxa" w:w="1440"/>
            <w:shd w:fill="FFDCE0" w:val="clear"/>
          </w:tcPr>
          <w:p>
            <w:r>
              <w:rPr>
                <w:b/>
                <w:sz w:val="17"/>
              </w:rPr>
              <w:t>2,822</w:t>
            </w:r>
          </w:p>
        </w:tc>
        <w:tc>
          <w:tcPr>
            <w:tcW w:type="dxa" w:w="1440"/>
            <w:shd w:fill="FFDCE0" w:val="clear"/>
          </w:tcPr>
          <w:p>
            <w:r>
              <w:rPr>
                <w:sz w:val="17"/>
              </w:rPr>
              <w:t>3,218</w:t>
            </w:r>
          </w:p>
        </w:tc>
        <w:tc>
          <w:tcPr>
            <w:tcW w:type="dxa" w:w="1440"/>
            <w:shd w:fill="FFDCE0" w:val="clear"/>
          </w:tcPr>
          <w:p>
            <w:r>
              <w:rPr>
                <w:b/>
                <w:color w:val="C00000"/>
                <w:sz w:val="17"/>
              </w:rPr>
              <w:t>-11.0%</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2,381</w:t>
            </w:r>
          </w:p>
        </w:tc>
        <w:tc>
          <w:tcPr>
            <w:tcW w:type="dxa" w:w="1440"/>
            <w:shd w:fill="FFDCE0" w:val="clear"/>
          </w:tcPr>
          <w:p>
            <w:r>
              <w:rPr>
                <w:b/>
                <w:sz w:val="17"/>
              </w:rPr>
              <w:t>2,794</w:t>
            </w:r>
          </w:p>
        </w:tc>
        <w:tc>
          <w:tcPr>
            <w:tcW w:type="dxa" w:w="1440"/>
            <w:shd w:fill="FFDCE0" w:val="clear"/>
          </w:tcPr>
          <w:p>
            <w:r>
              <w:rPr>
                <w:sz w:val="17"/>
              </w:rPr>
              <w:t>3,207</w:t>
            </w:r>
          </w:p>
        </w:tc>
        <w:tc>
          <w:tcPr>
            <w:tcW w:type="dxa" w:w="1440"/>
            <w:shd w:fill="FFDCE0" w:val="clear"/>
          </w:tcPr>
          <w:p>
            <w:r>
              <w:rPr>
                <w:b/>
                <w:color w:val="C00000"/>
                <w:sz w:val="17"/>
              </w:rPr>
              <w:t>-11.9%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 13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34,59 milliards FCFA, un niveau significatif pour une valeur de la BRVM, reflétant une reconnaissance certaine du marché pour ce leader des services aéroportuaires. Avec un BPA de 124 FCFA, le titre se paie 25,6 fois ses bénéfices (PER), un niveau très supérieur à la moyenne historique de la BRVM (8-12x), indiquant que les investisseurs intègrent des attentes de croissance élevées ou une prime de rareté. Le P/B de 6,70x confirme cette valorisation exigeante, le marché valorisant fortement les capitaux propres de l'entreprise. Enfin, un EV/EBITDA de 12,9x, bien que dans la fourchette haute (10-15x), suggère que la valeur totale de l'entreprise reste cohérente avec sa capacité opérationnelle à générer des flux, mais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affiche une légère baisse de 2,46%, avec un repli plus marqué de 0,63% lors de la dernière séance, s'échangeant à 3 170 FCFA. Le titre a évolué dans une fourchette de 980 FCFA, entre un plus bas de 2 800 FCFA et un plus haut de 3 780 FCFA, illustrant une volatilité intraday notable. La moyenne (3 214 FCFA) est très proche de la médiane (3 182 FCFA) et du mode (3 150 FCFA), ce qui, combiné à un skewness positif de 0,322, indique une distribution quasi symétrique avec une légère queue de distribution vers les sommets. L'écart-type de 240 FCFA (CV=7,5%) montre une dispersion modérée autour de la moyenne, tandis que le kurtosis de -0,713 (mésokurtique) suggère une absence de risques extrêmes. La volatilité annualisée de 54,3% est très élevée (&gt;30%), classant ABJC comme un actif à fort risque, nécessitant une gestion rigoureuse du risque.</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(3 170 FCFA) se situe au-dessus de la MM20 (3 057 FCFA) mais en dessous de la MM50 (3 162,9 FCFA). Cette configuration, où le prix est sous la MM50, signale une tendance de fond baissière, justifiant la décision de Vente, malgré un rebond à court terme au-dessus de la MM20.</w:t>
      </w:r>
    </w:p>
    <w:p>
      <w:pPr>
        <w:spacing w:after="120" w:line="276" w:lineRule="auto"/>
      </w:pPr>
      <w:r>
        <w:t>**Bandes de Bollinger:** Le prix (3 170 FCFA) évolue dans la partie supérieure du canal, entre la borne inférieure (2 847,5 FCFA) et la borne supérieure (3 266,4 FCFA). La position du prix, proche de la borne haute, indique une pression acheteuse à court terme, mais la décision est Neutre, le prix n'ayant pas encore touché les bornes, ce qui ne signale pas de condition de surachat ou de survente extrême.</w:t>
      </w:r>
    </w:p>
    <w:p>
      <w:pPr>
        <w:spacing w:after="120" w:line="276" w:lineRule="auto"/>
      </w:pPr>
      <w:r>
        <w:t>**MACD:** La valeur du MACD (-2,322) est nettement supérieure à sa ligne de signal (-28,087), formant un croisement haussier. Cette divergence positive indique un momentum haussier émergent, justifiant la décision d'Achat, même si les deux lignes restent en territoire négatif, ce qui suggère que la dynamique baissière de long terme n'est pas totalement inversée.</w:t>
      </w:r>
    </w:p>
    <w:p>
      <w:pPr>
        <w:spacing w:after="120" w:line="276" w:lineRule="auto"/>
      </w:pPr>
      <w:r>
        <w:t>**RSI:** Le RSI s'établit à 51,6, une valeur en zone neutre (entre 30 et 70). Cela indique que le titre n'est ni suracheté ni survendu, avec un équilibre relatif entre les forces acheteuses et vendeuses. La décision Neutre est cohérente avec cette lecture, montrant une absence de signal directionnel fort.</w:t>
      </w:r>
    </w:p>
    <w:p>
      <w:pPr>
        <w:spacing w:after="120" w:line="276" w:lineRule="auto"/>
      </w:pPr>
      <w:r>
        <w:t>**Stochastique:** Le %K (94,8) et le %D (98,2) sont tous deux à des niveaux extrêmement élevés, en zone de surachat. Cette configuration signale que le mouvement haussier récent est probablement épuisé à court terme, justifiant la décision de Vente, car un repli technique est à anticiper.</w:t>
      </w:r>
    </w:p>
    <w:p>
      <w:pPr>
        <w:spacing w:after="120" w:line="276" w:lineRule="auto"/>
      </w:pPr>
      <w:r>
        <w:t>**Conclusion technique:** Les signaux techniques sont mitigés. Le MACD et la position du prix dans les bandes de Bollinger suggèrent un potentiel haussier à court terme, mais la configuration des moyennes mobiles (prix sous MM50) et le surachat extrême du stochastique indiquent un risque de correction. La prudence est de mise, le titre semblant manquer de direction claire.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montrent une entreprise solide mais en perte de vitesse sur la rentabilité. Le chiffre d'affaires s'établit à 13,298 milliards FCFA, en hausse de 6,7%, mais le résultat net recule de 12,1% à 1,351 milliard FCFA, pénalisé par une charge d'impôt en forte hausse (+46,7%). La marge nette reste correcte à 10,2%, et la rentabilité des capitaux propres (ROE) est excellente à 26,2%, tout comme le ROA à 14,6%. La structure financière est très saine avec un ratio d'autonomie financière de 55,9% et une trésorerie nette de 4,035 milliards FCFA. Les délais de paiement clients (70 jours) et fournisseurs (92 jours) sont bien gérés, et le BFR est faible (257 millions FCFA). Les rapports trimestriels de 2025 confirment une année en dents de scie : après un T1 difficile (résultat net en baisse de 6,8% dû à un litige avec la BCEAO), le T3 a montré un net redressement (CA +10,3%, RN +17,1%). Cependant, le rapport du T1 2026 (publié en 2026) est alarmant : malgré une croissance du CA de 1,9%, le résultat net chute de 35,6% à 222 millions FCFA, impacté par les ajustements de redevances aéroportuaires. Sur cette base, on estime que l'exercice 2026 pourrait voir une nouvelle dégradation de la rentabilité, avec un résultat net potentiellement inférieur à 1 milliard FCFA si la tendance se poursuit. La solidité du bilan et la position de leader restent des atouts, mais la pression sur les marges est réelle.</w:t>
      </w:r>
    </w:p>
    <w:p>
      <w:pPr>
        <w:spacing w:after="120" w:line="276" w:lineRule="auto"/>
      </w:pPr>
      <w:r>
        <w:t>---</w:t>
      </w:r>
    </w:p>
    <w:p>
      <w:pPr>
        <w:spacing w:after="120" w:line="276" w:lineRule="auto"/>
      </w:pPr>
      <w:r>
        <w:t>### PARTIE 4 : CONCLUSION D'INVESTISSEMENT</w:t>
      </w:r>
    </w:p>
    <w:p>
      <w:pPr>
        <w:spacing w:after="120" w:line="276" w:lineRule="auto"/>
      </w:pPr>
      <w:r>
        <w:t>La valorisation d'ABJC est exigeante (PER 25,6x, P/B 6,7x), ne laissant que peu de marge de sécurité pour un investisseur. Le comportement du cours sur 100 jours est légèrement baissier avec une volatilité très élevée (54,3%), mais des statistiques (skewness, kurtosis) qui ne montrent pas de risque de krach. Les signaux techniques sont divergents : le MACD est haussier, mais les moyennes mobiles et le stochastique (surachat extrême) suggèrent une correction à venir. Les fondamentaux, bien que solides (ROE de 26%, trésorerie abondante), montrent une dégradation inquiétante de la rentabilité en 2026 (-35,6% au T1), ce qui contredit la valorisation élevée. Les prédictions IA (baisse de 3 111 à 2 947 FCFA sur 10 jours) confirment cette vision baissière à court terme. En synthèse, la convergence des signaux (valorisation chère, momentum technique négatif, dégradation des fondamentaux et prédictions IA baissières) plaide pour une réduction de la position. La recommandation finale est **VENTE**, avec un niveau de confiance **Moyen** et un risque global **Élevé**. L'horizon d'investissement optimal serait de court terme (&lt;3 mois) pour les investisseurs cherchant à arbitrer, en attendant une meilleure visibilité sur la résolution des pressions sur les marges et un point d'entrée plus attractif.</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490.96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9,214 titres</w:t>
            </w:r>
          </w:p>
        </w:tc>
        <w:tc>
          <w:tcPr>
            <w:tcW w:type="dxa" w:w="2268"/>
            <w:shd w:fill="FFF2CC" w:val="clear"/>
          </w:tcPr>
          <w:p>
            <w:r>
              <w:rPr>
                <w:b/>
                <w:color w:val="503200"/>
                <w:sz w:val="16"/>
              </w:rPr>
              <w:t xml:space="preserve">Cours actuel : </w:t>
            </w:r>
            <w:r>
              <w:rPr>
                <w:color w:val="000000"/>
                <w:sz w:val="17"/>
              </w:rPr>
              <w:t>8,500 FCFA</w:t>
            </w:r>
          </w:p>
          <w:p>
            <w:r>
              <w:rPr>
                <w:b/>
                <w:color w:val="503200"/>
                <w:sz w:val="16"/>
              </w:rPr>
              <w:t xml:space="preserve">Var. 100 jours : </w:t>
            </w:r>
            <w:r>
              <w:rPr>
                <w:b/>
                <w:color w:val="007800"/>
                <w:sz w:val="17"/>
              </w:rPr>
              <w:t>+63.46%</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5,000 FCFA</w:t>
            </w:r>
          </w:p>
          <w:p>
            <w:r>
              <w:rPr>
                <w:b/>
                <w:color w:val="503200"/>
                <w:sz w:val="16"/>
              </w:rPr>
              <w:t xml:space="preserve">Volatilité ann. : </w:t>
            </w:r>
            <w:r>
              <w:rPr>
                <w:color w:val="000000"/>
                <w:sz w:val="17"/>
              </w:rPr>
              <w:t>30.0%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15.89% (Élevée) — μ=5,878 FCFA, σ=934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β=0.5740 (Défensif) — Cov=0.000021, Var(idx)=0.000036, ρ=0.183,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9,214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7,525</w:t>
            </w:r>
          </w:p>
        </w:tc>
        <w:tc>
          <w:tcPr>
            <w:tcW w:type="dxa" w:w="1440"/>
            <w:shd w:fill="FFDCE0" w:val="clear"/>
          </w:tcPr>
          <w:p>
            <w:r>
              <w:rPr>
                <w:b/>
                <w:sz w:val="17"/>
              </w:rPr>
              <w:t>7,862</w:t>
            </w:r>
          </w:p>
        </w:tc>
        <w:tc>
          <w:tcPr>
            <w:tcW w:type="dxa" w:w="1440"/>
            <w:shd w:fill="FFDCE0" w:val="clear"/>
          </w:tcPr>
          <w:p>
            <w:r>
              <w:rPr>
                <w:sz w:val="17"/>
              </w:rPr>
              <w:t>8,200</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6,831</w:t>
            </w:r>
          </w:p>
        </w:tc>
        <w:tc>
          <w:tcPr>
            <w:tcW w:type="dxa" w:w="1440"/>
            <w:shd w:fill="FFDCE0" w:val="clear"/>
          </w:tcPr>
          <w:p>
            <w:r>
              <w:rPr>
                <w:b/>
                <w:sz w:val="17"/>
              </w:rPr>
              <w:t>7,273</w:t>
            </w:r>
          </w:p>
        </w:tc>
        <w:tc>
          <w:tcPr>
            <w:tcW w:type="dxa" w:w="1440"/>
            <w:shd w:fill="FFDCE0" w:val="clear"/>
          </w:tcPr>
          <w:p>
            <w:r>
              <w:rPr>
                <w:sz w:val="17"/>
              </w:rPr>
              <w:t>7,714</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6,227</w:t>
            </w:r>
          </w:p>
        </w:tc>
        <w:tc>
          <w:tcPr>
            <w:tcW w:type="dxa" w:w="1440"/>
            <w:shd w:fill="FFDCE0" w:val="clear"/>
          </w:tcPr>
          <w:p>
            <w:r>
              <w:rPr>
                <w:b/>
                <w:sz w:val="17"/>
              </w:rPr>
              <w:t>6,727</w:t>
            </w:r>
          </w:p>
        </w:tc>
        <w:tc>
          <w:tcPr>
            <w:tcW w:type="dxa" w:w="1440"/>
            <w:shd w:fill="FFDCE0" w:val="clear"/>
          </w:tcPr>
          <w:p>
            <w:r>
              <w:rPr>
                <w:sz w:val="17"/>
              </w:rPr>
              <w:t>7,227</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5,689</w:t>
            </w:r>
          </w:p>
        </w:tc>
        <w:tc>
          <w:tcPr>
            <w:tcW w:type="dxa" w:w="1440"/>
            <w:shd w:fill="FFDCE0" w:val="clear"/>
          </w:tcPr>
          <w:p>
            <w:r>
              <w:rPr>
                <w:b/>
                <w:sz w:val="17"/>
              </w:rPr>
              <w:t>6,223</w:t>
            </w:r>
          </w:p>
        </w:tc>
        <w:tc>
          <w:tcPr>
            <w:tcW w:type="dxa" w:w="1440"/>
            <w:shd w:fill="FFDCE0" w:val="clear"/>
          </w:tcPr>
          <w:p>
            <w:r>
              <w:rPr>
                <w:sz w:val="17"/>
              </w:rPr>
              <w:t>6,757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5,444</w:t>
            </w:r>
          </w:p>
        </w:tc>
        <w:tc>
          <w:tcPr>
            <w:tcW w:type="dxa" w:w="1440"/>
            <w:shd w:fill="FFDCE0" w:val="clear"/>
          </w:tcPr>
          <w:p>
            <w:r>
              <w:rPr>
                <w:b/>
                <w:sz w:val="17"/>
              </w:rPr>
              <w:t>6,022</w:t>
            </w:r>
          </w:p>
        </w:tc>
        <w:tc>
          <w:tcPr>
            <w:tcW w:type="dxa" w:w="1440"/>
            <w:shd w:fill="FFDCE0" w:val="clear"/>
          </w:tcPr>
          <w:p>
            <w:r>
              <w:rPr>
                <w:sz w:val="17"/>
              </w:rPr>
              <w:t>6,600</w:t>
            </w:r>
          </w:p>
        </w:tc>
        <w:tc>
          <w:tcPr>
            <w:tcW w:type="dxa" w:w="1440"/>
            <w:shd w:fill="FFDCE0" w:val="clear"/>
          </w:tcPr>
          <w:p>
            <w:r>
              <w:rPr>
                <w:b/>
                <w:color w:val="C00000"/>
                <w:sz w:val="17"/>
              </w:rPr>
              <w:t>-29.2%</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5,265</w:t>
            </w:r>
          </w:p>
        </w:tc>
        <w:tc>
          <w:tcPr>
            <w:tcW w:type="dxa" w:w="1440"/>
            <w:shd w:fill="FFDCE0" w:val="clear"/>
          </w:tcPr>
          <w:p>
            <w:r>
              <w:rPr>
                <w:b/>
                <w:sz w:val="17"/>
              </w:rPr>
              <w:t>5,883</w:t>
            </w:r>
          </w:p>
        </w:tc>
        <w:tc>
          <w:tcPr>
            <w:tcW w:type="dxa" w:w="1440"/>
            <w:shd w:fill="FFDCE0" w:val="clear"/>
          </w:tcPr>
          <w:p>
            <w:r>
              <w:rPr>
                <w:sz w:val="17"/>
              </w:rPr>
              <w:t>6,502</w:t>
            </w:r>
          </w:p>
        </w:tc>
        <w:tc>
          <w:tcPr>
            <w:tcW w:type="dxa" w:w="1440"/>
            <w:shd w:fill="FFDCE0" w:val="clear"/>
          </w:tcPr>
          <w:p>
            <w:r>
              <w:rPr>
                <w:b/>
                <w:color w:val="C00000"/>
                <w:sz w:val="17"/>
              </w:rPr>
              <w:t>-30.8%</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5,108</w:t>
            </w:r>
          </w:p>
        </w:tc>
        <w:tc>
          <w:tcPr>
            <w:tcW w:type="dxa" w:w="1440"/>
            <w:shd w:fill="FFDCE0" w:val="clear"/>
          </w:tcPr>
          <w:p>
            <w:r>
              <w:rPr>
                <w:b/>
                <w:sz w:val="17"/>
              </w:rPr>
              <w:t>5,762</w:t>
            </w:r>
          </w:p>
        </w:tc>
        <w:tc>
          <w:tcPr>
            <w:tcW w:type="dxa" w:w="1440"/>
            <w:shd w:fill="FFDCE0" w:val="clear"/>
          </w:tcPr>
          <w:p>
            <w:r>
              <w:rPr>
                <w:sz w:val="17"/>
              </w:rPr>
              <w:t>6,417</w:t>
            </w:r>
          </w:p>
        </w:tc>
        <w:tc>
          <w:tcPr>
            <w:tcW w:type="dxa" w:w="1440"/>
            <w:shd w:fill="FFDCE0" w:val="clear"/>
          </w:tcPr>
          <w:p>
            <w:r>
              <w:rPr>
                <w:b/>
                <w:color w:val="C00000"/>
                <w:sz w:val="17"/>
              </w:rPr>
              <w:t>-32.2%</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4,971</w:t>
            </w:r>
          </w:p>
        </w:tc>
        <w:tc>
          <w:tcPr>
            <w:tcW w:type="dxa" w:w="1440"/>
            <w:shd w:fill="FFDCE0" w:val="clear"/>
          </w:tcPr>
          <w:p>
            <w:r>
              <w:rPr>
                <w:b/>
                <w:sz w:val="17"/>
              </w:rPr>
              <w:t>5,658</w:t>
            </w:r>
          </w:p>
        </w:tc>
        <w:tc>
          <w:tcPr>
            <w:tcW w:type="dxa" w:w="1440"/>
            <w:shd w:fill="FFDCE0" w:val="clear"/>
          </w:tcPr>
          <w:p>
            <w:r>
              <w:rPr>
                <w:sz w:val="17"/>
              </w:rPr>
              <w:t>6,345</w:t>
            </w:r>
          </w:p>
        </w:tc>
        <w:tc>
          <w:tcPr>
            <w:tcW w:type="dxa" w:w="1440"/>
            <w:shd w:fill="FFDCE0" w:val="clear"/>
          </w:tcPr>
          <w:p>
            <w:r>
              <w:rPr>
                <w:b/>
                <w:color w:val="C00000"/>
                <w:sz w:val="17"/>
              </w:rPr>
              <w:t>-33.4%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4,851</w:t>
            </w:r>
          </w:p>
        </w:tc>
        <w:tc>
          <w:tcPr>
            <w:tcW w:type="dxa" w:w="1440"/>
            <w:shd w:fill="FFDCE0" w:val="clear"/>
          </w:tcPr>
          <w:p>
            <w:r>
              <w:rPr>
                <w:b/>
                <w:sz w:val="17"/>
              </w:rPr>
              <w:t>5,568</w:t>
            </w:r>
          </w:p>
        </w:tc>
        <w:tc>
          <w:tcPr>
            <w:tcW w:type="dxa" w:w="1440"/>
            <w:shd w:fill="FFDCE0" w:val="clear"/>
          </w:tcPr>
          <w:p>
            <w:r>
              <w:rPr>
                <w:sz w:val="17"/>
              </w:rPr>
              <w:t>6,285</w:t>
            </w:r>
          </w:p>
        </w:tc>
        <w:tc>
          <w:tcPr>
            <w:tcW w:type="dxa" w:w="1440"/>
            <w:shd w:fill="FFDCE0" w:val="clear"/>
          </w:tcPr>
          <w:p>
            <w:r>
              <w:rPr>
                <w:b/>
                <w:color w:val="C00000"/>
                <w:sz w:val="17"/>
              </w:rPr>
              <w:t>-34.5%</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4,744</w:t>
            </w:r>
          </w:p>
        </w:tc>
        <w:tc>
          <w:tcPr>
            <w:tcW w:type="dxa" w:w="1440"/>
            <w:shd w:fill="FFDCE0" w:val="clear"/>
          </w:tcPr>
          <w:p>
            <w:r>
              <w:rPr>
                <w:b/>
                <w:sz w:val="17"/>
              </w:rPr>
              <w:t>5,490</w:t>
            </w:r>
          </w:p>
        </w:tc>
        <w:tc>
          <w:tcPr>
            <w:tcW w:type="dxa" w:w="1440"/>
            <w:shd w:fill="FFDCE0" w:val="clear"/>
          </w:tcPr>
          <w:p>
            <w:r>
              <w:rPr>
                <w:sz w:val="17"/>
              </w:rPr>
              <w:t>6,235</w:t>
            </w:r>
          </w:p>
        </w:tc>
        <w:tc>
          <w:tcPr>
            <w:tcW w:type="dxa" w:w="1440"/>
            <w:shd w:fill="FFDCE0" w:val="clear"/>
          </w:tcPr>
          <w:p>
            <w:r>
              <w:rPr>
                <w:b/>
                <w:color w:val="C00000"/>
                <w:sz w:val="17"/>
              </w:rPr>
              <w:t>-35.4%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**Date : 17 août 2026 | Marché : BRVM (Afrique de l'Ouest)**</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BICB s'établit à 490,96 milliards FCFA, un niveau qui la positionne parmi les valeurs bancaires majeures de la BRVM, reflétant une liquidité et une visibilité institutionnelle significatives. Avec un BPA de 627 FCFA, chaque action génère un bénéfice substantiel, justifiant un PER de 13,5x. Ce ratio, bien que supérieur à la moyenne historique de la BRVM (8-12x), reste modéré et témoigne d'une valorisation raisonnable pour une banque en forte croissance. Le P/B de 3,63x indique que le marché accorde une prime de croissance à la valeur comptable, ce qui est cohérent avec les excellentes performances passées. En revanche, l'EV/EBITDA de 24,1x est particulièrement exigeant, signalant que la valeur totale de l'entreprise intègre déjà des anticipations de rentabilité future élevée, ce qui réduit la marge de sécurité pour un nouvel 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enregistré une progression spectaculaire de +63,46%, avec une légère hausse de +0,29% lors de la dernière séance, clôturant à 8 500 FCFA. Le titre a évolué dans une fourchette de 5 000 à 8 500 FCFA, démontrant une dynamique haussière soutenue. La moyenne du cours sur la période (5 878 FCFA) est nettement supérieure à la médiane (5 472 FCFA), et le skewness positif de 1,240 confirme une asymétrie avec des journées majoritairement sous la moyenne mais des pics de hausse marqués. L'écart-type de 939 FCFA (CV de 16%) indique une dispersion modérée, tandis que le kurtosis de 0,356 (mésokurtique) suggère une distribution proche de la normale, sans risque excessif de variations extrêmes. La volatilité annualisée de 30% classe le titre dans la catégorie élevée, reflétant un intérêt spéculatif important et des mouvements de prix amples.</w:t>
      </w:r>
    </w:p>
    <w:p>
      <w:pPr>
        <w:spacing w:after="120" w:line="276" w:lineRule="auto"/>
      </w:pPr>
      <w:r>
        <w:t>---</w:t>
      </w:r>
    </w:p>
    <w:p>
      <w:pPr>
        <w:spacing w:after="120" w:line="276" w:lineRule="auto"/>
      </w:pPr>
      <w:r>
        <w:t>### PARTIE 2 : ANALYSE TECHNIQUE DÉTAILLÉE</w:t>
      </w:r>
    </w:p>
    <w:p>
      <w:pPr>
        <w:spacing w:after="120" w:line="276" w:lineRule="auto"/>
      </w:pPr>
      <w:r>
        <w:t>**Moyennes Mobiles** : La MM20 (7 494,75 FCFA) et la MM50 (6 568,6 FCFA) sont toutes deux largement inférieures au cours actuel de 8 500 FCFA, confirmant une tendance haussière robuste. La configuration en "courbe ascendante" des moyennes mobiles valide la dynamique positive et justifie la décision d'achat, le prix évoluant nettement au-dessus de ces supports dynamiques.</w:t>
      </w:r>
    </w:p>
    <w:p>
      <w:pPr>
        <w:spacing w:after="120" w:line="276" w:lineRule="auto"/>
      </w:pPr>
      <w:r>
        <w:t>**Bandes de Bollinger** : Le cours se situe à 8 500 FCFA, proche de la borne supérieure (8 719,57 FCFA), indiquant une pression acheteuse intense. La largeur des bandes reflète une volatilité élevée. Bien que la décision soit neutre, la proximité de la borne supérieure suggère un potentiel de consolidation ou de correction à court terme, le prix étant en zone de surachat technique.</w:t>
      </w:r>
    </w:p>
    <w:p>
      <w:pPr>
        <w:spacing w:after="120" w:line="276" w:lineRule="auto"/>
      </w:pPr>
      <w:r>
        <w:t>**MACD** : Le MACD (499,15) est nettement supérieur à sa ligne de signal (444,48), confirmant un momentum haussier fort. La divergence positive indique que la dynamique d'achat reste dominante, justifiant la décision d'achat. Cependant, l'écart important entre les deux lignes pourrait signaler une exubérance à surveiller.</w:t>
      </w:r>
    </w:p>
    <w:p>
      <w:pPr>
        <w:spacing w:after="120" w:line="276" w:lineRule="auto"/>
      </w:pPr>
      <w:r>
        <w:t>**RSI** : Le RSI à 71,12 dépasse le seuil de surachat (70), signalant que le titre est techniquement surévalué à court terme. Cette lecture suggère une possible correction ou consolidation, justifiant la décision de vente pour les traders à court terme, bien que la tendance de fond reste haussière.</w:t>
      </w:r>
    </w:p>
    <w:p>
      <w:pPr>
        <w:spacing w:after="120" w:line="276" w:lineRule="auto"/>
      </w:pPr>
      <w:r>
        <w:t>**Stochastique** : Le %K et le %D sont tous deux à 100, un niveau extrême de surachat. Cette configuration indique que le marché est dans une phase de "surachat extrême", avec un risque élevé de retournement. La décision de vente est cohérente avec cette lecture, mais elle doit être nuancée dans un contexte de forte tendance haussière.</w:t>
      </w:r>
    </w:p>
    <w:p>
      <w:pPr>
        <w:spacing w:after="120" w:line="276" w:lineRule="auto"/>
      </w:pPr>
      <w:r>
        <w:t>**Conclusion technique** : Les indicateurs de tendance (MM, MACD) sont résolument haussiers, mais les oscillateurs (RSI, Stochastique) signalent un surachat extrême. Cette divergence suggère un potentiel de poursuite de la hausse à moyen terme, mais avec un risque accru de correction à court terme. Un investisseur prudent attendrait un repli technique avant d'entrer.</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BICB font état d'un Produit Net Bancaire (PNB) de 52,805 milliards FCFA, en hausse de 16,5%, et d'un résultat net de 36,237 milliards FCFA, en progression de 24,7%. La banque affiche des ratios de rentabilité excellents avec un ROE de 26,82% et un ROA de 1,96%, témoignant d'une gestion efficace des fonds propres et des actifs. Le coefficient d'exploitation de 31,12% est remarquablement bas, indiquant une excellente maîtrise des charges opérationnelles. Cependant, le coût du risque de 9,61% est élevé, reflétant une politique de provisionnement prudente face à une expansion rapide des crédits (+37,3% à 1 151,5 milliards FCFA). Le ratio crédits/dépôts de 97,5% signale une transformation bilancielle tendue, avec un risque de liquidité à surveiller. **Sur la base des rapports trimestriels 2025**, le T1 2026 confirme une accélération avec un PNB en hausse de 35% à 14,6 milliards FCFA et un résultat net en progression de 48% à 8,0 milliards FCFA, suggérant une dynamique de croissance soutenue pour l'exercice en cours. La banque a adopté les normes IFRS avec un impact de transition de -10,4 milliards FCFA sur les capitaux propres d'ouverture, mais maintient une solvabilité solide (ratio de 19,64%). Les rapports des commissaires aux comptes (juin 2026) soulignent des risques de crédit et des lacunes dans le système d'information, mais la recommandation globale reste positive, avec une solidité financière satisfaisante et des perspectives de croissance favorables dans un environnement économique porteur.</w:t>
      </w:r>
    </w:p>
    <w:p>
      <w:pPr>
        <w:spacing w:after="120" w:line="276" w:lineRule="auto"/>
      </w:pPr>
      <w:r>
        <w:t>---</w:t>
      </w:r>
    </w:p>
    <w:p>
      <w:pPr>
        <w:spacing w:after="120" w:line="276" w:lineRule="auto"/>
      </w:pPr>
      <w:r>
        <w:t>### PARTIE 4 : CONCLUSION D'INVESTISSEMENT</w:t>
      </w:r>
    </w:p>
    <w:p>
      <w:pPr>
        <w:spacing w:after="120" w:line="276" w:lineRule="auto"/>
      </w:pPr>
      <w:r>
        <w:t>La valorisation de BICB (PER 13,5x, P/B 3,63x, EV/EBITDA 24,1x) est exigeante, intégrant des anticipations de croissance élevées, mais reste justifiée par des fondamentaux solides. Le comportement du cours (+63,46% sur 100 jours) montre une tendance haussière puissante, mais avec une volatilité élevée et des statistiques (skewness positif, kurtosis mésokurtique) indiquant un risque de retournement. Les signaux techniques sont mitigés : les indicateurs de tendance (MM, MACD) sont positifs, mais les oscillateurs (RSI, Stochastique) sont en surachat extrême, suggérant une correction probable à court terme. Les fondamentaux sont robustes avec une croissance du PNB et du résultat net, un ROE excellent, mais un coût du risque et une liquidité à surveiller. Les prédictions IA pour les 10 prochains jours (baisse de 8 500 à 6 022 FCFA) confirment le scénario de correction technique, contredisant la tendance de fond. **Recommandation finale : CONSERVER** avec un niveau de confiance Moyen et un risque global Élevé. L'horizon d'investissement optimal est le moyen terme (3-12 mois), en attendant une consolidation du cours pour renforcer la position, ou une clarification sur la maîtrise du coût du risque pour envisager un achat plus agressif.</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477.83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742 titres</w:t>
            </w:r>
          </w:p>
        </w:tc>
        <w:tc>
          <w:tcPr>
            <w:tcW w:type="dxa" w:w="2268"/>
            <w:shd w:fill="FFF2CC" w:val="clear"/>
          </w:tcPr>
          <w:p>
            <w:r>
              <w:rPr>
                <w:b/>
                <w:color w:val="503200"/>
                <w:sz w:val="16"/>
              </w:rPr>
              <w:t xml:space="preserve">Cours actuel : </w:t>
            </w:r>
            <w:r>
              <w:rPr>
                <w:color w:val="000000"/>
                <w:sz w:val="17"/>
              </w:rPr>
              <w:t>28,670 FCFA</w:t>
            </w:r>
          </w:p>
          <w:p>
            <w:r>
              <w:rPr>
                <w:b/>
                <w:color w:val="503200"/>
                <w:sz w:val="16"/>
              </w:rPr>
              <w:t xml:space="preserve">Var. 100 jours : </w:t>
            </w:r>
            <w:r>
              <w:rPr>
                <w:b/>
                <w:color w:val="007800"/>
                <w:sz w:val="17"/>
              </w:rPr>
              <w:t>+10.27%</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7.41% (Moyenne) — μ=26,984 FCFA, σ=1,998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β=0.5854 (Défensif) — Cov=0.000021, Var(idx)=0.000036, ρ=0.188,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742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27,494</w:t>
            </w:r>
          </w:p>
        </w:tc>
        <w:tc>
          <w:tcPr>
            <w:tcW w:type="dxa" w:w="1440"/>
            <w:shd w:fill="FAFAFA" w:val="clear"/>
          </w:tcPr>
          <w:p>
            <w:r>
              <w:rPr>
                <w:b/>
                <w:sz w:val="17"/>
              </w:rPr>
              <w:t>28,216</w:t>
            </w:r>
          </w:p>
        </w:tc>
        <w:tc>
          <w:tcPr>
            <w:tcW w:type="dxa" w:w="1440"/>
            <w:shd w:fill="FAFAFA" w:val="clear"/>
          </w:tcPr>
          <w:p>
            <w:r>
              <w:rPr>
                <w:sz w:val="17"/>
              </w:rPr>
              <w:t>28,937</w:t>
            </w:r>
          </w:p>
        </w:tc>
        <w:tc>
          <w:tcPr>
            <w:tcW w:type="dxa" w:w="1440"/>
            <w:shd w:fill="FAFAFA" w:val="clear"/>
          </w:tcPr>
          <w:p>
            <w:r>
              <w:rPr>
                <w:b/>
                <w:color w:val="C00000"/>
                <w:sz w:val="17"/>
              </w:rPr>
              <w:t>-1.6%</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26,935</w:t>
            </w:r>
          </w:p>
        </w:tc>
        <w:tc>
          <w:tcPr>
            <w:tcW w:type="dxa" w:w="1440"/>
            <w:shd w:fill="FFDCE0" w:val="clear"/>
          </w:tcPr>
          <w:p>
            <w:r>
              <w:rPr>
                <w:b/>
                <w:sz w:val="17"/>
              </w:rPr>
              <w:t>27,945</w:t>
            </w:r>
          </w:p>
        </w:tc>
        <w:tc>
          <w:tcPr>
            <w:tcW w:type="dxa" w:w="1440"/>
            <w:shd w:fill="FFDCE0" w:val="clear"/>
          </w:tcPr>
          <w:p>
            <w:r>
              <w:rPr>
                <w:sz w:val="17"/>
              </w:rPr>
              <w:t>28,956</w:t>
            </w:r>
          </w:p>
        </w:tc>
        <w:tc>
          <w:tcPr>
            <w:tcW w:type="dxa" w:w="1440"/>
            <w:shd w:fill="FFDCE0" w:val="clear"/>
          </w:tcPr>
          <w:p>
            <w:r>
              <w:rPr>
                <w:b/>
                <w:color w:val="C00000"/>
                <w:sz w:val="17"/>
              </w:rPr>
              <w:t>-2.5%</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26,444</w:t>
            </w:r>
          </w:p>
        </w:tc>
        <w:tc>
          <w:tcPr>
            <w:tcW w:type="dxa" w:w="1440"/>
            <w:shd w:fill="FFDCE0" w:val="clear"/>
          </w:tcPr>
          <w:p>
            <w:r>
              <w:rPr>
                <w:b/>
                <w:sz w:val="17"/>
              </w:rPr>
              <w:t>27,670</w:t>
            </w:r>
          </w:p>
        </w:tc>
        <w:tc>
          <w:tcPr>
            <w:tcW w:type="dxa" w:w="1440"/>
            <w:shd w:fill="FFDCE0" w:val="clear"/>
          </w:tcPr>
          <w:p>
            <w:r>
              <w:rPr>
                <w:sz w:val="17"/>
              </w:rPr>
              <w:t>28,895</w:t>
            </w:r>
          </w:p>
        </w:tc>
        <w:tc>
          <w:tcPr>
            <w:tcW w:type="dxa" w:w="1440"/>
            <w:shd w:fill="FFDCE0" w:val="clear"/>
          </w:tcPr>
          <w:p>
            <w:r>
              <w:rPr>
                <w:b/>
                <w:color w:val="C00000"/>
                <w:sz w:val="17"/>
              </w:rPr>
              <w:t>-3.5%</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26,011</w:t>
            </w:r>
          </w:p>
        </w:tc>
        <w:tc>
          <w:tcPr>
            <w:tcW w:type="dxa" w:w="1440"/>
            <w:shd w:fill="FFDCE0" w:val="clear"/>
          </w:tcPr>
          <w:p>
            <w:r>
              <w:rPr>
                <w:b/>
                <w:sz w:val="17"/>
              </w:rPr>
              <w:t>27,413</w:t>
            </w:r>
          </w:p>
        </w:tc>
        <w:tc>
          <w:tcPr>
            <w:tcW w:type="dxa" w:w="1440"/>
            <w:shd w:fill="FFDCE0" w:val="clear"/>
          </w:tcPr>
          <w:p>
            <w:r>
              <w:rPr>
                <w:sz w:val="17"/>
              </w:rPr>
              <w:t>28,815</w:t>
            </w:r>
          </w:p>
        </w:tc>
        <w:tc>
          <w:tcPr>
            <w:tcW w:type="dxa" w:w="1440"/>
            <w:shd w:fill="FFDCE0" w:val="clear"/>
          </w:tcPr>
          <w:p>
            <w:r>
              <w:rPr>
                <w:b/>
                <w:color w:val="C00000"/>
                <w:sz w:val="17"/>
              </w:rPr>
              <w:t>-4.4%</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25,618</w:t>
            </w:r>
          </w:p>
        </w:tc>
        <w:tc>
          <w:tcPr>
            <w:tcW w:type="dxa" w:w="1440"/>
            <w:shd w:fill="FFDCE0" w:val="clear"/>
          </w:tcPr>
          <w:p>
            <w:r>
              <w:rPr>
                <w:b/>
                <w:sz w:val="17"/>
              </w:rPr>
              <w:t>27,172</w:t>
            </w:r>
          </w:p>
        </w:tc>
        <w:tc>
          <w:tcPr>
            <w:tcW w:type="dxa" w:w="1440"/>
            <w:shd w:fill="FFDCE0" w:val="clear"/>
          </w:tcPr>
          <w:p>
            <w:r>
              <w:rPr>
                <w:sz w:val="17"/>
              </w:rPr>
              <w:t>28,726</w:t>
            </w:r>
          </w:p>
        </w:tc>
        <w:tc>
          <w:tcPr>
            <w:tcW w:type="dxa" w:w="1440"/>
            <w:shd w:fill="FFDCE0" w:val="clear"/>
          </w:tcPr>
          <w:p>
            <w:r>
              <w:rPr>
                <w:b/>
                <w:color w:val="C00000"/>
                <w:sz w:val="17"/>
              </w:rPr>
              <w:t>-5.2%</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25,254</w:t>
            </w:r>
          </w:p>
        </w:tc>
        <w:tc>
          <w:tcPr>
            <w:tcW w:type="dxa" w:w="1440"/>
            <w:shd w:fill="FFDCE0" w:val="clear"/>
          </w:tcPr>
          <w:p>
            <w:r>
              <w:rPr>
                <w:b/>
                <w:sz w:val="17"/>
              </w:rPr>
              <w:t>26,941</w:t>
            </w:r>
          </w:p>
        </w:tc>
        <w:tc>
          <w:tcPr>
            <w:tcW w:type="dxa" w:w="1440"/>
            <w:shd w:fill="FFDCE0" w:val="clear"/>
          </w:tcPr>
          <w:p>
            <w:r>
              <w:rPr>
                <w:sz w:val="17"/>
              </w:rPr>
              <w:t>28,629</w:t>
            </w:r>
          </w:p>
        </w:tc>
        <w:tc>
          <w:tcPr>
            <w:tcW w:type="dxa" w:w="1440"/>
            <w:shd w:fill="FFDCE0" w:val="clear"/>
          </w:tcPr>
          <w:p>
            <w:r>
              <w:rPr>
                <w:b/>
                <w:color w:val="C00000"/>
                <w:sz w:val="17"/>
              </w:rPr>
              <w:t>-6.0%</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24,912</w:t>
            </w:r>
          </w:p>
        </w:tc>
        <w:tc>
          <w:tcPr>
            <w:tcW w:type="dxa" w:w="1440"/>
            <w:shd w:fill="FFDCE0" w:val="clear"/>
          </w:tcPr>
          <w:p>
            <w:r>
              <w:rPr>
                <w:b/>
                <w:sz w:val="17"/>
              </w:rPr>
              <w:t>26,719</w:t>
            </w:r>
          </w:p>
        </w:tc>
        <w:tc>
          <w:tcPr>
            <w:tcW w:type="dxa" w:w="1440"/>
            <w:shd w:fill="FFDCE0" w:val="clear"/>
          </w:tcPr>
          <w:p>
            <w:r>
              <w:rPr>
                <w:sz w:val="17"/>
              </w:rPr>
              <w:t>28,527</w:t>
            </w:r>
          </w:p>
        </w:tc>
        <w:tc>
          <w:tcPr>
            <w:tcW w:type="dxa" w:w="1440"/>
            <w:shd w:fill="FFDCE0" w:val="clear"/>
          </w:tcPr>
          <w:p>
            <w:r>
              <w:rPr>
                <w:b/>
                <w:color w:val="C00000"/>
                <w:sz w:val="17"/>
              </w:rPr>
              <w:t>-6.8%</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24,588</w:t>
            </w:r>
          </w:p>
        </w:tc>
        <w:tc>
          <w:tcPr>
            <w:tcW w:type="dxa" w:w="1440"/>
            <w:shd w:fill="FFDCE0" w:val="clear"/>
          </w:tcPr>
          <w:p>
            <w:r>
              <w:rPr>
                <w:b/>
                <w:sz w:val="17"/>
              </w:rPr>
              <w:t>26,505</w:t>
            </w:r>
          </w:p>
        </w:tc>
        <w:tc>
          <w:tcPr>
            <w:tcW w:type="dxa" w:w="1440"/>
            <w:shd w:fill="FFDCE0" w:val="clear"/>
          </w:tcPr>
          <w:p>
            <w:r>
              <w:rPr>
                <w:sz w:val="17"/>
              </w:rPr>
              <w:t>28,422</w:t>
            </w:r>
          </w:p>
        </w:tc>
        <w:tc>
          <w:tcPr>
            <w:tcW w:type="dxa" w:w="1440"/>
            <w:shd w:fill="FFDCE0" w:val="clear"/>
          </w:tcPr>
          <w:p>
            <w:r>
              <w:rPr>
                <w:b/>
                <w:color w:val="C00000"/>
                <w:sz w:val="17"/>
              </w:rPr>
              <w:t>-7.5%</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24,282</w:t>
            </w:r>
          </w:p>
        </w:tc>
        <w:tc>
          <w:tcPr>
            <w:tcW w:type="dxa" w:w="1440"/>
            <w:shd w:fill="FFDCE0" w:val="clear"/>
          </w:tcPr>
          <w:p>
            <w:r>
              <w:rPr>
                <w:b/>
                <w:sz w:val="17"/>
              </w:rPr>
              <w:t>26,299</w:t>
            </w:r>
          </w:p>
        </w:tc>
        <w:tc>
          <w:tcPr>
            <w:tcW w:type="dxa" w:w="1440"/>
            <w:shd w:fill="FFDCE0" w:val="clear"/>
          </w:tcPr>
          <w:p>
            <w:r>
              <w:rPr>
                <w:sz w:val="17"/>
              </w:rPr>
              <w:t>28,317</w:t>
            </w:r>
          </w:p>
        </w:tc>
        <w:tc>
          <w:tcPr>
            <w:tcW w:type="dxa" w:w="1440"/>
            <w:shd w:fill="FFDCE0" w:val="clear"/>
          </w:tcPr>
          <w:p>
            <w:r>
              <w:rPr>
                <w:b/>
                <w:color w:val="C00000"/>
                <w:sz w:val="17"/>
              </w:rPr>
              <w:t>-8.3%</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23,989</w:t>
            </w:r>
          </w:p>
        </w:tc>
        <w:tc>
          <w:tcPr>
            <w:tcW w:type="dxa" w:w="1440"/>
            <w:shd w:fill="FFDCE0" w:val="clear"/>
          </w:tcPr>
          <w:p>
            <w:r>
              <w:rPr>
                <w:b/>
                <w:sz w:val="17"/>
              </w:rPr>
              <w:t>26,100</w:t>
            </w:r>
          </w:p>
        </w:tc>
        <w:tc>
          <w:tcPr>
            <w:tcW w:type="dxa" w:w="1440"/>
            <w:shd w:fill="FFDCE0" w:val="clear"/>
          </w:tcPr>
          <w:p>
            <w:r>
              <w:rPr>
                <w:sz w:val="17"/>
              </w:rPr>
              <w:t>28,210</w:t>
            </w:r>
          </w:p>
        </w:tc>
        <w:tc>
          <w:tcPr>
            <w:tcW w:type="dxa" w:w="1440"/>
            <w:shd w:fill="FFDCE0" w:val="clear"/>
          </w:tcPr>
          <w:p>
            <w:r>
              <w:rPr>
                <w:b/>
                <w:color w:val="C00000"/>
                <w:sz w:val="17"/>
              </w:rPr>
              <w:t>-9.0%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477,83 milliards FCFA, ce qui positionne le titre parmi les valeurs bancaires majeures de la BRVM, reflétant une liquidité et une visibilité institutionnelle importantes. Avec un BPA de 2 191 FCFA, chaque action génère un bénéfice substantiel, justifiant un PER de 13,1x. Ce ratio est légèrement supérieur à la moyenne historique de la BRVM (8-12x), indiquant que les investisseurs acceptent de payer une prime modérée pour la qualité de la banque et ses perspectives de croissance. Le P/B de 3,96x confirme cette prime, le marché valorisant le titre nettement au-dessus de sa valeur comptable (2-4x), signe d'une forte confiance dans la création de valeur future. Enfin, un EV/EBITDA de 9,2x reste dans une zone raisonnable (5-10x), suggérant que la valorisation globale de l'entreprise, rapportée à sa capacité opérationnelle, n'est pas excessive.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affiche une progression solide de +10,27%, avec une légère consolidation de -1,14% lors de la dernière séance, reflétant une prise de bénéfices après une période haussière. Le cours a évolué dans un range de trading de 22 500 FCFA (plus bas) à 29 490 FCFA (plus haut), démontrant une volatilité intraday notable. La moyenne (26 984 FCFA) est inférieure à la médiane (27 948 FCFA), ce qui, combiné à un skewness négatif (-0.587), indique que les journées de forte hausse ont été plus fréquentes mais que les baisses ont été plus marquées, tirant la moyenne vers le bas. Le kurtosis négatif (-1.127) signale une distribution platykurtique, avec des variations de prix moins extrêmes que la normale. L'écart-type de 2 008 FCFA (CV=7,4%) montre une dispersion modérée autour de la moyenne. La volatilité annualisée de 29,8% classe le titre dans une zone de risque élevé, nécessitant une gestion attentive.</w:t>
      </w:r>
    </w:p>
    <w:p>
      <w:pPr>
        <w:spacing w:after="120" w:line="276" w:lineRule="auto" w:before="240"/>
      </w:pPr>
      <w:r>
        <w:rPr>
          <w:b/>
          <w:color w:val="003366"/>
          <w:sz w:val="24"/>
        </w:rPr>
        <w:t>**PARTIE 2 : ANALYSE TECHNIQUE DÉTAILLÉE**</w:t>
      </w:r>
    </w:p>
    <w:p>
      <w:pPr>
        <w:spacing w:after="120" w:line="276" w:lineRule="auto"/>
      </w:pPr>
      <w:r>
        <w:t>Les **Moyennes Mobiles** (MM20=28 663 FCFA, MM50=28 574 FCFA) sont toutes deux inférieures au cours actuel de 28 670 FCFA, indiquant une tendance haussière sous-jacente. Le croisement de la MM20 au-dessus de la MM50 renforce ce signal positif, justifiant une décision d'**Achat**.</w:t>
      </w:r>
    </w:p>
    <w:p>
      <w:pPr>
        <w:spacing w:after="120" w:line="276" w:lineRule="auto"/>
      </w:pPr>
      <w:r>
        <w:t>Les **Bandes de Bollinger** (Borne supérieure=29 636 FCFA, Borne inférieure=27 691 FCFA) montrent un cours positionné près de la moyenne de la bande, suggérant une volatilité modérée sans excès. Le prix n'étant pas aux extrêmes, la décision est **Neutre**, mais une cassure au-dessus de la borne supérieure pourrait signaler une accélération haussière.</w:t>
      </w:r>
    </w:p>
    <w:p>
      <w:pPr>
        <w:spacing w:after="120" w:line="276" w:lineRule="auto"/>
      </w:pPr>
      <w:r>
        <w:t>Le **MACD** (Valeur=182,6, Signal=187,9) affiche une valeur légèrement inférieure à son signal, indiquant un momentum baissier à court terme. Cette divergence négative suggère une possible consolidation, justifiant une décision de **Vente** pour les traders à court terme.</w:t>
      </w:r>
    </w:p>
    <w:p>
      <w:pPr>
        <w:spacing w:after="120" w:line="276" w:lineRule="auto"/>
      </w:pPr>
      <w:r>
        <w:t>Le **RSI** à 58,6 se situe dans la zone neutre (30-70), sans signal de surachat ni de survente. Cela indique que le titre n'est ni surévalué ni sous-évalué techniquement, laissant place à une évolution directionnelle, d'où une décision **Neutre**.</w:t>
      </w:r>
    </w:p>
    <w:p>
      <w:pPr>
        <w:spacing w:after="120" w:line="276" w:lineRule="auto"/>
      </w:pPr>
      <w:r>
        <w:t>Le **Stochastique** (%K=0,0, %D=55,3) montre un %K très bas, suggérant une condition de survente extrême à très court terme. Le croisement potentiel du %K au-dessus du %D pourrait déclencher un signal d'**Achat** opportuniste.</w:t>
      </w:r>
    </w:p>
    <w:p>
      <w:pPr>
        <w:spacing w:after="120" w:line="276" w:lineRule="auto"/>
      </w:pPr>
      <w:r>
        <w:t>En conclusion, les indicateurs techniques sont mitigés : les moyennes mobiles et le stochastique suggèrent un potentiel haussier, tandis que le MACD indique un momentum baissier à court terme. Le RSI et les bandes de Bollinger restent neutres. Cette divergence suggère une phase de consolidation avant une possible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BICC confirment une santé financière robuste. Le Produit Net Bancaire (PNB) s'établit à 79,563 milliards FCFA, avec un résultat net de 36,520 milliards FCFA, démontrant une forte capacité de génération de profits. Le ROE est exceptionnel à 30,29%, et le ROA à 3,24%, tous deux nettement supérieurs aux seuils d'excellence. Le coefficient d'exploitation de 50,83% témoigne d'une gestion opérationnelle très efficace (inférieur à 60%). Le coût du risque, bien que négatif (-12,15%), doit être surveillé, mais la couverture des intérêts à 329% offre une marge de sécurité confortable. Les dépôts clientèle (952,872 milliards FCFA) dépassent largement les créances sur la clientèle (524,439 milliards FCFA), indiquant une transformation saine. Les rapports trimestriels de 2025 confirment cette dynamique : le T1 2025 (PNB +9,3%, résultat net +23%), le S1 2025 (PNB +16,6%, résultat net +42,5%) et le T3 2025 (PNB +16,4%, résultat net +50,8%) montrent une accélération continue. Le rapport T1 2026 (PNB +17%, résultat net +29,7%) suggère que l'exercice 2026 pourrait dépasser les performances de 2025. La solidité financière, la croissance soutenue et la gestion rigoureuse des risques positionnent BICC comme une valeur de premier plan sur la BRVM.</w:t>
      </w:r>
    </w:p>
    <w:p>
      <w:pPr>
        <w:spacing w:after="120" w:line="276" w:lineRule="auto" w:before="240"/>
      </w:pPr>
      <w:r>
        <w:rPr>
          <w:b/>
          <w:color w:val="003366"/>
          <w:sz w:val="24"/>
        </w:rPr>
        <w:t>**PARTIE 4 : CONCLUSION D'INVESTISSEMENT**</w:t>
      </w:r>
    </w:p>
    <w:p>
      <w:pPr>
        <w:spacing w:after="120" w:line="276" w:lineRule="auto"/>
      </w:pPr>
      <w:r>
        <w:t>La valorisation de BICC (PER 13,1x, P/B 3,96x) est légèrement supérieure à la moyenne du marché, mais justifiée par une rentabilité exceptionnelle (ROE &gt;30%) et une croissance soutenue. Le comportement du cours sur 100 jours (+10,27%) est positif, avec une volatilité élevée (29,8%) qui offre des opportunités mais requiert une tolérance au risque. Les signaux techniques sont mitigés, avec une tendance haussière de fond (MM) mais un momentum à court terme en consolidation (MACD). Les fondamentaux sont indiscutablement solides, avec une croissance à deux chiffres du PNB et du résultat net, une maîtrise des coûts et une excellente qualité de bilan. Les prédictions IA (J+1 à J+10) prévoient une légère correction (de 28 216 à 27 172 FCFA), ce qui pourrait représenter un point d'entrée intéressant pour les investisseurs. En synthèse, la convergence entre des fondamentaux excellents et une valorisation raisonnable, malgré des signaux techniques mixtes, conduit à une recommandation **ACHAT**. Le niveau de confiance est **Élevé**, le risque global est **Moyen** (volatilité et coût du risque à surveiller). L'horizon d'investissement optimal est le **moyen terme (3-12 mois)**, pour capitaliser sur la croissance continue et une possible appréciation du titre après la consolidation attendue.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13.25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2,166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007800"/>
                <w:sz w:val="17"/>
              </w:rPr>
              <w:t>+26.98%</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11.69% (Moyenne) — μ=1,733 FCFA, σ=203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β=-0.0096 (Contre-cyclique) — Cov=-0.000000, Var(idx)=0.000036, ρ=-0.002,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2,166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1,908</w:t>
            </w:r>
          </w:p>
        </w:tc>
        <w:tc>
          <w:tcPr>
            <w:tcW w:type="dxa" w:w="1440"/>
            <w:shd w:fill="FAFAFA" w:val="clear"/>
          </w:tcPr>
          <w:p>
            <w:r>
              <w:rPr>
                <w:b/>
                <w:sz w:val="17"/>
              </w:rPr>
              <w:t>1,995</w:t>
            </w:r>
          </w:p>
        </w:tc>
        <w:tc>
          <w:tcPr>
            <w:tcW w:type="dxa" w:w="1440"/>
            <w:shd w:fill="FAFAFA" w:val="clear"/>
          </w:tcPr>
          <w:p>
            <w:r>
              <w:rPr>
                <w:sz w:val="17"/>
              </w:rPr>
              <w:t>2,081</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1,870</w:t>
            </w:r>
          </w:p>
        </w:tc>
        <w:tc>
          <w:tcPr>
            <w:tcW w:type="dxa" w:w="1440"/>
            <w:shd w:fill="FAFAFA" w:val="clear"/>
          </w:tcPr>
          <w:p>
            <w:r>
              <w:rPr>
                <w:b/>
                <w:sz w:val="17"/>
              </w:rPr>
              <w:t>1,991</w:t>
            </w:r>
          </w:p>
        </w:tc>
        <w:tc>
          <w:tcPr>
            <w:tcW w:type="dxa" w:w="1440"/>
            <w:shd w:fill="FAFAFA" w:val="clear"/>
          </w:tcPr>
          <w:p>
            <w:r>
              <w:rPr>
                <w:sz w:val="17"/>
              </w:rPr>
              <w:t>2,113</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2026-08-19</w:t>
            </w:r>
          </w:p>
        </w:tc>
        <w:tc>
          <w:tcPr>
            <w:tcW w:type="dxa" w:w="1440"/>
            <w:shd w:fill="FAFAFA" w:val="clear"/>
          </w:tcPr>
          <w:p>
            <w:r>
              <w:rPr>
                <w:sz w:val="17"/>
              </w:rPr>
              <w:t>1,839</w:t>
            </w:r>
          </w:p>
        </w:tc>
        <w:tc>
          <w:tcPr>
            <w:tcW w:type="dxa" w:w="1440"/>
            <w:shd w:fill="FAFAFA" w:val="clear"/>
          </w:tcPr>
          <w:p>
            <w:r>
              <w:rPr>
                <w:b/>
                <w:sz w:val="17"/>
              </w:rPr>
              <w:t>1,988</w:t>
            </w:r>
          </w:p>
        </w:tc>
        <w:tc>
          <w:tcPr>
            <w:tcW w:type="dxa" w:w="1440"/>
            <w:shd w:fill="FAFAFA" w:val="clear"/>
          </w:tcPr>
          <w:p>
            <w:r>
              <w:rPr>
                <w:sz w:val="17"/>
              </w:rPr>
              <w:t>2,137</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1,814</w:t>
            </w:r>
          </w:p>
        </w:tc>
        <w:tc>
          <w:tcPr>
            <w:tcW w:type="dxa" w:w="1440"/>
            <w:shd w:fill="FAFAFA" w:val="clear"/>
          </w:tcPr>
          <w:p>
            <w:r>
              <w:rPr>
                <w:b/>
                <w:sz w:val="17"/>
              </w:rPr>
              <w:t>1,986</w:t>
            </w:r>
          </w:p>
        </w:tc>
        <w:tc>
          <w:tcPr>
            <w:tcW w:type="dxa" w:w="1440"/>
            <w:shd w:fill="FAFAFA" w:val="clear"/>
          </w:tcPr>
          <w:p>
            <w:r>
              <w:rPr>
                <w:sz w:val="17"/>
              </w:rPr>
              <w:t>2,158</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1,792</w:t>
            </w:r>
          </w:p>
        </w:tc>
        <w:tc>
          <w:tcPr>
            <w:tcW w:type="dxa" w:w="1440"/>
            <w:shd w:fill="FAFAFA" w:val="clear"/>
          </w:tcPr>
          <w:p>
            <w:r>
              <w:rPr>
                <w:b/>
                <w:sz w:val="17"/>
              </w:rPr>
              <w:t>1,984</w:t>
            </w:r>
          </w:p>
        </w:tc>
        <w:tc>
          <w:tcPr>
            <w:tcW w:type="dxa" w:w="1440"/>
            <w:shd w:fill="FAFAFA" w:val="clear"/>
          </w:tcPr>
          <w:p>
            <w:r>
              <w:rPr>
                <w:sz w:val="17"/>
              </w:rPr>
              <w:t>2,176</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2026-08-24</w:t>
            </w:r>
          </w:p>
        </w:tc>
        <w:tc>
          <w:tcPr>
            <w:tcW w:type="dxa" w:w="1440"/>
            <w:shd w:fill="FAFAFA" w:val="clear"/>
          </w:tcPr>
          <w:p>
            <w:r>
              <w:rPr>
                <w:sz w:val="17"/>
              </w:rPr>
              <w:t>1,772</w:t>
            </w:r>
          </w:p>
        </w:tc>
        <w:tc>
          <w:tcPr>
            <w:tcW w:type="dxa" w:w="1440"/>
            <w:shd w:fill="FAFAFA" w:val="clear"/>
          </w:tcPr>
          <w:p>
            <w:r>
              <w:rPr>
                <w:b/>
                <w:sz w:val="17"/>
              </w:rPr>
              <w:t>1,982</w:t>
            </w:r>
          </w:p>
        </w:tc>
        <w:tc>
          <w:tcPr>
            <w:tcW w:type="dxa" w:w="1440"/>
            <w:shd w:fill="FAFAFA" w:val="clear"/>
          </w:tcPr>
          <w:p>
            <w:r>
              <w:rPr>
                <w:sz w:val="17"/>
              </w:rPr>
              <w:t>2,192</w:t>
            </w:r>
          </w:p>
        </w:tc>
        <w:tc>
          <w:tcPr>
            <w:tcW w:type="dxa" w:w="1440"/>
            <w:shd w:fill="FAFAFA" w:val="clear"/>
          </w:tcPr>
          <w:p>
            <w:r>
              <w:rPr>
                <w:b/>
                <w:color w:val="C00000"/>
                <w:sz w:val="17"/>
              </w:rPr>
              <w:t>-0.9%</w:t>
            </w:r>
          </w:p>
        </w:tc>
      </w:tr>
      <w:tr>
        <w:tc>
          <w:tcPr>
            <w:tcW w:type="dxa" w:w="1440"/>
            <w:shd w:fill="FAFAFA" w:val="clear"/>
          </w:tcPr>
          <w:p>
            <w:r>
              <w:rPr>
                <w:sz w:val="17"/>
              </w:rPr>
              <w:t>J+7  ⭐</w:t>
            </w:r>
          </w:p>
        </w:tc>
        <w:tc>
          <w:tcPr>
            <w:tcW w:type="dxa" w:w="1440"/>
            <w:shd w:fill="FAFAFA" w:val="clear"/>
          </w:tcPr>
          <w:p>
            <w:r>
              <w:rPr>
                <w:sz w:val="17"/>
              </w:rPr>
              <w:t>2026-08-25</w:t>
            </w:r>
          </w:p>
        </w:tc>
        <w:tc>
          <w:tcPr>
            <w:tcW w:type="dxa" w:w="1440"/>
            <w:shd w:fill="FAFAFA" w:val="clear"/>
          </w:tcPr>
          <w:p>
            <w:r>
              <w:rPr>
                <w:sz w:val="17"/>
              </w:rPr>
              <w:t>1,754</w:t>
            </w:r>
          </w:p>
        </w:tc>
        <w:tc>
          <w:tcPr>
            <w:tcW w:type="dxa" w:w="1440"/>
            <w:shd w:fill="FAFAFA" w:val="clear"/>
          </w:tcPr>
          <w:p>
            <w:r>
              <w:rPr>
                <w:b/>
                <w:sz w:val="17"/>
              </w:rPr>
              <w:t>1,981</w:t>
            </w:r>
          </w:p>
        </w:tc>
        <w:tc>
          <w:tcPr>
            <w:tcW w:type="dxa" w:w="1440"/>
            <w:shd w:fill="FAFAFA" w:val="clear"/>
          </w:tcPr>
          <w:p>
            <w:r>
              <w:rPr>
                <w:sz w:val="17"/>
              </w:rPr>
              <w:t>2,207</w:t>
            </w:r>
          </w:p>
        </w:tc>
        <w:tc>
          <w:tcPr>
            <w:tcW w:type="dxa" w:w="1440"/>
            <w:shd w:fill="FAFAFA" w:val="clear"/>
          </w:tcPr>
          <w:p>
            <w:r>
              <w:rPr>
                <w:b/>
                <w:color w:val="C00000"/>
                <w:sz w:val="17"/>
              </w:rPr>
              <w:t>-1.0%</w:t>
            </w:r>
          </w:p>
        </w:tc>
      </w:tr>
      <w:tr>
        <w:tc>
          <w:tcPr>
            <w:tcW w:type="dxa" w:w="1440"/>
            <w:shd w:fill="FAFAFA" w:val="clear"/>
          </w:tcPr>
          <w:p>
            <w:r>
              <w:rPr>
                <w:sz w:val="17"/>
              </w:rPr>
              <w:t>J+8  ⭐</w:t>
            </w:r>
          </w:p>
        </w:tc>
        <w:tc>
          <w:tcPr>
            <w:tcW w:type="dxa" w:w="1440"/>
            <w:shd w:fill="FAFAFA" w:val="clear"/>
          </w:tcPr>
          <w:p>
            <w:r>
              <w:rPr>
                <w:sz w:val="17"/>
              </w:rPr>
              <w:t>2026-08-27</w:t>
            </w:r>
          </w:p>
        </w:tc>
        <w:tc>
          <w:tcPr>
            <w:tcW w:type="dxa" w:w="1440"/>
            <w:shd w:fill="FAFAFA" w:val="clear"/>
          </w:tcPr>
          <w:p>
            <w:r>
              <w:rPr>
                <w:sz w:val="17"/>
              </w:rPr>
              <w:t>1,737</w:t>
            </w:r>
          </w:p>
        </w:tc>
        <w:tc>
          <w:tcPr>
            <w:tcW w:type="dxa" w:w="1440"/>
            <w:shd w:fill="FAFAFA" w:val="clear"/>
          </w:tcPr>
          <w:p>
            <w:r>
              <w:rPr>
                <w:b/>
                <w:sz w:val="17"/>
              </w:rPr>
              <w:t>1,979</w:t>
            </w:r>
          </w:p>
        </w:tc>
        <w:tc>
          <w:tcPr>
            <w:tcW w:type="dxa" w:w="1440"/>
            <w:shd w:fill="FAFAFA" w:val="clear"/>
          </w:tcPr>
          <w:p>
            <w:r>
              <w:rPr>
                <w:sz w:val="17"/>
              </w:rPr>
              <w:t>2,221</w:t>
            </w:r>
          </w:p>
        </w:tc>
        <w:tc>
          <w:tcPr>
            <w:tcW w:type="dxa" w:w="1440"/>
            <w:shd w:fill="FAFAFA" w:val="clear"/>
          </w:tcPr>
          <w:p>
            <w:r>
              <w:rPr>
                <w:b/>
                <w:color w:val="C00000"/>
                <w:sz w:val="17"/>
              </w:rPr>
              <w:t>-1.0%</w:t>
            </w:r>
          </w:p>
        </w:tc>
      </w:tr>
      <w:tr>
        <w:tc>
          <w:tcPr>
            <w:tcW w:type="dxa" w:w="1440"/>
            <w:shd w:fill="FAFAFA" w:val="clear"/>
          </w:tcPr>
          <w:p>
            <w:r>
              <w:rPr>
                <w:sz w:val="17"/>
              </w:rPr>
              <w:t>J+9  ⭐</w:t>
            </w:r>
          </w:p>
        </w:tc>
        <w:tc>
          <w:tcPr>
            <w:tcW w:type="dxa" w:w="1440"/>
            <w:shd w:fill="FAFAFA" w:val="clear"/>
          </w:tcPr>
          <w:p>
            <w:r>
              <w:rPr>
                <w:sz w:val="17"/>
              </w:rPr>
              <w:t>2026-08-28</w:t>
            </w:r>
          </w:p>
        </w:tc>
        <w:tc>
          <w:tcPr>
            <w:tcW w:type="dxa" w:w="1440"/>
            <w:shd w:fill="FAFAFA" w:val="clear"/>
          </w:tcPr>
          <w:p>
            <w:r>
              <w:rPr>
                <w:sz w:val="17"/>
              </w:rPr>
              <w:t>1,721</w:t>
            </w:r>
          </w:p>
        </w:tc>
        <w:tc>
          <w:tcPr>
            <w:tcW w:type="dxa" w:w="1440"/>
            <w:shd w:fill="FAFAFA" w:val="clear"/>
          </w:tcPr>
          <w:p>
            <w:r>
              <w:rPr>
                <w:b/>
                <w:sz w:val="17"/>
              </w:rPr>
              <w:t>1,978</w:t>
            </w:r>
          </w:p>
        </w:tc>
        <w:tc>
          <w:tcPr>
            <w:tcW w:type="dxa" w:w="1440"/>
            <w:shd w:fill="FAFAFA" w:val="clear"/>
          </w:tcPr>
          <w:p>
            <w:r>
              <w:rPr>
                <w:sz w:val="17"/>
              </w:rPr>
              <w:t>2,234</w:t>
            </w:r>
          </w:p>
        </w:tc>
        <w:tc>
          <w:tcPr>
            <w:tcW w:type="dxa" w:w="1440"/>
            <w:shd w:fill="FAFAFA" w:val="clear"/>
          </w:tcPr>
          <w:p>
            <w:r>
              <w:rPr>
                <w:b/>
                <w:color w:val="C00000"/>
                <w:sz w:val="17"/>
              </w:rPr>
              <w:t>-1.1%</w:t>
            </w:r>
          </w:p>
        </w:tc>
      </w:tr>
      <w:tr>
        <w:tc>
          <w:tcPr>
            <w:tcW w:type="dxa" w:w="1440"/>
            <w:shd w:fill="FAFAFA" w:val="clear"/>
          </w:tcPr>
          <w:p>
            <w:r>
              <w:rPr>
                <w:sz w:val="17"/>
              </w:rPr>
              <w:t>J+10  ⭐</w:t>
            </w:r>
          </w:p>
        </w:tc>
        <w:tc>
          <w:tcPr>
            <w:tcW w:type="dxa" w:w="1440"/>
            <w:shd w:fill="FAFAFA" w:val="clear"/>
          </w:tcPr>
          <w:p>
            <w:r>
              <w:rPr>
                <w:sz w:val="17"/>
              </w:rPr>
              <w:t>2026-08-31</w:t>
            </w:r>
          </w:p>
        </w:tc>
        <w:tc>
          <w:tcPr>
            <w:tcW w:type="dxa" w:w="1440"/>
            <w:shd w:fill="FAFAFA" w:val="clear"/>
          </w:tcPr>
          <w:p>
            <w:r>
              <w:rPr>
                <w:sz w:val="17"/>
              </w:rPr>
              <w:t>1,706</w:t>
            </w:r>
          </w:p>
        </w:tc>
        <w:tc>
          <w:tcPr>
            <w:tcW w:type="dxa" w:w="1440"/>
            <w:shd w:fill="FAFAFA" w:val="clear"/>
          </w:tcPr>
          <w:p>
            <w:r>
              <w:rPr>
                <w:b/>
                <w:sz w:val="17"/>
              </w:rPr>
              <w:t>1,976</w:t>
            </w:r>
          </w:p>
        </w:tc>
        <w:tc>
          <w:tcPr>
            <w:tcW w:type="dxa" w:w="1440"/>
            <w:shd w:fill="FAFAFA" w:val="clear"/>
          </w:tcPr>
          <w:p>
            <w:r>
              <w:rPr>
                <w:sz w:val="17"/>
              </w:rPr>
              <w:t>2,247</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13,25 milliards FCFA, un niveau modeste qui la positionne parmi les petites capitalisations de la BRVM. Le BPA de 3 FCFA par action est extrêmement faible, traduisant une rentabilité par action quasi symbolique. Le PER de 593,6x est considérablement supérieur à la moyenne du marché BRVM (8-12x), indiquant que les investisseurs paient un prix très élevé pour des bénéfices minimes — une situation qui reflète davantage une spéculation sur le cours qu'une réalité économique sous-jacente. En revanche, le P/B de 0,75x signale que le marché valorise le titre sous sa valeur comptable, ce qui pourrait représenter une opportunité pour les investisseurs value, à condition que les fondamentaux s'améliorent. Enfin, l'EV/EBITDA de 24,2x, bien au-dessus du seuil exigeant de 15x, confirme une valorisation globale très onéreuse par rapport à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BNBC a enregistré une progression spectaculaire de +26,98%, avec un cours actuel de 2 000 FCFA, tandis que la dernière séance est restée stable (0,00%). Le titre a évolué dans une fourchette de 1 300 à 2 100 FCFA, démontrant une amplitude de trading de 800 FCFA. La moyenne de 1 733 FCFA est supérieure à la médiane de 1 688 FCFA, indiquant une distribution légèrement asymétrique avec des valeurs extrêmes hautes qui tirent la moyenne vers le haut. L'écart-type de 204 FCFA, avec un coefficient de variation de 11,7%, révèle une dispersion modérée des cours autour de la moyenne. Le kurtosis de -1,278 (platykurtique) suggère une distribution aplatie avec peu de pics extrêmes, tandis que le skewness de -0,029 confirme une symétrie quasi parfaite. La volatilité annualisée de 48,0% classe le titre comme très volatil (&gt;30%), ce qui implique un risque élevé pour les investisseurs.</w:t>
      </w:r>
    </w:p>
    <w:p>
      <w:pPr>
        <w:spacing w:after="120" w:line="276" w:lineRule="auto" w:before="240"/>
      </w:pPr>
      <w:r>
        <w:rPr>
          <w:b/>
          <w:color w:val="003366"/>
          <w:sz w:val="24"/>
        </w:rPr>
        <w:t>**PARTIE 2 : ANALYSE TECHNIQUE DÉTAILLÉE**</w:t>
      </w:r>
    </w:p>
    <w:p>
      <w:pPr>
        <w:spacing w:after="120" w:line="276" w:lineRule="auto"/>
      </w:pPr>
      <w:r>
        <w:t>**Moyennes Mobiles** : Les MM20 (1 939 FCFA) et MM50 (1 913,5 FCFA) sont toutes deux inférieures au cours actuel de 2 000 FCFA, avec une MM20 supérieure à la MM50, configuration typique d'une tendance haussière. Le signal d'achat est justifié par cette structure positive et le croisement haussier des moyennes mobiles.</w:t>
      </w:r>
    </w:p>
    <w:p>
      <w:pPr>
        <w:spacing w:after="120" w:line="276" w:lineRule="auto"/>
      </w:pPr>
      <w:r>
        <w:t>**Bandes de Bollinger** : Le cours à 2 000 FCFA se situe entre la borne supérieure (2 037,97 FCFA) et la borne inférieure (1 840,03 FCFA), proche de la borne haute. Cette position indique une pression acheteuse soutenue sans atteindre des conditions de surachat extrême. La décision neutre reflète l'absence de signal directionnel fort, le prix n'ayant pas franchi les bornes.</w:t>
      </w:r>
    </w:p>
    <w:p>
      <w:pPr>
        <w:spacing w:after="120" w:line="276" w:lineRule="auto"/>
      </w:pPr>
      <w:r>
        <w:t>**MACD** : Le MACD (26,21) est nettement supérieur à sa ligne de signal (19,28), avec un écart positif de 6,93 points. Cette divergence haussière confirme un momentum positif soutenu, justifiant la décision d'achat. La dynamique actuelle suggère une poursuite de la tendance haussière à court terme.</w:t>
      </w:r>
    </w:p>
    <w:p>
      <w:pPr>
        <w:spacing w:after="120" w:line="276" w:lineRule="auto"/>
      </w:pPr>
      <w:r>
        <w:t>**RSI** : Le RSI de 52,54 se situe dans la zone neutre (30-70), indiquant un équilibre entre pressions acheteuses et vendeuses. Cette valeur n'atteint pas les seuils extrêmes de surachat (&gt;70) ou de survente (&lt;30), ce qui justifie la décision neutre. Le titre dispose encore de marge avant d'atteindre des conditions de surachat.</w:t>
      </w:r>
    </w:p>
    <w:p>
      <w:pPr>
        <w:spacing w:after="120" w:line="276" w:lineRule="auto"/>
      </w:pPr>
      <w:r>
        <w:t>**Stochastique** : Le %K et le %D sont tous deux à 100,0, signalant une condition de surachat extrême. Cette configuration indique que le titre est temporairement survendu, avec un risque élevé de correction à court terme. La décision de vente est justifiée par ce niveau extrême qui précède généralement un repli technique.</w:t>
      </w:r>
    </w:p>
    <w:p>
      <w:pPr>
        <w:spacing w:after="120" w:line="276" w:lineRule="auto"/>
      </w:pPr>
      <w:r>
        <w:t>**Conclusion technique** : Les indicateurs de tendance (MM, MACD) sont haussiers, mais les oscillateurs de momentum (RSI, Stochastique) montrent des signaux mixtes avec un stochastique en surachat extrême. Cette divergence suggère une possible consolidation à court terme avant la poursuite de la tendance haussière. La prudence est recommandée pour les nouveaux achats à ces niveaux.</w:t>
      </w:r>
    </w:p>
    <w:p>
      <w:pPr>
        <w:spacing w:after="120" w:line="276" w:lineRule="auto" w:before="240"/>
      </w:pPr>
      <w:r>
        <w:rPr>
          <w:b/>
          <w:color w:val="003366"/>
          <w:sz w:val="24"/>
        </w:rPr>
        <w:t>**PARTIE 3 : ANALYSE FONDAMENTALE (SECTION CRITIQUE)**</w:t>
      </w:r>
    </w:p>
    <w:p>
      <w:pPr>
        <w:spacing w:after="120" w:line="276" w:lineRule="auto"/>
      </w:pPr>
      <w:r>
        <w:t>En 2025, BNBC a réalisé un chiffre d'affaires de 42,45 milliards FCFA, en baisse de 6,31% par rapport à 2024 (45,31 milliards FCFA), avec un résultat net de 22,32 millions FCFA, en amélioration par rapport aux 7,31 millions de 2024. Le ROE s'établit à 0,13% et le ROA à 0,05%, des niveaux très faibles qui traduisent une rentabilité anémique. En tant qu'entreprise non bancaire, l'analyse des délais d'exploitation révèle des risques : le délai clients de 104 jours est élevé, créant une pression sur la trésorerie, tandis que le délai fournisseurs de 116 jours est favorable. La durée de stockage de 339 jours est préoccupante, indiquant une immobilisation importante de capital. Le BFR s'élève à 29,37 milliards FCFA, avec une trésorerie nette négative de -16,69 milliards FCFA, signalant une dépendance aux financements externes. Le rapport T1 2026 (daté du 31/12/2026) montre un chiffre d'affaires stable à 11,19 milliards FCFA (-0,12% vs T1 2025) mais un résultat net positif de 65,57 millions FCFA, contre une perte de 16,15 millions au T1 2025, soit une amélioration de 506%. On estime que l'exercice 2026 pourrait voir une amélioration progressive de la rentabilité grâce à la montée en puissance des divisions Équipement et Power, bien que la marge nette reste très faible (0,59% au T1 2026). Les fondamentaux demeurent fragiles avec une capacité de remboursement de 19,17 ans et un endettement de 105,48% des capitaux propres.</w:t>
      </w:r>
    </w:p>
    <w:p>
      <w:pPr>
        <w:spacing w:after="120" w:line="276" w:lineRule="auto" w:before="240"/>
      </w:pPr>
      <w:r>
        <w:rPr>
          <w:b/>
          <w:color w:val="003366"/>
          <w:sz w:val="24"/>
        </w:rPr>
        <w:t>**PARTIE 4 : CONCLUSION D'INVESTISSEMENT**</w:t>
      </w:r>
    </w:p>
    <w:p>
      <w:pPr>
        <w:spacing w:after="120" w:line="276" w:lineRule="auto"/>
      </w:pPr>
      <w:r>
        <w:t>La valorisation de BNBC apparaît extrêmement surévaluée avec un PER de 593,6x et un EV/EBITDA de 24,2x, malgré un P/B de 0,75x qui pourrait attirer les investisseurs value. Le comportement du cours montre une tendance haussière de +26,98% sur 100 jours, mais avec une volatilité très élevée (48%) et un kurtosis platykurtique indiquant un risque de mouvements brusques. Les signaux techniques sont mitigés : les moyennes mobiles et le MACD sont haussiers, mais le stochastique en surachat extrême (100/100) suggère une correction imminente. Les fondamentaux restent préoccupants avec une marge nette de 0,05% en 2025, bien que le T1 2026 montre une amélioration spectaculaire de 506% du résultat net. Les prédictions IA (1 984-1 995 FCFA sur 10 jours) indiquent une légère consolidation, contredisant partiellement la tendance haussière récente. La convergence entre la surévaluation boursière, les signaux techniques mixtes et la faiblesse des fondamentaux conduit à une recommandation **CONSERVER**, avec un niveau de confiance moyen et un risque global élevé. L'horizon d'investissement optimal serait le moyen terme (3-12 mois), en attendant la confirmation d'une amélioration durable de la rentabilité et une résorption de la trésorerie négative.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5,517 titres</w:t>
            </w:r>
          </w:p>
        </w:tc>
        <w:tc>
          <w:tcPr>
            <w:tcW w:type="dxa" w:w="2268"/>
            <w:shd w:fill="FFF2CC" w:val="clear"/>
          </w:tcPr>
          <w:p>
            <w:r>
              <w:rPr>
                <w:b/>
                <w:color w:val="503200"/>
                <w:sz w:val="16"/>
              </w:rPr>
              <w:t xml:space="preserve">Cours actuel : </w:t>
            </w:r>
            <w:r>
              <w:rPr>
                <w:color w:val="000000"/>
                <w:sz w:val="17"/>
              </w:rPr>
              <w:t>8,700 FCFA</w:t>
            </w:r>
          </w:p>
          <w:p>
            <w:r>
              <w:rPr>
                <w:b/>
                <w:color w:val="503200"/>
                <w:sz w:val="16"/>
              </w:rPr>
              <w:t xml:space="preserve">Var. 100 jours : </w:t>
            </w:r>
            <w:r>
              <w:rPr>
                <w:b/>
                <w:color w:val="007800"/>
                <w:sz w:val="17"/>
              </w:rPr>
              <w:t>+10.90%</w:t>
            </w:r>
          </w:p>
          <w:p>
            <w:r>
              <w:rPr>
                <w:b/>
                <w:color w:val="503200"/>
                <w:sz w:val="16"/>
              </w:rPr>
              <w:t xml:space="preserve">Plus haut 100j : </w:t>
            </w:r>
            <w:r>
              <w:rPr>
                <w:color w:val="000000"/>
                <w:sz w:val="17"/>
              </w:rPr>
              <w:t>9,420 FCFA</w:t>
            </w:r>
          </w:p>
          <w:p>
            <w:r>
              <w:rPr>
                <w:b/>
                <w:color w:val="503200"/>
                <w:sz w:val="16"/>
              </w:rPr>
              <w:t xml:space="preserve">Plus bas 100j : </w:t>
            </w:r>
            <w:r>
              <w:rPr>
                <w:color w:val="000000"/>
                <w:sz w:val="17"/>
              </w:rPr>
              <w:t>7,295 FCFA</w:t>
            </w:r>
          </w:p>
          <w:p>
            <w:r>
              <w:rPr>
                <w:b/>
                <w:color w:val="503200"/>
                <w:sz w:val="16"/>
              </w:rPr>
              <w:t xml:space="preserve">Volatilité ann. : </w:t>
            </w:r>
            <w:r>
              <w:rPr>
                <w:color w:val="000000"/>
                <w:sz w:val="17"/>
              </w:rPr>
              <w:t>22.5%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6.75% (Moyenne) — μ=8,584 FCFA, σ=580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β=-0.1702 (Contre-cyclique) — Cov=-0.000006, Var(idx)=0.000036, ρ=-0.072,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5,517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σ_j=1.42%/j (Stable) — Vol. annualisée≈22.5%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8,369</w:t>
            </w:r>
          </w:p>
        </w:tc>
        <w:tc>
          <w:tcPr>
            <w:tcW w:type="dxa" w:w="1440"/>
            <w:shd w:fill="FFDCE0" w:val="clear"/>
          </w:tcPr>
          <w:p>
            <w:r>
              <w:rPr>
                <w:b/>
                <w:sz w:val="17"/>
              </w:rPr>
              <w:t>8,476</w:t>
            </w:r>
          </w:p>
        </w:tc>
        <w:tc>
          <w:tcPr>
            <w:tcW w:type="dxa" w:w="1440"/>
            <w:shd w:fill="FFDCE0" w:val="clear"/>
          </w:tcPr>
          <w:p>
            <w:r>
              <w:rPr>
                <w:sz w:val="17"/>
              </w:rPr>
              <w:t>8,583</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8,207</w:t>
            </w:r>
          </w:p>
        </w:tc>
        <w:tc>
          <w:tcPr>
            <w:tcW w:type="dxa" w:w="1440"/>
            <w:shd w:fill="FFDCE0" w:val="clear"/>
          </w:tcPr>
          <w:p>
            <w:r>
              <w:rPr>
                <w:b/>
                <w:sz w:val="17"/>
              </w:rPr>
              <w:t>8,356</w:t>
            </w:r>
          </w:p>
        </w:tc>
        <w:tc>
          <w:tcPr>
            <w:tcW w:type="dxa" w:w="1440"/>
            <w:shd w:fill="FFDCE0" w:val="clear"/>
          </w:tcPr>
          <w:p>
            <w:r>
              <w:rPr>
                <w:sz w:val="17"/>
              </w:rPr>
              <w:t>8,505</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8,063</w:t>
            </w:r>
          </w:p>
        </w:tc>
        <w:tc>
          <w:tcPr>
            <w:tcW w:type="dxa" w:w="1440"/>
            <w:shd w:fill="FFDCE0" w:val="clear"/>
          </w:tcPr>
          <w:p>
            <w:r>
              <w:rPr>
                <w:b/>
                <w:sz w:val="17"/>
              </w:rPr>
              <w:t>8,244</w:t>
            </w:r>
          </w:p>
        </w:tc>
        <w:tc>
          <w:tcPr>
            <w:tcW w:type="dxa" w:w="1440"/>
            <w:shd w:fill="FFDCE0" w:val="clear"/>
          </w:tcPr>
          <w:p>
            <w:r>
              <w:rPr>
                <w:sz w:val="17"/>
              </w:rPr>
              <w:t>8,424</w:t>
            </w:r>
          </w:p>
        </w:tc>
        <w:tc>
          <w:tcPr>
            <w:tcW w:type="dxa" w:w="1440"/>
            <w:shd w:fill="FFDCE0" w:val="clear"/>
          </w:tcPr>
          <w:p>
            <w:r>
              <w:rPr>
                <w:b/>
                <w:color w:val="C00000"/>
                <w:sz w:val="17"/>
              </w:rPr>
              <w:t>-5.2%</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7,943</w:t>
            </w:r>
          </w:p>
        </w:tc>
        <w:tc>
          <w:tcPr>
            <w:tcW w:type="dxa" w:w="1440"/>
            <w:shd w:fill="FFDCE0" w:val="clear"/>
          </w:tcPr>
          <w:p>
            <w:r>
              <w:rPr>
                <w:b/>
                <w:sz w:val="17"/>
              </w:rPr>
              <w:t>8,148</w:t>
            </w:r>
          </w:p>
        </w:tc>
        <w:tc>
          <w:tcPr>
            <w:tcW w:type="dxa" w:w="1440"/>
            <w:shd w:fill="FFDCE0" w:val="clear"/>
          </w:tcPr>
          <w:p>
            <w:r>
              <w:rPr>
                <w:sz w:val="17"/>
              </w:rPr>
              <w:t>8,354</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7,834</w:t>
            </w:r>
          </w:p>
        </w:tc>
        <w:tc>
          <w:tcPr>
            <w:tcW w:type="dxa" w:w="1440"/>
            <w:shd w:fill="FFDCE0" w:val="clear"/>
          </w:tcPr>
          <w:p>
            <w:r>
              <w:rPr>
                <w:b/>
                <w:sz w:val="17"/>
              </w:rPr>
              <w:t>8,062</w:t>
            </w:r>
          </w:p>
        </w:tc>
        <w:tc>
          <w:tcPr>
            <w:tcW w:type="dxa" w:w="1440"/>
            <w:shd w:fill="FFDCE0" w:val="clear"/>
          </w:tcPr>
          <w:p>
            <w:r>
              <w:rPr>
                <w:sz w:val="17"/>
              </w:rPr>
              <w:t>8,289</w:t>
            </w:r>
          </w:p>
        </w:tc>
        <w:tc>
          <w:tcPr>
            <w:tcW w:type="dxa" w:w="1440"/>
            <w:shd w:fill="FFDCE0" w:val="clear"/>
          </w:tcPr>
          <w:p>
            <w:r>
              <w:rPr>
                <w:b/>
                <w:color w:val="C00000"/>
                <w:sz w:val="17"/>
              </w:rPr>
              <w:t>-7.3%</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7,735</w:t>
            </w:r>
          </w:p>
        </w:tc>
        <w:tc>
          <w:tcPr>
            <w:tcW w:type="dxa" w:w="1440"/>
            <w:shd w:fill="FFDCE0" w:val="clear"/>
          </w:tcPr>
          <w:p>
            <w:r>
              <w:rPr>
                <w:b/>
                <w:sz w:val="17"/>
              </w:rPr>
              <w:t>7,981</w:t>
            </w:r>
          </w:p>
        </w:tc>
        <w:tc>
          <w:tcPr>
            <w:tcW w:type="dxa" w:w="1440"/>
            <w:shd w:fill="FFDCE0" w:val="clear"/>
          </w:tcPr>
          <w:p>
            <w:r>
              <w:rPr>
                <w:sz w:val="17"/>
              </w:rPr>
              <w:t>8,228</w:t>
            </w:r>
          </w:p>
        </w:tc>
        <w:tc>
          <w:tcPr>
            <w:tcW w:type="dxa" w:w="1440"/>
            <w:shd w:fill="FFDCE0" w:val="clear"/>
          </w:tcPr>
          <w:p>
            <w:r>
              <w:rPr>
                <w:b/>
                <w:color w:val="C00000"/>
                <w:sz w:val="17"/>
              </w:rPr>
              <w:t>-8.3%</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7,641</w:t>
            </w:r>
          </w:p>
        </w:tc>
        <w:tc>
          <w:tcPr>
            <w:tcW w:type="dxa" w:w="1440"/>
            <w:shd w:fill="FFDCE0" w:val="clear"/>
          </w:tcPr>
          <w:p>
            <w:r>
              <w:rPr>
                <w:b/>
                <w:sz w:val="17"/>
              </w:rPr>
              <w:t>7,905</w:t>
            </w:r>
          </w:p>
        </w:tc>
        <w:tc>
          <w:tcPr>
            <w:tcW w:type="dxa" w:w="1440"/>
            <w:shd w:fill="FFDCE0" w:val="clear"/>
          </w:tcPr>
          <w:p>
            <w:r>
              <w:rPr>
                <w:sz w:val="17"/>
              </w:rPr>
              <w:t>8,169</w:t>
            </w:r>
          </w:p>
        </w:tc>
        <w:tc>
          <w:tcPr>
            <w:tcW w:type="dxa" w:w="1440"/>
            <w:shd w:fill="FFDCE0" w:val="clear"/>
          </w:tcPr>
          <w:p>
            <w:r>
              <w:rPr>
                <w:b/>
                <w:color w:val="C00000"/>
                <w:sz w:val="17"/>
              </w:rPr>
              <w:t>-9.1%</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7,553</w:t>
            </w:r>
          </w:p>
        </w:tc>
        <w:tc>
          <w:tcPr>
            <w:tcW w:type="dxa" w:w="1440"/>
            <w:shd w:fill="FFDCE0" w:val="clear"/>
          </w:tcPr>
          <w:p>
            <w:r>
              <w:rPr>
                <w:b/>
                <w:sz w:val="17"/>
              </w:rPr>
              <w:t>7,832</w:t>
            </w:r>
          </w:p>
        </w:tc>
        <w:tc>
          <w:tcPr>
            <w:tcW w:type="dxa" w:w="1440"/>
            <w:shd w:fill="FFDCE0" w:val="clear"/>
          </w:tcPr>
          <w:p>
            <w:r>
              <w:rPr>
                <w:sz w:val="17"/>
              </w:rPr>
              <w:t>8,112</w:t>
            </w:r>
          </w:p>
        </w:tc>
        <w:tc>
          <w:tcPr>
            <w:tcW w:type="dxa" w:w="1440"/>
            <w:shd w:fill="FFDCE0" w:val="clear"/>
          </w:tcPr>
          <w:p>
            <w:r>
              <w:rPr>
                <w:b/>
                <w:color w:val="C00000"/>
                <w:sz w:val="17"/>
              </w:rPr>
              <w:t>-10.0%</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7,470</w:t>
            </w:r>
          </w:p>
        </w:tc>
        <w:tc>
          <w:tcPr>
            <w:tcW w:type="dxa" w:w="1440"/>
            <w:shd w:fill="FFDCE0" w:val="clear"/>
          </w:tcPr>
          <w:p>
            <w:r>
              <w:rPr>
                <w:b/>
                <w:sz w:val="17"/>
              </w:rPr>
              <w:t>7,764</w:t>
            </w:r>
          </w:p>
        </w:tc>
        <w:tc>
          <w:tcPr>
            <w:tcW w:type="dxa" w:w="1440"/>
            <w:shd w:fill="FFDCE0" w:val="clear"/>
          </w:tcPr>
          <w:p>
            <w:r>
              <w:rPr>
                <w:sz w:val="17"/>
              </w:rPr>
              <w:t>8,057</w:t>
            </w:r>
          </w:p>
        </w:tc>
        <w:tc>
          <w:tcPr>
            <w:tcW w:type="dxa" w:w="1440"/>
            <w:shd w:fill="FFDCE0" w:val="clear"/>
          </w:tcPr>
          <w:p>
            <w:r>
              <w:rPr>
                <w:b/>
                <w:color w:val="C00000"/>
                <w:sz w:val="17"/>
              </w:rPr>
              <w:t>-10.8%</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7,391</w:t>
            </w:r>
          </w:p>
        </w:tc>
        <w:tc>
          <w:tcPr>
            <w:tcW w:type="dxa" w:w="1440"/>
            <w:shd w:fill="FFDCE0" w:val="clear"/>
          </w:tcPr>
          <w:p>
            <w:r>
              <w:rPr>
                <w:b/>
                <w:sz w:val="17"/>
              </w:rPr>
              <w:t>7,698</w:t>
            </w:r>
          </w:p>
        </w:tc>
        <w:tc>
          <w:tcPr>
            <w:tcW w:type="dxa" w:w="1440"/>
            <w:shd w:fill="FFDCE0" w:val="clear"/>
          </w:tcPr>
          <w:p>
            <w:r>
              <w:rPr>
                <w:sz w:val="17"/>
              </w:rPr>
              <w:t>8,005</w:t>
            </w:r>
          </w:p>
        </w:tc>
        <w:tc>
          <w:tcPr>
            <w:tcW w:type="dxa" w:w="1440"/>
            <w:shd w:fill="FFDCE0" w:val="clear"/>
          </w:tcPr>
          <w:p>
            <w:r>
              <w:rPr>
                <w:b/>
                <w:color w:val="C00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352,88 milliards FCFA, ce qui en fait une valeur de première ligne sur la BRVM, représentant un poids significatif dans l'indice bancaire régional. Avec un BPA de 496 FCFA, chaque action génère un bénéfice confortable, justifiant un PER de 17,5x. Ce niveau est nettement supérieur à la moyenne historique de la BRVM (8-12x), indiquant que le marché valorise déjà une prime de croissance et de qualité pour ce titre. Le P/B de 3,00x confirme cette lecture, le prix de marché étant trois fois supérieur à la valeur comptable des fonds propres, ce qui est typique des valeurs bénéficiant d'une forte confiance des investisseurs. Enfin, l'EV/EBITDA de 18,4x, bien que supérieur au seuil exigeant de 15x, reflète la solidité de la capacité opérationnelle de la banque, mais suggère que le potentiel de hausse à court terme pourrait être limité sans nouvelles performances financières.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 a enregistré une progression totale de +10,90%, avec une dernière séance stable (+0,12%) à 8 700 FCFA. Le titre a évolué dans une fourchette large de 7 295 FCFA (plus bas) à 9 420 FCFA (plus haut), démontrant une dynamique haussière soutenue, bien que ponctuée de phases de consolidation. La moyenne du cours sur la période (8 584 FCFA) est légèrement inférieure à la médiane (8 715 FCFA), et le mode (8 700 FCFA) est proche du cours actuel, indiquant une distribution des prix légèrement asymétrique. Le skewness négatif (-0,818) confirme que les journées au-dessus de la moyenne ont été plus fréquentes, mais avec des amplitudes plus faibles, tandis que le kurtosis mésokurtique (-0,311) suggère une absence de pics de volatilité extrêmes. L'écart-type de 583 FCFA (CV=6,8%) témoigne d'une dispersion modérée, et la volatilité annualisée de 22,5% classe le titre dans une catégorie de risque modéré, cohérente avec une valeur bancaire stable mais sensible aux variations de marché.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(8 660,5 FCFA) et la MM50 (8 794,2 FCFA) encadrent le cours actuel (8 700 FCFA), qui se situe sous la MM50 mais au-dessus de la MM20. Cette configuration indique une tendance de court terme positive, mais une pression baissière à moyen terme, justifiant la décision de "Vente" pour les positions à plus long horizon.</w:t>
      </w:r>
    </w:p>
    <w:p>
      <w:pPr>
        <w:spacing w:after="120" w:line="276" w:lineRule="auto"/>
      </w:pPr>
      <w:r>
        <w:t>**Bandes de Bollinger** : Le cours évolue près de la borne supérieure (8 779,1 FCFA), avec une borne inférieure à 8 541,9 FCFA. La largeur des bandes reflète une volatilité modérée. La position du prix dans la partie haute des bandes suggère une dynamique positive, mais sans excès, d'où une décision "Neutre" en attendant une cassure claire.</w:t>
      </w:r>
    </w:p>
    <w:p>
      <w:pPr>
        <w:spacing w:after="120" w:line="276" w:lineRule="auto"/>
      </w:pPr>
      <w:r>
        <w:t>**MACD** : La valeur MACD (-38,5) est supérieure au signal (-52,0), indiquant un croisement haussier récent. Bien que les deux lignes soient en territoire négatif, l'écart positif suggère un momentum haussier émergent, justifiant la décision "Achat" pour les traders à court terme.</w:t>
      </w:r>
    </w:p>
    <w:p>
      <w:pPr>
        <w:spacing w:after="120" w:line="276" w:lineRule="auto"/>
      </w:pPr>
      <w:r>
        <w:t>**RSI** : À 61,6, le RSI se situe en zone neutre, proche de la zone de surachat (70). Cela indique une pression acheteuse modérée sans excès, laissant une marge de progression avant une potentielle correction. La décision "Neutre" est donc appropriée.</w:t>
      </w:r>
    </w:p>
    <w:p>
      <w:pPr>
        <w:spacing w:after="120" w:line="276" w:lineRule="auto"/>
      </w:pPr>
      <w:r>
        <w:t>**Stochastique** : Le %K (90,0) et le %D (80,8) sont tous deux en zone de surachat, avec un %K au-dessus du %D. Cette configuration signale une possible correction à venir, car le titre est techniquement surévalué à court terme, justifiant la décision "Vente".</w:t>
      </w:r>
    </w:p>
    <w:p>
      <w:pPr>
        <w:spacing w:after="120" w:line="276" w:lineRule="auto"/>
      </w:pPr>
      <w:r>
        <w:t>**Conclusion technique** : Les indicateurs sont mitigés : le MACD et les bandes de Bollinger suggèrent un potentiel haussier, tandis que les moyennes mobiles et le stochastique pointent vers une consolidation ou un repli. Le RSI neutre laisse planer une incertitude. Globalement, le titre est dans une phase de transition, avec un biais légèrement positif à court terme mais des signaux de prudence à moyen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BOAB (Banque) font ressortir un Produit Net Bancaire (PNB) de 51,274 milliards FCFA, en croissance de 10,2%, et un résultat net de 20,107 milliards FCFA, portant le ROE à 17,1% et le ROA à 2,08%. Le coefficient d'exploitation de 49,5% traduit une excellente maîtrise des charges, bien en deçà du seuil d'efficacité de 60%. Le coût du risque, à 22,5% des charges financières, reste élevé, signalant une vigilance nécessaire sur la qualité du portefeuille de crédits. Les dépôts clients (711,6 milliards FCFA) couvrent largement les créances sur la clientèle (391,7 milliards FCFA), démontrant une transformation saine. En croisant avec le rapport semestriel 2025 (PNB de 24,556 milliards, +5,91% et résultat net de 11,012 milliards), on constate une accélération au T3 2025 (PNB de 37,065 milliards, +9%, résultat net de 15,880 milliards, +13%), suggérant une amélioration continue. Sur la base de ces tendances, on estime que l'exercice 2025 devrait dépasser les 20 milliards de résultat net, confirmant la solidité de la banque. Le rapport T1 2026 (PNB +11% à 12,329 milliards, résultat net +1% à 4,502 milliards) indique une normalisation de la croissance, mais avec une pression sur les coûts. Enfin, le bilan 2024 montrait une augmentation de capital (de 20,3 à 40,6 milliards FCFA) et une hausse des dépôts de 13,6%, renforçant la base de la banque. BOAB affiche donc des fondamentaux robustes, avec une rentabilité élevée et une gestion efficace, malgré un coût du risque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 (PER 17,5x, P/B 3,00x, EV/EBITDA 18,4x) indique une surévaluation relative par rapport au marché BRVM, intégrant des attentes de croissance élevées. Le comportement du cours sur 100 jours (+10,90%) est positif, avec une volatilité modérée et une asymétrie favorable, mais les statistiques suggèrent un potentiel de consolidation. Les signaux techniques sont divergents : le MACD est haussier, mais les moyennes mobiles et le stochastique appellent à la prudence, indiquant un équilibre précaire. Les fondamentaux sont excellents, avec une rentabilité (ROE 17,1%) et une efficacité opérationnelle (coefficient 49,5%) remarquables, et les rapports trimestriels 2025 et T1 2026 confirment une dynamique positive, bien que ralentie. Les prédictions IA (J+1 à J+10) prévoient une baisse progressive du cours (de 8 476 à 8 062 FCFA), contredisant les signaux techniques haussiers à court terme et suggérant une correction. En synthèse, la convergence entre une valorisation exigeante, des signaux techniques mitigés et des prédictions baissières, malgré des fondamentaux solides, conduit à une recommandation **CONSERVER**. Le niveau de confiance est **Moyen**, le risque global est **Moyen**, et l'horizon d'investissement optimal est le **moyen terme (3-12 mois)**, en attendant une meilleure opportunité d'entrée après une potentielle correction.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312.40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5,873 titres</w:t>
            </w:r>
          </w:p>
        </w:tc>
        <w:tc>
          <w:tcPr>
            <w:tcW w:type="dxa" w:w="2268"/>
            <w:shd w:fill="FFF2CC" w:val="clear"/>
          </w:tcPr>
          <w:p>
            <w:r>
              <w:rPr>
                <w:b/>
                <w:color w:val="503200"/>
                <w:sz w:val="16"/>
              </w:rPr>
              <w:t xml:space="preserve">Cours actuel : </w:t>
            </w:r>
            <w:r>
              <w:rPr>
                <w:color w:val="000000"/>
                <w:sz w:val="17"/>
              </w:rPr>
              <w:t>7,100 FCFA</w:t>
            </w:r>
          </w:p>
          <w:p>
            <w:r>
              <w:rPr>
                <w:b/>
                <w:color w:val="503200"/>
                <w:sz w:val="16"/>
              </w:rPr>
              <w:t xml:space="preserve">Var. 100 jours : </w:t>
            </w:r>
            <w:r>
              <w:rPr>
                <w:b/>
                <w:color w:val="007800"/>
                <w:sz w:val="17"/>
              </w:rPr>
              <w:t>+31.00%</w:t>
            </w:r>
          </w:p>
          <w:p>
            <w:r>
              <w:rPr>
                <w:b/>
                <w:color w:val="503200"/>
                <w:sz w:val="16"/>
              </w:rPr>
              <w:t xml:space="preserve">Plus haut 100j : </w:t>
            </w:r>
            <w:r>
              <w:rPr>
                <w:color w:val="000000"/>
                <w:sz w:val="17"/>
              </w:rPr>
              <w:t>7,350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28.3%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11.33% (Moyenne) — μ=5,926 FCFA, σ=671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β=0.2479 (Défensif) — Cov=0.000009, Var(idx)=0.000036, ρ=0.084,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5,873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σ_j=1.79%/j (Stable) — Vol. annualisée≈28.3%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6,714</w:t>
            </w:r>
          </w:p>
        </w:tc>
        <w:tc>
          <w:tcPr>
            <w:tcW w:type="dxa" w:w="1440"/>
            <w:shd w:fill="FAFAFA" w:val="clear"/>
          </w:tcPr>
          <w:p>
            <w:r>
              <w:rPr>
                <w:b/>
                <w:sz w:val="17"/>
              </w:rPr>
              <w:t>6,990</w:t>
            </w:r>
          </w:p>
        </w:tc>
        <w:tc>
          <w:tcPr>
            <w:tcW w:type="dxa" w:w="1440"/>
            <w:shd w:fill="FAFAFA" w:val="clear"/>
          </w:tcPr>
          <w:p>
            <w:r>
              <w:rPr>
                <w:sz w:val="17"/>
              </w:rPr>
              <w:t>7,266</w:t>
            </w:r>
          </w:p>
        </w:tc>
        <w:tc>
          <w:tcPr>
            <w:tcW w:type="dxa" w:w="1440"/>
            <w:shd w:fill="FAFAFA" w:val="clear"/>
          </w:tcPr>
          <w:p>
            <w:r>
              <w:rPr>
                <w:b/>
                <w:color w:val="C00000"/>
                <w:sz w:val="17"/>
              </w:rPr>
              <w:t>-1.6%</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6,524</w:t>
            </w:r>
          </w:p>
        </w:tc>
        <w:tc>
          <w:tcPr>
            <w:tcW w:type="dxa" w:w="1440"/>
            <w:shd w:fill="FFDCE0" w:val="clear"/>
          </w:tcPr>
          <w:p>
            <w:r>
              <w:rPr>
                <w:b/>
                <w:sz w:val="17"/>
              </w:rPr>
              <w:t>6,910</w:t>
            </w:r>
          </w:p>
        </w:tc>
        <w:tc>
          <w:tcPr>
            <w:tcW w:type="dxa" w:w="1440"/>
            <w:shd w:fill="FFDCE0" w:val="clear"/>
          </w:tcPr>
          <w:p>
            <w:r>
              <w:rPr>
                <w:sz w:val="17"/>
              </w:rPr>
              <w:t>7,296</w:t>
            </w:r>
          </w:p>
        </w:tc>
        <w:tc>
          <w:tcPr>
            <w:tcW w:type="dxa" w:w="1440"/>
            <w:shd w:fill="FFDCE0" w:val="clear"/>
          </w:tcPr>
          <w:p>
            <w:r>
              <w:rPr>
                <w:b/>
                <w:color w:val="C00000"/>
                <w:sz w:val="17"/>
              </w:rPr>
              <w:t>-2.7%</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6,369</w:t>
            </w:r>
          </w:p>
        </w:tc>
        <w:tc>
          <w:tcPr>
            <w:tcW w:type="dxa" w:w="1440"/>
            <w:shd w:fill="FFDCE0" w:val="clear"/>
          </w:tcPr>
          <w:p>
            <w:r>
              <w:rPr>
                <w:b/>
                <w:sz w:val="17"/>
              </w:rPr>
              <w:t>6,836</w:t>
            </w:r>
          </w:p>
        </w:tc>
        <w:tc>
          <w:tcPr>
            <w:tcW w:type="dxa" w:w="1440"/>
            <w:shd w:fill="FFDCE0" w:val="clear"/>
          </w:tcPr>
          <w:p>
            <w:r>
              <w:rPr>
                <w:sz w:val="17"/>
              </w:rPr>
              <w:t>7,304</w:t>
            </w:r>
          </w:p>
        </w:tc>
        <w:tc>
          <w:tcPr>
            <w:tcW w:type="dxa" w:w="1440"/>
            <w:shd w:fill="FFDCE0" w:val="clear"/>
          </w:tcPr>
          <w:p>
            <w:r>
              <w:rPr>
                <w:b/>
                <w:color w:val="C00000"/>
                <w:sz w:val="17"/>
              </w:rPr>
              <w:t>-3.7%</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6,237</w:t>
            </w:r>
          </w:p>
        </w:tc>
        <w:tc>
          <w:tcPr>
            <w:tcW w:type="dxa" w:w="1440"/>
            <w:shd w:fill="FFDCE0" w:val="clear"/>
          </w:tcPr>
          <w:p>
            <w:r>
              <w:rPr>
                <w:b/>
                <w:sz w:val="17"/>
              </w:rPr>
              <w:t>6,773</w:t>
            </w:r>
          </w:p>
        </w:tc>
        <w:tc>
          <w:tcPr>
            <w:tcW w:type="dxa" w:w="1440"/>
            <w:shd w:fill="FFDCE0" w:val="clear"/>
          </w:tcPr>
          <w:p>
            <w:r>
              <w:rPr>
                <w:sz w:val="17"/>
              </w:rPr>
              <w:t>7,308</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6,121</w:t>
            </w:r>
          </w:p>
        </w:tc>
        <w:tc>
          <w:tcPr>
            <w:tcW w:type="dxa" w:w="1440"/>
            <w:shd w:fill="FFDCE0" w:val="clear"/>
          </w:tcPr>
          <w:p>
            <w:r>
              <w:rPr>
                <w:b/>
                <w:sz w:val="17"/>
              </w:rPr>
              <w:t>6,714</w:t>
            </w:r>
          </w:p>
        </w:tc>
        <w:tc>
          <w:tcPr>
            <w:tcW w:type="dxa" w:w="1440"/>
            <w:shd w:fill="FFDCE0" w:val="clear"/>
          </w:tcPr>
          <w:p>
            <w:r>
              <w:rPr>
                <w:sz w:val="17"/>
              </w:rPr>
              <w:t>7,308</w:t>
            </w:r>
          </w:p>
        </w:tc>
        <w:tc>
          <w:tcPr>
            <w:tcW w:type="dxa" w:w="1440"/>
            <w:shd w:fill="FFDCE0" w:val="clear"/>
          </w:tcPr>
          <w:p>
            <w:r>
              <w:rPr>
                <w:b/>
                <w:color w:val="C00000"/>
                <w:sz w:val="17"/>
              </w:rPr>
              <w:t>-5.4%</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6,015</w:t>
            </w:r>
          </w:p>
        </w:tc>
        <w:tc>
          <w:tcPr>
            <w:tcW w:type="dxa" w:w="1440"/>
            <w:shd w:fill="FFDCE0" w:val="clear"/>
          </w:tcPr>
          <w:p>
            <w:r>
              <w:rPr>
                <w:b/>
                <w:sz w:val="17"/>
              </w:rPr>
              <w:t>6,660</w:t>
            </w:r>
          </w:p>
        </w:tc>
        <w:tc>
          <w:tcPr>
            <w:tcW w:type="dxa" w:w="1440"/>
            <w:shd w:fill="FFDCE0" w:val="clear"/>
          </w:tcPr>
          <w:p>
            <w:r>
              <w:rPr>
                <w:sz w:val="17"/>
              </w:rPr>
              <w:t>7,304</w:t>
            </w:r>
          </w:p>
        </w:tc>
        <w:tc>
          <w:tcPr>
            <w:tcW w:type="dxa" w:w="1440"/>
            <w:shd w:fill="FFDCE0" w:val="clear"/>
          </w:tcPr>
          <w:p>
            <w:r>
              <w:rPr>
                <w:b/>
                <w:color w:val="C00000"/>
                <w:sz w:val="17"/>
              </w:rPr>
              <w:t>-6.2%</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5,917</w:t>
            </w:r>
          </w:p>
        </w:tc>
        <w:tc>
          <w:tcPr>
            <w:tcW w:type="dxa" w:w="1440"/>
            <w:shd w:fill="FFDCE0" w:val="clear"/>
          </w:tcPr>
          <w:p>
            <w:r>
              <w:rPr>
                <w:b/>
                <w:sz w:val="17"/>
              </w:rPr>
              <w:t>6,608</w:t>
            </w:r>
          </w:p>
        </w:tc>
        <w:tc>
          <w:tcPr>
            <w:tcW w:type="dxa" w:w="1440"/>
            <w:shd w:fill="FFDCE0" w:val="clear"/>
          </w:tcPr>
          <w:p>
            <w:r>
              <w:rPr>
                <w:sz w:val="17"/>
              </w:rPr>
              <w:t>7,298</w:t>
            </w:r>
          </w:p>
        </w:tc>
        <w:tc>
          <w:tcPr>
            <w:tcW w:type="dxa" w:w="1440"/>
            <w:shd w:fill="FFDCE0" w:val="clear"/>
          </w:tcPr>
          <w:p>
            <w:r>
              <w:rPr>
                <w:b/>
                <w:color w:val="C00000"/>
                <w:sz w:val="17"/>
              </w:rPr>
              <w:t>-6.9%</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5,825</w:t>
            </w:r>
          </w:p>
        </w:tc>
        <w:tc>
          <w:tcPr>
            <w:tcW w:type="dxa" w:w="1440"/>
            <w:shd w:fill="FFDCE0" w:val="clear"/>
          </w:tcPr>
          <w:p>
            <w:r>
              <w:rPr>
                <w:b/>
                <w:sz w:val="17"/>
              </w:rPr>
              <w:t>6,558</w:t>
            </w:r>
          </w:p>
        </w:tc>
        <w:tc>
          <w:tcPr>
            <w:tcW w:type="dxa" w:w="1440"/>
            <w:shd w:fill="FFDCE0" w:val="clear"/>
          </w:tcPr>
          <w:p>
            <w:r>
              <w:rPr>
                <w:sz w:val="17"/>
              </w:rPr>
              <w:t>7,290</w:t>
            </w:r>
          </w:p>
        </w:tc>
        <w:tc>
          <w:tcPr>
            <w:tcW w:type="dxa" w:w="1440"/>
            <w:shd w:fill="FFDCE0" w:val="clear"/>
          </w:tcPr>
          <w:p>
            <w:r>
              <w:rPr>
                <w:b/>
                <w:color w:val="C00000"/>
                <w:sz w:val="17"/>
              </w:rPr>
              <w:t>-7.6%</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5,738</w:t>
            </w:r>
          </w:p>
        </w:tc>
        <w:tc>
          <w:tcPr>
            <w:tcW w:type="dxa" w:w="1440"/>
            <w:shd w:fill="FFDCE0" w:val="clear"/>
          </w:tcPr>
          <w:p>
            <w:r>
              <w:rPr>
                <w:b/>
                <w:sz w:val="17"/>
              </w:rPr>
              <w:t>6,509</w:t>
            </w:r>
          </w:p>
        </w:tc>
        <w:tc>
          <w:tcPr>
            <w:tcW w:type="dxa" w:w="1440"/>
            <w:shd w:fill="FFDCE0" w:val="clear"/>
          </w:tcPr>
          <w:p>
            <w:r>
              <w:rPr>
                <w:sz w:val="17"/>
              </w:rPr>
              <w:t>7,281</w:t>
            </w:r>
          </w:p>
        </w:tc>
        <w:tc>
          <w:tcPr>
            <w:tcW w:type="dxa" w:w="1440"/>
            <w:shd w:fill="FFDCE0" w:val="clear"/>
          </w:tcPr>
          <w:p>
            <w:r>
              <w:rPr>
                <w:b/>
                <w:color w:val="C00000"/>
                <w:sz w:val="17"/>
              </w:rPr>
              <w:t>-8.3%</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5,655</w:t>
            </w:r>
          </w:p>
        </w:tc>
        <w:tc>
          <w:tcPr>
            <w:tcW w:type="dxa" w:w="1440"/>
            <w:shd w:fill="FFDCE0" w:val="clear"/>
          </w:tcPr>
          <w:p>
            <w:r>
              <w:rPr>
                <w:b/>
                <w:sz w:val="17"/>
              </w:rPr>
              <w:t>6,462</w:t>
            </w:r>
          </w:p>
        </w:tc>
        <w:tc>
          <w:tcPr>
            <w:tcW w:type="dxa" w:w="1440"/>
            <w:shd w:fill="FFDCE0" w:val="clear"/>
          </w:tcPr>
          <w:p>
            <w:r>
              <w:rPr>
                <w:sz w:val="17"/>
              </w:rPr>
              <w:t>7,270</w:t>
            </w:r>
          </w:p>
        </w:tc>
        <w:tc>
          <w:tcPr>
            <w:tcW w:type="dxa" w:w="1440"/>
            <w:shd w:fill="FFDCE0" w:val="clear"/>
          </w:tcPr>
          <w:p>
            <w:r>
              <w:rPr>
                <w:b/>
                <w:color w:val="C00000"/>
                <w:sz w:val="17"/>
              </w:rPr>
              <w:t>-9.0%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BOABF s'établit à 312,40 milliards FCFA, ce qui en fait l'une des valeurs les plus significatives de la cote BRVM, reflétant la taille et l'importance systémique de la banque dans l'économie burkinabè. Avec un BPA de 438 FCFA, chaque action génère un bénéfice substantiel, mais le PER de 16,2x se situe nettement au-dessus de la moyenne historique de la BRVM (8-12x), indiquant que le marché valorise déjà une prime de croissance ou de rareté sur ce titre. Le P/B de 2,47x confirme cette prime, les investisseurs acceptant de payer plus de deux fois la valeur comptable des actifs, signe d'une confiance dans la capacité de la banque à générer de la valeur. Enfin, l'EV/EBITDA de 6,8x reste dans une zone raisonnable, suggérant que la valorisation globale de l'entreprise, dette incluse, demeure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BOABF a enregistré une progression spectaculaire de +31,00%, passant d'un plus bas de 5 235 FCFA à un plus haut de 7 350 FCFA, avec un cours actuel de 7 100 FCFA, stable sur la dernière séance. Cette tendance haussière marquée est confirmée par les statistiques descriptives : la moyenne (5 926 FCFA) est nettement inférieure à la médiane (5 600 FCFA), et le skewness positif de 1,154 indique une distribution asymétrique avec des journées de forte hausse concentrées en fin de période, tirant le cours vers le haut. L'écart-type de 675 FCFA (CV=11,4%) révèle une dispersion modérée des prix autour de la moyenne, tandis que le kurtosis de -0,380 (mésokurtique) suggère une absence de pics extrêmes, le titre évoluant sans à-coups violents. La volatilité annualisée de 28,3% classe le titre dans une zone de risque élevé (&gt;30% étant très élevé), ce qui implique des fluctuations importantes pour les investisseurs, mais également un potentiel de rendement accru.</w:t>
      </w:r>
    </w:p>
    <w:p>
      <w:pPr>
        <w:spacing w:after="120" w:line="276" w:lineRule="auto" w:before="240"/>
      </w:pPr>
      <w:r>
        <w:rPr>
          <w:b/>
          <w:color w:val="003366"/>
          <w:sz w:val="24"/>
        </w:rPr>
        <w:t>**PARTIE 2 : ANALYSE TECHNIQUE DÉTAILLÉE**</w:t>
      </w:r>
    </w:p>
    <w:p>
      <w:pPr>
        <w:spacing w:after="120" w:line="276" w:lineRule="auto"/>
      </w:pPr>
      <w:r>
        <w:t>Les Moyennes Mobiles (MM20=7150, MM50=6346) indiquent une configuration haussière, le cours actuel (7100) se situant au-dessus de la MM50 mais légèrement sous la MM20, ce qui suggère un récent essoufflement après une forte progression, d'où une décision d'achat nuancée. Les Bandes de Bollinger (borne supérieure 7360, borne inférieure 6940) montrent un cours proche de la borne inférieure, signalant une zone de survente relative à court terme, mais la décision reste neutre, le prix évoluant dans un canal normal sans sortie brutale. Le MACD (valeur 225, signal 284) affiche une divergence négative, la ligne MACD étant passée sous sa ligne de signal, ce qui traduit un affaiblissement du momentum haussier et justifie une décision de vente. Le RSI à 47,6 se situe en zone neutre, indiquant un équilibre entre pressions acheteuses et vendeuses, sans signal directionnel fort. Enfin, le Stochastique (%K=44,4, %D=44,4) montre un croisement à l'horizontale en zone neutre, reflétant une absence de dynamique claire. En conclusion, les indicateurs techniques sont mitigés : la tendance de fond reste haussière (MM), mais les signaux à court terme (MACD, RSI) suggèrent une consolidation ou un repli technique après la forte hausse, appelant à la prudence à très court terme.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BOABF révèlent une banque solide mais sous pression : le Produit Net Bancaire (PNB) s'établit à 57,82 milliards FCFA, en légère croissance de 0,57%, tandis que le résultat net atteint 19,25 milliards FCFA. La rentabilité des fonds propres (ROE) de 15,22% reste excellente, et le coefficient d'exploitation de 47,19% témoigne d'une gestion opérationnelle très efficace. Cependant, le coût du risque de 33,92% (provisions/charges financières) est élevé, signalant une dégradation de la qualité du portefeuille de crédits, confirmée par les rapports trimestriels de 2025 : le S1 2025 (rapport du 1er semestre 2025) montre une chute du résultat net de 46,5% à 8,22 milliards FCFA, due à une explosion des provisions (+1336%), et le T3 2025 (rapport du 3e trimestre 2025) confirme une baisse de 27,7% sur neuf mois à 13,45 milliards FCFA. En estimant sur la base de ces tendances, l'exercice 2025 complet devrait afficher un résultat net en recul d'environ 25-30% par rapport à 2024, malgré un PNB stable. Le rapport T1 2026 (premier trimestre 2026) montre une poursuite de la dégradation avec un PNB en baisse de 10,75% et un résultat net en recul de 12,99%, mais une collecte de dépôts dynamique (+6,3%). La banque conserve donc des fondamentaux opérationnels solides, mais fait face à un risque de crédit significatif dans un environnement sécuritaire et économique difficile au Burkina Faso.</w:t>
      </w:r>
    </w:p>
    <w:p>
      <w:pPr>
        <w:spacing w:after="120" w:line="276" w:lineRule="auto" w:before="240"/>
      </w:pPr>
      <w:r>
        <w:rPr>
          <w:b/>
          <w:color w:val="003366"/>
          <w:sz w:val="24"/>
        </w:rPr>
        <w:t>**PARTIE 4 : CONCLUSION D'INVESTISSEMENT**</w:t>
      </w:r>
    </w:p>
    <w:p>
      <w:pPr>
        <w:spacing w:after="120" w:line="276" w:lineRule="auto"/>
      </w:pPr>
      <w:r>
        <w:t>La synthèse des analyses révèle une situation contrastée pour BOABF. La valorisation (PER 16,2x, P/B 2,47x) apparaît exigeante, le marché intégrant une prime malgré la dégradation des bénéfices, ce qui pourrait limiter le potentiel de hausse. Le comportement du cours (+31% sur 100 jours) montre une dynamique positive mais avec une volatilité élevée (28,3%) et une distribution asymétrique suggérant un risque de correction. Les signaux techniques sont divergents : la tendance de fond reste haussière (MM50), mais les indicateurs de momentum (MACD, RSI) pointent vers une consolidation à court terme. Les fondamentaux, bien que solides en termes d'efficacité opérationnelle (coefficient d'exploitation 47%), sont affaiblis par un coût du risque élevé et une rentabilité nette en chute libre depuis 2025. Les prédictions IA (J+1 à J+10) anticipent une baisse progressive vers 6 714 FCFA, confirmant les signaux techniques de repli. Sur la base de cette convergence entre la faiblesse des fondamentaux récents, les signaux techniques de court terme et les prédictions IA, la recommandation est **CONSERVER** avec un niveau de confiance **Moyen** et un risque global **Élevé**. L'horizon d'investissement optimal serait le **moyen terme (3-12 mois)**, en attendant une stabilisation du coût du risque et une clarification de la trajectoire des bénéfices avant d'envisager un renforcement de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516.00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13,954 titres</w:t>
            </w:r>
          </w:p>
        </w:tc>
        <w:tc>
          <w:tcPr>
            <w:tcW w:type="dxa" w:w="2268"/>
            <w:shd w:fill="FFF2CC" w:val="clear"/>
          </w:tcPr>
          <w:p>
            <w:r>
              <w:rPr>
                <w:b/>
                <w:color w:val="503200"/>
                <w:sz w:val="16"/>
              </w:rPr>
              <w:t xml:space="preserve">Cours actuel : </w:t>
            </w:r>
            <w:r>
              <w:rPr>
                <w:color w:val="000000"/>
                <w:sz w:val="17"/>
              </w:rPr>
              <w:t>12,900 FCFA</w:t>
            </w:r>
          </w:p>
          <w:p>
            <w:r>
              <w:rPr>
                <w:b/>
                <w:color w:val="503200"/>
                <w:sz w:val="16"/>
              </w:rPr>
              <w:t xml:space="preserve">Var. 100 jours : </w:t>
            </w:r>
            <w:r>
              <w:rPr>
                <w:b/>
                <w:color w:val="007800"/>
                <w:sz w:val="17"/>
              </w:rPr>
              <w:t>+44.30%</w:t>
            </w:r>
          </w:p>
          <w:p>
            <w:r>
              <w:rPr>
                <w:b/>
                <w:color w:val="503200"/>
                <w:sz w:val="16"/>
              </w:rPr>
              <w:t xml:space="preserve">Plus haut 100j : </w:t>
            </w:r>
            <w:r>
              <w:rPr>
                <w:color w:val="000000"/>
                <w:sz w:val="17"/>
              </w:rPr>
              <w:t>12,900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17.1/100 → Faible</w:t>
      </w:r>
    </w:p>
    <w:p>
      <w:pPr>
        <w:spacing w:before="40" w:after="80"/>
      </w:pPr>
      <w:r>
        <w:rPr>
          <w:rFonts w:ascii="Courier New" w:hAnsi="Courier New"/>
          <w:color w:val="006400"/>
          <w:sz w:val="18"/>
        </w:rPr>
        <w:t>███░░░░░░░░░░░░░░░░░  17.1/100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10.99% (Moyenne) — μ=9,321 FCFA, σ=1,024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β=0.5809 (Défensif) — Cov=0.000021, Var(idx)=0.000036, ρ=0.197,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13,954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11,770</w:t>
            </w:r>
          </w:p>
        </w:tc>
        <w:tc>
          <w:tcPr>
            <w:tcW w:type="dxa" w:w="1440"/>
            <w:shd w:fill="FFDCE0" w:val="clear"/>
          </w:tcPr>
          <w:p>
            <w:r>
              <w:rPr>
                <w:b/>
                <w:sz w:val="17"/>
              </w:rPr>
              <w:t>12,152</w:t>
            </w:r>
          </w:p>
        </w:tc>
        <w:tc>
          <w:tcPr>
            <w:tcW w:type="dxa" w:w="1440"/>
            <w:shd w:fill="FFDCE0" w:val="clear"/>
          </w:tcPr>
          <w:p>
            <w:r>
              <w:rPr>
                <w:sz w:val="17"/>
              </w:rPr>
              <w:t>12,533</w:t>
            </w:r>
          </w:p>
        </w:tc>
        <w:tc>
          <w:tcPr>
            <w:tcW w:type="dxa" w:w="1440"/>
            <w:shd w:fill="FFDCE0" w:val="clear"/>
          </w:tcPr>
          <w:p>
            <w:r>
              <w:rPr>
                <w:b/>
                <w:color w:val="C00000"/>
                <w:sz w:val="17"/>
              </w:rPr>
              <w:t>-5.8%</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11,139</w:t>
            </w:r>
          </w:p>
        </w:tc>
        <w:tc>
          <w:tcPr>
            <w:tcW w:type="dxa" w:w="1440"/>
            <w:shd w:fill="FFDCE0" w:val="clear"/>
          </w:tcPr>
          <w:p>
            <w:r>
              <w:rPr>
                <w:b/>
                <w:sz w:val="17"/>
              </w:rPr>
              <w:t>11,657</w:t>
            </w:r>
          </w:p>
        </w:tc>
        <w:tc>
          <w:tcPr>
            <w:tcW w:type="dxa" w:w="1440"/>
            <w:shd w:fill="FFDCE0" w:val="clear"/>
          </w:tcPr>
          <w:p>
            <w:r>
              <w:rPr>
                <w:sz w:val="17"/>
              </w:rPr>
              <w:t>12,175</w:t>
            </w:r>
          </w:p>
        </w:tc>
        <w:tc>
          <w:tcPr>
            <w:tcW w:type="dxa" w:w="1440"/>
            <w:shd w:fill="FFDCE0" w:val="clear"/>
          </w:tcPr>
          <w:p>
            <w:r>
              <w:rPr>
                <w:b/>
                <w:color w:val="C00000"/>
                <w:sz w:val="17"/>
              </w:rPr>
              <w:t>-9.6%</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10,519</w:t>
            </w:r>
          </w:p>
        </w:tc>
        <w:tc>
          <w:tcPr>
            <w:tcW w:type="dxa" w:w="1440"/>
            <w:shd w:fill="FFDCE0" w:val="clear"/>
          </w:tcPr>
          <w:p>
            <w:r>
              <w:rPr>
                <w:b/>
                <w:sz w:val="17"/>
              </w:rPr>
              <w:t>11,123</w:t>
            </w:r>
          </w:p>
        </w:tc>
        <w:tc>
          <w:tcPr>
            <w:tcW w:type="dxa" w:w="1440"/>
            <w:shd w:fill="FFDCE0" w:val="clear"/>
          </w:tcPr>
          <w:p>
            <w:r>
              <w:rPr>
                <w:sz w:val="17"/>
              </w:rPr>
              <w:t>11,728</w:t>
            </w:r>
          </w:p>
        </w:tc>
        <w:tc>
          <w:tcPr>
            <w:tcW w:type="dxa" w:w="1440"/>
            <w:shd w:fill="FFDCE0" w:val="clear"/>
          </w:tcPr>
          <w:p>
            <w:r>
              <w:rPr>
                <w:b/>
                <w:color w:val="C00000"/>
                <w:sz w:val="17"/>
              </w:rPr>
              <w:t>-13.8%</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9,981</w:t>
            </w:r>
          </w:p>
        </w:tc>
        <w:tc>
          <w:tcPr>
            <w:tcW w:type="dxa" w:w="1440"/>
            <w:shd w:fill="FFDCE0" w:val="clear"/>
          </w:tcPr>
          <w:p>
            <w:r>
              <w:rPr>
                <w:b/>
                <w:sz w:val="17"/>
              </w:rPr>
              <w:t>10,650</w:t>
            </w:r>
          </w:p>
        </w:tc>
        <w:tc>
          <w:tcPr>
            <w:tcW w:type="dxa" w:w="1440"/>
            <w:shd w:fill="FFDCE0" w:val="clear"/>
          </w:tcPr>
          <w:p>
            <w:r>
              <w:rPr>
                <w:sz w:val="17"/>
              </w:rPr>
              <w:t>11,318</w:t>
            </w:r>
          </w:p>
        </w:tc>
        <w:tc>
          <w:tcPr>
            <w:tcW w:type="dxa" w:w="1440"/>
            <w:shd w:fill="FFDCE0" w:val="clear"/>
          </w:tcPr>
          <w:p>
            <w:r>
              <w:rPr>
                <w:b/>
                <w:color w:val="C00000"/>
                <w:sz w:val="17"/>
              </w:rPr>
              <w:t>-17.4%</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9,521</w:t>
            </w:r>
          </w:p>
        </w:tc>
        <w:tc>
          <w:tcPr>
            <w:tcW w:type="dxa" w:w="1440"/>
            <w:shd w:fill="FFDCE0" w:val="clear"/>
          </w:tcPr>
          <w:p>
            <w:r>
              <w:rPr>
                <w:b/>
                <w:sz w:val="17"/>
              </w:rPr>
              <w:t>10,240</w:t>
            </w:r>
          </w:p>
        </w:tc>
        <w:tc>
          <w:tcPr>
            <w:tcW w:type="dxa" w:w="1440"/>
            <w:shd w:fill="FFDCE0" w:val="clear"/>
          </w:tcPr>
          <w:p>
            <w:r>
              <w:rPr>
                <w:sz w:val="17"/>
              </w:rPr>
              <w:t>10,959</w:t>
            </w:r>
          </w:p>
        </w:tc>
        <w:tc>
          <w:tcPr>
            <w:tcW w:type="dxa" w:w="1440"/>
            <w:shd w:fill="FFDCE0" w:val="clear"/>
          </w:tcPr>
          <w:p>
            <w:r>
              <w:rPr>
                <w:b/>
                <w:color w:val="C00000"/>
                <w:sz w:val="17"/>
              </w:rPr>
              <w:t>-20.6%</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9,126</w:t>
            </w:r>
          </w:p>
        </w:tc>
        <w:tc>
          <w:tcPr>
            <w:tcW w:type="dxa" w:w="1440"/>
            <w:shd w:fill="FFDCE0" w:val="clear"/>
          </w:tcPr>
          <w:p>
            <w:r>
              <w:rPr>
                <w:b/>
                <w:sz w:val="17"/>
              </w:rPr>
              <w:t>9,886</w:t>
            </w:r>
          </w:p>
        </w:tc>
        <w:tc>
          <w:tcPr>
            <w:tcW w:type="dxa" w:w="1440"/>
            <w:shd w:fill="FFDCE0" w:val="clear"/>
          </w:tcPr>
          <w:p>
            <w:r>
              <w:rPr>
                <w:sz w:val="17"/>
              </w:rPr>
              <w:t>10,647</w:t>
            </w:r>
          </w:p>
        </w:tc>
        <w:tc>
          <w:tcPr>
            <w:tcW w:type="dxa" w:w="1440"/>
            <w:shd w:fill="FFDCE0" w:val="clear"/>
          </w:tcPr>
          <w:p>
            <w:r>
              <w:rPr>
                <w:b/>
                <w:color w:val="C00000"/>
                <w:sz w:val="17"/>
              </w:rPr>
              <w:t>-23.4%</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8,785</w:t>
            </w:r>
          </w:p>
        </w:tc>
        <w:tc>
          <w:tcPr>
            <w:tcW w:type="dxa" w:w="1440"/>
            <w:shd w:fill="FFDCE0" w:val="clear"/>
          </w:tcPr>
          <w:p>
            <w:r>
              <w:rPr>
                <w:b/>
                <w:sz w:val="17"/>
              </w:rPr>
              <w:t>9,581</w:t>
            </w:r>
          </w:p>
        </w:tc>
        <w:tc>
          <w:tcPr>
            <w:tcW w:type="dxa" w:w="1440"/>
            <w:shd w:fill="FFDCE0" w:val="clear"/>
          </w:tcPr>
          <w:p>
            <w:r>
              <w:rPr>
                <w:sz w:val="17"/>
              </w:rPr>
              <w:t>10,376</w:t>
            </w:r>
          </w:p>
        </w:tc>
        <w:tc>
          <w:tcPr>
            <w:tcW w:type="dxa" w:w="1440"/>
            <w:shd w:fill="FFDCE0" w:val="clear"/>
          </w:tcPr>
          <w:p>
            <w:r>
              <w:rPr>
                <w:b/>
                <w:color w:val="C00000"/>
                <w:sz w:val="17"/>
              </w:rPr>
              <w:t>-25.7%</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8,487</w:t>
            </w:r>
          </w:p>
        </w:tc>
        <w:tc>
          <w:tcPr>
            <w:tcW w:type="dxa" w:w="1440"/>
            <w:shd w:fill="FFDCE0" w:val="clear"/>
          </w:tcPr>
          <w:p>
            <w:r>
              <w:rPr>
                <w:b/>
                <w:sz w:val="17"/>
              </w:rPr>
              <w:t>9,314</w:t>
            </w:r>
          </w:p>
        </w:tc>
        <w:tc>
          <w:tcPr>
            <w:tcW w:type="dxa" w:w="1440"/>
            <w:shd w:fill="FFDCE0" w:val="clear"/>
          </w:tcPr>
          <w:p>
            <w:r>
              <w:rPr>
                <w:sz w:val="17"/>
              </w:rPr>
              <w:t>10,141</w:t>
            </w:r>
          </w:p>
        </w:tc>
        <w:tc>
          <w:tcPr>
            <w:tcW w:type="dxa" w:w="1440"/>
            <w:shd w:fill="FFDCE0" w:val="clear"/>
          </w:tcPr>
          <w:p>
            <w:r>
              <w:rPr>
                <w:b/>
                <w:color w:val="C00000"/>
                <w:sz w:val="17"/>
              </w:rPr>
              <w:t>-27.8%</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8,225</w:t>
            </w:r>
          </w:p>
        </w:tc>
        <w:tc>
          <w:tcPr>
            <w:tcW w:type="dxa" w:w="1440"/>
            <w:shd w:fill="FFDCE0" w:val="clear"/>
          </w:tcPr>
          <w:p>
            <w:r>
              <w:rPr>
                <w:b/>
                <w:sz w:val="17"/>
              </w:rPr>
              <w:t>9,080</w:t>
            </w:r>
          </w:p>
        </w:tc>
        <w:tc>
          <w:tcPr>
            <w:tcW w:type="dxa" w:w="1440"/>
            <w:shd w:fill="FFDCE0" w:val="clear"/>
          </w:tcPr>
          <w:p>
            <w:r>
              <w:rPr>
                <w:sz w:val="17"/>
              </w:rPr>
              <w:t>9,936</w:t>
            </w:r>
          </w:p>
        </w:tc>
        <w:tc>
          <w:tcPr>
            <w:tcW w:type="dxa" w:w="1440"/>
            <w:shd w:fill="FFDCE0" w:val="clear"/>
          </w:tcPr>
          <w:p>
            <w:r>
              <w:rPr>
                <w:b/>
                <w:color w:val="C00000"/>
                <w:sz w:val="17"/>
              </w:rPr>
              <w:t>-29.6%</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7,993</w:t>
            </w:r>
          </w:p>
        </w:tc>
        <w:tc>
          <w:tcPr>
            <w:tcW w:type="dxa" w:w="1440"/>
            <w:shd w:fill="FFDCE0" w:val="clear"/>
          </w:tcPr>
          <w:p>
            <w:r>
              <w:rPr>
                <w:b/>
                <w:sz w:val="17"/>
              </w:rPr>
              <w:t>8,874</w:t>
            </w:r>
          </w:p>
        </w:tc>
        <w:tc>
          <w:tcPr>
            <w:tcW w:type="dxa" w:w="1440"/>
            <w:shd w:fill="FFDCE0" w:val="clear"/>
          </w:tcPr>
          <w:p>
            <w:r>
              <w:rPr>
                <w:sz w:val="17"/>
              </w:rPr>
              <w:t>9,755</w:t>
            </w:r>
          </w:p>
        </w:tc>
        <w:tc>
          <w:tcPr>
            <w:tcW w:type="dxa" w:w="1440"/>
            <w:shd w:fill="FFDCE0" w:val="clear"/>
          </w:tcPr>
          <w:p>
            <w:r>
              <w:rPr>
                <w:b/>
                <w:color w:val="C00000"/>
                <w:sz w:val="17"/>
              </w:rPr>
              <w:t>-31.2%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BOAC s'établit à 516 milliards FCFA, ce qui en fait l'une des valeurs les plus significatives de la BRVM, reflétant la confiance des investisseurs dans le secteur bancaire ivoirien. Avec un BPA de 888 FCFA, chaque action génère un bénéfice substantiel, justifiant un PER de 14,5x, supérieur à la moyenne historique de la BRVM (8-12x), indiquant que le marché intègre déjà des perspectives de croissance soutenue. Le P/B de 4,05x révèle une prime significative par rapport à la valeur comptable, signe d'une valorisation exigeante qui anticipe une création de valeur continue. L'EV/EBITDA de 27,7x, nettement supérieur au seuil de 15x, confirme cette lecture : la valeur totale de l'entreprise est élevée par rapport à sa capacité opérationnelle, ce qui suggère que le titre est richement valorisé sur les critères boursiers classiques.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BOAC a enregistré une progression spectaculaire de +44,30%, avec une dernière séance en hausse de +3,20%, portant le cours à 12 900 FCFA, son plus haut niveau sur la période, contre un plus bas de 8 100 FCFA. Cette tendance haussière marquée est confirmée par les statistiques descriptives : la moyenne de 9 321 FCFA est supérieure à la médiane de 8 908 FCFA, indiquant une distribution asymétrique positive (skewness de 1,732) où les journées sous la moyenne sont plus fréquentes mais compensées par des pics haussiers. L'écart-type de 1 029 FCFA (CV de 11,0%) témoigne d'une dispersion modérée, tandis que le kurtosis de 2,316 signale un risque de mouvements extrêmes. La volatilité annualisée de 28,2% classe le titre dans la catégorie élevée (&gt;30% étant très élevé), reflétant une dynamique spéculative soutenue.</w:t>
      </w:r>
    </w:p>
    <w:p>
      <w:pPr>
        <w:spacing w:after="120" w:line="276" w:lineRule="auto" w:before="240"/>
      </w:pPr>
      <w:r>
        <w:rPr>
          <w:b/>
          <w:color w:val="003366"/>
          <w:sz w:val="24"/>
        </w:rPr>
        <w:t>**PARTIE 2 : ANALYSE TECHNIQUE DÉTAILLÉE**</w:t>
      </w:r>
    </w:p>
    <w:p>
      <w:pPr>
        <w:spacing w:after="120" w:line="276" w:lineRule="auto"/>
      </w:pPr>
      <w:r>
        <w:t>Les moyennes mobiles MM20 (11 076,5 FCFA) et MM50 (9 966,6 FCFA) sont toutes deux largement dépassées par le cours actuel de 12 900 FCFA, confirmant une tendance haussière robuste à court et moyen terme. La configuration en pente ascendante des MM, avec le cours au-dessus, génère un signal d'achat clair, bien que l'écart important entre le cours et la MM20 suggère une possible correction à venir.</w:t>
      </w:r>
    </w:p>
    <w:p>
      <w:pPr>
        <w:spacing w:after="120" w:line="276" w:lineRule="auto"/>
      </w:pPr>
      <w:r>
        <w:t>Les bandes de Bollinger montrent un cours à 12 900 FCFA, très proche de la borne supérieure de 13 005 FCFA, indiquant une volatilité élevée et une pression acheteuse intense. Cette position extrême suggère que le titre est temporairement suracheté, mais la décision reste neutre car le cours n'a pas encore franchi la borne, ce qui pourrait déclencher une poursuite haussière ou un retour vers la moyenne.</w:t>
      </w:r>
    </w:p>
    <w:p>
      <w:pPr>
        <w:spacing w:after="120" w:line="276" w:lineRule="auto"/>
      </w:pPr>
      <w:r>
        <w:t>Le MACD affiche une valeur de 758,349, nettement au-dessus de sa ligne de signal (609,834), confirmant un momentum haussier puissant. L'écart positif croissant entre le MACD et le signal indique une accélération de la tendance haussière, bien que cet écart important puisse également signaler une exubérance excessive à court terme.</w:t>
      </w:r>
    </w:p>
    <w:p>
      <w:pPr>
        <w:spacing w:after="120" w:line="276" w:lineRule="auto"/>
      </w:pPr>
      <w:r>
        <w:t>Le RSI à 88,682 est en zone de surachat extrême (au-delà de 70), signalant que le titre est fortement survendu d'un point de vue technique. Cette valeur très élevée suggère une probabilité accrue de correction à court terme, les acheteurs ayant potentiellement épuisé leur force.</w:t>
      </w:r>
    </w:p>
    <w:p>
      <w:pPr>
        <w:spacing w:after="120" w:line="276" w:lineRule="auto"/>
      </w:pPr>
      <w:r>
        <w:t>Le stochastique à %K=100 et %D=100 est en zone de surachat maximal, confirmant la pression acheteuse extrême. Cette configuration, sans croisement baissier pour l'instant, indique que le mouvement haussier est puissant mais que le risque de retournement est élevé.</w:t>
      </w:r>
    </w:p>
    <w:p>
      <w:pPr>
        <w:spacing w:after="120" w:line="276" w:lineRule="auto"/>
      </w:pPr>
      <w:r>
        <w:t>En conclusion technique, les indicateurs de tendance (MM, MACD) sont résolument haussiers, mais les oscillateurs (RSI, Stochastique) sont en zone de surachat extrême, créant une divergence nette. Cette configuration suggère que la tendance de fond reste positive, mais qu'une consolidation ou correction technique est probable à très court terme avant une éventuelle reprise.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BOAC révèlent une banque performante avec un PNB de 73,545 milliards FCFA et un résultat net de 35,540 milliards FCFA, dégageant une marge nette exceptionnelle de 48,32%. Le ROE de 27,91% et le ROA de 3,22% témoignent d'une excellente rentabilité, bien au-delà des seuils de référence (15% et 1% respectivement). Le coefficient d'exploitation de 36,70% confirme une gestion très efficace, nettement sous la barre des 50%. Le coût du risque de 6,67% reste élevé, signalant un portefeuille de crédits sous tension, mais les dépôts clientèle (850,548 milliards FCFA) couvrent largement les créances clientèle (430,433 milliards FCFA), assurant une transformation saine. Les rapports trimestriels 2025 montrent une évolution contrastée : le T1 affichait une croissance du PNB de +4,93% et un résultat net en hausse de +14,59%, mais le S1 et le T3 ont révélé une stagnation (PNB à 36,21 milliards puis 53,49 milliards, résultat net à 18,40 et 26,63 milliards). Sur la base de ces tendances, on estime que l'exercice 2025 devrait confirmer un résultat net autour de 35-36 milliards FCFA, soutenu par la maîtrise des coûts et la baisse du coût du risque, malgré une activité en plateau.</w:t>
      </w:r>
    </w:p>
    <w:p>
      <w:pPr>
        <w:spacing w:after="120" w:line="276" w:lineRule="auto" w:before="240"/>
      </w:pPr>
      <w:r>
        <w:rPr>
          <w:b/>
          <w:color w:val="003366"/>
          <w:sz w:val="24"/>
        </w:rPr>
        <w:t>**PARTIE 4 : CONCLUSION D'INVESTISSEMENT**</w:t>
      </w:r>
    </w:p>
    <w:p>
      <w:pPr>
        <w:spacing w:after="120" w:line="276" w:lineRule="auto"/>
      </w:pPr>
      <w:r>
        <w:t>La valorisation de BOAC (PER 14,5x, P/B 4,05x, EV/EBITDA 27,7x) indique une surévaluation relative par rapport aux standards BRVM, intégrant des attentes de croissance déjà largement anticipées. Le comportement du cours (+44,30% en 100 jours) montre une dynamique haussière spectaculaire mais fragile, avec un kurtosis élevé signalant un risque de mouvements brusques. Les signaux techniques sont contradictoires : les indicateurs de tendance (MM, MACD) sont haussiers, mais les oscillateurs (RSI 88,7, Stochastique 100) crient surachat, suggérant une correction imminente. Les fondamentaux restent solides avec un ROE de 27,9% et un coefficient d'exploitation excellent, mais la stagnation du PNB en 2025 et le coût du risque élevé tempèrent l'enthousiasme. Les prédictions IA (12 152 à 10 240 FCFA sur 10 jours) confirment une correction attendue, contredisant la tendance récente. En synthèse, la convergence entre la surévaluation technique, la valorisation exigeante et les prédictions baissières l'emporte sur la solidité fondamentale. Recommandation : **CONSERVER** avec un niveau de confiance **Moyen**, un risque global **Élevé**, et un horizon d'investissement optimal à **moyen terme (3-12 mois)** après une probable phase de consolidation.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168.82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6,336 titres</w:t>
            </w:r>
          </w:p>
        </w:tc>
        <w:tc>
          <w:tcPr>
            <w:tcW w:type="dxa" w:w="2268"/>
            <w:shd w:fill="FFF2CC" w:val="clear"/>
          </w:tcPr>
          <w:p>
            <w:r>
              <w:rPr>
                <w:b/>
                <w:color w:val="503200"/>
                <w:sz w:val="16"/>
              </w:rPr>
              <w:t xml:space="preserve">Cours actuel : </w:t>
            </w:r>
            <w:r>
              <w:rPr>
                <w:color w:val="000000"/>
                <w:sz w:val="17"/>
              </w:rPr>
              <w:t>6,150 FCFA</w:t>
            </w:r>
          </w:p>
          <w:p>
            <w:r>
              <w:rPr>
                <w:b/>
                <w:color w:val="503200"/>
                <w:sz w:val="16"/>
              </w:rPr>
              <w:t xml:space="preserve">Var. 100 jours : </w:t>
            </w:r>
            <w:r>
              <w:rPr>
                <w:b/>
                <w:color w:val="007800"/>
                <w:sz w:val="17"/>
              </w:rPr>
              <w:t>+28.53%</w:t>
            </w:r>
          </w:p>
          <w:p>
            <w:r>
              <w:rPr>
                <w:b/>
                <w:color w:val="503200"/>
                <w:sz w:val="16"/>
              </w:rPr>
              <w:t xml:space="preserve">Plus haut 100j : </w:t>
            </w:r>
            <w:r>
              <w:rPr>
                <w:color w:val="000000"/>
                <w:sz w:val="17"/>
              </w:rPr>
              <w:t>6,150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9.07% (Moyenne) — μ=4,989 FCFA, σ=452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β=0.3301 (Défensif) — Cov=0.000012, Var(idx)=0.000036, ρ=0.099,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σ_j=2.00%/j (Stable) — Vol. annualisée≈31.8%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5,848</w:t>
            </w:r>
          </w:p>
        </w:tc>
        <w:tc>
          <w:tcPr>
            <w:tcW w:type="dxa" w:w="1440"/>
            <w:shd w:fill="FAFAFA" w:val="clear"/>
          </w:tcPr>
          <w:p>
            <w:r>
              <w:rPr>
                <w:b/>
                <w:sz w:val="17"/>
              </w:rPr>
              <w:t>6,046</w:t>
            </w:r>
          </w:p>
        </w:tc>
        <w:tc>
          <w:tcPr>
            <w:tcW w:type="dxa" w:w="1440"/>
            <w:shd w:fill="FAFAFA" w:val="clear"/>
          </w:tcPr>
          <w:p>
            <w:r>
              <w:rPr>
                <w:sz w:val="17"/>
              </w:rPr>
              <w:t>6,244</w:t>
            </w:r>
          </w:p>
        </w:tc>
        <w:tc>
          <w:tcPr>
            <w:tcW w:type="dxa" w:w="1440"/>
            <w:shd w:fill="FAFAFA" w:val="clear"/>
          </w:tcPr>
          <w:p>
            <w:r>
              <w:rPr>
                <w:b/>
                <w:color w:val="C00000"/>
                <w:sz w:val="17"/>
              </w:rPr>
              <w:t>-1.7%</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5,641</w:t>
            </w:r>
          </w:p>
        </w:tc>
        <w:tc>
          <w:tcPr>
            <w:tcW w:type="dxa" w:w="1440"/>
            <w:shd w:fill="FFDCE0" w:val="clear"/>
          </w:tcPr>
          <w:p>
            <w:r>
              <w:rPr>
                <w:b/>
                <w:sz w:val="17"/>
              </w:rPr>
              <w:t>5,914</w:t>
            </w:r>
          </w:p>
        </w:tc>
        <w:tc>
          <w:tcPr>
            <w:tcW w:type="dxa" w:w="1440"/>
            <w:shd w:fill="FFDCE0" w:val="clear"/>
          </w:tcPr>
          <w:p>
            <w:r>
              <w:rPr>
                <w:sz w:val="17"/>
              </w:rPr>
              <w:t>6,188</w:t>
            </w:r>
          </w:p>
        </w:tc>
        <w:tc>
          <w:tcPr>
            <w:tcW w:type="dxa" w:w="1440"/>
            <w:shd w:fill="FFDCE0" w:val="clear"/>
          </w:tcPr>
          <w:p>
            <w:r>
              <w:rPr>
                <w:b/>
                <w:color w:val="C00000"/>
                <w:sz w:val="17"/>
              </w:rPr>
              <w:t>-3.8%</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5,467</w:t>
            </w:r>
          </w:p>
        </w:tc>
        <w:tc>
          <w:tcPr>
            <w:tcW w:type="dxa" w:w="1440"/>
            <w:shd w:fill="FFDCE0" w:val="clear"/>
          </w:tcPr>
          <w:p>
            <w:r>
              <w:rPr>
                <w:b/>
                <w:sz w:val="17"/>
              </w:rPr>
              <w:t>5,796</w:t>
            </w:r>
          </w:p>
        </w:tc>
        <w:tc>
          <w:tcPr>
            <w:tcW w:type="dxa" w:w="1440"/>
            <w:shd w:fill="FFDCE0" w:val="clear"/>
          </w:tcPr>
          <w:p>
            <w:r>
              <w:rPr>
                <w:sz w:val="17"/>
              </w:rPr>
              <w:t>6,124</w:t>
            </w:r>
          </w:p>
        </w:tc>
        <w:tc>
          <w:tcPr>
            <w:tcW w:type="dxa" w:w="1440"/>
            <w:shd w:fill="FFDCE0" w:val="clear"/>
          </w:tcPr>
          <w:p>
            <w:r>
              <w:rPr>
                <w:b/>
                <w:color w:val="C00000"/>
                <w:sz w:val="17"/>
              </w:rPr>
              <w:t>-5.8%</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5,324</w:t>
            </w:r>
          </w:p>
        </w:tc>
        <w:tc>
          <w:tcPr>
            <w:tcW w:type="dxa" w:w="1440"/>
            <w:shd w:fill="FFDCE0" w:val="clear"/>
          </w:tcPr>
          <w:p>
            <w:r>
              <w:rPr>
                <w:b/>
                <w:sz w:val="17"/>
              </w:rPr>
              <w:t>5,696</w:t>
            </w:r>
          </w:p>
        </w:tc>
        <w:tc>
          <w:tcPr>
            <w:tcW w:type="dxa" w:w="1440"/>
            <w:shd w:fill="FFDCE0" w:val="clear"/>
          </w:tcPr>
          <w:p>
            <w:r>
              <w:rPr>
                <w:sz w:val="17"/>
              </w:rPr>
              <w:t>6,069</w:t>
            </w:r>
          </w:p>
        </w:tc>
        <w:tc>
          <w:tcPr>
            <w:tcW w:type="dxa" w:w="1440"/>
            <w:shd w:fill="FFDCE0" w:val="clear"/>
          </w:tcPr>
          <w:p>
            <w:r>
              <w:rPr>
                <w:b/>
                <w:color w:val="C00000"/>
                <w:sz w:val="17"/>
              </w:rPr>
              <w:t>-7.4%</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5,201</w:t>
            </w:r>
          </w:p>
        </w:tc>
        <w:tc>
          <w:tcPr>
            <w:tcW w:type="dxa" w:w="1440"/>
            <w:shd w:fill="FFDCE0" w:val="clear"/>
          </w:tcPr>
          <w:p>
            <w:r>
              <w:rPr>
                <w:b/>
                <w:sz w:val="17"/>
              </w:rPr>
              <w:t>5,611</w:t>
            </w:r>
          </w:p>
        </w:tc>
        <w:tc>
          <w:tcPr>
            <w:tcW w:type="dxa" w:w="1440"/>
            <w:shd w:fill="FFDCE0" w:val="clear"/>
          </w:tcPr>
          <w:p>
            <w:r>
              <w:rPr>
                <w:sz w:val="17"/>
              </w:rPr>
              <w:t>6,022</w:t>
            </w:r>
          </w:p>
        </w:tc>
        <w:tc>
          <w:tcPr>
            <w:tcW w:type="dxa" w:w="1440"/>
            <w:shd w:fill="FFDCE0" w:val="clear"/>
          </w:tcPr>
          <w:p>
            <w:r>
              <w:rPr>
                <w:b/>
                <w:color w:val="C00000"/>
                <w:sz w:val="17"/>
              </w:rPr>
              <w:t>-8.8%</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5,092</w:t>
            </w:r>
          </w:p>
        </w:tc>
        <w:tc>
          <w:tcPr>
            <w:tcW w:type="dxa" w:w="1440"/>
            <w:shd w:fill="FFDCE0" w:val="clear"/>
          </w:tcPr>
          <w:p>
            <w:r>
              <w:rPr>
                <w:b/>
                <w:sz w:val="17"/>
              </w:rPr>
              <w:t>5,535</w:t>
            </w:r>
          </w:p>
        </w:tc>
        <w:tc>
          <w:tcPr>
            <w:tcW w:type="dxa" w:w="1440"/>
            <w:shd w:fill="FFDCE0" w:val="clear"/>
          </w:tcPr>
          <w:p>
            <w:r>
              <w:rPr>
                <w:sz w:val="17"/>
              </w:rPr>
              <w:t>5,979</w:t>
            </w:r>
          </w:p>
        </w:tc>
        <w:tc>
          <w:tcPr>
            <w:tcW w:type="dxa" w:w="1440"/>
            <w:shd w:fill="FFDCE0" w:val="clear"/>
          </w:tcPr>
          <w:p>
            <w:r>
              <w:rPr>
                <w:b/>
                <w:color w:val="C00000"/>
                <w:sz w:val="17"/>
              </w:rPr>
              <w:t>-10.0%</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4,991</w:t>
            </w:r>
          </w:p>
        </w:tc>
        <w:tc>
          <w:tcPr>
            <w:tcW w:type="dxa" w:w="1440"/>
            <w:shd w:fill="FFDCE0" w:val="clear"/>
          </w:tcPr>
          <w:p>
            <w:r>
              <w:rPr>
                <w:b/>
                <w:sz w:val="17"/>
              </w:rPr>
              <w:t>5,465</w:t>
            </w:r>
          </w:p>
        </w:tc>
        <w:tc>
          <w:tcPr>
            <w:tcW w:type="dxa" w:w="1440"/>
            <w:shd w:fill="FFDCE0" w:val="clear"/>
          </w:tcPr>
          <w:p>
            <w:r>
              <w:rPr>
                <w:sz w:val="17"/>
              </w:rPr>
              <w:t>5,938</w:t>
            </w:r>
          </w:p>
        </w:tc>
        <w:tc>
          <w:tcPr>
            <w:tcW w:type="dxa" w:w="1440"/>
            <w:shd w:fill="FFDCE0" w:val="clear"/>
          </w:tcPr>
          <w:p>
            <w:r>
              <w:rPr>
                <w:b/>
                <w:color w:val="C00000"/>
                <w:sz w:val="17"/>
              </w:rPr>
              <w:t>-11.1%</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4,899</w:t>
            </w:r>
          </w:p>
        </w:tc>
        <w:tc>
          <w:tcPr>
            <w:tcW w:type="dxa" w:w="1440"/>
            <w:shd w:fill="FFDCE0" w:val="clear"/>
          </w:tcPr>
          <w:p>
            <w:r>
              <w:rPr>
                <w:b/>
                <w:sz w:val="17"/>
              </w:rPr>
              <w:t>5,398</w:t>
            </w:r>
          </w:p>
        </w:tc>
        <w:tc>
          <w:tcPr>
            <w:tcW w:type="dxa" w:w="1440"/>
            <w:shd w:fill="FFDCE0" w:val="clear"/>
          </w:tcPr>
          <w:p>
            <w:r>
              <w:rPr>
                <w:sz w:val="17"/>
              </w:rPr>
              <w:t>5,898</w:t>
            </w:r>
          </w:p>
        </w:tc>
        <w:tc>
          <w:tcPr>
            <w:tcW w:type="dxa" w:w="1440"/>
            <w:shd w:fill="FFDCE0" w:val="clear"/>
          </w:tcPr>
          <w:p>
            <w:r>
              <w:rPr>
                <w:b/>
                <w:color w:val="C00000"/>
                <w:sz w:val="17"/>
              </w:rPr>
              <w:t>-12.2%</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4,812</w:t>
            </w:r>
          </w:p>
        </w:tc>
        <w:tc>
          <w:tcPr>
            <w:tcW w:type="dxa" w:w="1440"/>
            <w:shd w:fill="FFDCE0" w:val="clear"/>
          </w:tcPr>
          <w:p>
            <w:r>
              <w:rPr>
                <w:b/>
                <w:sz w:val="17"/>
              </w:rPr>
              <w:t>5,336</w:t>
            </w:r>
          </w:p>
        </w:tc>
        <w:tc>
          <w:tcPr>
            <w:tcW w:type="dxa" w:w="1440"/>
            <w:shd w:fill="FFDCE0" w:val="clear"/>
          </w:tcPr>
          <w:p>
            <w:r>
              <w:rPr>
                <w:sz w:val="17"/>
              </w:rPr>
              <w:t>5,860</w:t>
            </w:r>
          </w:p>
        </w:tc>
        <w:tc>
          <w:tcPr>
            <w:tcW w:type="dxa" w:w="1440"/>
            <w:shd w:fill="FFDCE0" w:val="clear"/>
          </w:tcPr>
          <w:p>
            <w:r>
              <w:rPr>
                <w:b/>
                <w:color w:val="C00000"/>
                <w:sz w:val="17"/>
              </w:rPr>
              <w:t>-13.2%</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4,731</w:t>
            </w:r>
          </w:p>
        </w:tc>
        <w:tc>
          <w:tcPr>
            <w:tcW w:type="dxa" w:w="1440"/>
            <w:shd w:fill="FFDCE0" w:val="clear"/>
          </w:tcPr>
          <w:p>
            <w:r>
              <w:rPr>
                <w:b/>
                <w:sz w:val="17"/>
              </w:rPr>
              <w:t>5,277</w:t>
            </w:r>
          </w:p>
        </w:tc>
        <w:tc>
          <w:tcPr>
            <w:tcW w:type="dxa" w:w="1440"/>
            <w:shd w:fill="FFDCE0" w:val="clear"/>
          </w:tcPr>
          <w:p>
            <w:r>
              <w:rPr>
                <w:sz w:val="17"/>
              </w:rPr>
              <w:t>5,823</w:t>
            </w:r>
          </w:p>
        </w:tc>
        <w:tc>
          <w:tcPr>
            <w:tcW w:type="dxa" w:w="1440"/>
            <w:shd w:fill="FFDCE0" w:val="clear"/>
          </w:tcPr>
          <w:p>
            <w:r>
              <w:rPr>
                <w:b/>
                <w:color w:val="C00000"/>
                <w:sz w:val="17"/>
              </w:rPr>
              <w:t>-14.2%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168,82 milliards FCFA, ce qui positionne la banque parmi les valeurs moyennes de la cote BRVM, avec une liquidité quotidienne modeste d'environ 6 336 titres échangés. Le BPA de 404 FCFA indique que chaque action génère un bénéfice substantiel, justifiant un PER de 15,2x, nettement supérieur à la moyenne historique de la BRVM (8-12x). Ce niveau de valorisation traduit une prime de croissance accordée par le marché, confortée par un P/B de 3,39x qui reflète une confiance marquée dans la création de valeur future au-delà de la valeur comptable. L'EV/EBITDA de 7,9x, dans la fourchette raisonnable de 5-10x, suggère que la valeur totale de l'entreprise reste cohérente avec sa capacité opérationnelle à générer des flux, malgré une prime boursière déjà significative.</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 100 jours, le titre BOAM a enregistré une progression spectaculaire de +28,53%, avec une dernière séance positive de +0,16% clôturant à 6 150 FCFA, au plus haut de la période. Le range de trading s'étend de 4 425 FCFA à 6 150 FCFA, illustrant une dynamique haussière soutenue. La moyenne de 4 989 FCFA, inférieure au cours actuel, confirme la vigueur du mouvement, tandis que la médiane de 4 758 FCFA et le mode de 4 670 FCFA indiquent que le titre a passé la majorité de la période à des niveaux nettement inférieurs, révélant une accélération récente. L'écart-type de 455 FCFA (CV=9,1%) démontre une dispersion modérée, avec un kurtosis de -0,516 suggérant l'absence de mouvements extrêmes, et un skewness de 0,902 indiquant une asymétrie positive où les journées sous la moyenne dominent. La volatilité annualisée de 31,8% classe le titre dans la catégorie élevée, signalant un risque substantiel pour les investisseurs.</w:t>
      </w:r>
    </w:p>
    <w:p>
      <w:pPr>
        <w:spacing w:after="120" w:line="276" w:lineRule="auto" w:before="240"/>
      </w:pPr>
      <w:r>
        <w:rPr>
          <w:b/>
          <w:color w:val="003366"/>
          <w:sz w:val="24"/>
        </w:rPr>
        <w:t>**PARTIE 2 : ANALYSE TECHNIQUE DÉTAILLÉE**</w:t>
      </w:r>
    </w:p>
    <w:p>
      <w:pPr>
        <w:spacing w:after="120" w:line="276" w:lineRule="auto"/>
      </w:pPr>
      <w:r>
        <w:t>**Moyennes Mobiles**: Le cours actuel de 6 150 FCFA évolue nettement au-dessus de la MM20 (5 711,25 FCFA) et de la MM50 (5 241 FCFA), avec un écart de 7,7% et 17,3% respectivement. Cette configuration haussière, où les moyennes sont orientées à la hausse, confirme la solidité de la tendance et justifie la décision d'achat, bien que l'écart important suggère une possible consolidation à court terme.</w:t>
      </w:r>
    </w:p>
    <w:p>
      <w:pPr>
        <w:spacing w:after="120" w:line="276" w:lineRule="auto"/>
      </w:pPr>
      <w:r>
        <w:t>**Bandes de Bollinger**: Le prix se situe au-dessus de la borne supérieure (6 105,64 FCFA), indiquant une extension excessive au-delà des limites statistiques de volatilité. Cette situation, typique des marchés surachetés, suggère une pression acheteuse intense mais potentiellement insoutenable, justifiant la décision de vente pour un repli technique vers la moyenne mobile.</w:t>
      </w:r>
    </w:p>
    <w:p>
      <w:pPr>
        <w:spacing w:after="120" w:line="276" w:lineRule="auto"/>
      </w:pPr>
      <w:r>
        <w:t>**MACD**: Le MACD (197,03) évolue nettement au-dessus de son signal (165,59), avec un écart positif de 31,44 points. Cette divergence positive confirme la vigueur du momentum haussier, bien que l'amplitude de l'écart puisse indiquer une maturité du mouvement. La décision d'achat reste valide tant que le MACD demeure au-dessus du signal.</w:t>
      </w:r>
    </w:p>
    <w:p>
      <w:pPr>
        <w:spacing w:after="120" w:line="276" w:lineRule="auto"/>
      </w:pPr>
      <w:r>
        <w:t>**RSI**: Le RSI de 72,18 dépasse le seuil de surachat de 70, signalant une pression acheteuse excessive qui pourrait précéder une correction. Cette zone de surachat, combinée à la tendance haussière, suggère une prudence accrue pour les nouveaux achats, justifiant la décision de vente pour les positions existantes.</w:t>
      </w:r>
    </w:p>
    <w:p>
      <w:pPr>
        <w:spacing w:after="120" w:line="276" w:lineRule="auto"/>
      </w:pPr>
      <w:r>
        <w:t>**Stochastique**: Le %K et le %D à 100,0 indiquent une condition de surachat extrême, avec le titre évoluant au plus haut de sa fourchette sur la période. Cette configuration, bien que reflétant une force remarquable, suggère une probabilité élevée de consolidation ou de correction à court terme, justifiant la décision de vente.</w:t>
      </w:r>
    </w:p>
    <w:p>
      <w:pPr>
        <w:spacing w:after="120" w:line="276" w:lineRule="auto"/>
      </w:pPr>
      <w:r>
        <w:t>**Conclusion technique**: Les indicateurs de tendance (MM, MACD) confirment une dynamique haussière robuste, mais les oscillateurs (RSI, Stochastique, Bollinger) signalent tous une condition de surachat extrême. Cette divergence entre tendance et momentum suggère une probabilité élevée de consolidation à court terme, bien que la tendance de fond demeure résolument positive.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BOAM révèlent un Produit Net Bancaire de 37,996 milliards FCFA, en croissance de 5,08%, avec un résultat net de 11,081 milliards FCFA, démontrant une rentabilité exceptionnelle avec un ROE de 22,24% et un ROA de 1,87%. Le coefficient d'exploitation de 63,14%, légèrement au-dessus du seuil d'efficacité de 60%, indique une gestion opérationnelle correcte mais perfectible. Le coût du risque de 43,39% reste élevé, signalant un portefeuille de crédits présentant des risques significatifs, bien que la transformation bancaire soit saine avec 253,65 milliards de créances clientèle financées par 502,89 milliards de dépôts. Les rapports trimestriels 2025 confirment cette trajectoire : le T1 affiche un résultat net de 3,02 milliards (+91,2%), le S1 atteint 6,21 milliards (+28,8%), et le T3 cumulé s'établit à 9,16 milliards (+26,2%), avec un PNB de 28,52 milliards (+5,8%). Sur la base de cette progression, on estime que le résultat net annuel 2025 pourrait atteindre environ 11,5 milliards FCFA, confirmant la solidité financière de la banque, sa capacité à générer une croissance rentable dans un environnement difficile, et des perspectives favorables pour 2026.</w:t>
      </w:r>
    </w:p>
    <w:p>
      <w:pPr>
        <w:spacing w:after="120" w:line="276" w:lineRule="auto" w:before="240"/>
      </w:pPr>
      <w:r>
        <w:rPr>
          <w:b/>
          <w:color w:val="003366"/>
          <w:sz w:val="24"/>
        </w:rPr>
        <w:t>**PARTIE 4 : CONCLUSION D'INVESTISSEMENT**</w:t>
      </w:r>
    </w:p>
    <w:p>
      <w:pPr>
        <w:spacing w:after="120" w:line="276" w:lineRule="auto"/>
      </w:pPr>
      <w:r>
        <w:t>La valorisation de BOAM, avec un PER de 15,2x et un P/B de 3,39x, indique une prime de croissance substantielle, mais justifiée par des fondamentaux solides. Le comportement du cours, avec une hausse de 28,53% sur 100 jours et une volatilité élevée de 31,8%, reflète un optimisme marqué du marché, bien que les statistiques suggèrent une distribution asymétrique avec un risque de correction. Les signaux techniques sont mitigés : la tendance reste haussière (MM, MACD), mais les oscillateurs en surachat extrême (RSI 72,2, Stochastique 100) signalent une consolidation probable. Les fondamentaux, avec un ROE de 22,24% et une croissance du résultat net de 26,2% sur neuf mois, confirment la solidité de la banque. Les prédictions IA de 6 046 à 5 611 FCFA sur 10 jours suggèrent un repli technique de 8,8%, contredisant la tendance récente mais cohérent avec les signaux de surachat. En synthèse, la convergence entre les fondamentaux solides et la valorisation élevée, combinée aux signaux techniques de surachat et aux prédictions de repli, justifie une recommandation **CONSERVER** avec un niveau de confiance **Moyen**, un risque global **Élevé**, et un horizon d'investissement optimal à **moyen terme (3-12 mois)** pour capitaliser sur la solidité fondamentale après une éventuelle correction technique.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106.50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10,429 titres</w:t>
            </w:r>
          </w:p>
        </w:tc>
        <w:tc>
          <w:tcPr>
            <w:tcW w:type="dxa" w:w="2268"/>
            <w:shd w:fill="FFF2CC" w:val="clear"/>
          </w:tcPr>
          <w:p>
            <w:r>
              <w:rPr>
                <w:b/>
                <w:color w:val="503200"/>
                <w:sz w:val="16"/>
              </w:rPr>
              <w:t xml:space="preserve">Cours actuel : </w:t>
            </w:r>
            <w:r>
              <w:rPr>
                <w:color w:val="000000"/>
                <w:sz w:val="17"/>
              </w:rPr>
              <w:t>5,120 FCFA</w:t>
            </w:r>
          </w:p>
          <w:p>
            <w:r>
              <w:rPr>
                <w:b/>
                <w:color w:val="503200"/>
                <w:sz w:val="16"/>
              </w:rPr>
              <w:t xml:space="preserve">Var. 100 jours : </w:t>
            </w:r>
            <w:r>
              <w:rPr>
                <w:b/>
                <w:color w:val="007800"/>
                <w:sz w:val="17"/>
              </w:rPr>
              <w:t>+96.17%</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2,460 FCFA</w:t>
            </w:r>
          </w:p>
          <w:p>
            <w:r>
              <w:rPr>
                <w:b/>
                <w:color w:val="503200"/>
                <w:sz w:val="16"/>
              </w:rPr>
              <w:t xml:space="preserve">Volatilité ann. : </w:t>
            </w:r>
            <w:r>
              <w:rPr>
                <w:color w:val="000000"/>
                <w:sz w:val="17"/>
              </w:rPr>
              <w:t>41.6%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22.02% (Élevée) — μ=3,906 FCFA, σ=860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β=0.4678 (Défensif) — Cov=0.000017, Var(idx)=0.000036, ρ=0.108,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10,429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4,865</w:t>
            </w:r>
          </w:p>
        </w:tc>
        <w:tc>
          <w:tcPr>
            <w:tcW w:type="dxa" w:w="1440"/>
            <w:shd w:fill="FAFAFA" w:val="clear"/>
          </w:tcPr>
          <w:p>
            <w:r>
              <w:rPr>
                <w:b/>
                <w:sz w:val="17"/>
              </w:rPr>
              <w:t>5,093</w:t>
            </w:r>
          </w:p>
        </w:tc>
        <w:tc>
          <w:tcPr>
            <w:tcW w:type="dxa" w:w="1440"/>
            <w:shd w:fill="FAFAFA" w:val="clear"/>
          </w:tcPr>
          <w:p>
            <w:r>
              <w:rPr>
                <w:sz w:val="17"/>
              </w:rPr>
              <w:t>5,322</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4,764</w:t>
            </w:r>
          </w:p>
        </w:tc>
        <w:tc>
          <w:tcPr>
            <w:tcW w:type="dxa" w:w="1440"/>
            <w:shd w:fill="FAFAFA" w:val="clear"/>
          </w:tcPr>
          <w:p>
            <w:r>
              <w:rPr>
                <w:b/>
                <w:sz w:val="17"/>
              </w:rPr>
              <w:t>5,087</w:t>
            </w:r>
          </w:p>
        </w:tc>
        <w:tc>
          <w:tcPr>
            <w:tcW w:type="dxa" w:w="1440"/>
            <w:shd w:fill="FAFAFA" w:val="clear"/>
          </w:tcPr>
          <w:p>
            <w:r>
              <w:rPr>
                <w:sz w:val="17"/>
              </w:rPr>
              <w:t>5,410</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4,683</w:t>
            </w:r>
          </w:p>
        </w:tc>
        <w:tc>
          <w:tcPr>
            <w:tcW w:type="dxa" w:w="1440"/>
            <w:shd w:fill="FAFAFA" w:val="clear"/>
          </w:tcPr>
          <w:p>
            <w:r>
              <w:rPr>
                <w:b/>
                <w:sz w:val="17"/>
              </w:rPr>
              <w:t>5,078</w:t>
            </w:r>
          </w:p>
        </w:tc>
        <w:tc>
          <w:tcPr>
            <w:tcW w:type="dxa" w:w="1440"/>
            <w:shd w:fill="FAFAFA" w:val="clear"/>
          </w:tcPr>
          <w:p>
            <w:r>
              <w:rPr>
                <w:sz w:val="17"/>
              </w:rPr>
              <w:t>5,473</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4,614</w:t>
            </w:r>
          </w:p>
        </w:tc>
        <w:tc>
          <w:tcPr>
            <w:tcW w:type="dxa" w:w="1440"/>
            <w:shd w:fill="FAFAFA" w:val="clear"/>
          </w:tcPr>
          <w:p>
            <w:r>
              <w:rPr>
                <w:b/>
                <w:sz w:val="17"/>
              </w:rPr>
              <w:t>5,069</w:t>
            </w:r>
          </w:p>
        </w:tc>
        <w:tc>
          <w:tcPr>
            <w:tcW w:type="dxa" w:w="1440"/>
            <w:shd w:fill="FAFAFA" w:val="clear"/>
          </w:tcPr>
          <w:p>
            <w:r>
              <w:rPr>
                <w:sz w:val="17"/>
              </w:rPr>
              <w:t>5,524</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4,552</w:t>
            </w:r>
          </w:p>
        </w:tc>
        <w:tc>
          <w:tcPr>
            <w:tcW w:type="dxa" w:w="1440"/>
            <w:shd w:fill="FAFAFA" w:val="clear"/>
          </w:tcPr>
          <w:p>
            <w:r>
              <w:rPr>
                <w:b/>
                <w:sz w:val="17"/>
              </w:rPr>
              <w:t>5,060</w:t>
            </w:r>
          </w:p>
        </w:tc>
        <w:tc>
          <w:tcPr>
            <w:tcW w:type="dxa" w:w="1440"/>
            <w:shd w:fill="FAFAFA" w:val="clear"/>
          </w:tcPr>
          <w:p>
            <w:r>
              <w:rPr>
                <w:sz w:val="17"/>
              </w:rPr>
              <w:t>5,568</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2026-08-24</w:t>
            </w:r>
          </w:p>
        </w:tc>
        <w:tc>
          <w:tcPr>
            <w:tcW w:type="dxa" w:w="1440"/>
            <w:shd w:fill="FAFAFA" w:val="clear"/>
          </w:tcPr>
          <w:p>
            <w:r>
              <w:rPr>
                <w:sz w:val="17"/>
              </w:rPr>
              <w:t>4,496</w:t>
            </w:r>
          </w:p>
        </w:tc>
        <w:tc>
          <w:tcPr>
            <w:tcW w:type="dxa" w:w="1440"/>
            <w:shd w:fill="FAFAFA" w:val="clear"/>
          </w:tcPr>
          <w:p>
            <w:r>
              <w:rPr>
                <w:b/>
                <w:sz w:val="17"/>
              </w:rPr>
              <w:t>5,051</w:t>
            </w:r>
          </w:p>
        </w:tc>
        <w:tc>
          <w:tcPr>
            <w:tcW w:type="dxa" w:w="1440"/>
            <w:shd w:fill="FAFAFA" w:val="clear"/>
          </w:tcPr>
          <w:p>
            <w:r>
              <w:rPr>
                <w:sz w:val="17"/>
              </w:rPr>
              <w:t>5,606</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2026-08-25</w:t>
            </w:r>
          </w:p>
        </w:tc>
        <w:tc>
          <w:tcPr>
            <w:tcW w:type="dxa" w:w="1440"/>
            <w:shd w:fill="FAFAFA" w:val="clear"/>
          </w:tcPr>
          <w:p>
            <w:r>
              <w:rPr>
                <w:sz w:val="17"/>
              </w:rPr>
              <w:t>4,444</w:t>
            </w:r>
          </w:p>
        </w:tc>
        <w:tc>
          <w:tcPr>
            <w:tcW w:type="dxa" w:w="1440"/>
            <w:shd w:fill="FAFAFA" w:val="clear"/>
          </w:tcPr>
          <w:p>
            <w:r>
              <w:rPr>
                <w:b/>
                <w:sz w:val="17"/>
              </w:rPr>
              <w:t>5,042</w:t>
            </w:r>
          </w:p>
        </w:tc>
        <w:tc>
          <w:tcPr>
            <w:tcW w:type="dxa" w:w="1440"/>
            <w:shd w:fill="FAFAFA" w:val="clear"/>
          </w:tcPr>
          <w:p>
            <w:r>
              <w:rPr>
                <w:sz w:val="17"/>
              </w:rPr>
              <w:t>5,641</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2026-08-27</w:t>
            </w:r>
          </w:p>
        </w:tc>
        <w:tc>
          <w:tcPr>
            <w:tcW w:type="dxa" w:w="1440"/>
            <w:shd w:fill="FAFAFA" w:val="clear"/>
          </w:tcPr>
          <w:p>
            <w:r>
              <w:rPr>
                <w:sz w:val="17"/>
              </w:rPr>
              <w:t>4,395</w:t>
            </w:r>
          </w:p>
        </w:tc>
        <w:tc>
          <w:tcPr>
            <w:tcW w:type="dxa" w:w="1440"/>
            <w:shd w:fill="FAFAFA" w:val="clear"/>
          </w:tcPr>
          <w:p>
            <w:r>
              <w:rPr>
                <w:b/>
                <w:sz w:val="17"/>
              </w:rPr>
              <w:t>5,034</w:t>
            </w:r>
          </w:p>
        </w:tc>
        <w:tc>
          <w:tcPr>
            <w:tcW w:type="dxa" w:w="1440"/>
            <w:shd w:fill="FAFAFA" w:val="clear"/>
          </w:tcPr>
          <w:p>
            <w:r>
              <w:rPr>
                <w:sz w:val="17"/>
              </w:rPr>
              <w:t>5,672</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2026-08-28</w:t>
            </w:r>
          </w:p>
        </w:tc>
        <w:tc>
          <w:tcPr>
            <w:tcW w:type="dxa" w:w="1440"/>
            <w:shd w:fill="FAFAFA" w:val="clear"/>
          </w:tcPr>
          <w:p>
            <w:r>
              <w:rPr>
                <w:sz w:val="17"/>
              </w:rPr>
              <w:t>4,349</w:t>
            </w:r>
          </w:p>
        </w:tc>
        <w:tc>
          <w:tcPr>
            <w:tcW w:type="dxa" w:w="1440"/>
            <w:shd w:fill="FAFAFA" w:val="clear"/>
          </w:tcPr>
          <w:p>
            <w:r>
              <w:rPr>
                <w:b/>
                <w:sz w:val="17"/>
              </w:rPr>
              <w:t>5,025</w:t>
            </w:r>
          </w:p>
        </w:tc>
        <w:tc>
          <w:tcPr>
            <w:tcW w:type="dxa" w:w="1440"/>
            <w:shd w:fill="FAFAFA" w:val="clear"/>
          </w:tcPr>
          <w:p>
            <w:r>
              <w:rPr>
                <w:sz w:val="17"/>
              </w:rPr>
              <w:t>5,701</w:t>
            </w:r>
          </w:p>
        </w:tc>
        <w:tc>
          <w:tcPr>
            <w:tcW w:type="dxa" w:w="1440"/>
            <w:shd w:fill="FAFAFA" w:val="clear"/>
          </w:tcPr>
          <w:p>
            <w:r>
              <w:rPr>
                <w:b/>
                <w:color w:val="C00000"/>
                <w:sz w:val="17"/>
              </w:rPr>
              <w:t>-1.9%</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4,305</w:t>
            </w:r>
          </w:p>
        </w:tc>
        <w:tc>
          <w:tcPr>
            <w:tcW w:type="dxa" w:w="1440"/>
            <w:shd w:fill="FFDCE0" w:val="clear"/>
          </w:tcPr>
          <w:p>
            <w:r>
              <w:rPr>
                <w:b/>
                <w:sz w:val="17"/>
              </w:rPr>
              <w:t>5,017</w:t>
            </w:r>
          </w:p>
        </w:tc>
        <w:tc>
          <w:tcPr>
            <w:tcW w:type="dxa" w:w="1440"/>
            <w:shd w:fill="FFDCE0" w:val="clear"/>
          </w:tcPr>
          <w:p>
            <w:r>
              <w:rPr>
                <w:sz w:val="17"/>
              </w:rPr>
              <w:t>5,728</w:t>
            </w:r>
          </w:p>
        </w:tc>
        <w:tc>
          <w:tcPr>
            <w:tcW w:type="dxa" w:w="1440"/>
            <w:shd w:fill="FFDCE0"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BOAN s'établit à 106,50 milliards FCFA, un niveau significatif qui la positionne parmi les valeurs moyennes de la BRVM. Le BPA de 20 FCFA par action est extrêmement faible, traduisant une capacité bénéficiaire très réduite. Le PER de 260,4x est exceptionnellement élevé, très largement au-dessus de la moyenne BRVM (8-12x), indiquant que les investisseurs paient un prix très cher pour des bénéfices dérisoires. Le P/B de 2,95x montre que le marché valorise la société à près de 3 fois sa valeur comptable, ce qui intègre une prime de croissance substantielle difficile à justifier au vu des fondamentaux actuels. Enfin, l'EV/EBITDA de 39,6x, très supérieur au seuil exigeant de 15x, confirme une valorisation extrêmement tendue qui laisse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BOAN affiche une progression spectaculaire de +96,17%, passant d'un plus bas de 2 460 FCFA à un plus haut de 5 400 FCFA, avec un cours actuel de 5 120 FCFA et une légère hausse de +0,39% lors de la dernière séance. La moyenne du cours sur la période (3 906 FCFA) est supérieure à la médiane (3 718 FCFA), indiquant une distribution légèrement asymétrique positive, confirmée par un skewness de 0,301. L'écart-type de 864 FCFA représente un coefficient de variation de 22,1%, témoignant d'une dispersion modérée des prix autour de la moyenne. Le kurtosis de -0,938 (mésokurtique) suggère une distribution proche de la normale, sans risque de pics extrêmes particuliers. La volatilité annualisée de 41,6% est élevée, positionnant le titre comme nettement plus risqué qu'un indice stable, ce qui reflète une forte spéculation et des mouvements de prix amples sur la période.</w:t>
      </w:r>
    </w:p>
    <w:p>
      <w:pPr>
        <w:spacing w:after="120" w:line="276" w:lineRule="auto" w:before="240"/>
      </w:pPr>
      <w:r>
        <w:rPr>
          <w:b/>
          <w:color w:val="003366"/>
          <w:sz w:val="24"/>
        </w:rPr>
        <w:t>**PARTIE 2 : ANALYSE TECHNIQUE DÉTAILLÉE**</w:t>
      </w:r>
    </w:p>
    <w:p>
      <w:pPr>
        <w:spacing w:after="120" w:line="276" w:lineRule="auto"/>
      </w:pPr>
      <w:r>
        <w:t>**Moyennes Mobiles** : Le cours actuel (5 120 FCFA) se situe au-dessus de la MM20 (5 224,5 FCFA) et nettement au-dessus de la MM50 (4 571,2 FCFA), confirmant une tendance haussière de moyen terme. La MM20 est supérieure à la MM50, formant un croisement haussier (golden cross) qui valide la dynamique positive. La décision d'achat est cohérente avec cette configuration.</w:t>
      </w:r>
    </w:p>
    <w:p>
      <w:pPr>
        <w:spacing w:after="120" w:line="276" w:lineRule="auto"/>
      </w:pPr>
      <w:r>
        <w:t>**Bandes de Bollinger** : Le cours évolue dans la partie supérieure du canal, entre la borne inférieure (5 016,96 FCFA) et la borne supérieure (5 432,04 FCFA), avec une largeur de bandes relativement étroite indiquant une volatilité modérée. La position du prix proche de la borne supérieure suggère une pression acheteuse persistante, mais le signal neutre reflète une possible consolidation avant une nouvelle impulsion.</w:t>
      </w:r>
    </w:p>
    <w:p>
      <w:pPr>
        <w:spacing w:after="120" w:line="276" w:lineRule="auto"/>
      </w:pPr>
      <w:r>
        <w:t>**MACD** : Le MACD (135,244) est inférieur à son signal (199,671), formant une divergence baissière qui indique un affaiblissement du momentum haussier. Cette configuration suggère une perte de vitesse de la tendance, justifiant la décision de vente, bien que le MACD reste positif, ce qui nuance le signal baissier.</w:t>
      </w:r>
    </w:p>
    <w:p>
      <w:pPr>
        <w:spacing w:after="120" w:line="276" w:lineRule="auto"/>
      </w:pPr>
      <w:r>
        <w:t>**RSI** : À 38,312, le RSI se situe en zone neutre, proche de la zone de survente (&lt;30). Cette valeur indique que le titre n'est ni suracheté ni survendu, laissant une marge de manœuvre pour une éventuelle remontée ou une poursuite de la baisse. La décision neutre est appropriée.</w:t>
      </w:r>
    </w:p>
    <w:p>
      <w:pPr>
        <w:spacing w:after="120" w:line="276" w:lineRule="auto"/>
      </w:pPr>
      <w:r>
        <w:t>**Stochastique** : Le %K (13,846) est inférieur au %D (9,744), mais les deux sont en zone de survente (&lt;20), ce qui suggère un potentiel de rebond technique. Le croisement haussier imminent pourrait déclencher un signal d'achat, justifiant la décision actuelle.</w:t>
      </w:r>
    </w:p>
    <w:p>
      <w:pPr>
        <w:spacing w:after="120" w:line="276" w:lineRule="auto"/>
      </w:pPr>
      <w:r>
        <w:t>**Conclusion technique** : Les indicateurs sont mitigés, avec une tendance haussière de fond (MM) mais des signaux de momentum contradictoires (MACD baissier, RSI neutre, Stochastique en survente). La configuration suggère une consolidation à court terme avant une possible reprise, avec un biais haussier à moyen terme.</w:t>
      </w:r>
    </w:p>
    <w:p>
      <w:pPr>
        <w:spacing w:after="120" w:line="276" w:lineRule="auto" w:before="240"/>
      </w:pPr>
      <w:r>
        <w:rPr>
          <w:b/>
          <w:color w:val="003366"/>
          <w:sz w:val="24"/>
        </w:rPr>
        <w:t>**PARTIE 3 : ANALYSE FONDAMENTALE (SECTION CRITIQUE)**</w:t>
      </w:r>
    </w:p>
    <w:p>
      <w:pPr>
        <w:spacing w:after="120" w:line="276" w:lineRule="auto"/>
      </w:pPr>
      <w:r>
        <w:t>En 2025, BOAN affiche un Produit Net Bancaire de 21,125 milliards FCFA, en légère baisse de -1,2% par rapport à 2024 (21,38 milliards), et un résultat net de seulement 409 millions FCFA, en chute de 91,8% contre 5,002 milliards en 2024. Le ROE s'effondre à 1,13% et le ROA à 0,14%, contre respectivement 11,39% et 1,49% en 2024, illustrant une rentabilité quasi nulle. Le coefficient d'exploitation de 74,37% est très élevé, bien au-dessus du seuil d'efficacité de 60%, indiquant des charges importantes par rapport aux revenus. Le coût du risque de 67,30% est préoccupant, reflétant un portefeuille de crédits dégradé avec un taux de créances en souffrance de 24% (vs 12% moyenne UEMOA). Les dépôts clientèle (183,28 milliards) couvrent largement les crédits (128,45 milliards), montrant une transformation saine, mais la contraction des crédits de -20,9% traduit une politique prudente. Les rapports trimestriels 2025 confirment la dégradation progressive : T1 (-50,2% résultat net), S1 (-25,2%), 9M (-33,1%). Cependant, le rapport T1 2026 (daté 2026) montre un net redressement avec un résultat net en hausse de +28,9% à 1 467,3 millions FCFA, un PNB en progression de +7,9% à 5 170 millions et un coefficient d'exploitation amélioré à 56,2%. Sur cette base, on estime que l'exercice 2026 pourrait voir un résultat net de 5-6 milliards FCFA, mais cela reste une estimation à confirmer.</w:t>
      </w:r>
    </w:p>
    <w:p>
      <w:pPr>
        <w:spacing w:after="120" w:line="276" w:lineRule="auto" w:before="240"/>
      </w:pPr>
      <w:r>
        <w:rPr>
          <w:b/>
          <w:color w:val="003366"/>
          <w:sz w:val="24"/>
        </w:rPr>
        <w:t>**PARTIE 4 : CONCLUSION D'INVESTISSEMENT**</w:t>
      </w:r>
    </w:p>
    <w:p>
      <w:pPr>
        <w:spacing w:after="120" w:line="276" w:lineRule="auto"/>
      </w:pPr>
      <w:r>
        <w:t>La valorisation de BOAN est extrêmement exigeante (PER 260x, EV/EBITDA 39,6x, P/B 2,95x), reflétant une surévaluation manifeste par rapport aux fondamentaux actuels, malgré une capitalisation de 106,5 milliards FCFA. Le comportement du cours (+96% en 100 jours) avec une volatilité élevée (41,6%) et une distribution quasi normale (kurtosis -0,938, skewness 0,301) suggère une spéculation intense, potentiellement déconnectée des réalités financières. Les signaux techniques sont mitigés, avec une tendance haussière (MM) mais un momentum baissier (MACD) et des conditions de survente (Stochastique), indiquant une possible correction. Les fondamentaux, bien qu'en amélioration au T1 2026 (+28,9% résultat net), restent fragiles avec un ROE de 1,05% en 2025 et un risque de crédit élevé. Les prédictions IA (5 093 à 5 060 FCFA sur 10 jours) suggèrent une légère baisse, contredisant la tendance haussière récente. En synthèse, la convergence entre valorisation excessive, fondamentaux faibles et prédictions baissières l'emporte sur les signaux techniques positifs. **Recommandation : VENTE** avec un niveau de confiance Moyen, un risque global Élevé, et un horizon d'investissement optimal à court terme (&lt;3 mois) pour éviter une correction potentielle.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277.20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9,251 titres</w:t>
            </w:r>
          </w:p>
        </w:tc>
        <w:tc>
          <w:tcPr>
            <w:tcW w:type="dxa" w:w="2268"/>
            <w:shd w:fill="FFF2CC" w:val="clear"/>
          </w:tcPr>
          <w:p>
            <w:r>
              <w:rPr>
                <w:b/>
                <w:color w:val="503200"/>
                <w:sz w:val="16"/>
              </w:rPr>
              <w:t xml:space="preserve">Cours actuel : </w:t>
            </w:r>
            <w:r>
              <w:rPr>
                <w:color w:val="000000"/>
                <w:sz w:val="17"/>
              </w:rPr>
              <w:t>7,700 FCFA</w:t>
            </w:r>
          </w:p>
          <w:p>
            <w:r>
              <w:rPr>
                <w:b/>
                <w:color w:val="503200"/>
                <w:sz w:val="16"/>
              </w:rPr>
              <w:t xml:space="preserve">Var. 100 jours : </w:t>
            </w:r>
            <w:r>
              <w:rPr>
                <w:b/>
                <w:color w:val="007800"/>
                <w:sz w:val="17"/>
              </w:rPr>
              <w:t>+11.59%</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6,400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5.37% (Moyenne) — μ=7,291 FCFA, σ=392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β=0.5209 (Défensif) — Cov=0.000019, Var(idx)=0.000036, ρ=0.204,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9,251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7,360</w:t>
            </w:r>
          </w:p>
        </w:tc>
        <w:tc>
          <w:tcPr>
            <w:tcW w:type="dxa" w:w="1440"/>
            <w:shd w:fill="FFDCE0" w:val="clear"/>
          </w:tcPr>
          <w:p>
            <w:r>
              <w:rPr>
                <w:b/>
                <w:sz w:val="17"/>
              </w:rPr>
              <w:t>7,530</w:t>
            </w:r>
          </w:p>
        </w:tc>
        <w:tc>
          <w:tcPr>
            <w:tcW w:type="dxa" w:w="1440"/>
            <w:shd w:fill="FFDCE0" w:val="clear"/>
          </w:tcPr>
          <w:p>
            <w:r>
              <w:rPr>
                <w:sz w:val="17"/>
              </w:rPr>
              <w:t>7,699</w:t>
            </w:r>
          </w:p>
        </w:tc>
        <w:tc>
          <w:tcPr>
            <w:tcW w:type="dxa" w:w="1440"/>
            <w:shd w:fill="FFDCE0" w:val="clear"/>
          </w:tcPr>
          <w:p>
            <w:r>
              <w:rPr>
                <w:b/>
                <w:color w:val="C00000"/>
                <w:sz w:val="17"/>
              </w:rPr>
              <w:t>-2.2%</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7,183</w:t>
            </w:r>
          </w:p>
        </w:tc>
        <w:tc>
          <w:tcPr>
            <w:tcW w:type="dxa" w:w="1440"/>
            <w:shd w:fill="FFDCE0" w:val="clear"/>
          </w:tcPr>
          <w:p>
            <w:r>
              <w:rPr>
                <w:b/>
                <w:sz w:val="17"/>
              </w:rPr>
              <w:t>7,419</w:t>
            </w:r>
          </w:p>
        </w:tc>
        <w:tc>
          <w:tcPr>
            <w:tcW w:type="dxa" w:w="1440"/>
            <w:shd w:fill="FFDCE0" w:val="clear"/>
          </w:tcPr>
          <w:p>
            <w:r>
              <w:rPr>
                <w:sz w:val="17"/>
              </w:rPr>
              <w:t>7,655</w:t>
            </w:r>
          </w:p>
        </w:tc>
        <w:tc>
          <w:tcPr>
            <w:tcW w:type="dxa" w:w="1440"/>
            <w:shd w:fill="FFDCE0" w:val="clear"/>
          </w:tcPr>
          <w:p>
            <w:r>
              <w:rPr>
                <w:b/>
                <w:color w:val="C00000"/>
                <w:sz w:val="17"/>
              </w:rPr>
              <w:t>-3.6%</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7,026</w:t>
            </w:r>
          </w:p>
        </w:tc>
        <w:tc>
          <w:tcPr>
            <w:tcW w:type="dxa" w:w="1440"/>
            <w:shd w:fill="FFDCE0" w:val="clear"/>
          </w:tcPr>
          <w:p>
            <w:r>
              <w:rPr>
                <w:b/>
                <w:sz w:val="17"/>
              </w:rPr>
              <w:t>7,311</w:t>
            </w:r>
          </w:p>
        </w:tc>
        <w:tc>
          <w:tcPr>
            <w:tcW w:type="dxa" w:w="1440"/>
            <w:shd w:fill="FFDCE0" w:val="clear"/>
          </w:tcPr>
          <w:p>
            <w:r>
              <w:rPr>
                <w:sz w:val="17"/>
              </w:rPr>
              <w:t>7,596</w:t>
            </w:r>
          </w:p>
        </w:tc>
        <w:tc>
          <w:tcPr>
            <w:tcW w:type="dxa" w:w="1440"/>
            <w:shd w:fill="FFDCE0" w:val="clear"/>
          </w:tcPr>
          <w:p>
            <w:r>
              <w:rPr>
                <w:b/>
                <w:color w:val="C00000"/>
                <w:sz w:val="17"/>
              </w:rPr>
              <w:t>-5.1%</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6,887</w:t>
            </w:r>
          </w:p>
        </w:tc>
        <w:tc>
          <w:tcPr>
            <w:tcW w:type="dxa" w:w="1440"/>
            <w:shd w:fill="FFDCE0" w:val="clear"/>
          </w:tcPr>
          <w:p>
            <w:r>
              <w:rPr>
                <w:b/>
                <w:sz w:val="17"/>
              </w:rPr>
              <w:t>7,211</w:t>
            </w:r>
          </w:p>
        </w:tc>
        <w:tc>
          <w:tcPr>
            <w:tcW w:type="dxa" w:w="1440"/>
            <w:shd w:fill="FFDCE0" w:val="clear"/>
          </w:tcPr>
          <w:p>
            <w:r>
              <w:rPr>
                <w:sz w:val="17"/>
              </w:rPr>
              <w:t>7,535</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6,760</w:t>
            </w:r>
          </w:p>
        </w:tc>
        <w:tc>
          <w:tcPr>
            <w:tcW w:type="dxa" w:w="1440"/>
            <w:shd w:fill="FFDCE0" w:val="clear"/>
          </w:tcPr>
          <w:p>
            <w:r>
              <w:rPr>
                <w:b/>
                <w:sz w:val="17"/>
              </w:rPr>
              <w:t>7,117</w:t>
            </w:r>
          </w:p>
        </w:tc>
        <w:tc>
          <w:tcPr>
            <w:tcW w:type="dxa" w:w="1440"/>
            <w:shd w:fill="FFDCE0" w:val="clear"/>
          </w:tcPr>
          <w:p>
            <w:r>
              <w:rPr>
                <w:sz w:val="17"/>
              </w:rPr>
              <w:t>7,475</w:t>
            </w:r>
          </w:p>
        </w:tc>
        <w:tc>
          <w:tcPr>
            <w:tcW w:type="dxa" w:w="1440"/>
            <w:shd w:fill="FFDCE0" w:val="clear"/>
          </w:tcPr>
          <w:p>
            <w:r>
              <w:rPr>
                <w:b/>
                <w:color w:val="C00000"/>
                <w:sz w:val="17"/>
              </w:rPr>
              <w:t>-7.6%</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6,642</w:t>
            </w:r>
          </w:p>
        </w:tc>
        <w:tc>
          <w:tcPr>
            <w:tcW w:type="dxa" w:w="1440"/>
            <w:shd w:fill="FFDCE0" w:val="clear"/>
          </w:tcPr>
          <w:p>
            <w:r>
              <w:rPr>
                <w:b/>
                <w:sz w:val="17"/>
              </w:rPr>
              <w:t>7,029</w:t>
            </w:r>
          </w:p>
        </w:tc>
        <w:tc>
          <w:tcPr>
            <w:tcW w:type="dxa" w:w="1440"/>
            <w:shd w:fill="FFDCE0" w:val="clear"/>
          </w:tcPr>
          <w:p>
            <w:r>
              <w:rPr>
                <w:sz w:val="17"/>
              </w:rPr>
              <w:t>7,416</w:t>
            </w:r>
          </w:p>
        </w:tc>
        <w:tc>
          <w:tcPr>
            <w:tcW w:type="dxa" w:w="1440"/>
            <w:shd w:fill="FFDCE0" w:val="clear"/>
          </w:tcPr>
          <w:p>
            <w:r>
              <w:rPr>
                <w:b/>
                <w:color w:val="C00000"/>
                <w:sz w:val="17"/>
              </w:rPr>
              <w:t>-8.7%</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6,531</w:t>
            </w:r>
          </w:p>
        </w:tc>
        <w:tc>
          <w:tcPr>
            <w:tcW w:type="dxa" w:w="1440"/>
            <w:shd w:fill="FFDCE0" w:val="clear"/>
          </w:tcPr>
          <w:p>
            <w:r>
              <w:rPr>
                <w:b/>
                <w:sz w:val="17"/>
              </w:rPr>
              <w:t>6,944</w:t>
            </w:r>
          </w:p>
        </w:tc>
        <w:tc>
          <w:tcPr>
            <w:tcW w:type="dxa" w:w="1440"/>
            <w:shd w:fill="FFDCE0" w:val="clear"/>
          </w:tcPr>
          <w:p>
            <w:r>
              <w:rPr>
                <w:sz w:val="17"/>
              </w:rPr>
              <w:t>7,358</w:t>
            </w:r>
          </w:p>
        </w:tc>
        <w:tc>
          <w:tcPr>
            <w:tcW w:type="dxa" w:w="1440"/>
            <w:shd w:fill="FFDCE0" w:val="clear"/>
          </w:tcPr>
          <w:p>
            <w:r>
              <w:rPr>
                <w:b/>
                <w:color w:val="C00000"/>
                <w:sz w:val="17"/>
              </w:rPr>
              <w:t>-9.8%</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6,428</w:t>
            </w:r>
          </w:p>
        </w:tc>
        <w:tc>
          <w:tcPr>
            <w:tcW w:type="dxa" w:w="1440"/>
            <w:shd w:fill="FFDCE0" w:val="clear"/>
          </w:tcPr>
          <w:p>
            <w:r>
              <w:rPr>
                <w:b/>
                <w:sz w:val="17"/>
              </w:rPr>
              <w:t>6,864</w:t>
            </w:r>
          </w:p>
        </w:tc>
        <w:tc>
          <w:tcPr>
            <w:tcW w:type="dxa" w:w="1440"/>
            <w:shd w:fill="FFDCE0" w:val="clear"/>
          </w:tcPr>
          <w:p>
            <w:r>
              <w:rPr>
                <w:sz w:val="17"/>
              </w:rPr>
              <w:t>7,301</w:t>
            </w:r>
          </w:p>
        </w:tc>
        <w:tc>
          <w:tcPr>
            <w:tcW w:type="dxa" w:w="1440"/>
            <w:shd w:fill="FFDCE0" w:val="clear"/>
          </w:tcPr>
          <w:p>
            <w:r>
              <w:rPr>
                <w:b/>
                <w:color w:val="C00000"/>
                <w:sz w:val="17"/>
              </w:rPr>
              <w:t>-10.9%</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6,330</w:t>
            </w:r>
          </w:p>
        </w:tc>
        <w:tc>
          <w:tcPr>
            <w:tcW w:type="dxa" w:w="1440"/>
            <w:shd w:fill="FFDCE0" w:val="clear"/>
          </w:tcPr>
          <w:p>
            <w:r>
              <w:rPr>
                <w:b/>
                <w:sz w:val="17"/>
              </w:rPr>
              <w:t>6,788</w:t>
            </w:r>
          </w:p>
        </w:tc>
        <w:tc>
          <w:tcPr>
            <w:tcW w:type="dxa" w:w="1440"/>
            <w:shd w:fill="FFDCE0" w:val="clear"/>
          </w:tcPr>
          <w:p>
            <w:r>
              <w:rPr>
                <w:sz w:val="17"/>
              </w:rPr>
              <w:t>7,246</w:t>
            </w:r>
          </w:p>
        </w:tc>
        <w:tc>
          <w:tcPr>
            <w:tcW w:type="dxa" w:w="1440"/>
            <w:shd w:fill="FFDCE0" w:val="clear"/>
          </w:tcPr>
          <w:p>
            <w:r>
              <w:rPr>
                <w:b/>
                <w:color w:val="C00000"/>
                <w:sz w:val="17"/>
              </w:rPr>
              <w:t>-11.8%</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6,239</w:t>
            </w:r>
          </w:p>
        </w:tc>
        <w:tc>
          <w:tcPr>
            <w:tcW w:type="dxa" w:w="1440"/>
            <w:shd w:fill="FFDCE0" w:val="clear"/>
          </w:tcPr>
          <w:p>
            <w:r>
              <w:rPr>
                <w:b/>
                <w:sz w:val="17"/>
              </w:rPr>
              <w:t>6,716</w:t>
            </w:r>
          </w:p>
        </w:tc>
        <w:tc>
          <w:tcPr>
            <w:tcW w:type="dxa" w:w="1440"/>
            <w:shd w:fill="FFDCE0" w:val="clear"/>
          </w:tcPr>
          <w:p>
            <w:r>
              <w:rPr>
                <w:sz w:val="17"/>
              </w:rPr>
              <w:t>7,194</w:t>
            </w:r>
          </w:p>
        </w:tc>
        <w:tc>
          <w:tcPr>
            <w:tcW w:type="dxa" w:w="1440"/>
            <w:shd w:fill="FFDCE0" w:val="clear"/>
          </w:tcPr>
          <w:p>
            <w:r>
              <w:rPr>
                <w:b/>
                <w:color w:val="C00000"/>
                <w:sz w:val="17"/>
              </w:rPr>
              <w:t>-12.8%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BOAS s'établit à 277,20 milliards FCFA, ce qui en fait une valeur de première importance sur la BRVM, reflétant la confiance des investisseurs dans le secteur bancaire sénégalais. Avec un BPA de 608 FCFA, chaque action génère un bénéfice substantiel, justifiant un PER de 12,7x. Ce ratio, légèrement supérieur à la moyenne historique de la BRVM (8-12x), indique que les investisseurs acceptent de payer une prime raisonnable pour la qualité de la banque, sans pour autant que la valorisation soit excessive. Le P/B de 2,87x confirme cette lecture, le marché valorisant la société à près de trois fois sa valeur comptable, une prime de croissance accordée aux banques performantes de la région. Enfin, l'EV/EBITDA de 8,1x, situé dans la fourchette raisonnable de 5-10x, démontre que la valeur totale de l'entreprise reste cohérente avec sa capacité opérationnelle à générer des bénéfices.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 enregistré une progression totale de +11,59%, avec une dernière séance en légère hausse de +0,13% à 7 700 FCFA. Le titre a évolué dans un range de trading significatif, oscillant entre un plus bas de 6 400 FCFA et un plus haut de 8 050 FCFA, démontrant une volatilité intra-période notable. La moyenne du cours sur la période (7 291 FCFA) est inférieure à la médiane (7 332 FCFA) et au cours actuel, indiquant une distribution légèrement asymétrique avec une tendance haussière récente. L'écart-type de 394 FCFA, avec un coefficient de variation de seulement 5,4%, révèle une dispersion modérée autour de la moyenne, tandis que le kurtosis de -0,772 (mésokurtique) et le skewness de -0,252 indiquent une distribution proche de la normale, sans risque de pics extrêmes. La volatilité annualisée de 24,4% positionne le titre dans une zone modérée, offrant un équilibre entre potentiel de rendement et maîtrise du risque.</w:t>
      </w:r>
    </w:p>
    <w:p>
      <w:pPr>
        <w:spacing w:after="120" w:line="276" w:lineRule="auto" w:before="240"/>
      </w:pPr>
      <w:r>
        <w:rPr>
          <w:b/>
          <w:color w:val="003366"/>
          <w:sz w:val="24"/>
        </w:rPr>
        <w:t>**PARTIE 2 : ANALYSE TECHNIQUE DÉTAILLÉE**</w:t>
      </w:r>
    </w:p>
    <w:p>
      <w:pPr>
        <w:spacing w:after="120" w:line="276" w:lineRule="auto"/>
      </w:pPr>
      <w:r>
        <w:t>Les **Moyennes Mobiles** indiquent une dynamique positive avec une MM20 à 7 709 FCFA et une MM50 à 7 490,8 FCFA. Le cours actuel (7 700 FCFA) se situe légèrement sous la MM20 mais nettement au-dessus de la MM50, confirmant une tendance haussière de moyen terme. La décision d'achat est justifiée par cette configuration en pente ascendante, bien que la proximité avec la MM20 suggère une consolidation à court terme.</w:t>
      </w:r>
    </w:p>
    <w:p>
      <w:pPr>
        <w:spacing w:after="120" w:line="276" w:lineRule="auto"/>
      </w:pPr>
      <w:r>
        <w:t>Les **Bandes de Bollinger** montrent un cours positionné entre la borne supérieure (7 974,9 FCFA) et la borne inférieure (7 443,1 FCFA), proche de la zone médiane. Cette position neutre indique une volatilité normale sans extension excessive, laissant présager une poursuite de la tendance sans signal d'épuisement. La décision neutre est cohérente avec cette configuration.</w:t>
      </w:r>
    </w:p>
    <w:p>
      <w:pPr>
        <w:spacing w:after="120" w:line="276" w:lineRule="auto"/>
      </w:pPr>
      <w:r>
        <w:t>Le **MACD** présente une valeur de 60,8 inférieure à son signal de 76,9, créant une divergence négative. Ce croisement baissier à court terme suggère un ralentissement du momentum, bien que les valeurs restent positives, indiquant que la tendance de fond demeure haussière. La décision de vente doit être nuancée par ce contexte global.</w:t>
      </w:r>
    </w:p>
    <w:p>
      <w:pPr>
        <w:spacing w:after="120" w:line="276" w:lineRule="auto"/>
      </w:pPr>
      <w:r>
        <w:t>Le **RSI** à 42,1 se situe dans la zone neutre (30-70), sans signal de surachat ni de survente. Cette valeur reflète une dynamique modérée, laissant une marge de progression avant d'atteindre des zones extrêmes. La décision neutre est appropriée, le titre disposant d'un potentiel haussier sans pression vendeuse excessive.</w:t>
      </w:r>
    </w:p>
    <w:p>
      <w:pPr>
        <w:spacing w:after="120" w:line="276" w:lineRule="auto"/>
      </w:pPr>
      <w:r>
        <w:t>Le **Stochastique** affiche un %K à 27,4 et un %D à 26,9, proches de la zone de survente (&lt;30). Cette configuration suggère un potentiel de rebond technique, bien que le croisement des deux lignes ne soit pas encore clairement établi. La décision neutre reflète cette position limite.</w:t>
      </w:r>
    </w:p>
    <w:p>
      <w:pPr>
        <w:spacing w:after="120" w:line="276" w:lineRule="auto"/>
      </w:pPr>
      <w:r>
        <w:t>En conclusion technique, les indicateurs présentent un tableau contrasté : les moyennes mobiles restent positives, mais le MACD et le RSI suggèrent une consolidation à court terme. Le titre semble en phase de digestion de ses gains récents, avec un potentiel de reprise si les supports actuels tiennent.</w:t>
      </w:r>
    </w:p>
    <w:p>
      <w:pPr>
        <w:spacing w:after="120" w:line="276" w:lineRule="auto" w:before="240"/>
      </w:pPr>
      <w:r>
        <w:rPr>
          <w:b/>
          <w:color w:val="003366"/>
          <w:sz w:val="24"/>
        </w:rPr>
        <w:t>**PARTIE 3 : ANALYSE FONDAMENTALE (SECTION CRITIQUE)**</w:t>
      </w:r>
    </w:p>
    <w:p>
      <w:pPr>
        <w:spacing w:after="120" w:line="276" w:lineRule="auto"/>
      </w:pPr>
      <w:r>
        <w:t>En 2025, BOAS affiche des fondamentaux solides avec un Produit Net Bancaire de 51,926 milliards FCFA et un résultat net de 21,905 milliards FCFA, démontrant une excellente maîtrise opérationnelle. Le coefficient d'exploitation de 44,02% est remarquable, bien en dessous du seuil d'efficacité de 60%, tandis que le ROE de 22,69% et le ROA de 2,62% confirment une rentabilité supérieure aux standards du secteur. Le coût du risque de 23,31% reste élevé mais s'améliore, comme en témoignent les rapports trimestriels 2025 : le T1 montre un coût du risque en contraction (-0,8% du PNB), le S1 confirme cette tendance (-0,4% du PNB) avec un résultat net en hausse de 12,70%, et le T3 2025 enregistre une croissance de 10,01% du résultat net. Les dépôts clients (686,927 milliards FCFA) dépassent largement les créances (386,424 milliards FCFA), démontrant une transformation saine. Le rapport T3 2025 (daté du 30 septembre 2025) anticipe une poursuite de cette dynamique au T4, et le rapport T1 2026 (mars 2026) confirme cette trajectoire avec un PNB en hausse de 6,82% et un résultat net de 5,741 milliards FCFA. Sur la base de ces rapports, on estime que l'exercice 2026 devrait voir un PNB dépasser 55 milliards FCFA et un résultat net supérieur à 23 milliards FCFA, confirmant la solidité et les perspectives de croissance de la banque.</w:t>
      </w:r>
    </w:p>
    <w:p>
      <w:pPr>
        <w:spacing w:after="120" w:line="276" w:lineRule="auto" w:before="240"/>
      </w:pPr>
      <w:r>
        <w:rPr>
          <w:b/>
          <w:color w:val="003366"/>
          <w:sz w:val="24"/>
        </w:rPr>
        <w:t>**PARTIE 4 : CONCLUSION D'INVESTISSEMENT**</w:t>
      </w:r>
    </w:p>
    <w:p>
      <w:pPr>
        <w:spacing w:after="120" w:line="276" w:lineRule="auto"/>
      </w:pPr>
      <w:r>
        <w:t>La synthèse des analyses révèle une convergence favorable des signaux. La valorisation (PER 12,7x, P/B 2,87x, EV/EBITDA 8,1x) indique une décote relative par rapport au potentiel de croissance, tandis que le comportement du cours (+11,59% sur 100 jours) démontre une tendance haussière solide avec une volatilité maîtrisée. Les signaux techniques sont mitigés à court terme (MACD vendeur, RSI neutre) mais restent positifs à moyen terme grâce aux moyennes mobiles. Les fondamentaux sont excellents avec un ROE de 22,69%, un coefficient d'exploitation de 44% et une croissance soutenue du résultat net. Les prédictions IA pour les 10 prochains jours (7 530 à 7 117 FCFA) suggèrent une correction à court terme, ce qui pourrait représenter une opportunité d'achat. La recommandation finale est **ACHAT** avec un niveau de confiance **Élevé** et un risque global **Moyen**. L'horizon d'investissement optimal est le **moyen terme (3-12 mois)**, permettant de capitaliser sur la solidité des fondamentaux et la dynamique de croissance de la banque, tout en absorbant la volatilité technique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2,366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007800"/>
                <w:sz w:val="17"/>
              </w:rPr>
              <w:t>+7.86%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3,165 FCFA</w:t>
            </w:r>
          </w:p>
          <w:p>
            <w:r>
              <w:rPr>
                <w:b/>
                <w:color w:val="503200"/>
                <w:sz w:val="16"/>
              </w:rPr>
              <w:t xml:space="preserve">Volatilité ann. : </w:t>
            </w:r>
            <w:r>
              <w:rPr>
                <w:color w:val="000000"/>
                <w:sz w:val="17"/>
              </w:rPr>
              <w:t>55.8%</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8.44% (Moyenne) — μ=3,745 FCFA, σ=316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β=-0.0384 (Contre-cyclique) — Cov=-0.000001, Var(idx)=0.000036, ρ=-0.007,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2,366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σ_j=3.52%/j (Modérée) — Vol. annualisée≈55.8%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2026-08-17</w:t>
            </w:r>
          </w:p>
        </w:tc>
        <w:tc>
          <w:tcPr>
            <w:tcW w:type="dxa" w:w="1440"/>
            <w:shd w:fill="C6EFCE" w:val="clear"/>
          </w:tcPr>
          <w:p>
            <w:r>
              <w:rPr>
                <w:sz w:val="17"/>
              </w:rPr>
              <w:t>3,484</w:t>
            </w:r>
          </w:p>
        </w:tc>
        <w:tc>
          <w:tcPr>
            <w:tcW w:type="dxa" w:w="1440"/>
            <w:shd w:fill="C6EFCE" w:val="clear"/>
          </w:tcPr>
          <w:p>
            <w:r>
              <w:rPr>
                <w:b/>
                <w:sz w:val="17"/>
              </w:rPr>
              <w:t>3,648</w:t>
            </w:r>
          </w:p>
        </w:tc>
        <w:tc>
          <w:tcPr>
            <w:tcW w:type="dxa" w:w="1440"/>
            <w:shd w:fill="C6EFCE" w:val="clear"/>
          </w:tcPr>
          <w:p>
            <w:r>
              <w:rPr>
                <w:sz w:val="17"/>
              </w:rPr>
              <w:t>3,812</w:t>
            </w:r>
          </w:p>
        </w:tc>
        <w:tc>
          <w:tcPr>
            <w:tcW w:type="dxa" w:w="1440"/>
            <w:shd w:fill="C6EFCE" w:val="clear"/>
          </w:tcPr>
          <w:p>
            <w:r>
              <w:rPr>
                <w:b/>
                <w:color w:val="008000"/>
                <w:sz w:val="17"/>
              </w:rPr>
              <w:t>+4.2%</w:t>
            </w:r>
          </w:p>
        </w:tc>
      </w:tr>
      <w:tr>
        <w:tc>
          <w:tcPr>
            <w:tcW w:type="dxa" w:w="1440"/>
            <w:shd w:fill="C6EFCE" w:val="clear"/>
          </w:tcPr>
          <w:p>
            <w:r>
              <w:rPr>
                <w:sz w:val="17"/>
              </w:rPr>
              <w:t>J+2  Moyenne</w:t>
            </w:r>
          </w:p>
        </w:tc>
        <w:tc>
          <w:tcPr>
            <w:tcW w:type="dxa" w:w="1440"/>
            <w:shd w:fill="C6EFCE" w:val="clear"/>
          </w:tcPr>
          <w:p>
            <w:r>
              <w:rPr>
                <w:sz w:val="17"/>
              </w:rPr>
              <w:t>2026-08-18</w:t>
            </w:r>
          </w:p>
        </w:tc>
        <w:tc>
          <w:tcPr>
            <w:tcW w:type="dxa" w:w="1440"/>
            <w:shd w:fill="C6EFCE" w:val="clear"/>
          </w:tcPr>
          <w:p>
            <w:r>
              <w:rPr>
                <w:sz w:val="17"/>
              </w:rPr>
              <w:t>3,554</w:t>
            </w:r>
          </w:p>
        </w:tc>
        <w:tc>
          <w:tcPr>
            <w:tcW w:type="dxa" w:w="1440"/>
            <w:shd w:fill="C6EFCE" w:val="clear"/>
          </w:tcPr>
          <w:p>
            <w:r>
              <w:rPr>
                <w:b/>
                <w:sz w:val="17"/>
              </w:rPr>
              <w:t>3,794</w:t>
            </w:r>
          </w:p>
        </w:tc>
        <w:tc>
          <w:tcPr>
            <w:tcW w:type="dxa" w:w="1440"/>
            <w:shd w:fill="C6EFCE" w:val="clear"/>
          </w:tcPr>
          <w:p>
            <w:r>
              <w:rPr>
                <w:sz w:val="17"/>
              </w:rPr>
              <w:t>4,035</w:t>
            </w:r>
          </w:p>
        </w:tc>
        <w:tc>
          <w:tcPr>
            <w:tcW w:type="dxa" w:w="1440"/>
            <w:shd w:fill="C6EFCE" w:val="clear"/>
          </w:tcPr>
          <w:p>
            <w:r>
              <w:rPr>
                <w:b/>
                <w:color w:val="008000"/>
                <w:sz w:val="17"/>
              </w:rPr>
              <w:t>+8.4%</w:t>
            </w:r>
          </w:p>
        </w:tc>
      </w:tr>
      <w:tr>
        <w:tc>
          <w:tcPr>
            <w:tcW w:type="dxa" w:w="1440"/>
            <w:shd w:fill="C6EFCE" w:val="clear"/>
          </w:tcPr>
          <w:p>
            <w:r>
              <w:rPr>
                <w:sz w:val="17"/>
              </w:rPr>
              <w:t>J+3  Moyenne</w:t>
            </w:r>
          </w:p>
        </w:tc>
        <w:tc>
          <w:tcPr>
            <w:tcW w:type="dxa" w:w="1440"/>
            <w:shd w:fill="C6EFCE" w:val="clear"/>
          </w:tcPr>
          <w:p>
            <w:r>
              <w:rPr>
                <w:sz w:val="17"/>
              </w:rPr>
              <w:t>2026-08-19</w:t>
            </w:r>
          </w:p>
        </w:tc>
        <w:tc>
          <w:tcPr>
            <w:tcW w:type="dxa" w:w="1440"/>
            <w:shd w:fill="C6EFCE" w:val="clear"/>
          </w:tcPr>
          <w:p>
            <w:r>
              <w:rPr>
                <w:sz w:val="17"/>
              </w:rPr>
              <w:t>3,661</w:t>
            </w:r>
          </w:p>
        </w:tc>
        <w:tc>
          <w:tcPr>
            <w:tcW w:type="dxa" w:w="1440"/>
            <w:shd w:fill="C6EFCE" w:val="clear"/>
          </w:tcPr>
          <w:p>
            <w:r>
              <w:rPr>
                <w:b/>
                <w:sz w:val="17"/>
              </w:rPr>
              <w:t>3,970</w:t>
            </w:r>
          </w:p>
        </w:tc>
        <w:tc>
          <w:tcPr>
            <w:tcW w:type="dxa" w:w="1440"/>
            <w:shd w:fill="C6EFCE" w:val="clear"/>
          </w:tcPr>
          <w:p>
            <w:r>
              <w:rPr>
                <w:sz w:val="17"/>
              </w:rPr>
              <w:t>4,279</w:t>
            </w:r>
          </w:p>
        </w:tc>
        <w:tc>
          <w:tcPr>
            <w:tcW w:type="dxa" w:w="1440"/>
            <w:shd w:fill="C6EFCE" w:val="clear"/>
          </w:tcPr>
          <w:p>
            <w:r>
              <w:rPr>
                <w:b/>
                <w:color w:val="008000"/>
                <w:sz w:val="17"/>
              </w:rPr>
              <w:t>+13.4%</w:t>
            </w:r>
          </w:p>
        </w:tc>
      </w:tr>
      <w:tr>
        <w:tc>
          <w:tcPr>
            <w:tcW w:type="dxa" w:w="1440"/>
            <w:shd w:fill="C6EFCE" w:val="clear"/>
          </w:tcPr>
          <w:p>
            <w:r>
              <w:rPr>
                <w:sz w:val="17"/>
              </w:rPr>
              <w:t>J+4  ⭐</w:t>
            </w:r>
          </w:p>
        </w:tc>
        <w:tc>
          <w:tcPr>
            <w:tcW w:type="dxa" w:w="1440"/>
            <w:shd w:fill="C6EFCE" w:val="clear"/>
          </w:tcPr>
          <w:p>
            <w:r>
              <w:rPr>
                <w:sz w:val="17"/>
              </w:rPr>
              <w:t>2026-08-20</w:t>
            </w:r>
          </w:p>
        </w:tc>
        <w:tc>
          <w:tcPr>
            <w:tcW w:type="dxa" w:w="1440"/>
            <w:shd w:fill="C6EFCE" w:val="clear"/>
          </w:tcPr>
          <w:p>
            <w:r>
              <w:rPr>
                <w:sz w:val="17"/>
              </w:rPr>
              <w:t>3,794</w:t>
            </w:r>
          </w:p>
        </w:tc>
        <w:tc>
          <w:tcPr>
            <w:tcW w:type="dxa" w:w="1440"/>
            <w:shd w:fill="C6EFCE" w:val="clear"/>
          </w:tcPr>
          <w:p>
            <w:r>
              <w:rPr>
                <w:b/>
                <w:sz w:val="17"/>
              </w:rPr>
              <w:t>4,169</w:t>
            </w:r>
          </w:p>
        </w:tc>
        <w:tc>
          <w:tcPr>
            <w:tcW w:type="dxa" w:w="1440"/>
            <w:shd w:fill="C6EFCE" w:val="clear"/>
          </w:tcPr>
          <w:p>
            <w:r>
              <w:rPr>
                <w:sz w:val="17"/>
              </w:rPr>
              <w:t>4,543</w:t>
            </w:r>
          </w:p>
        </w:tc>
        <w:tc>
          <w:tcPr>
            <w:tcW w:type="dxa" w:w="1440"/>
            <w:shd w:fill="C6EFCE" w:val="clear"/>
          </w:tcPr>
          <w:p>
            <w:r>
              <w:rPr>
                <w:b/>
                <w:color w:val="008000"/>
                <w:sz w:val="17"/>
              </w:rPr>
              <w:t>+19.1%</w:t>
            </w:r>
          </w:p>
        </w:tc>
      </w:tr>
      <w:tr>
        <w:tc>
          <w:tcPr>
            <w:tcW w:type="dxa" w:w="1440"/>
            <w:shd w:fill="C6EFCE" w:val="clear"/>
          </w:tcPr>
          <w:p>
            <w:r>
              <w:rPr>
                <w:sz w:val="17"/>
              </w:rPr>
              <w:t>J+5  ⭐</w:t>
            </w:r>
          </w:p>
        </w:tc>
        <w:tc>
          <w:tcPr>
            <w:tcW w:type="dxa" w:w="1440"/>
            <w:shd w:fill="C6EFCE" w:val="clear"/>
          </w:tcPr>
          <w:p>
            <w:r>
              <w:rPr>
                <w:sz w:val="17"/>
              </w:rPr>
              <w:t>2026-08-21</w:t>
            </w:r>
          </w:p>
        </w:tc>
        <w:tc>
          <w:tcPr>
            <w:tcW w:type="dxa" w:w="1440"/>
            <w:shd w:fill="C6EFCE" w:val="clear"/>
          </w:tcPr>
          <w:p>
            <w:r>
              <w:rPr>
                <w:sz w:val="17"/>
              </w:rPr>
              <w:t>3,952</w:t>
            </w:r>
          </w:p>
        </w:tc>
        <w:tc>
          <w:tcPr>
            <w:tcW w:type="dxa" w:w="1440"/>
            <w:shd w:fill="C6EFCE" w:val="clear"/>
          </w:tcPr>
          <w:p>
            <w:r>
              <w:rPr>
                <w:b/>
                <w:sz w:val="17"/>
              </w:rPr>
              <w:t>4,393</w:t>
            </w:r>
          </w:p>
        </w:tc>
        <w:tc>
          <w:tcPr>
            <w:tcW w:type="dxa" w:w="1440"/>
            <w:shd w:fill="C6EFCE" w:val="clear"/>
          </w:tcPr>
          <w:p>
            <w:r>
              <w:rPr>
                <w:sz w:val="17"/>
              </w:rPr>
              <w:t>4,834</w:t>
            </w:r>
          </w:p>
        </w:tc>
        <w:tc>
          <w:tcPr>
            <w:tcW w:type="dxa" w:w="1440"/>
            <w:shd w:fill="C6EFCE" w:val="clear"/>
          </w:tcPr>
          <w:p>
            <w:r>
              <w:rPr>
                <w:b/>
                <w:color w:val="008000"/>
                <w:sz w:val="17"/>
              </w:rPr>
              <w:t>+25.5%</w:t>
            </w:r>
          </w:p>
        </w:tc>
      </w:tr>
      <w:tr>
        <w:tc>
          <w:tcPr>
            <w:tcW w:type="dxa" w:w="1440"/>
            <w:shd w:fill="C6EFCE" w:val="clear"/>
          </w:tcPr>
          <w:p>
            <w:r>
              <w:rPr>
                <w:sz w:val="17"/>
              </w:rPr>
              <w:t>J+6  ⭐</w:t>
            </w:r>
          </w:p>
        </w:tc>
        <w:tc>
          <w:tcPr>
            <w:tcW w:type="dxa" w:w="1440"/>
            <w:shd w:fill="C6EFCE" w:val="clear"/>
          </w:tcPr>
          <w:p>
            <w:r>
              <w:rPr>
                <w:sz w:val="17"/>
              </w:rPr>
              <w:t>2026-08-24</w:t>
            </w:r>
          </w:p>
        </w:tc>
        <w:tc>
          <w:tcPr>
            <w:tcW w:type="dxa" w:w="1440"/>
            <w:shd w:fill="C6EFCE" w:val="clear"/>
          </w:tcPr>
          <w:p>
            <w:r>
              <w:rPr>
                <w:sz w:val="17"/>
              </w:rPr>
              <w:t>4,136</w:t>
            </w:r>
          </w:p>
        </w:tc>
        <w:tc>
          <w:tcPr>
            <w:tcW w:type="dxa" w:w="1440"/>
            <w:shd w:fill="C6EFCE" w:val="clear"/>
          </w:tcPr>
          <w:p>
            <w:r>
              <w:rPr>
                <w:b/>
                <w:sz w:val="17"/>
              </w:rPr>
              <w:t>4,647</w:t>
            </w:r>
          </w:p>
        </w:tc>
        <w:tc>
          <w:tcPr>
            <w:tcW w:type="dxa" w:w="1440"/>
            <w:shd w:fill="C6EFCE" w:val="clear"/>
          </w:tcPr>
          <w:p>
            <w:r>
              <w:rPr>
                <w:sz w:val="17"/>
              </w:rPr>
              <w:t>5,158</w:t>
            </w:r>
          </w:p>
        </w:tc>
        <w:tc>
          <w:tcPr>
            <w:tcW w:type="dxa" w:w="1440"/>
            <w:shd w:fill="C6EFCE" w:val="clear"/>
          </w:tcPr>
          <w:p>
            <w:r>
              <w:rPr>
                <w:b/>
                <w:color w:val="008000"/>
                <w:sz w:val="17"/>
              </w:rPr>
              <w:t>+32.8%</w:t>
            </w:r>
          </w:p>
        </w:tc>
      </w:tr>
      <w:tr>
        <w:tc>
          <w:tcPr>
            <w:tcW w:type="dxa" w:w="1440"/>
            <w:shd w:fill="C6EFCE" w:val="clear"/>
          </w:tcPr>
          <w:p>
            <w:r>
              <w:rPr>
                <w:sz w:val="17"/>
              </w:rPr>
              <w:t>J+7  ⭐</w:t>
            </w:r>
          </w:p>
        </w:tc>
        <w:tc>
          <w:tcPr>
            <w:tcW w:type="dxa" w:w="1440"/>
            <w:shd w:fill="C6EFCE" w:val="clear"/>
          </w:tcPr>
          <w:p>
            <w:r>
              <w:rPr>
                <w:sz w:val="17"/>
              </w:rPr>
              <w:t>2026-08-25</w:t>
            </w:r>
          </w:p>
        </w:tc>
        <w:tc>
          <w:tcPr>
            <w:tcW w:type="dxa" w:w="1440"/>
            <w:shd w:fill="C6EFCE" w:val="clear"/>
          </w:tcPr>
          <w:p>
            <w:r>
              <w:rPr>
                <w:sz w:val="17"/>
              </w:rPr>
              <w:t>4,353</w:t>
            </w:r>
          </w:p>
        </w:tc>
        <w:tc>
          <w:tcPr>
            <w:tcW w:type="dxa" w:w="1440"/>
            <w:shd w:fill="C6EFCE" w:val="clear"/>
          </w:tcPr>
          <w:p>
            <w:r>
              <w:rPr>
                <w:b/>
                <w:sz w:val="17"/>
              </w:rPr>
              <w:t>4,940</w:t>
            </w:r>
          </w:p>
        </w:tc>
        <w:tc>
          <w:tcPr>
            <w:tcW w:type="dxa" w:w="1440"/>
            <w:shd w:fill="C6EFCE" w:val="clear"/>
          </w:tcPr>
          <w:p>
            <w:r>
              <w:rPr>
                <w:sz w:val="17"/>
              </w:rPr>
              <w:t>5,527</w:t>
            </w:r>
          </w:p>
        </w:tc>
        <w:tc>
          <w:tcPr>
            <w:tcW w:type="dxa" w:w="1440"/>
            <w:shd w:fill="C6EFCE" w:val="clear"/>
          </w:tcPr>
          <w:p>
            <w:r>
              <w:rPr>
                <w:b/>
                <w:color w:val="008000"/>
                <w:sz w:val="17"/>
              </w:rPr>
              <w:t>+41.1%</w:t>
            </w:r>
          </w:p>
        </w:tc>
      </w:tr>
      <w:tr>
        <w:tc>
          <w:tcPr>
            <w:tcW w:type="dxa" w:w="1440"/>
            <w:shd w:fill="C6EFCE" w:val="clear"/>
          </w:tcPr>
          <w:p>
            <w:r>
              <w:rPr>
                <w:sz w:val="17"/>
              </w:rPr>
              <w:t>J+8  ⭐</w:t>
            </w:r>
          </w:p>
        </w:tc>
        <w:tc>
          <w:tcPr>
            <w:tcW w:type="dxa" w:w="1440"/>
            <w:shd w:fill="C6EFCE" w:val="clear"/>
          </w:tcPr>
          <w:p>
            <w:r>
              <w:rPr>
                <w:sz w:val="17"/>
              </w:rPr>
              <w:t>2026-08-27</w:t>
            </w:r>
          </w:p>
        </w:tc>
        <w:tc>
          <w:tcPr>
            <w:tcW w:type="dxa" w:w="1440"/>
            <w:shd w:fill="C6EFCE" w:val="clear"/>
          </w:tcPr>
          <w:p>
            <w:r>
              <w:rPr>
                <w:sz w:val="17"/>
              </w:rPr>
              <w:t>4,614</w:t>
            </w:r>
          </w:p>
        </w:tc>
        <w:tc>
          <w:tcPr>
            <w:tcW w:type="dxa" w:w="1440"/>
            <w:shd w:fill="C6EFCE" w:val="clear"/>
          </w:tcPr>
          <w:p>
            <w:r>
              <w:rPr>
                <w:b/>
                <w:sz w:val="17"/>
              </w:rPr>
              <w:t>5,285</w:t>
            </w:r>
          </w:p>
        </w:tc>
        <w:tc>
          <w:tcPr>
            <w:tcW w:type="dxa" w:w="1440"/>
            <w:shd w:fill="C6EFCE" w:val="clear"/>
          </w:tcPr>
          <w:p>
            <w:r>
              <w:rPr>
                <w:sz w:val="17"/>
              </w:rPr>
              <w:t>5,956</w:t>
            </w:r>
          </w:p>
        </w:tc>
        <w:tc>
          <w:tcPr>
            <w:tcW w:type="dxa" w:w="1440"/>
            <w:shd w:fill="C6EFCE" w:val="clear"/>
          </w:tcPr>
          <w:p>
            <w:r>
              <w:rPr>
                <w:b/>
                <w:color w:val="008000"/>
                <w:sz w:val="17"/>
              </w:rPr>
              <w:t>+51.0%</w:t>
            </w:r>
          </w:p>
        </w:tc>
      </w:tr>
      <w:tr>
        <w:tc>
          <w:tcPr>
            <w:tcW w:type="dxa" w:w="1440"/>
            <w:shd w:fill="C6EFCE" w:val="clear"/>
          </w:tcPr>
          <w:p>
            <w:r>
              <w:rPr>
                <w:sz w:val="17"/>
              </w:rPr>
              <w:t>J+9  ⭐</w:t>
            </w:r>
          </w:p>
        </w:tc>
        <w:tc>
          <w:tcPr>
            <w:tcW w:type="dxa" w:w="1440"/>
            <w:shd w:fill="C6EFCE" w:val="clear"/>
          </w:tcPr>
          <w:p>
            <w:r>
              <w:rPr>
                <w:sz w:val="17"/>
              </w:rPr>
              <w:t>2026-08-28</w:t>
            </w:r>
          </w:p>
        </w:tc>
        <w:tc>
          <w:tcPr>
            <w:tcW w:type="dxa" w:w="1440"/>
            <w:shd w:fill="C6EFCE" w:val="clear"/>
          </w:tcPr>
          <w:p>
            <w:r>
              <w:rPr>
                <w:sz w:val="17"/>
              </w:rPr>
              <w:t>4,916</w:t>
            </w:r>
          </w:p>
        </w:tc>
        <w:tc>
          <w:tcPr>
            <w:tcW w:type="dxa" w:w="1440"/>
            <w:shd w:fill="C6EFCE" w:val="clear"/>
          </w:tcPr>
          <w:p>
            <w:r>
              <w:rPr>
                <w:b/>
                <w:sz w:val="17"/>
              </w:rPr>
              <w:t>5,681</w:t>
            </w:r>
          </w:p>
        </w:tc>
        <w:tc>
          <w:tcPr>
            <w:tcW w:type="dxa" w:w="1440"/>
            <w:shd w:fill="C6EFCE" w:val="clear"/>
          </w:tcPr>
          <w:p>
            <w:r>
              <w:rPr>
                <w:sz w:val="17"/>
              </w:rPr>
              <w:t>6,446</w:t>
            </w:r>
          </w:p>
        </w:tc>
        <w:tc>
          <w:tcPr>
            <w:tcW w:type="dxa" w:w="1440"/>
            <w:shd w:fill="C6EFCE" w:val="clear"/>
          </w:tcPr>
          <w:p>
            <w:r>
              <w:rPr>
                <w:b/>
                <w:color w:val="008000"/>
                <w:sz w:val="17"/>
              </w:rPr>
              <w:t>+62.3%</w:t>
            </w:r>
          </w:p>
        </w:tc>
      </w:tr>
      <w:tr>
        <w:tc>
          <w:tcPr>
            <w:tcW w:type="dxa" w:w="1440"/>
            <w:shd w:fill="C6EFCE" w:val="clear"/>
          </w:tcPr>
          <w:p>
            <w:r>
              <w:rPr>
                <w:sz w:val="17"/>
              </w:rPr>
              <w:t>J+10  ⭐</w:t>
            </w:r>
          </w:p>
        </w:tc>
        <w:tc>
          <w:tcPr>
            <w:tcW w:type="dxa" w:w="1440"/>
            <w:shd w:fill="C6EFCE" w:val="clear"/>
          </w:tcPr>
          <w:p>
            <w:r>
              <w:rPr>
                <w:sz w:val="17"/>
              </w:rPr>
              <w:t>2026-08-31</w:t>
            </w:r>
          </w:p>
        </w:tc>
        <w:tc>
          <w:tcPr>
            <w:tcW w:type="dxa" w:w="1440"/>
            <w:shd w:fill="C6EFCE" w:val="clear"/>
          </w:tcPr>
          <w:p>
            <w:r>
              <w:rPr>
                <w:sz w:val="17"/>
              </w:rPr>
              <w:t>5,241</w:t>
            </w:r>
          </w:p>
        </w:tc>
        <w:tc>
          <w:tcPr>
            <w:tcW w:type="dxa" w:w="1440"/>
            <w:shd w:fill="C6EFCE" w:val="clear"/>
          </w:tcPr>
          <w:p>
            <w:r>
              <w:rPr>
                <w:b/>
                <w:sz w:val="17"/>
              </w:rPr>
              <w:t>6,108</w:t>
            </w:r>
          </w:p>
        </w:tc>
        <w:tc>
          <w:tcPr>
            <w:tcW w:type="dxa" w:w="1440"/>
            <w:shd w:fill="C6EFCE" w:val="clear"/>
          </w:tcPr>
          <w:p>
            <w:r>
              <w:rPr>
                <w:sz w:val="17"/>
              </w:rPr>
              <w:t>6,974</w:t>
            </w:r>
          </w:p>
        </w:tc>
        <w:tc>
          <w:tcPr>
            <w:tcW w:type="dxa" w:w="1440"/>
            <w:shd w:fill="C6EFCE" w:val="clear"/>
          </w:tcPr>
          <w:p>
            <w:r>
              <w:rPr>
                <w:b/>
                <w:color w:val="008000"/>
                <w:sz w:val="17"/>
              </w:rPr>
              <w:t>+74.5%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CABC s'établit à 20,72 milliards FCFA, un niveau intermédiaire sur la BRVM, reflétant une entreprise de taille moyenne dans le secteur industriel. Le BPA de 243 FCFA indique que chaque action génère un bénéfice modeste, mais le PER de 14,4x se situe au-dessus de la moyenne historique de la BRVM (8-12x), suggérant que les investisseurs paient une prime relative par rapport aux bénéfices actuels. Le P/B de 2,22x montre que le marché valorise l'entreprise à plus du double de sa valeur comptable, ce qui traduit une anticipation de croissance future. Enfin, l'EV/EBITDA de 7,3x se situe dans une fourchette raisonnable (5-10x), indiquant une valorisation cohérente avec la capacité opérationnelle de l'entreprise, malgré les signaux de tension sur la rentabilité.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CABC a progressé de +7,86%, avec une légère hausse de +0,29% lors de la dernière séance, témoignant d'un regain d'intérêt récent. Le cours a évolué dans une fourchette large de 3 165 FCFA à 4 500 FCFA, avec une moyenne de 3 745 FCFA et une médiane de 3 700 FCFA, indiquant une distribution relativement symétrique. L'écart-type de 318 FCFA (CV=8,5%) révèle une dispersion modérée des prix autour de la moyenne, tandis que le kurtosis de -0,333 (mésokurtique) suggère une absence de pics extrêmes, et le skewness de 0,442 confirme une asymétrie légèrement positive. La volatilité annualisée de 55,8% est élevée (&gt;30%), signalant un titre risqué à court terme, mais la tendance générale reste haussière sur la période, portée par une dynamique positive récente.</w:t>
      </w:r>
    </w:p>
    <w:p>
      <w:pPr>
        <w:spacing w:after="120" w:line="276" w:lineRule="auto" w:before="240"/>
      </w:pPr>
      <w:r>
        <w:rPr>
          <w:b/>
          <w:color w:val="003366"/>
          <w:sz w:val="24"/>
        </w:rPr>
        <w:t>**PARTIE 2 : ANALYSE TECHNIQUE DÉTAILLÉE**</w:t>
      </w:r>
    </w:p>
    <w:p>
      <w:pPr>
        <w:spacing w:after="120" w:line="276" w:lineRule="auto"/>
      </w:pPr>
      <w:r>
        <w:t>**Moyennes Mobiles** : Le cours actuel de 3 500 FCFA est inférieur à la MM20 (3 624,5 FCFA) et à la MM50 (3 876,8 FCFA), confirmant une tendance baissière à court et moyen terme. La position sous les deux moyennes indique une pression vendeuse persistante, justifiant la décision de vente.</w:t>
      </w:r>
    </w:p>
    <w:p>
      <w:pPr>
        <w:spacing w:after="120" w:line="276" w:lineRule="auto"/>
      </w:pPr>
      <w:r>
        <w:t>**Bandes de Bollinger** : Le prix se situe à 3 500 FCFA, proche de la borne inférieure (3 315,7 FCFA) et loin de la borne supérieure (3 933,3 FCFA), suggérant une volatilité en contraction et un potentiel de rebond technique. La décision neutre reflète l'absence de signal directionnel clair, mais le titre pourrait trouver un support proche de la borne basse.</w:t>
      </w:r>
    </w:p>
    <w:p>
      <w:pPr>
        <w:spacing w:after="120" w:line="276" w:lineRule="auto"/>
      </w:pPr>
      <w:r>
        <w:t>**MACD** : La valeur du MACD (-108,25) est inférieure à son signal (-105,02), indiquant un momentum baissier persistant. Cette divergence négative confirme la pression vendeuse, justifiant la décision de vente, bien que l'écart se réduise légèrement, ce qui pourrait précéder un retournement.</w:t>
      </w:r>
    </w:p>
    <w:p>
      <w:pPr>
        <w:spacing w:after="120" w:line="276" w:lineRule="auto"/>
      </w:pPr>
      <w:r>
        <w:t>**RSI** : À 32,75, le RSI se situe en zone neutre mais proche de la survente (&lt;30), signalant un potentiel de rebond technique. La décision neutre est cohérente avec une absence de pression excessive, mais un passage sous 30 renforcerait le signal d'achat.</w:t>
      </w:r>
    </w:p>
    <w:p>
      <w:pPr>
        <w:spacing w:after="120" w:line="276" w:lineRule="auto"/>
      </w:pPr>
      <w:r>
        <w:t>**Stochastique** : Le %K (11,11) et le %D (7,06) sont en zone de survente profonde, avec un croisement haussier potentiel, indiquant un signal d'achat fort. Cette configuration suggère que le titre est survendu et pourrait connaître un rebond technique à court terme.</w:t>
      </w:r>
    </w:p>
    <w:p>
      <w:pPr>
        <w:spacing w:after="120" w:line="276" w:lineRule="auto"/>
      </w:pPr>
      <w:r>
        <w:t>**Conclusion technique** : Les indicateurs sont partagés, avec des signaux de vente sur les moyennes mobiles et le MACD, mais des signaux d'achat sur le stochastique et un RSI proche de la survente. La convergence des signaux de survente pourrait favoriser un rebond, mais la tendance baissière dominante incite à la prudence.</w:t>
      </w:r>
    </w:p>
    <w:p>
      <w:pPr>
        <w:spacing w:after="120" w:line="276" w:lineRule="auto" w:before="240"/>
      </w:pPr>
      <w:r>
        <w:rPr>
          <w:b/>
          <w:color w:val="003366"/>
          <w:sz w:val="24"/>
        </w:rPr>
        <w:t>**PARTIE 3 : ANALYSE FONDAMENTALE (SECTION CRITIQUE)**</w:t>
      </w:r>
    </w:p>
    <w:p>
      <w:pPr>
        <w:spacing w:after="120" w:line="276" w:lineRule="auto"/>
      </w:pPr>
      <w:r>
        <w:t>En 2025, les données structurées de CABC révèlent un chiffre d'affaires de 21,263 milliards FCFA, en croissance de +11,2% par rapport à 2024, avec un résultat net de 1,439 milliard FCFA, soit une marge nette de 6,77%. Le ROE s'établit à 15,4%, un niveau excellent (&gt;15%), et le ROA à 6,1%, indiquant une utilisation efficace des actifs. Cependant, le BFR de 7,186 milliards FCFA est positif, avec des délais clients élevés (144,7 jours) et une durée de stockage de 152,1 jours, signalant un risque de trésorerie. Les rapports trimestriels 2025 montrent une dynamique positive : le S1 2025 affiche un résultat net de 851,5 millions FCFA (+55,3% vs S1 2024), et le T3 2025 un résultat net cumulé de 1 329,5 millions FCFA (+26% vs 9 mois 2024), confirmant une amélioration de la rentabilité. Toutefois, le rapport T1 2026 (daté de 2026) indique une baisse de CA de -26,5% et une perte nette de 221,7 millions FCFA, due à une maintenance planifiée et à l'inflation des métaux, mais la direction anticipe une normalisation dès le T2 2026. La solidité financière est renforcée par une trésorerie nette de 5,139 milliards FCFA et une capacité de remboursement de 0,26 an, bien que le flux opérationnel soit négatif (-819,66 millions FCFA).</w:t>
      </w:r>
    </w:p>
    <w:p>
      <w:pPr>
        <w:spacing w:after="120" w:line="276" w:lineRule="auto" w:before="240"/>
      </w:pPr>
      <w:r>
        <w:rPr>
          <w:b/>
          <w:color w:val="003366"/>
          <w:sz w:val="24"/>
        </w:rPr>
        <w:t>**PARTIE 4 : CONCLUSION D'INVESTISSEMENT**</w:t>
      </w:r>
    </w:p>
    <w:p>
      <w:pPr>
        <w:spacing w:after="120" w:line="276" w:lineRule="auto"/>
      </w:pPr>
      <w:r>
        <w:t>La valorisation de CABC (PER 14,4x, P/B 2,22x, EV/EBITDA 7,3x) suggère une prime de croissance, mais les fondamentaux solides (ROE 15,4%, CA en hausse) justifient partiellement cette prime. Le comportement du cours montre une tendance haussière sur 100 jours (+7,86%) avec une volatilité élevée (55,8%), mais les statistiques (kurtosis mésokurtique, skewness positif) indiquent une distribution stable sans pics extrêmes. Les signaux techniques sont mitigés, avec des indicateurs de vente (MM, MACD) contrebalancés par des signaux d'achat (stochastique, RSI proche survente), suggérant un potentiel de rebond. Les fondamentaux, basés sur les données 2025 et les rapports trimestriels, montrent une amélioration de la rentabilité, mais les risques de trésorerie (BFR élevé, délais clients) et la baisse du T1 2026 incitent à la prudence. Les prédictions IA (3 648 à 4 393 FCFA sur 10 jours) confirment une trajectoire haussière, alignée avec les signaux de rebond technique. En synthèse, je recommande **CONSERVER** avec un niveau de confiance **Moyen**, un risque global **Élevé**, et un horizon d'investissement **moyen terme (3-12 mois)**, en surveillant la normalisation de la production au T2 2026 et la gestion du BFR.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918.40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1,345 titres</w:t>
            </w:r>
          </w:p>
        </w:tc>
        <w:tc>
          <w:tcPr>
            <w:tcW w:type="dxa" w:w="2268"/>
            <w:shd w:fill="FFF2CC" w:val="clear"/>
          </w:tcPr>
          <w:p>
            <w:r>
              <w:rPr>
                <w:b/>
                <w:color w:val="503200"/>
                <w:sz w:val="16"/>
              </w:rPr>
              <w:t xml:space="preserve">Cours actuel : </w:t>
            </w:r>
            <w:r>
              <w:rPr>
                <w:color w:val="000000"/>
                <w:sz w:val="17"/>
              </w:rPr>
              <w:t>28,700 FCFA</w:t>
            </w:r>
          </w:p>
          <w:p>
            <w:r>
              <w:rPr>
                <w:b/>
                <w:color w:val="503200"/>
                <w:sz w:val="16"/>
              </w:rPr>
              <w:t xml:space="preserve">Var. 100 jours : </w:t>
            </w:r>
            <w:r>
              <w:rPr>
                <w:b/>
                <w:color w:val="007800"/>
                <w:sz w:val="17"/>
              </w:rPr>
              <w:t>+112.44%</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13,510 FCFA</w:t>
            </w:r>
          </w:p>
          <w:p>
            <w:r>
              <w:rPr>
                <w:b/>
                <w:color w:val="503200"/>
                <w:sz w:val="16"/>
              </w:rPr>
              <w:t xml:space="preserve">Volatilité ann. : </w:t>
            </w:r>
            <w:r>
              <w:rPr>
                <w:color w:val="000000"/>
                <w:sz w:val="17"/>
              </w:rPr>
              <w:t>42.0%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24.30% (Élevée) — μ=21,292 FCFA, σ=5,174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β=0.6131 (Défensif) — Cov=0.000022, Var(idx)=0.000036, ρ=0.140,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25,379</w:t>
            </w:r>
          </w:p>
        </w:tc>
        <w:tc>
          <w:tcPr>
            <w:tcW w:type="dxa" w:w="1440"/>
            <w:shd w:fill="FFDCE0" w:val="clear"/>
          </w:tcPr>
          <w:p>
            <w:r>
              <w:rPr>
                <w:b/>
                <w:sz w:val="17"/>
              </w:rPr>
              <w:t>26,548</w:t>
            </w:r>
          </w:p>
        </w:tc>
        <w:tc>
          <w:tcPr>
            <w:tcW w:type="dxa" w:w="1440"/>
            <w:shd w:fill="FFDCE0" w:val="clear"/>
          </w:tcPr>
          <w:p>
            <w:r>
              <w:rPr>
                <w:sz w:val="17"/>
              </w:rPr>
              <w:t>27,716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23,028</w:t>
            </w:r>
          </w:p>
        </w:tc>
        <w:tc>
          <w:tcPr>
            <w:tcW w:type="dxa" w:w="1440"/>
            <w:shd w:fill="FFDCE0" w:val="clear"/>
          </w:tcPr>
          <w:p>
            <w:r>
              <w:rPr>
                <w:b/>
                <w:sz w:val="17"/>
              </w:rPr>
              <w:t>24,556</w:t>
            </w:r>
          </w:p>
        </w:tc>
        <w:tc>
          <w:tcPr>
            <w:tcW w:type="dxa" w:w="1440"/>
            <w:shd w:fill="FFDCE0" w:val="clear"/>
          </w:tcPr>
          <w:p>
            <w:r>
              <w:rPr>
                <w:sz w:val="17"/>
              </w:rPr>
              <w:t>26,085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20,983</w:t>
            </w:r>
          </w:p>
        </w:tc>
        <w:tc>
          <w:tcPr>
            <w:tcW w:type="dxa" w:w="1440"/>
            <w:shd w:fill="FFDCE0" w:val="clear"/>
          </w:tcPr>
          <w:p>
            <w:r>
              <w:rPr>
                <w:b/>
                <w:sz w:val="17"/>
              </w:rPr>
              <w:t>22,715</w:t>
            </w:r>
          </w:p>
        </w:tc>
        <w:tc>
          <w:tcPr>
            <w:tcW w:type="dxa" w:w="1440"/>
            <w:shd w:fill="FFDCE0" w:val="clear"/>
          </w:tcPr>
          <w:p>
            <w:r>
              <w:rPr>
                <w:sz w:val="17"/>
              </w:rPr>
              <w:t>24,447</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19,161</w:t>
            </w:r>
          </w:p>
        </w:tc>
        <w:tc>
          <w:tcPr>
            <w:tcW w:type="dxa" w:w="1440"/>
            <w:shd w:fill="FFDCE0" w:val="clear"/>
          </w:tcPr>
          <w:p>
            <w:r>
              <w:rPr>
                <w:b/>
                <w:sz w:val="17"/>
              </w:rPr>
              <w:t>21,011</w:t>
            </w:r>
          </w:p>
        </w:tc>
        <w:tc>
          <w:tcPr>
            <w:tcW w:type="dxa" w:w="1440"/>
            <w:shd w:fill="FFDCE0" w:val="clear"/>
          </w:tcPr>
          <w:p>
            <w:r>
              <w:rPr>
                <w:sz w:val="17"/>
              </w:rPr>
              <w:t>22,861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17,662</w:t>
            </w:r>
          </w:p>
        </w:tc>
        <w:tc>
          <w:tcPr>
            <w:tcW w:type="dxa" w:w="1440"/>
            <w:shd w:fill="FFDCE0" w:val="clear"/>
          </w:tcPr>
          <w:p>
            <w:r>
              <w:rPr>
                <w:b/>
                <w:sz w:val="17"/>
              </w:rPr>
              <w:t>19,591</w:t>
            </w:r>
          </w:p>
        </w:tc>
        <w:tc>
          <w:tcPr>
            <w:tcW w:type="dxa" w:w="1440"/>
            <w:shd w:fill="FFDCE0" w:val="clear"/>
          </w:tcPr>
          <w:p>
            <w:r>
              <w:rPr>
                <w:sz w:val="17"/>
              </w:rPr>
              <w:t>21,519</w:t>
            </w:r>
          </w:p>
        </w:tc>
        <w:tc>
          <w:tcPr>
            <w:tcW w:type="dxa" w:w="1440"/>
            <w:shd w:fill="FFDCE0" w:val="clear"/>
          </w:tcPr>
          <w:p>
            <w:r>
              <w:rPr>
                <w:b/>
                <w:color w:val="C00000"/>
                <w:sz w:val="17"/>
              </w:rPr>
              <w:t>-31.7%</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16,990</w:t>
            </w:r>
          </w:p>
        </w:tc>
        <w:tc>
          <w:tcPr>
            <w:tcW w:type="dxa" w:w="1440"/>
            <w:shd w:fill="FFDCE0" w:val="clear"/>
          </w:tcPr>
          <w:p>
            <w:r>
              <w:rPr>
                <w:b/>
                <w:sz w:val="17"/>
              </w:rPr>
              <w:t>19,043</w:t>
            </w:r>
          </w:p>
        </w:tc>
        <w:tc>
          <w:tcPr>
            <w:tcW w:type="dxa" w:w="1440"/>
            <w:shd w:fill="FFDCE0" w:val="clear"/>
          </w:tcPr>
          <w:p>
            <w:r>
              <w:rPr>
                <w:sz w:val="17"/>
              </w:rPr>
              <w:t>21,097</w:t>
            </w:r>
          </w:p>
        </w:tc>
        <w:tc>
          <w:tcPr>
            <w:tcW w:type="dxa" w:w="1440"/>
            <w:shd w:fill="FFDCE0" w:val="clear"/>
          </w:tcPr>
          <w:p>
            <w:r>
              <w:rPr>
                <w:b/>
                <w:color w:val="C00000"/>
                <w:sz w:val="17"/>
              </w:rPr>
              <w:t>-33.6%</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16,401</w:t>
            </w:r>
          </w:p>
        </w:tc>
        <w:tc>
          <w:tcPr>
            <w:tcW w:type="dxa" w:w="1440"/>
            <w:shd w:fill="FFDCE0" w:val="clear"/>
          </w:tcPr>
          <w:p>
            <w:r>
              <w:rPr>
                <w:b/>
                <w:sz w:val="17"/>
              </w:rPr>
              <w:t>18,563</w:t>
            </w:r>
          </w:p>
        </w:tc>
        <w:tc>
          <w:tcPr>
            <w:tcW w:type="dxa" w:w="1440"/>
            <w:shd w:fill="FFDCE0" w:val="clear"/>
          </w:tcPr>
          <w:p>
            <w:r>
              <w:rPr>
                <w:sz w:val="17"/>
              </w:rPr>
              <w:t>20,725</w:t>
            </w:r>
          </w:p>
        </w:tc>
        <w:tc>
          <w:tcPr>
            <w:tcW w:type="dxa" w:w="1440"/>
            <w:shd w:fill="FFDCE0" w:val="clear"/>
          </w:tcPr>
          <w:p>
            <w:r>
              <w:rPr>
                <w:b/>
                <w:color w:val="C00000"/>
                <w:sz w:val="17"/>
              </w:rPr>
              <w:t>-35.3%</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15,876</w:t>
            </w:r>
          </w:p>
        </w:tc>
        <w:tc>
          <w:tcPr>
            <w:tcW w:type="dxa" w:w="1440"/>
            <w:shd w:fill="FFDCE0" w:val="clear"/>
          </w:tcPr>
          <w:p>
            <w:r>
              <w:rPr>
                <w:b/>
                <w:sz w:val="17"/>
              </w:rPr>
              <w:t>18,135</w:t>
            </w:r>
          </w:p>
        </w:tc>
        <w:tc>
          <w:tcPr>
            <w:tcW w:type="dxa" w:w="1440"/>
            <w:shd w:fill="FFDCE0" w:val="clear"/>
          </w:tcPr>
          <w:p>
            <w:r>
              <w:rPr>
                <w:sz w:val="17"/>
              </w:rPr>
              <w:t>20,393</w:t>
            </w:r>
          </w:p>
        </w:tc>
        <w:tc>
          <w:tcPr>
            <w:tcW w:type="dxa" w:w="1440"/>
            <w:shd w:fill="FFDCE0" w:val="clear"/>
          </w:tcPr>
          <w:p>
            <w:r>
              <w:rPr>
                <w:b/>
                <w:color w:val="C00000"/>
                <w:sz w:val="17"/>
              </w:rPr>
              <w:t>-36.8%</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15,404</w:t>
            </w:r>
          </w:p>
        </w:tc>
        <w:tc>
          <w:tcPr>
            <w:tcW w:type="dxa" w:w="1440"/>
            <w:shd w:fill="FFDCE0" w:val="clear"/>
          </w:tcPr>
          <w:p>
            <w:r>
              <w:rPr>
                <w:b/>
                <w:sz w:val="17"/>
              </w:rPr>
              <w:t>17,748</w:t>
            </w:r>
          </w:p>
        </w:tc>
        <w:tc>
          <w:tcPr>
            <w:tcW w:type="dxa" w:w="1440"/>
            <w:shd w:fill="FFDCE0" w:val="clear"/>
          </w:tcPr>
          <w:p>
            <w:r>
              <w:rPr>
                <w:sz w:val="17"/>
              </w:rPr>
              <w:t>20,092</w:t>
            </w:r>
          </w:p>
        </w:tc>
        <w:tc>
          <w:tcPr>
            <w:tcW w:type="dxa" w:w="1440"/>
            <w:shd w:fill="FFDCE0" w:val="clear"/>
          </w:tcPr>
          <w:p>
            <w:r>
              <w:rPr>
                <w:b/>
                <w:color w:val="C00000"/>
                <w:sz w:val="17"/>
              </w:rPr>
              <w:t>-38.2%</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14,974</w:t>
            </w:r>
          </w:p>
        </w:tc>
        <w:tc>
          <w:tcPr>
            <w:tcW w:type="dxa" w:w="1440"/>
            <w:shd w:fill="FFDCE0" w:val="clear"/>
          </w:tcPr>
          <w:p>
            <w:r>
              <w:rPr>
                <w:b/>
                <w:sz w:val="17"/>
              </w:rPr>
              <w:t>17,396</w:t>
            </w:r>
          </w:p>
        </w:tc>
        <w:tc>
          <w:tcPr>
            <w:tcW w:type="dxa" w:w="1440"/>
            <w:shd w:fill="FFDCE0" w:val="clear"/>
          </w:tcPr>
          <w:p>
            <w:r>
              <w:rPr>
                <w:sz w:val="17"/>
              </w:rPr>
              <w:t>19,817</w:t>
            </w:r>
          </w:p>
        </w:tc>
        <w:tc>
          <w:tcPr>
            <w:tcW w:type="dxa" w:w="1440"/>
            <w:shd w:fill="FFDCE0" w:val="clear"/>
          </w:tcPr>
          <w:p>
            <w:r>
              <w:rPr>
                <w:b/>
                <w:color w:val="C00000"/>
                <w:sz w:val="17"/>
              </w:rPr>
              <w:t>-39.4%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918,40 milliards FCFA, un niveau qui la positionne parmi les poids lourds de la cote de la BRVM, reflétant la confiance des investisseurs dans le secteur bancaire de l'UEMOA. Avec un BPA de 2 047 FCFA, chaque action détenue génère un bénéfice substantiel, justifiant un PER de 14,0x. Ce ratio, bien que supérieur à la moyenne historique de la BRVM (8-12x), reste modéré pour une banque de cette envergure, indiquant que les investisseurs acceptent de payer une prime pour la qualité des actifs et le potentiel de croissance. L'EV/EBITDA de 10,4x, dans la fourchette haute (10-15x), confirme une valorisation exigeante, mais cohérente avec la forte rentabilité opérationnelle de la banque. Le ratio P/B n'est pas disponible, mais l'ensemble des indicateurs suggère une valorisation qui intègre déjà des perspectives de croissance solides.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enregistré une performance spectaculaire de +112,44%, passant d'un plus bas de 13 510 FCFA à un plus haut de 30 005 FCFA, avec un cours actuel de 28 700 FCFA. Cette tendance fortement haussière, soutenue par des volumes d'échange significatifs, témoigne d'un intérêt marqué des investisseurs. Les statistiques descriptives révèlent une distribution relativement symétrique (skewness de 0,132) avec une moyenne (21 292 FCFA) proche de la médiane (21 505 FCFA), indiquant une absence de valeurs extrêmes dominantes. L'écart-type de 5 200 FCFA (CV=24,4%) montre une dispersion modérée des prix autour de la moyenne. Le kurtosis négatif (-1,267) signale une distribution platykurtique, suggérant une faible probabilité de mouvements de prix extrêmes, malgré une volatilité annualisée élevée de 42,0%, qui classe le titre comme très risqué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(28 700 FCFA) se situe nettement au-dessus de la MM20 (27 853 FCFA) et de la MM50 (25 603,6 FCFA), confirmant une dynamique haussière à court et moyen terme. La configuration des moyennes mobiles, avec la MM20 au-dessus de la MM50, valide la tendance haussière en place, d'où une décision d'**Achat**.</w:t>
      </w:r>
    </w:p>
    <w:p>
      <w:pPr>
        <w:spacing w:after="120" w:line="276" w:lineRule="auto"/>
      </w:pPr>
      <w:r>
        <w:t>**Bandes de Bollinger** : Le prix évolue dans la partie supérieure des bandes, proche de la borne haute (29 550,52 FCFA), indiquant une pression acheteuse soutenue. L'écart entre les bornes (3 395 FCFA) reflète une volatilité élevée. Le cours n'étant pas en situation de surachat extrême, la décision est **Neutre**, mais le risque d'un retour vers la moyenne est présent.</w:t>
      </w:r>
    </w:p>
    <w:p>
      <w:pPr>
        <w:spacing w:after="120" w:line="276" w:lineRule="auto"/>
      </w:pPr>
      <w:r>
        <w:t>**MACD** : Le MACD (826,88) est inférieur à sa ligne de signal (930,34), signalant un affaiblissement du momentum haussier à très court terme. Cette divergence négative, bien que légère, suggère une possible consolidation ou correction technique, justifiant une décision de **Vente** pour les traders à court terme.</w:t>
      </w:r>
    </w:p>
    <w:p>
      <w:pPr>
        <w:spacing w:after="120" w:line="276" w:lineRule="auto"/>
      </w:pPr>
      <w:r>
        <w:t>**RSI** : Le RSI à 75,99 est en zone de surachat (&gt;70), indiquant que le titre est techniquement surévalué à court terme. Cette situation suggère un essoufflement probable de la dynamique haussière et un risque de correction, d'où une décision de **Vente**.</w:t>
      </w:r>
    </w:p>
    <w:p>
      <w:pPr>
        <w:spacing w:after="120" w:line="276" w:lineRule="auto"/>
      </w:pPr>
      <w:r>
        <w:t>**Stochastique** : Le %K (84,38) et le %D (85,87) sont tous deux en zone de surachat, avec un %K sous le %D, indiquant un croisement baissier potentiel. Ce signal renforce la probabilité d'une consolidation à court terme, justifiant une décision de **Vente**.</w:t>
      </w:r>
    </w:p>
    <w:p>
      <w:pPr>
        <w:spacing w:after="120" w:line="276" w:lineRule="auto"/>
      </w:pPr>
      <w:r>
        <w:t>**Conclusion technique** : Les indicateurs de tendance (MM) restent positifs, mais les oscillateurs (RSI, Stochastique, MACD) signalent tous un épuisement haussier à court terme. La convergence de ces signaux de surachat suggère une forte probabilité de correction technique, bien que la tendance de fond demeure haussière.</w:t>
      </w:r>
    </w:p>
    <w:p>
      <w:pPr>
        <w:spacing w:after="120" w:line="276" w:lineRule="auto"/>
      </w:pPr>
      <w:r>
        <w:t>---</w:t>
      </w:r>
    </w:p>
    <w:p>
      <w:pPr>
        <w:spacing w:after="120" w:line="276" w:lineRule="auto"/>
      </w:pPr>
      <w:r>
        <w:t>### PARTIE 3 : ANALYSE FONDAMENTALE (SECTION CRITIQUE)</w:t>
      </w:r>
    </w:p>
    <w:p>
      <w:pPr>
        <w:spacing w:after="120" w:line="276" w:lineRule="auto"/>
      </w:pPr>
      <w:r>
        <w:t>**En 2025**, les données financières structurées de CBIBF font état d'un Produit Net Bancaire (PNB) de 138,986 milliards FCFA, en hausse de 6,1% par rapport à 2024, et d'un résultat net de 65,495 milliards FCFA, en progression de 36,6% (contre 47,9 milliards en 2024). Cette performance est remarquable, avec une marge nette de 47,1% et un ROA de 2,18%, démontrant une excellente efficacité opérationnelle. Le coefficient d'exploitation de 36,4% est excellent (&lt;50%), témoignant d'une gestion rigoureuse des charges. Le coût du risque s'est significativement amélioré, en baisse de 59,3%, reflétant une meilleure qualité du portefeuille de crédits. Les dépôts clientèle ont fortement progressé (+14,9%) à 2 015 milliards FCFA, tandis que les crédits nets ont augmenté de 5,4% à 1 327 milliards FCFA, illustrant une capacité de transformation saine. **Sur la base du rapport T1 2026** (PNB de 36,8 milliards FCFA, +28,5% et résultat net de 21,5 milliards FCFA, +22,2%), on estime que l'exercice 2026 devrait confirmer cette dynamique de croissance soutenue, avec un PNB annuel potentiellement supérieur à 160 milliards FCFA. La banque, notée AA/AI avec perspective stable, démontre une solidité financière et une capacité de croissance remarquables, malgré un environnement géopolitique régional incertain.</w:t>
      </w:r>
    </w:p>
    <w:p>
      <w:pPr>
        <w:spacing w:after="120" w:line="276" w:lineRule="auto"/>
      </w:pPr>
      <w:r>
        <w:t>---</w:t>
      </w:r>
    </w:p>
    <w:p>
      <w:pPr>
        <w:spacing w:after="120" w:line="276" w:lineRule="auto"/>
      </w:pPr>
      <w:r>
        <w:t>### PARTIE 4 : CONCLUSION D'INVESTISSEMENT</w:t>
      </w:r>
    </w:p>
    <w:p>
      <w:pPr>
        <w:spacing w:after="120" w:line="276" w:lineRule="auto"/>
      </w:pPr>
      <w:r>
        <w:t>La valorisation de CBIBF (PER 14,0x, EV/EBITDA 10,4x) est exigeante mais justifiée par des fondamentaux exceptionnels, avec une croissance du résultat net de 36,6% en 2025 et des perspectives 2026 très solides. Le comportement du cours (+112% en 100 jours) et les statistiques (volatilité de 42%) indiquent un titre en forte surchauffe. Les signaux techniques sont partagés : la tendance de fond (MM) est haussière, mais tous les oscillateurs (RSI, Stochastique, MACD) signalent un surachat extrême, annonçant une correction technique imminente. Les fondamentaux, eux, restent extrêmement solides, portés par une gestion efficace et une croissance soutenue. Les prédictions IA (chute à 19 591 FCFA à J+10) confirment cette anticipation de correction. En synthèse, la convergence entre les signaux techniques de surachat et les prédictions IA suggère une consolidation à court terme, mais la divergence avec les fondamentaux solides plaide pour une opportunité d'achat sur les replis. **Recommandation finale : CONSERVER** (avec un biais d'achat sur correction), avec un niveau de confiance **Moyen** et un risque global **Élevé**. L'horizon d'investissement optimal est le **moyen terme (3-12 mois)**, en attendant une meilleure entrée après la correction technique attendue.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301.98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3,522 titres</w:t>
            </w:r>
          </w:p>
        </w:tc>
        <w:tc>
          <w:tcPr>
            <w:tcW w:type="dxa" w:w="2268"/>
            <w:shd w:fill="FFF2CC" w:val="clear"/>
          </w:tcPr>
          <w:p>
            <w:r>
              <w:rPr>
                <w:b/>
                <w:color w:val="503200"/>
                <w:sz w:val="16"/>
              </w:rPr>
              <w:t xml:space="preserve">Cours actuel : </w:t>
            </w:r>
            <w:r>
              <w:rPr>
                <w:color w:val="000000"/>
                <w:sz w:val="17"/>
              </w:rPr>
              <w:t>1,665 FCFA</w:t>
            </w:r>
          </w:p>
          <w:p>
            <w:r>
              <w:rPr>
                <w:b/>
                <w:color w:val="503200"/>
                <w:sz w:val="16"/>
              </w:rPr>
              <w:t xml:space="preserve">Var. 100 jours : </w:t>
            </w:r>
            <w:r>
              <w:rPr>
                <w:b/>
                <w:color w:val="B40000"/>
                <w:sz w:val="17"/>
              </w:rPr>
              <w:t>-5.40%</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6.29% (Moyenne) — μ=1,605 FCFA, σ=101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β=1.0411 (Neutre (suit le marché)) — Cov=0.000038, Var(idx)=0.000036, ρ=0.205,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σ_j=3.05%/j (Modérée) — Vol. annualisée≈48.5%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1,523</w:t>
            </w:r>
          </w:p>
        </w:tc>
        <w:tc>
          <w:tcPr>
            <w:tcW w:type="dxa" w:w="1440"/>
            <w:shd w:fill="FFDCE0" w:val="clear"/>
          </w:tcPr>
          <w:p>
            <w:r>
              <w:rPr>
                <w:b/>
                <w:sz w:val="17"/>
              </w:rPr>
              <w:t>1,599</w:t>
            </w:r>
          </w:p>
        </w:tc>
        <w:tc>
          <w:tcPr>
            <w:tcW w:type="dxa" w:w="1440"/>
            <w:shd w:fill="FFDCE0" w:val="clear"/>
          </w:tcPr>
          <w:p>
            <w:r>
              <w:rPr>
                <w:sz w:val="17"/>
              </w:rPr>
              <w:t>1,676</w:t>
            </w:r>
          </w:p>
        </w:tc>
        <w:tc>
          <w:tcPr>
            <w:tcW w:type="dxa" w:w="1440"/>
            <w:shd w:fill="FFDCE0" w:val="clear"/>
          </w:tcPr>
          <w:p>
            <w:r>
              <w:rPr>
                <w:b/>
                <w:color w:val="C00000"/>
                <w:sz w:val="17"/>
              </w:rPr>
              <w:t>-3.9%</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1,474</w:t>
            </w:r>
          </w:p>
        </w:tc>
        <w:tc>
          <w:tcPr>
            <w:tcW w:type="dxa" w:w="1440"/>
            <w:shd w:fill="FFDCE0" w:val="clear"/>
          </w:tcPr>
          <w:p>
            <w:r>
              <w:rPr>
                <w:b/>
                <w:sz w:val="17"/>
              </w:rPr>
              <w:t>1,580</w:t>
            </w:r>
          </w:p>
        </w:tc>
        <w:tc>
          <w:tcPr>
            <w:tcW w:type="dxa" w:w="1440"/>
            <w:shd w:fill="FFDCE0" w:val="clear"/>
          </w:tcPr>
          <w:p>
            <w:r>
              <w:rPr>
                <w:sz w:val="17"/>
              </w:rPr>
              <w:t>1,687</w:t>
            </w:r>
          </w:p>
        </w:tc>
        <w:tc>
          <w:tcPr>
            <w:tcW w:type="dxa" w:w="1440"/>
            <w:shd w:fill="FFDCE0" w:val="clear"/>
          </w:tcPr>
          <w:p>
            <w:r>
              <w:rPr>
                <w:b/>
                <w:color w:val="C00000"/>
                <w:sz w:val="17"/>
              </w:rPr>
              <w:t>-5.1%</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1,429</w:t>
            </w:r>
          </w:p>
        </w:tc>
        <w:tc>
          <w:tcPr>
            <w:tcW w:type="dxa" w:w="1440"/>
            <w:shd w:fill="FFDCE0" w:val="clear"/>
          </w:tcPr>
          <w:p>
            <w:r>
              <w:rPr>
                <w:b/>
                <w:sz w:val="17"/>
              </w:rPr>
              <w:t>1,558</w:t>
            </w:r>
          </w:p>
        </w:tc>
        <w:tc>
          <w:tcPr>
            <w:tcW w:type="dxa" w:w="1440"/>
            <w:shd w:fill="FFDCE0" w:val="clear"/>
          </w:tcPr>
          <w:p>
            <w:r>
              <w:rPr>
                <w:sz w:val="17"/>
              </w:rPr>
              <w:t>1,687</w:t>
            </w:r>
          </w:p>
        </w:tc>
        <w:tc>
          <w:tcPr>
            <w:tcW w:type="dxa" w:w="1440"/>
            <w:shd w:fill="FFDCE0" w:val="clear"/>
          </w:tcPr>
          <w:p>
            <w:r>
              <w:rPr>
                <w:b/>
                <w:color w:val="C00000"/>
                <w:sz w:val="17"/>
              </w:rPr>
              <w:t>-6.4%</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1,389</w:t>
            </w:r>
          </w:p>
        </w:tc>
        <w:tc>
          <w:tcPr>
            <w:tcW w:type="dxa" w:w="1440"/>
            <w:shd w:fill="FFDCE0" w:val="clear"/>
          </w:tcPr>
          <w:p>
            <w:r>
              <w:rPr>
                <w:b/>
                <w:sz w:val="17"/>
              </w:rPr>
              <w:t>1,536</w:t>
            </w:r>
          </w:p>
        </w:tc>
        <w:tc>
          <w:tcPr>
            <w:tcW w:type="dxa" w:w="1440"/>
            <w:shd w:fill="FFDCE0" w:val="clear"/>
          </w:tcPr>
          <w:p>
            <w:r>
              <w:rPr>
                <w:sz w:val="17"/>
              </w:rPr>
              <w:t>1,682</w:t>
            </w:r>
          </w:p>
        </w:tc>
        <w:tc>
          <w:tcPr>
            <w:tcW w:type="dxa" w:w="1440"/>
            <w:shd w:fill="FFDCE0" w:val="clear"/>
          </w:tcPr>
          <w:p>
            <w:r>
              <w:rPr>
                <w:b/>
                <w:color w:val="C00000"/>
                <w:sz w:val="17"/>
              </w:rPr>
              <w:t>-7.8%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1,352</w:t>
            </w:r>
          </w:p>
        </w:tc>
        <w:tc>
          <w:tcPr>
            <w:tcW w:type="dxa" w:w="1440"/>
            <w:shd w:fill="FFDCE0" w:val="clear"/>
          </w:tcPr>
          <w:p>
            <w:r>
              <w:rPr>
                <w:b/>
                <w:sz w:val="17"/>
              </w:rPr>
              <w:t>1,513</w:t>
            </w:r>
          </w:p>
        </w:tc>
        <w:tc>
          <w:tcPr>
            <w:tcW w:type="dxa" w:w="1440"/>
            <w:shd w:fill="FFDCE0" w:val="clear"/>
          </w:tcPr>
          <w:p>
            <w:r>
              <w:rPr>
                <w:sz w:val="17"/>
              </w:rPr>
              <w:t>1,675</w:t>
            </w:r>
          </w:p>
        </w:tc>
        <w:tc>
          <w:tcPr>
            <w:tcW w:type="dxa" w:w="1440"/>
            <w:shd w:fill="FFDCE0" w:val="clear"/>
          </w:tcPr>
          <w:p>
            <w:r>
              <w:rPr>
                <w:b/>
                <w:color w:val="C00000"/>
                <w:sz w:val="17"/>
              </w:rPr>
              <w:t>-9.1%</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1,317</w:t>
            </w:r>
          </w:p>
        </w:tc>
        <w:tc>
          <w:tcPr>
            <w:tcW w:type="dxa" w:w="1440"/>
            <w:shd w:fill="FFDCE0" w:val="clear"/>
          </w:tcPr>
          <w:p>
            <w:r>
              <w:rPr>
                <w:b/>
                <w:sz w:val="17"/>
              </w:rPr>
              <w:t>1,492</w:t>
            </w:r>
          </w:p>
        </w:tc>
        <w:tc>
          <w:tcPr>
            <w:tcW w:type="dxa" w:w="1440"/>
            <w:shd w:fill="FFDCE0" w:val="clear"/>
          </w:tcPr>
          <w:p>
            <w:r>
              <w:rPr>
                <w:sz w:val="17"/>
              </w:rPr>
              <w:t>1,667</w:t>
            </w:r>
          </w:p>
        </w:tc>
        <w:tc>
          <w:tcPr>
            <w:tcW w:type="dxa" w:w="1440"/>
            <w:shd w:fill="FFDCE0" w:val="clear"/>
          </w:tcPr>
          <w:p>
            <w:r>
              <w:rPr>
                <w:b/>
                <w:color w:val="C00000"/>
                <w:sz w:val="17"/>
              </w:rPr>
              <w:t>-10.4%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1,285</w:t>
            </w:r>
          </w:p>
        </w:tc>
        <w:tc>
          <w:tcPr>
            <w:tcW w:type="dxa" w:w="1440"/>
            <w:shd w:fill="FFDCE0" w:val="clear"/>
          </w:tcPr>
          <w:p>
            <w:r>
              <w:rPr>
                <w:b/>
                <w:sz w:val="17"/>
              </w:rPr>
              <w:t>1,471</w:t>
            </w:r>
          </w:p>
        </w:tc>
        <w:tc>
          <w:tcPr>
            <w:tcW w:type="dxa" w:w="1440"/>
            <w:shd w:fill="FFDCE0" w:val="clear"/>
          </w:tcPr>
          <w:p>
            <w:r>
              <w:rPr>
                <w:sz w:val="17"/>
              </w:rPr>
              <w:t>1,657</w:t>
            </w:r>
          </w:p>
        </w:tc>
        <w:tc>
          <w:tcPr>
            <w:tcW w:type="dxa" w:w="1440"/>
            <w:shd w:fill="FFDCE0" w:val="clear"/>
          </w:tcPr>
          <w:p>
            <w:r>
              <w:rPr>
                <w:b/>
                <w:color w:val="C00000"/>
                <w:sz w:val="17"/>
              </w:rPr>
              <w:t>-11.7%</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1,254</w:t>
            </w:r>
          </w:p>
        </w:tc>
        <w:tc>
          <w:tcPr>
            <w:tcW w:type="dxa" w:w="1440"/>
            <w:shd w:fill="FFDCE0" w:val="clear"/>
          </w:tcPr>
          <w:p>
            <w:r>
              <w:rPr>
                <w:b/>
                <w:sz w:val="17"/>
              </w:rPr>
              <w:t>1,450</w:t>
            </w:r>
          </w:p>
        </w:tc>
        <w:tc>
          <w:tcPr>
            <w:tcW w:type="dxa" w:w="1440"/>
            <w:shd w:fill="FFDCE0" w:val="clear"/>
          </w:tcPr>
          <w:p>
            <w:r>
              <w:rPr>
                <w:sz w:val="17"/>
              </w:rPr>
              <w:t>1,646</w:t>
            </w:r>
          </w:p>
        </w:tc>
        <w:tc>
          <w:tcPr>
            <w:tcW w:type="dxa" w:w="1440"/>
            <w:shd w:fill="FFDCE0" w:val="clear"/>
          </w:tcPr>
          <w:p>
            <w:r>
              <w:rPr>
                <w:b/>
                <w:color w:val="C00000"/>
                <w:sz w:val="17"/>
              </w:rPr>
              <w:t>-12.9%</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1,225</w:t>
            </w:r>
          </w:p>
        </w:tc>
        <w:tc>
          <w:tcPr>
            <w:tcW w:type="dxa" w:w="1440"/>
            <w:shd w:fill="FFDCE0" w:val="clear"/>
          </w:tcPr>
          <w:p>
            <w:r>
              <w:rPr>
                <w:b/>
                <w:sz w:val="17"/>
              </w:rPr>
              <w:t>1,430</w:t>
            </w:r>
          </w:p>
        </w:tc>
        <w:tc>
          <w:tcPr>
            <w:tcW w:type="dxa" w:w="1440"/>
            <w:shd w:fill="FFDCE0" w:val="clear"/>
          </w:tcPr>
          <w:p>
            <w:r>
              <w:rPr>
                <w:sz w:val="17"/>
              </w:rPr>
              <w:t>1,635</w:t>
            </w:r>
          </w:p>
        </w:tc>
        <w:tc>
          <w:tcPr>
            <w:tcW w:type="dxa" w:w="1440"/>
            <w:shd w:fill="FFDCE0" w:val="clear"/>
          </w:tcPr>
          <w:p>
            <w:r>
              <w:rPr>
                <w:b/>
                <w:color w:val="C00000"/>
                <w:sz w:val="17"/>
              </w:rPr>
              <w:t>-14.1%</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1,197</w:t>
            </w:r>
          </w:p>
        </w:tc>
        <w:tc>
          <w:tcPr>
            <w:tcW w:type="dxa" w:w="1440"/>
            <w:shd w:fill="FFDCE0" w:val="clear"/>
          </w:tcPr>
          <w:p>
            <w:r>
              <w:rPr>
                <w:b/>
                <w:sz w:val="17"/>
              </w:rPr>
              <w:t>1,411</w:t>
            </w:r>
          </w:p>
        </w:tc>
        <w:tc>
          <w:tcPr>
            <w:tcW w:type="dxa" w:w="1440"/>
            <w:shd w:fill="FFDCE0" w:val="clear"/>
          </w:tcPr>
          <w:p>
            <w:r>
              <w:rPr>
                <w:sz w:val="17"/>
              </w:rPr>
              <w:t>1,624</w:t>
            </w:r>
          </w:p>
        </w:tc>
        <w:tc>
          <w:tcPr>
            <w:tcW w:type="dxa" w:w="1440"/>
            <w:shd w:fill="FFDCE0" w:val="clear"/>
          </w:tcPr>
          <w:p>
            <w:r>
              <w:rPr>
                <w:b/>
                <w:color w:val="C00000"/>
                <w:sz w:val="17"/>
              </w:rPr>
              <w:t>-15.3%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CFAC s'établit à 301,98 milliards FCFA, un niveau significatif qui la place parmi les valeurs moyennes à grandes capitalisations de la BRVM, reflétant sa position dominante sur le marché automobile ivoirien. Avec un BPA de 26 FCFA, le titre affiche un PER de 64,3x, très largement supérieur à la moyenne historique de la BRVM (8-12x), indiquant que les investisseurs paient une prime considérable pour chaque franc de bénéfice — une valorisation extrêmement exigeante qui laisse peu de marge d'erreur. Le P/B de 15,52x confirme cette surévaluation relative, le marché valorisant le titre plus de 15 fois sa valeur comptable, signe d'anticipations de croissance très fortes. L'EV/EBITDA de 32,8x, bien au-delà du seuil de 15x considéré comme exigeant, renforce cette lecture : la valeur totale de l'entreprise (dette incluse) représente plus de 32 fois sa capacité opérationnelle, ce qui implique que le marché intègre déjà une amélioration substantielle des résultats futurs. Ces ratios, pris ensemble, signalent une valorisation très tendue qui nécessite une exécution parfaite de la stratégie de croissance pour se justifier.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 enregistré une variation totale de -5,40%, passant sous son niveau initial, malgré un rebond notable de +4,06% lors de la dernière séance qui ramène le cours à 1 665 FCFA. Le trading range s'étend de 1 325 FCFA (plus bas) à 1 825 FCFA (plus haut), soit une amplitude de 500 FCFA qui illustre une volatilité intra-période considérable. La moyenne (1 605 FCFA) et la médiane (1 605 FCFA) sont identiques, indiquant une distribution des prix parfaitement symétrique autour du centre, tandis que le mode à 1 600 FCFA confirme une concentration des échanges autour de ce niveau. L'écart-type de 101 FCFA, avec un coefficient de variation de 6,3%, révèle une dispersion modérée des cours autour de la moyenne, suggérant une stabilité relative malgré les fluctuations. Le kurtosis de -0,020 (mésokurtique) indique une distribution proche de la normale, sans risque de pics extrêmes, et le skewness de -0,362, bien que légèrement négatif, reste dans une zone de symétrie acceptable. La volatilité annualisée de 48,5% est élevée (&gt;30%), positionnant CFAC comme un titre à fort risque de fluctuation, ce qui est cohérent avec son secteur cyclique et sa sensibilité aux conditions économiques locales.</w:t>
      </w:r>
    </w:p>
    <w:p>
      <w:pPr>
        <w:spacing w:after="120" w:line="276" w:lineRule="auto" w:before="240"/>
      </w:pPr>
      <w:r>
        <w:rPr>
          <w:b/>
          <w:color w:val="003366"/>
          <w:sz w:val="24"/>
        </w:rPr>
        <w:t>**PARTIE 2 : ANALYSE TECHNIQUE DÉTAILLÉE**</w:t>
      </w:r>
    </w:p>
    <w:p>
      <w:pPr>
        <w:spacing w:after="120" w:line="276" w:lineRule="auto"/>
      </w:pPr>
      <w:r>
        <w:t>**Moyennes Mobiles** : Le cours actuel de 1 665 FCFA se situe très légèrement sous la MM20 (1 665,5 FCFA) mais au-dessus de la MM50 (1 659,9 FCFA), indiquant une tendance de court terme hésitante mais un momentum de moyen terme encore positif. La proximité des deux moyennes suggère une phase de consolidation, et la décision d'achat émise par cet indicateur reflète le maintien du cours au-dessus de la moyenne longue, bien que le signal soit fragile.</w:t>
      </w:r>
    </w:p>
    <w:p>
      <w:pPr>
        <w:spacing w:after="120" w:line="276" w:lineRule="auto"/>
      </w:pPr>
      <w:r>
        <w:t>**Bandes de Bollinger** : Le prix évolue à 1 665 FCFA, entre la borne inférieure (1 594,13 FCFA) et la borne supérieure (1 736,87 FCFA), positionné légèrement au-dessus du milieu du canal. Cette position neutre indique une volatilité modérée sans tension particulière, le marché n'étant ni suracheté ni survendu. La décision neutre est cohérente avec une phase d'attente, le titre n'ayant pas encore choisi une direction claire.</w:t>
      </w:r>
    </w:p>
    <w:p>
      <w:pPr>
        <w:spacing w:after="120" w:line="276" w:lineRule="auto"/>
      </w:pPr>
      <w:r>
        <w:t>**MACD** : La valeur du MACD (4,584) est inférieure à son signal (9,232), avec un écart négatif qui traduit un momentum baissier à court terme. Bien que les deux lignes restent en territoire positif, la divergence négative suggère un ralentissement de la dynamique haussière, justifiant la décision de vente émise par cet indicateur. Ce signal contraste avec la récente hausse du cours, indiquant une possible correction à venir.</w:t>
      </w:r>
    </w:p>
    <w:p>
      <w:pPr>
        <w:spacing w:after="120" w:line="276" w:lineRule="auto"/>
      </w:pPr>
      <w:r>
        <w:t>**RSI** : À 47,761, le RSI se situe dans la zone neutre (30-70), sans signal de surachat ni de survente. Cette valeur reflète un équilibre entre pression acheteuse et vendeuse, sans momentum directionnel fort. La décision neutre est appropriée, le marché semblant indécis sur la direction future du titre.</w:t>
      </w:r>
    </w:p>
    <w:p>
      <w:pPr>
        <w:spacing w:after="120" w:line="276" w:lineRule="auto"/>
      </w:pPr>
      <w:r>
        <w:t>**Stochastique** : Le %K (65,0) est nettement supérieur au %D (32,778), indiquant un croisement haussier récent qui pourrait signaler un début de mouvement ascendant. Cependant, la décision neutre suggère que ce croisement n'est pas encore confirmé par une dynamique suffisante, le %K devant dépasser des niveaux plus élevés pour valider un signal d'achat robuste.</w:t>
      </w:r>
    </w:p>
    <w:p>
      <w:pPr>
        <w:spacing w:after="120" w:line="276" w:lineRule="auto"/>
      </w:pPr>
      <w:r>
        <w:t>**Conclusion technique** : Les indicateurs techniques présentent un tableau contrasté : les moyennes mobiles et le stochastique suggèrent un potentiel haussier, tandis que le MACD émet un signal de vente et le RSI reste neutre. Cette divergence indique une phase de transition incertaine, le titre cherchant une direction après une période de consolidation. Les bandes de Bollinger neutres confirment cette absence de tendance claire, recommandant une approche prudente en attendant une confirmation directionnelle.</w:t>
      </w:r>
    </w:p>
    <w:p>
      <w:pPr>
        <w:spacing w:after="120" w:line="276" w:lineRule="auto" w:before="240"/>
      </w:pPr>
      <w:r>
        <w:rPr>
          <w:b/>
          <w:color w:val="003366"/>
          <w:sz w:val="24"/>
        </w:rPr>
        <w:t>**PARTIE 3 : ANALYSE FONDAMENTALE (SECTION CRITIQUE)**</w:t>
      </w:r>
    </w:p>
    <w:p>
      <w:pPr>
        <w:spacing w:after="120" w:line="276" w:lineRule="auto"/>
      </w:pPr>
      <w:r>
        <w:t>En 2024, selon les états financiers annuels, CFAC a réalisé un chiffre d'affaires de 158,313 milliards FCFA, en baisse de -12,1% par rapport à 2023 (180,162 milliards), avec un résultat net de 4,693 milliards FCFA, en recul de -26,7%. Cette contre-performance s'explique par une contraction des volumes de ventes (-5,5% en volume) et une dégradation du résultat d'exploitation (-29,4%), partiellement compensée par une baisse de l'impôt (-42,7%). Le ROE de 24,13% et le ROA de 5,52% restent solides, démontrant une bonne rentabilité des fonds propres malgré le contexte difficile. En tant qu'entreprise de distribution automobile, l'analyse du BFR est cruciale : le BFR négatif de -3,482 milliards FCFA est favorable, indiquant que l'entreprise finance son cycle d'exploitation par ses fournisseurs (délai fournisseurs de 81,75 jours contre 36,64 jours pour les clients), une position de force dans la chaîne de valeur. Le délai de stockage de 88,35 jours reflète une immobilisation de capital importante dans les stocks de véhicules. Cependant, la trésorerie nette est négative (-624 millions FCFA), et le free cash flow de -1,650 milliard FCFA souligne une pression sur la liquidité, due aux investissements massifs (-8,741 milliards) et aux dividendes versés (3,200 milliards). Les rapports trimestriels 2025 montrent un redressement spectaculaire : le T1 2025 affiche un CA de 46,161 milliards (+14,5%) et un résultat net de 3,836 milliards (+279,7%), tandis que le S1 2025 atteint 91,182 milliards (+18,4%) avec un résultat net de 5,420 milliards (+152,7%). Le T3 2025 confirme cette dynamique avec un CA de 43,580 milliards (+18,3%) et un résultat net de 1,489 milliard (+38,1%). Sur la base de ces rapports, on estime que l'exercice 2025 devrait dépasser significativement les performances de 2024, avec un CA projeté autour de 180-185 milliards et un résultat net potentiel de 8-9 milliards, soit une croissance de plus de 70% par rapport à 2024. La position de leader (43,4% de part de marché) et les investissements dans les nouvelles marques (SHACMAN, LOVOL, BYD) renforcent les perspectives positives, malgré un environnement réglementaire plus strict.</w:t>
      </w:r>
    </w:p>
    <w:p>
      <w:pPr>
        <w:spacing w:after="120" w:line="276" w:lineRule="auto" w:before="240"/>
      </w:pPr>
      <w:r>
        <w:rPr>
          <w:b/>
          <w:color w:val="003366"/>
          <w:sz w:val="24"/>
        </w:rPr>
        <w:t>**PARTIE 4 : CONCLUSION D'INVESTISSEMENT**</w:t>
      </w:r>
    </w:p>
    <w:p>
      <w:pPr>
        <w:spacing w:after="120" w:line="276" w:lineRule="auto"/>
      </w:pPr>
      <w:r>
        <w:t>La synthèse globale révèle des signaux contrastés pour CFAC. La valorisation (Partie 0) est extrêmement exigeante avec un PER de 64,3x, un P/B de 15,52x et un EV/EBITDA de 32,8x, indiquant une surévaluation significative par rapport aux fondamentaux actuels. Le comportement du cours (Partie 1) montre une tendance baissière sur 100 jours (-5,40%) avec une volatilité élevée (48,5%), bien que la distribution des prix soit stable (kurtosis mésokurtique, skewness symétrique). Les signaux techniques (Partie 2) sont mitigés, avec des moyennes mobiles légèrement haussières mais un MACD vendeur et un RSI neutre, reflétant une indécision du marché. Les fondamentaux (Partie 3) sont en nette amélioration en 2025, avec une croissance exceptionnelle des résultats trimestriels (+152,7% au S1), mais les prédictions IA (J+1 à J+10) projettent une baisse continue du cours de 1 599 à 1 513 FCFA, contredisant les signaux fondamentaux positifs. Cette divergence entre la dynamique opérationnelle solide et la trajectoire technique baissière suggère que le marché a déjà intégré les bonnes nouvelles dans le prix. La recommandation finale est **CONSERVER**, avec un niveau de confiance **Moyen** et un risque global **Élevé** en raison de la valorisation tendue et de la volatilité. L'horizon d'investissement optimal serait le **moyen terme (3-12 mois)**, en attendant que le marché ajuste sa valorisation aux résultats réels ou que le cours trouve un support solide pour initier une position.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308.84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6,198 titres</w:t>
            </w:r>
          </w:p>
        </w:tc>
        <w:tc>
          <w:tcPr>
            <w:tcW w:type="dxa" w:w="2268"/>
            <w:shd w:fill="FFF2CC" w:val="clear"/>
          </w:tcPr>
          <w:p>
            <w:r>
              <w:rPr>
                <w:b/>
                <w:color w:val="503200"/>
                <w:sz w:val="16"/>
              </w:rPr>
              <w:t xml:space="preserve">Cours actuel : </w:t>
            </w:r>
            <w:r>
              <w:rPr>
                <w:color w:val="000000"/>
                <w:sz w:val="17"/>
              </w:rPr>
              <w:t>5,515 FCFA</w:t>
            </w:r>
          </w:p>
          <w:p>
            <w:r>
              <w:rPr>
                <w:b/>
                <w:color w:val="503200"/>
                <w:sz w:val="16"/>
              </w:rPr>
              <w:t xml:space="preserve">Var. 100 jours : </w:t>
            </w:r>
            <w:r>
              <w:rPr>
                <w:b/>
                <w:color w:val="007800"/>
                <w:sz w:val="17"/>
              </w:rPr>
              <w:t>+72.34%</w:t>
            </w:r>
          </w:p>
          <w:p>
            <w:r>
              <w:rPr>
                <w:b/>
                <w:color w:val="503200"/>
                <w:sz w:val="16"/>
              </w:rPr>
              <w:t xml:space="preserve">Plus haut 100j : </w:t>
            </w:r>
            <w:r>
              <w:rPr>
                <w:color w:val="000000"/>
                <w:sz w:val="17"/>
              </w:rPr>
              <w:t>5,515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21.80% (Élevée) — μ=4,298 FCFA, σ=937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β=0.7000 (Défensif) — Cov=0.000025, Var(idx)=0.000036, ρ=0.145,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σ_j=2.90%/j (Stable) — Vol. annualisée≈46.0%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4,882</w:t>
            </w:r>
          </w:p>
        </w:tc>
        <w:tc>
          <w:tcPr>
            <w:tcW w:type="dxa" w:w="1440"/>
            <w:shd w:fill="FFDCE0" w:val="clear"/>
          </w:tcPr>
          <w:p>
            <w:r>
              <w:rPr>
                <w:b/>
                <w:sz w:val="17"/>
              </w:rPr>
              <w:t>5,101</w:t>
            </w:r>
          </w:p>
        </w:tc>
        <w:tc>
          <w:tcPr>
            <w:tcW w:type="dxa" w:w="1440"/>
            <w:shd w:fill="FFDCE0" w:val="clear"/>
          </w:tcPr>
          <w:p>
            <w:r>
              <w:rPr>
                <w:sz w:val="17"/>
              </w:rPr>
              <w:t>5,320</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4,432</w:t>
            </w:r>
          </w:p>
        </w:tc>
        <w:tc>
          <w:tcPr>
            <w:tcW w:type="dxa" w:w="1440"/>
            <w:shd w:fill="FFDCE0" w:val="clear"/>
          </w:tcPr>
          <w:p>
            <w:r>
              <w:rPr>
                <w:b/>
                <w:sz w:val="17"/>
              </w:rPr>
              <w:t>4,719</w:t>
            </w:r>
          </w:p>
        </w:tc>
        <w:tc>
          <w:tcPr>
            <w:tcW w:type="dxa" w:w="1440"/>
            <w:shd w:fill="FFDCE0" w:val="clear"/>
          </w:tcPr>
          <w:p>
            <w:r>
              <w:rPr>
                <w:sz w:val="17"/>
              </w:rPr>
              <w:t>5,005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4,040</w:t>
            </w:r>
          </w:p>
        </w:tc>
        <w:tc>
          <w:tcPr>
            <w:tcW w:type="dxa" w:w="1440"/>
            <w:shd w:fill="FFDCE0" w:val="clear"/>
          </w:tcPr>
          <w:p>
            <w:r>
              <w:rPr>
                <w:b/>
                <w:sz w:val="17"/>
              </w:rPr>
              <w:t>4,365</w:t>
            </w:r>
          </w:p>
        </w:tc>
        <w:tc>
          <w:tcPr>
            <w:tcW w:type="dxa" w:w="1440"/>
            <w:shd w:fill="FFDCE0" w:val="clear"/>
          </w:tcPr>
          <w:p>
            <w:r>
              <w:rPr>
                <w:sz w:val="17"/>
              </w:rPr>
              <w:t>4,689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3,691</w:t>
            </w:r>
          </w:p>
        </w:tc>
        <w:tc>
          <w:tcPr>
            <w:tcW w:type="dxa" w:w="1440"/>
            <w:shd w:fill="FFDCE0" w:val="clear"/>
          </w:tcPr>
          <w:p>
            <w:r>
              <w:rPr>
                <w:b/>
                <w:sz w:val="17"/>
              </w:rPr>
              <w:t>4,038</w:t>
            </w:r>
          </w:p>
        </w:tc>
        <w:tc>
          <w:tcPr>
            <w:tcW w:type="dxa" w:w="1440"/>
            <w:shd w:fill="FFDCE0" w:val="clear"/>
          </w:tcPr>
          <w:p>
            <w:r>
              <w:rPr>
                <w:sz w:val="17"/>
              </w:rPr>
              <w:t>4,384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3,376</w:t>
            </w:r>
          </w:p>
        </w:tc>
        <w:tc>
          <w:tcPr>
            <w:tcW w:type="dxa" w:w="1440"/>
            <w:shd w:fill="FFDCE0" w:val="clear"/>
          </w:tcPr>
          <w:p>
            <w:r>
              <w:rPr>
                <w:b/>
                <w:sz w:val="17"/>
              </w:rPr>
              <w:t>3,735</w:t>
            </w:r>
          </w:p>
        </w:tc>
        <w:tc>
          <w:tcPr>
            <w:tcW w:type="dxa" w:w="1440"/>
            <w:shd w:fill="FFDCE0" w:val="clear"/>
          </w:tcPr>
          <w:p>
            <w:r>
              <w:rPr>
                <w:sz w:val="17"/>
              </w:rPr>
              <w:t>4,093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3,134</w:t>
            </w:r>
          </w:p>
        </w:tc>
        <w:tc>
          <w:tcPr>
            <w:tcW w:type="dxa" w:w="1440"/>
            <w:shd w:fill="FFDCE0" w:val="clear"/>
          </w:tcPr>
          <w:p>
            <w:r>
              <w:rPr>
                <w:b/>
                <w:sz w:val="17"/>
              </w:rPr>
              <w:t>3,502</w:t>
            </w:r>
          </w:p>
        </w:tc>
        <w:tc>
          <w:tcPr>
            <w:tcW w:type="dxa" w:w="1440"/>
            <w:shd w:fill="FFDCE0" w:val="clear"/>
          </w:tcPr>
          <w:p>
            <w:r>
              <w:rPr>
                <w:sz w:val="17"/>
              </w:rPr>
              <w:t>3,871</w:t>
            </w:r>
          </w:p>
        </w:tc>
        <w:tc>
          <w:tcPr>
            <w:tcW w:type="dxa" w:w="1440"/>
            <w:shd w:fill="FFDCE0" w:val="clear"/>
          </w:tcPr>
          <w:p>
            <w:r>
              <w:rPr>
                <w:b/>
                <w:color w:val="C00000"/>
                <w:sz w:val="17"/>
              </w:rPr>
              <w:t>-36.5%</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3,028</w:t>
            </w:r>
          </w:p>
        </w:tc>
        <w:tc>
          <w:tcPr>
            <w:tcW w:type="dxa" w:w="1440"/>
            <w:shd w:fill="FFDCE0" w:val="clear"/>
          </w:tcPr>
          <w:p>
            <w:r>
              <w:rPr>
                <w:b/>
                <w:sz w:val="17"/>
              </w:rPr>
              <w:t>3,416</w:t>
            </w:r>
          </w:p>
        </w:tc>
        <w:tc>
          <w:tcPr>
            <w:tcW w:type="dxa" w:w="1440"/>
            <w:shd w:fill="FFDCE0" w:val="clear"/>
          </w:tcPr>
          <w:p>
            <w:r>
              <w:rPr>
                <w:sz w:val="17"/>
              </w:rPr>
              <w:t>3,804</w:t>
            </w:r>
          </w:p>
        </w:tc>
        <w:tc>
          <w:tcPr>
            <w:tcW w:type="dxa" w:w="1440"/>
            <w:shd w:fill="FFDCE0" w:val="clear"/>
          </w:tcPr>
          <w:p>
            <w:r>
              <w:rPr>
                <w:b/>
                <w:color w:val="C00000"/>
                <w:sz w:val="17"/>
              </w:rPr>
              <w:t>-38.1%</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2,933</w:t>
            </w:r>
          </w:p>
        </w:tc>
        <w:tc>
          <w:tcPr>
            <w:tcW w:type="dxa" w:w="1440"/>
            <w:shd w:fill="FFDCE0" w:val="clear"/>
          </w:tcPr>
          <w:p>
            <w:r>
              <w:rPr>
                <w:b/>
                <w:sz w:val="17"/>
              </w:rPr>
              <w:t>3,339</w:t>
            </w:r>
          </w:p>
        </w:tc>
        <w:tc>
          <w:tcPr>
            <w:tcW w:type="dxa" w:w="1440"/>
            <w:shd w:fill="FFDCE0" w:val="clear"/>
          </w:tcPr>
          <w:p>
            <w:r>
              <w:rPr>
                <w:sz w:val="17"/>
              </w:rPr>
              <w:t>3,744</w:t>
            </w:r>
          </w:p>
        </w:tc>
        <w:tc>
          <w:tcPr>
            <w:tcW w:type="dxa" w:w="1440"/>
            <w:shd w:fill="FFDCE0" w:val="clear"/>
          </w:tcPr>
          <w:p>
            <w:r>
              <w:rPr>
                <w:b/>
                <w:color w:val="C00000"/>
                <w:sz w:val="17"/>
              </w:rPr>
              <w:t>-39.5%</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2,848</w:t>
            </w:r>
          </w:p>
        </w:tc>
        <w:tc>
          <w:tcPr>
            <w:tcW w:type="dxa" w:w="1440"/>
            <w:shd w:fill="FFDCE0" w:val="clear"/>
          </w:tcPr>
          <w:p>
            <w:r>
              <w:rPr>
                <w:b/>
                <w:sz w:val="17"/>
              </w:rPr>
              <w:t>3,269</w:t>
            </w:r>
          </w:p>
        </w:tc>
        <w:tc>
          <w:tcPr>
            <w:tcW w:type="dxa" w:w="1440"/>
            <w:shd w:fill="FFDCE0" w:val="clear"/>
          </w:tcPr>
          <w:p>
            <w:r>
              <w:rPr>
                <w:sz w:val="17"/>
              </w:rPr>
              <w:t>3,690</w:t>
            </w:r>
          </w:p>
        </w:tc>
        <w:tc>
          <w:tcPr>
            <w:tcW w:type="dxa" w:w="1440"/>
            <w:shd w:fill="FFDCE0" w:val="clear"/>
          </w:tcPr>
          <w:p>
            <w:r>
              <w:rPr>
                <w:b/>
                <w:color w:val="C00000"/>
                <w:sz w:val="17"/>
              </w:rPr>
              <w:t>-40.7%</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2,770</w:t>
            </w:r>
          </w:p>
        </w:tc>
        <w:tc>
          <w:tcPr>
            <w:tcW w:type="dxa" w:w="1440"/>
            <w:shd w:fill="FFDCE0" w:val="clear"/>
          </w:tcPr>
          <w:p>
            <w:r>
              <w:rPr>
                <w:b/>
                <w:sz w:val="17"/>
              </w:rPr>
              <w:t>3,206</w:t>
            </w:r>
          </w:p>
        </w:tc>
        <w:tc>
          <w:tcPr>
            <w:tcW w:type="dxa" w:w="1440"/>
            <w:shd w:fill="FFDCE0" w:val="clear"/>
          </w:tcPr>
          <w:p>
            <w:r>
              <w:rPr>
                <w:sz w:val="17"/>
              </w:rPr>
              <w:t>3,641</w:t>
            </w:r>
          </w:p>
        </w:tc>
        <w:tc>
          <w:tcPr>
            <w:tcW w:type="dxa" w:w="1440"/>
            <w:shd w:fill="FFDCE0" w:val="clear"/>
          </w:tcPr>
          <w:p>
            <w:r>
              <w:rPr>
                <w:b/>
                <w:color w:val="C00000"/>
                <w:sz w:val="17"/>
              </w:rPr>
              <w:t>-41.9%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Absolument. Voici un rapport d'analyse structuré et professionnel sur l'action CIEC,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308,84 milliards FCFA, un niveau significatif qui la positionne parmi les valeurs moyennes à grandes de la BRVM. Avec un BPA de 234 FCFA, le titre se négocie à un PER de 23,5x, nettement supérieur à la moyenne historique de la place (~8-12x), ce qui traduit des attentes de croissance élevées, mais aussi une prime de valorisation conséquente. Le P/B de 8,59x confirme cette lecture, le marché valorisant fortement les actifs de la société par rapport à leur valeur comptable. Enfin, un EV/EBITDA de 13,4x, bien que dans la fourchette haute (10-15x), indique que la valeur d'entreprise reste soutenue par une capacité opérationnelle solide. Ces ratios suggèrent que le marché intègre déjà une trajectoire de croissance et de rentabilité soutenue.</w:t>
      </w:r>
    </w:p>
    <w:p>
      <w:pPr>
        <w:spacing w:after="120" w:line="276" w:lineRule="auto"/>
      </w:pPr>
      <w:r>
        <w:t>### PARTIE 1 : ANALYSE DU COURS — STATISTIQUES ET ÉVOLUTION (100 derniers jours)</w:t>
      </w:r>
    </w:p>
    <w:p>
      <w:pPr>
        <w:spacing w:after="120" w:line="276" w:lineRule="auto"/>
      </w:pPr>
      <w:r>
        <w:t>Sur les 100 derniers jours, l'action CIEC a connu une progression spectaculaire de +72,34%, avec une dernière séance en hausse de +1,19% à 5 515 FCFA. Le titre a évolué dans une fourchette très large, allant d'un plus bas de 3 000 FCFA à un plus haut de 5 515 FCFA, démontrant une tendance haussière puissante. La moyenne du cours sur la période (4 298 FCFA) est inférieure à la médiane (4 852 FCFA), ce qui, combiné à un skewness négatif (-0.162), suggère que la distribution des prix est légèrement asymétrique avec une concentration des valeurs vers le haut de la fourchette. L'écart-type de 942 FCFA (CV=21,9%) indique une dispersion modérée, mais le kurtosis platykurtique (-1.793) révèle une distribution aplatie, avec moins de pics extrêmes que la normale. La volatilité annualisée de 46,0% est très élevée, signalant un risque de marché important et des fluctuations de prix potentiellement fortes.</w:t>
      </w:r>
    </w:p>
    <w:p>
      <w:pPr>
        <w:spacing w:after="120" w:line="276" w:lineRule="auto"/>
      </w:pPr>
      <w:r>
        <w:t>### PARTIE 2 : ANALYSE TECHNIQUE DÉTAILLÉE</w:t>
      </w:r>
    </w:p>
    <w:p>
      <w:pPr>
        <w:spacing w:after="120" w:line="276" w:lineRule="auto"/>
      </w:pPr>
      <w:r>
        <w:t>**Moyennes Mobiles**: Le cours actuel (5 515 FCFA) se situe nettement au-dessus de la MM20 (5 196,25 FCFA) et de la MM50 (5 172,4 FCFA). Cette configuration haussière, où le prix est soutenu par les moyennes mobiles, confirme la dynamique positive et justifie la décision d'**Achat**.</w:t>
      </w:r>
    </w:p>
    <w:p>
      <w:pPr>
        <w:spacing w:after="120" w:line="276" w:lineRule="auto"/>
      </w:pPr>
      <w:r>
        <w:t>**Bandes de Bollinger**: Le prix est proche de la borne supérieure (5 536,82 FCFA), indiquant une pression acheteuse soutenue. La largeur des bandes reflète la volatilité élevée du titre. Le fait que le cours soit à la limite supérieure suggère une possible extension de la tendance, mais aussi un risque de correction à court terme, d'où la décision **Neutre**.</w:t>
      </w:r>
    </w:p>
    <w:p>
      <w:pPr>
        <w:spacing w:after="120" w:line="276" w:lineRule="auto"/>
      </w:pPr>
      <w:r>
        <w:t>**MACD**: La valeur du MACD (76,197) est nettement supérieure à sa ligne de signal (41,684), avec un écart croissant. Cette divergence positive confirme un momentum haussier fort et valide la décision d'**Achat**. Le signal est clair et indique une vigueur de la tendance.</w:t>
      </w:r>
    </w:p>
    <w:p>
      <w:pPr>
        <w:spacing w:after="120" w:line="276" w:lineRule="auto"/>
      </w:pPr>
      <w:r>
        <w:t>**RSI**: Le RSI à 67,797 est en zone neutre-haute, proche du seuil de surachat (70). Il indique une dynamique positive sans être extrême, laissant une marge de progression avant une possible consolidation. La décision **Neutre** est donc cohérente, le marché n'étant pas encore en situation de surachat critique.</w:t>
      </w:r>
    </w:p>
    <w:p>
      <w:pPr>
        <w:spacing w:after="120" w:line="276" w:lineRule="auto"/>
      </w:pPr>
      <w:r>
        <w:t>**Stochastique**: Les valeurs %K et %D sont toutes deux à 100,0, ce qui place l'indicateur en zone de surachat extrême. Cette configuration signale que le mouvement haussier est excessif à court terme et qu'une correction technique est très probable. La décision de **Vente** est justifiée pour un horizon très court terme.</w:t>
      </w:r>
    </w:p>
    <w:p>
      <w:pPr>
        <w:spacing w:after="120" w:line="276" w:lineRule="auto"/>
      </w:pPr>
      <w:r>
        <w:t>**Conclusion technique**: Les indicateurs de tendance (MM, MACD) sont résolument haussiers, mais les oscillateurs de momentum (RSI, Stochastique) montrent des signes de surachat, notamment le Stochastique à des niveaux extrêmes. Cette divergence suggère que la tendance de fond reste positive, mais qu'un repli technique est probable à très court terme avant une possible reprise de la hausse.</w:t>
      </w:r>
    </w:p>
    <w:p>
      <w:pPr>
        <w:spacing w:after="120" w:line="276" w:lineRule="auto"/>
      </w:pPr>
      <w:r>
        <w:t>### PARTIE 3 : ANALYSE FONDAMENTALE (SECTION CRITIQUE)</w:t>
      </w:r>
    </w:p>
    <w:p>
      <w:pPr>
        <w:spacing w:after="120" w:line="276" w:lineRule="auto"/>
      </w:pPr>
      <w:r>
        <w:t>En 2025, la CIEC affiche des performances financières solides. Le chiffre d'affaires s'établit à 302,320 milliards FCFA, en hausse de 14,8% par rapport à 2024 (263,294 milliards FCFA), porté par une demande énergétique dynamique. Le résultat net progresse de 24,4% à 13,127 milliards FCFA, avec une marge nette de 4,34%. La rentabilité des capitaux propres (ROE) est excellente à 36,5%, bien au-dessus du seuil de 15% considéré comme performant. En tant qu'entreprise, l'analyse des délais d'exploitation révèle un délai de paiement des clients très élevé (164 jours), un risque de trésorerie à surveiller, mais un délai fournisseurs très long (970 jours) qui compense partiellement ce risque et explique un BFR négatif favorable (-90,244 milliards FCFA). Le rapport annuel 2025 (daté du 31/12/2025) confirme cette tendance et souligne une politique de dividende très généreuse (234 FCFA/action, soit un taux de distribution de 99,8%). Le rapport du 1er semestre 2025 (S1 2025) montre une croissance du CA de 18,85% à 134,923 milliards FCFA, laissant présager une poursuite de la dynamique sur le second semestre. La structure financière reste fragile avec un endettement élevé (ratio d'endettement de 612,9%), mais la capacité d'autofinancement (CAF) de 28,869 milliards FCFA et le free cash-flow positif de 20,167 milliards FCFA offrent une marge de manœuvre. La recommandation fondamentale est positive, la société étant solide et en croissance, mais les risques de crédit client et de dépendance réglementaire sont à intégrer.</w:t>
      </w:r>
    </w:p>
    <w:p>
      <w:pPr>
        <w:spacing w:after="120" w:line="276" w:lineRule="auto"/>
      </w:pPr>
      <w:r>
        <w:t>### PARTIE 4 : CONCLUSION D'INVESTISSEMENT</w:t>
      </w:r>
    </w:p>
    <w:p>
      <w:pPr>
        <w:spacing w:after="120" w:line="276" w:lineRule="auto"/>
      </w:pPr>
      <w:r>
        <w:t>La valorisation de la CIEC (PER 23,5x, P/B 8,59x) est exigeante, intégrant une forte croissance future, mais le comportement du cours (+72% en 100 jours) et les signaux techniques de tendance (MM, MACD) sont très positifs, malgré des indicateurs de surachat à court terme (Stochastique). Les fondamentaux sont solides avec une croissance du CA et du résultat net, un ROE excellent et une politique de dividende attractive, bien que l'endettement et le risque de crédit client soient des points de vigilance. Les prédictions IA pour les 10 prochains jours (baisse de 5 101 à 3 735 FCFA) suggèrent une correction brutale, en cohérence avec les signaux de surachat technique. Cette divergence entre la tendance de fond haussière et les signaux de court terme appelle à la prudence. **Recommandation finale : CONSERVER**. La convergence entre la surévaluation relative, les signaux de surachat technique et la prédiction IA de baisse plaide pour ne pas initier de nouvelle position à ces niveaux. Les investisseurs existants peuvent conserver leurs titres pour bénéficier du rendement, mais devraient envisager de sécuriser des gains partiels. **Niveau de confiance : Moyen**. **Risque global : Élevé** (volatilité 46%, surachat technique, endettement). **Horizon d'investissement optimal : Moyen terme (3-12 mois)**, après une probable phase de consolidation.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880.81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3,621 titres</w:t>
            </w:r>
          </w:p>
        </w:tc>
        <w:tc>
          <w:tcPr>
            <w:tcW w:type="dxa" w:w="2268"/>
            <w:shd w:fill="FFF2CC" w:val="clear"/>
          </w:tcPr>
          <w:p>
            <w:r>
              <w:rPr>
                <w:b/>
                <w:color w:val="503200"/>
                <w:sz w:val="16"/>
              </w:rPr>
              <w:t xml:space="preserve">Cours actuel : </w:t>
            </w:r>
            <w:r>
              <w:rPr>
                <w:color w:val="000000"/>
                <w:sz w:val="17"/>
              </w:rPr>
              <w:t>16,000 FCFA</w:t>
            </w:r>
          </w:p>
          <w:p>
            <w:r>
              <w:rPr>
                <w:b/>
                <w:color w:val="503200"/>
                <w:sz w:val="16"/>
              </w:rPr>
              <w:t xml:space="preserve">Var. 100 jours : </w:t>
            </w:r>
            <w:r>
              <w:rPr>
                <w:b/>
                <w:color w:val="B40000"/>
                <w:sz w:val="17"/>
              </w:rPr>
              <w:t>-4.73%</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26.0%</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2.14% (Faible) — μ=16,314 FCFA, σ=350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β=0.2872 (Défensif) — Cov=0.000010, Var(idx)=0.000036, ρ=0.105,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15,566</w:t>
            </w:r>
          </w:p>
        </w:tc>
        <w:tc>
          <w:tcPr>
            <w:tcW w:type="dxa" w:w="1440"/>
            <w:shd w:fill="FAFAFA" w:val="clear"/>
          </w:tcPr>
          <w:p>
            <w:r>
              <w:rPr>
                <w:b/>
                <w:sz w:val="17"/>
              </w:rPr>
              <w:t>15,991</w:t>
            </w:r>
          </w:p>
        </w:tc>
        <w:tc>
          <w:tcPr>
            <w:tcW w:type="dxa" w:w="1440"/>
            <w:shd w:fill="FAFAFA" w:val="clear"/>
          </w:tcPr>
          <w:p>
            <w:r>
              <w:rPr>
                <w:sz w:val="17"/>
              </w:rPr>
              <w:t>16,417</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15,379</w:t>
            </w:r>
          </w:p>
        </w:tc>
        <w:tc>
          <w:tcPr>
            <w:tcW w:type="dxa" w:w="1440"/>
            <w:shd w:fill="FAFAFA" w:val="clear"/>
          </w:tcPr>
          <w:p>
            <w:r>
              <w:rPr>
                <w:b/>
                <w:sz w:val="17"/>
              </w:rPr>
              <w:t>15,981</w:t>
            </w:r>
          </w:p>
        </w:tc>
        <w:tc>
          <w:tcPr>
            <w:tcW w:type="dxa" w:w="1440"/>
            <w:shd w:fill="FAFAFA" w:val="clear"/>
          </w:tcPr>
          <w:p>
            <w:r>
              <w:rPr>
                <w:sz w:val="17"/>
              </w:rPr>
              <w:t>16,582</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15,234</w:t>
            </w:r>
          </w:p>
        </w:tc>
        <w:tc>
          <w:tcPr>
            <w:tcW w:type="dxa" w:w="1440"/>
            <w:shd w:fill="FAFAFA" w:val="clear"/>
          </w:tcPr>
          <w:p>
            <w:r>
              <w:rPr>
                <w:b/>
                <w:sz w:val="17"/>
              </w:rPr>
              <w:t>15,970</w:t>
            </w:r>
          </w:p>
        </w:tc>
        <w:tc>
          <w:tcPr>
            <w:tcW w:type="dxa" w:w="1440"/>
            <w:shd w:fill="FAFAFA" w:val="clear"/>
          </w:tcPr>
          <w:p>
            <w:r>
              <w:rPr>
                <w:sz w:val="17"/>
              </w:rPr>
              <w:t>16,706</w:t>
            </w:r>
          </w:p>
        </w:tc>
        <w:tc>
          <w:tcPr>
            <w:tcW w:type="dxa" w:w="1440"/>
            <w:shd w:fill="FAFAFA" w:val="clear"/>
          </w:tcPr>
          <w:p>
            <w:r>
              <w:rPr>
                <w:b/>
                <w:color w:val="C00000"/>
                <w:sz w:val="17"/>
              </w:rPr>
              <w:t>-0.2%</w:t>
            </w:r>
          </w:p>
        </w:tc>
      </w:tr>
      <w:tr>
        <w:tc>
          <w:tcPr>
            <w:tcW w:type="dxa" w:w="1440"/>
            <w:shd w:fill="FAFAFA" w:val="clear"/>
          </w:tcPr>
          <w:p>
            <w:r>
              <w:rPr>
                <w:sz w:val="17"/>
              </w:rPr>
              <w:t>J+4  Moyenne</w:t>
            </w:r>
          </w:p>
        </w:tc>
        <w:tc>
          <w:tcPr>
            <w:tcW w:type="dxa" w:w="1440"/>
            <w:shd w:fill="FAFAFA" w:val="clear"/>
          </w:tcPr>
          <w:p>
            <w:r>
              <w:rPr>
                <w:sz w:val="17"/>
              </w:rPr>
              <w:t>2026-08-20</w:t>
            </w:r>
          </w:p>
        </w:tc>
        <w:tc>
          <w:tcPr>
            <w:tcW w:type="dxa" w:w="1440"/>
            <w:shd w:fill="FAFAFA" w:val="clear"/>
          </w:tcPr>
          <w:p>
            <w:r>
              <w:rPr>
                <w:sz w:val="17"/>
              </w:rPr>
              <w:t>15,109</w:t>
            </w:r>
          </w:p>
        </w:tc>
        <w:tc>
          <w:tcPr>
            <w:tcW w:type="dxa" w:w="1440"/>
            <w:shd w:fill="FAFAFA" w:val="clear"/>
          </w:tcPr>
          <w:p>
            <w:r>
              <w:rPr>
                <w:b/>
                <w:sz w:val="17"/>
              </w:rPr>
              <w:t>15,958</w:t>
            </w:r>
          </w:p>
        </w:tc>
        <w:tc>
          <w:tcPr>
            <w:tcW w:type="dxa" w:w="1440"/>
            <w:shd w:fill="FAFAFA" w:val="clear"/>
          </w:tcPr>
          <w:p>
            <w:r>
              <w:rPr>
                <w:sz w:val="17"/>
              </w:rPr>
              <w:t>16,808</w:t>
            </w:r>
          </w:p>
        </w:tc>
        <w:tc>
          <w:tcPr>
            <w:tcW w:type="dxa" w:w="1440"/>
            <w:shd w:fill="FAFAFA" w:val="clear"/>
          </w:tcPr>
          <w:p>
            <w:r>
              <w:rPr>
                <w:b/>
                <w:color w:val="C00000"/>
                <w:sz w:val="17"/>
              </w:rPr>
              <w:t>-0.3%</w:t>
            </w:r>
          </w:p>
        </w:tc>
      </w:tr>
      <w:tr>
        <w:tc>
          <w:tcPr>
            <w:tcW w:type="dxa" w:w="1440"/>
            <w:shd w:fill="FAFAFA" w:val="clear"/>
          </w:tcPr>
          <w:p>
            <w:r>
              <w:rPr>
                <w:sz w:val="17"/>
              </w:rPr>
              <w:t>J+5  Moyenne</w:t>
            </w:r>
          </w:p>
        </w:tc>
        <w:tc>
          <w:tcPr>
            <w:tcW w:type="dxa" w:w="1440"/>
            <w:shd w:fill="FAFAFA" w:val="clear"/>
          </w:tcPr>
          <w:p>
            <w:r>
              <w:rPr>
                <w:sz w:val="17"/>
              </w:rPr>
              <w:t>2026-08-21</w:t>
            </w:r>
          </w:p>
        </w:tc>
        <w:tc>
          <w:tcPr>
            <w:tcW w:type="dxa" w:w="1440"/>
            <w:shd w:fill="FAFAFA" w:val="clear"/>
          </w:tcPr>
          <w:p>
            <w:r>
              <w:rPr>
                <w:sz w:val="17"/>
              </w:rPr>
              <w:t>14,998</w:t>
            </w:r>
          </w:p>
        </w:tc>
        <w:tc>
          <w:tcPr>
            <w:tcW w:type="dxa" w:w="1440"/>
            <w:shd w:fill="FAFAFA" w:val="clear"/>
          </w:tcPr>
          <w:p>
            <w:r>
              <w:rPr>
                <w:b/>
                <w:sz w:val="17"/>
              </w:rPr>
              <w:t>15,947</w:t>
            </w:r>
          </w:p>
        </w:tc>
        <w:tc>
          <w:tcPr>
            <w:tcW w:type="dxa" w:w="1440"/>
            <w:shd w:fill="FAFAFA" w:val="clear"/>
          </w:tcPr>
          <w:p>
            <w:r>
              <w:rPr>
                <w:sz w:val="17"/>
              </w:rPr>
              <w:t>16,896</w:t>
            </w:r>
          </w:p>
        </w:tc>
        <w:tc>
          <w:tcPr>
            <w:tcW w:type="dxa" w:w="1440"/>
            <w:shd w:fill="FAFAFA" w:val="clear"/>
          </w:tcPr>
          <w:p>
            <w:r>
              <w:rPr>
                <w:b/>
                <w:color w:val="C00000"/>
                <w:sz w:val="17"/>
              </w:rPr>
              <w:t>-0.3%</w:t>
            </w:r>
          </w:p>
        </w:tc>
      </w:tr>
      <w:tr>
        <w:tc>
          <w:tcPr>
            <w:tcW w:type="dxa" w:w="1440"/>
            <w:shd w:fill="FAFAFA" w:val="clear"/>
          </w:tcPr>
          <w:p>
            <w:r>
              <w:rPr>
                <w:sz w:val="17"/>
              </w:rPr>
              <w:t>J+6  Moyenne</w:t>
            </w:r>
          </w:p>
        </w:tc>
        <w:tc>
          <w:tcPr>
            <w:tcW w:type="dxa" w:w="1440"/>
            <w:shd w:fill="FAFAFA" w:val="clear"/>
          </w:tcPr>
          <w:p>
            <w:r>
              <w:rPr>
                <w:sz w:val="17"/>
              </w:rPr>
              <w:t>2026-08-24</w:t>
            </w:r>
          </w:p>
        </w:tc>
        <w:tc>
          <w:tcPr>
            <w:tcW w:type="dxa" w:w="1440"/>
            <w:shd w:fill="FAFAFA" w:val="clear"/>
          </w:tcPr>
          <w:p>
            <w:r>
              <w:rPr>
                <w:sz w:val="17"/>
              </w:rPr>
              <w:t>14,897</w:t>
            </w:r>
          </w:p>
        </w:tc>
        <w:tc>
          <w:tcPr>
            <w:tcW w:type="dxa" w:w="1440"/>
            <w:shd w:fill="FAFAFA" w:val="clear"/>
          </w:tcPr>
          <w:p>
            <w:r>
              <w:rPr>
                <w:b/>
                <w:sz w:val="17"/>
              </w:rPr>
              <w:t>15,936</w:t>
            </w:r>
          </w:p>
        </w:tc>
        <w:tc>
          <w:tcPr>
            <w:tcW w:type="dxa" w:w="1440"/>
            <w:shd w:fill="FAFAFA" w:val="clear"/>
          </w:tcPr>
          <w:p>
            <w:r>
              <w:rPr>
                <w:sz w:val="17"/>
              </w:rPr>
              <w:t>16,975</w:t>
            </w:r>
          </w:p>
        </w:tc>
        <w:tc>
          <w:tcPr>
            <w:tcW w:type="dxa" w:w="1440"/>
            <w:shd w:fill="FAFAFA" w:val="clear"/>
          </w:tcPr>
          <w:p>
            <w:r>
              <w:rPr>
                <w:b/>
                <w:color w:val="C00000"/>
                <w:sz w:val="17"/>
              </w:rPr>
              <w:t>-0.4%</w:t>
            </w:r>
          </w:p>
        </w:tc>
      </w:tr>
      <w:tr>
        <w:tc>
          <w:tcPr>
            <w:tcW w:type="dxa" w:w="1440"/>
            <w:shd w:fill="FAFAFA" w:val="clear"/>
          </w:tcPr>
          <w:p>
            <w:r>
              <w:rPr>
                <w:sz w:val="17"/>
              </w:rPr>
              <w:t>J+7  Moyenne</w:t>
            </w:r>
          </w:p>
        </w:tc>
        <w:tc>
          <w:tcPr>
            <w:tcW w:type="dxa" w:w="1440"/>
            <w:shd w:fill="FAFAFA" w:val="clear"/>
          </w:tcPr>
          <w:p>
            <w:r>
              <w:rPr>
                <w:sz w:val="17"/>
              </w:rPr>
              <w:t>2026-08-25</w:t>
            </w:r>
          </w:p>
        </w:tc>
        <w:tc>
          <w:tcPr>
            <w:tcW w:type="dxa" w:w="1440"/>
            <w:shd w:fill="FAFAFA" w:val="clear"/>
          </w:tcPr>
          <w:p>
            <w:r>
              <w:rPr>
                <w:sz w:val="17"/>
              </w:rPr>
              <w:t>14,803</w:t>
            </w:r>
          </w:p>
        </w:tc>
        <w:tc>
          <w:tcPr>
            <w:tcW w:type="dxa" w:w="1440"/>
            <w:shd w:fill="FAFAFA" w:val="clear"/>
          </w:tcPr>
          <w:p>
            <w:r>
              <w:rPr>
                <w:b/>
                <w:sz w:val="17"/>
              </w:rPr>
              <w:t>15,925</w:t>
            </w:r>
          </w:p>
        </w:tc>
        <w:tc>
          <w:tcPr>
            <w:tcW w:type="dxa" w:w="1440"/>
            <w:shd w:fill="FAFAFA" w:val="clear"/>
          </w:tcPr>
          <w:p>
            <w:r>
              <w:rPr>
                <w:sz w:val="17"/>
              </w:rPr>
              <w:t>17,046</w:t>
            </w:r>
          </w:p>
        </w:tc>
        <w:tc>
          <w:tcPr>
            <w:tcW w:type="dxa" w:w="1440"/>
            <w:shd w:fill="FAFAFA" w:val="clear"/>
          </w:tcPr>
          <w:p>
            <w:r>
              <w:rPr>
                <w:b/>
                <w:color w:val="C00000"/>
                <w:sz w:val="17"/>
              </w:rPr>
              <w:t>-0.5%</w:t>
            </w:r>
          </w:p>
        </w:tc>
      </w:tr>
      <w:tr>
        <w:tc>
          <w:tcPr>
            <w:tcW w:type="dxa" w:w="1440"/>
            <w:shd w:fill="FAFAFA" w:val="clear"/>
          </w:tcPr>
          <w:p>
            <w:r>
              <w:rPr>
                <w:sz w:val="17"/>
              </w:rPr>
              <w:t>J+8  Moyenne</w:t>
            </w:r>
          </w:p>
        </w:tc>
        <w:tc>
          <w:tcPr>
            <w:tcW w:type="dxa" w:w="1440"/>
            <w:shd w:fill="FAFAFA" w:val="clear"/>
          </w:tcPr>
          <w:p>
            <w:r>
              <w:rPr>
                <w:sz w:val="17"/>
              </w:rPr>
              <w:t>2026-08-27</w:t>
            </w:r>
          </w:p>
        </w:tc>
        <w:tc>
          <w:tcPr>
            <w:tcW w:type="dxa" w:w="1440"/>
            <w:shd w:fill="FAFAFA" w:val="clear"/>
          </w:tcPr>
          <w:p>
            <w:r>
              <w:rPr>
                <w:sz w:val="17"/>
              </w:rPr>
              <w:t>14,716</w:t>
            </w:r>
          </w:p>
        </w:tc>
        <w:tc>
          <w:tcPr>
            <w:tcW w:type="dxa" w:w="1440"/>
            <w:shd w:fill="FAFAFA" w:val="clear"/>
          </w:tcPr>
          <w:p>
            <w:r>
              <w:rPr>
                <w:b/>
                <w:sz w:val="17"/>
              </w:rPr>
              <w:t>15,914</w:t>
            </w:r>
          </w:p>
        </w:tc>
        <w:tc>
          <w:tcPr>
            <w:tcW w:type="dxa" w:w="1440"/>
            <w:shd w:fill="FAFAFA" w:val="clear"/>
          </w:tcPr>
          <w:p>
            <w:r>
              <w:rPr>
                <w:sz w:val="17"/>
              </w:rPr>
              <w:t>17,111</w:t>
            </w:r>
          </w:p>
        </w:tc>
        <w:tc>
          <w:tcPr>
            <w:tcW w:type="dxa" w:w="1440"/>
            <w:shd w:fill="FAFAFA" w:val="clear"/>
          </w:tcPr>
          <w:p>
            <w:r>
              <w:rPr>
                <w:b/>
                <w:color w:val="C00000"/>
                <w:sz w:val="17"/>
              </w:rPr>
              <w:t>-0.5%</w:t>
            </w:r>
          </w:p>
        </w:tc>
      </w:tr>
      <w:tr>
        <w:tc>
          <w:tcPr>
            <w:tcW w:type="dxa" w:w="1440"/>
            <w:shd w:fill="FAFAFA" w:val="clear"/>
          </w:tcPr>
          <w:p>
            <w:r>
              <w:rPr>
                <w:sz w:val="17"/>
              </w:rPr>
              <w:t>J+9  Moyenne</w:t>
            </w:r>
          </w:p>
        </w:tc>
        <w:tc>
          <w:tcPr>
            <w:tcW w:type="dxa" w:w="1440"/>
            <w:shd w:fill="FAFAFA" w:val="clear"/>
          </w:tcPr>
          <w:p>
            <w:r>
              <w:rPr>
                <w:sz w:val="17"/>
              </w:rPr>
              <w:t>2026-08-28</w:t>
            </w:r>
          </w:p>
        </w:tc>
        <w:tc>
          <w:tcPr>
            <w:tcW w:type="dxa" w:w="1440"/>
            <w:shd w:fill="FAFAFA" w:val="clear"/>
          </w:tcPr>
          <w:p>
            <w:r>
              <w:rPr>
                <w:sz w:val="17"/>
              </w:rPr>
              <w:t>14,633</w:t>
            </w:r>
          </w:p>
        </w:tc>
        <w:tc>
          <w:tcPr>
            <w:tcW w:type="dxa" w:w="1440"/>
            <w:shd w:fill="FAFAFA" w:val="clear"/>
          </w:tcPr>
          <w:p>
            <w:r>
              <w:rPr>
                <w:b/>
                <w:sz w:val="17"/>
              </w:rPr>
              <w:t>15,903</w:t>
            </w:r>
          </w:p>
        </w:tc>
        <w:tc>
          <w:tcPr>
            <w:tcW w:type="dxa" w:w="1440"/>
            <w:shd w:fill="FAFAFA" w:val="clear"/>
          </w:tcPr>
          <w:p>
            <w:r>
              <w:rPr>
                <w:sz w:val="17"/>
              </w:rPr>
              <w:t>17,172</w:t>
            </w:r>
          </w:p>
        </w:tc>
        <w:tc>
          <w:tcPr>
            <w:tcW w:type="dxa" w:w="1440"/>
            <w:shd w:fill="FAFAFA" w:val="clear"/>
          </w:tcPr>
          <w:p>
            <w:r>
              <w:rPr>
                <w:b/>
                <w:color w:val="C00000"/>
                <w:sz w:val="17"/>
              </w:rPr>
              <w:t>-0.6%</w:t>
            </w:r>
          </w:p>
        </w:tc>
      </w:tr>
      <w:tr>
        <w:tc>
          <w:tcPr>
            <w:tcW w:type="dxa" w:w="1440"/>
            <w:shd w:fill="FAFAFA" w:val="clear"/>
          </w:tcPr>
          <w:p>
            <w:r>
              <w:rPr>
                <w:sz w:val="17"/>
              </w:rPr>
              <w:t>J+10  Moyenne</w:t>
            </w:r>
          </w:p>
        </w:tc>
        <w:tc>
          <w:tcPr>
            <w:tcW w:type="dxa" w:w="1440"/>
            <w:shd w:fill="FAFAFA" w:val="clear"/>
          </w:tcPr>
          <w:p>
            <w:r>
              <w:rPr>
                <w:sz w:val="17"/>
              </w:rPr>
              <w:t>2026-08-31</w:t>
            </w:r>
          </w:p>
        </w:tc>
        <w:tc>
          <w:tcPr>
            <w:tcW w:type="dxa" w:w="1440"/>
            <w:shd w:fill="FAFAFA" w:val="clear"/>
          </w:tcPr>
          <w:p>
            <w:r>
              <w:rPr>
                <w:sz w:val="17"/>
              </w:rPr>
              <w:t>14,555</w:t>
            </w:r>
          </w:p>
        </w:tc>
        <w:tc>
          <w:tcPr>
            <w:tcW w:type="dxa" w:w="1440"/>
            <w:shd w:fill="FAFAFA" w:val="clear"/>
          </w:tcPr>
          <w:p>
            <w:r>
              <w:rPr>
                <w:b/>
                <w:sz w:val="17"/>
              </w:rPr>
              <w:t>15,892</w:t>
            </w:r>
          </w:p>
        </w:tc>
        <w:tc>
          <w:tcPr>
            <w:tcW w:type="dxa" w:w="1440"/>
            <w:shd w:fill="FAFAFA" w:val="clear"/>
          </w:tcPr>
          <w:p>
            <w:r>
              <w:rPr>
                <w:sz w:val="17"/>
              </w:rPr>
              <w:t>17,229</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 15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880,81 milliards FCFA, ECOC se positionne comme l'une des valeurs les plus lourdes et les plus liquides de la BRVM, représentant un pilier du compartiment bancaire. Le BPA de 1 153 FCFA indique que chaque action a généré un bénéfice substantiel sur l'exercice 2025. Le PER de 13,9x est supérieur à la moyenne historique de la BRVM (8-12x), ce qui suggère que les investisseurs acceptent de payer une prime pour la qualité des actifs et la régularité des résultats d'ECOC. Cependant, le P/B de 4,03x est particulièrement exigeant, signifiant que le marché valorise l'action près de quatre fois sa valeur comptable, un niveau qui reflète des attentes élevées de croissance future. Enfin, l'EV/EBITDA de 13,6x, bien que dans la fourchette haute (10-15x), confirme une valorisation riche qui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ECOC a enregistré une baisse modérée de -4,73%, avec une dernière séance stable à 16 000 FCFA. Le titre a évolué dans un range de 1 750 FCFA, oscillant entre un plus bas de 15 520 FCFA et un plus haut de 17 270 FCFA, ce qui témoigne d'une phase de consolidation après une période de hausse. La moyenne (16 314 FCFA) et la médiane (16 300 FCFA) étant quasi identiques, la distribution des prix est symétrique, une caractéristique confirmée par le skewness de 0,244. L'écart-type de 352 FCFA (CV=2,2%) indique une dispersion très faible autour de la moyenne, suggérant un marché calme et ordonné. Le kurtosis de 0,186 (mésokurtique) indique l'absence de mouvements extrêmes ou de "queues lourdes", réduisant le risque de chocs soudains. Avec une volatilité annualisée de 26,0%, le titre se situe dans une zone de volatilité modérée (15-30%), acceptable pour une valeur bancaire de cette envergure.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(16 000 FCFA) est inférieur à la MM20 (16 058,75 FCFA) et nettement en dessous de la MM50 (16 407 FCFA). Cette configuration baissière, où les moyennes agissent comme des résistances dynamiques, confirme la tendance corrective en cours. La décision de "Vente" est justifiée par cette structure hiérarchique défavorable.</w:t>
      </w:r>
    </w:p>
    <w:p>
      <w:pPr>
        <w:spacing w:after="120" w:line="276" w:lineRule="auto"/>
      </w:pPr>
      <w:r>
        <w:t>**Bandes de Bollinger** : Le prix se situe à 16 000 FCFA, proche de la borne inférieure (15 687,226 FCFA) et loin de la borne supérieure (16 430,274 FCFA). Cette position suggère que le titre est dans la partie basse de son canal de volatilité, sans toutefois être en situation de survente extrême. La décision "Neutre" est cohérente avec un marché qui teste le support sans signal de retournement clair.</w:t>
      </w:r>
    </w:p>
    <w:p>
      <w:pPr>
        <w:spacing w:after="120" w:line="276" w:lineRule="auto"/>
      </w:pPr>
      <w:r>
        <w:t>**MACD** : La valeur du MACD (-92,234) est légèrement au-dessus de sa ligne de signal (-93,76), formant un croisement haussier naissant. Bien que les deux lignes soient en territoire négatif, cette convergence indique un ralentissement de la dynamique baissière et un potentiel de rebond technique. La décision "Achat" reflète ce début de momentum positif.</w:t>
      </w:r>
    </w:p>
    <w:p>
      <w:pPr>
        <w:spacing w:after="120" w:line="276" w:lineRule="auto"/>
      </w:pPr>
      <w:r>
        <w:t>**RSI** : À 35,673, le RSI se situe dans la zone neutre, mais proche de la zone de survente (30). Cela indique que la pression vendeuse s'estompe sans être totalement épuisée. La décision "Neutre" est appropriée, le titre n'étant ni suracheté ni survendu, laissant place à une possible stabilisation.</w:t>
      </w:r>
    </w:p>
    <w:p>
      <w:pPr>
        <w:spacing w:after="120" w:line="276" w:lineRule="auto"/>
      </w:pPr>
      <w:r>
        <w:t>**Stochastique** : Le %K à 0,0 et le %D à 9,662 sont en territoire de survente extrême. Ce niveau indique que le titre est techniquement "épuisé" à la baisse, ce qui précède souvent un rebond technique. La décision "Achat" est justifiée par ce signal de retournement potentiel.</w:t>
      </w:r>
    </w:p>
    <w:p>
      <w:pPr>
        <w:spacing w:after="120" w:line="276" w:lineRule="auto"/>
      </w:pPr>
      <w:r>
        <w:t>**Conclusion technique** : La convergence des signaux est mitigée. Les moyennes mobiles et les bandes de Bollinger indiquent une tendance baissière, tandis que le MACD et le stochastique suggèrent un épuisement vendeur et un possible rebond. Le RSI neutre ne tranche pas. Globalement, le titre semble en fin de phase corrective, avec un potentiel de stabilisation à court terme, mais sans signal d'achat fort tant que le cours n'aura pas repris la MM20.</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officielles d'ECOC font état d'un Produit Net Bancaire (PNB) de 132,725 milliards FCFA, en croissance de 8,5% par rapport à 2024. Le résultat net s'établit à 63,482 milliards FCFA, portant la marge nette à 47,8%, un niveau exceptionnel pour le secteur bancaire. La rentabilité des fonds propres (ROE) atteint 29,04%, largement au-dessus du seuil d'excellence de 15%, et le ROA de 3,09% confirme une utilisation très efficace des actifs. Le coefficient d'exploitation de 42,89% témoigne d'une maîtrise des coûts remarquable, bien en deçà du seuil d'efficacité de 60%. Le coût du risque de 1,36% reste modéré, indiquant une bonne qualité du portefeuille de crédits. Les dépôts clientèle (1 626,223 Mds FCFA) dépassent largement les créances sur la clientèle (1 050,803 Mds FCFA), illustrant une transformation saine. Les rapports trimestriels 2025 confirment cette dynamique : le T3 2025 affiche un PNB de 96,4 Mds FCFA (+11,3%) et un résultat net de 44,4 Mds FCFA (+15,4%). Le rapport annuel 2024 (publié en 2025) indiquait déjà un PNB de 122,3 Mds FCFA et un résultat net de 57,5 Mds FCFA. Sur la base du T1 2026 (PNB de 30,8 Mds FCFA, +3,7%), on estime que l'exercice 2026 pourrait voir un PNB d'environ 136 Mds FCFA, avec un résultat net potentiel de 64-65 Mds FCFA, confirmant la solidité et la régularité des performances d'ECOC.</w:t>
      </w:r>
    </w:p>
    <w:p>
      <w:pPr>
        <w:spacing w:after="120" w:line="276" w:lineRule="auto"/>
      </w:pPr>
      <w:r>
        <w:t>---</w:t>
      </w:r>
    </w:p>
    <w:p>
      <w:pPr>
        <w:spacing w:after="120" w:line="276" w:lineRule="auto"/>
      </w:pPr>
      <w:r>
        <w:t>### PARTIE 4 : CONCLUSION D'INVESTISSEMENT</w:t>
      </w:r>
    </w:p>
    <w:p>
      <w:pPr>
        <w:spacing w:after="120" w:line="276" w:lineRule="auto"/>
      </w:pPr>
      <w:r>
        <w:t>La valorisation d'ECOC (PER 13,9x, P/B 4,03x) est exigeante et reflète une prime de qualité, mais elle est soutenue par des fondamentaux exceptionnels : un ROE de 29%, une marge nette de 47,8% et un coefficient d'exploitation de 42,9% placent la banque parmi les meilleures de la zone UEMOA. Le comportement du cours (-4,73% sur 100 jours) montre une consolidation saine avec une volatilité modérée (26%) et une distribution symétrique, sans signe de stress. Les signaux techniques sont mitigés, avec une tendance baissière à court terme mais des indicateurs de momentum (MACD, Stochastique) suggérant un épuisement vendeur et un potentiel de rebond. Les fondamentaux, eux, sont indiscutablement solides avec une croissance soutenue du PNB et du résultat net. Les prédictions IA (16 000 → 15 947 FCFA sur 10 jours) anticipent une légère baisse continue, ce qui contredit un rebond technique immédiat mais pourrait offrir un point d'entrée plus attractif. En synthèse, la convergence entre la solidité fondamentale et la consolidation technique, malgré une valorisation riche, justifie une recommandation **CONSERVER**, avec un niveau de confiance **Moyen** et un risque global **Moyen**. L'horizon d'investissement optimal est le **moyen terme (3-12 mois)**, en attendant une stabilisation du cours ou une amélioration des signaux techniques pour renforcer la position.</w:t>
      </w:r>
    </w:p>
    <w:p/>
    <w:p/>
    <w:p>
      <w:pPr>
        <w:pStyle w:val="Heading3"/>
      </w:pPr>
      <w:r>
        <w:rPr>
          <w:color w:val="00467F"/>
        </w:rPr>
        <w:t>📎 DOCUMENTS &amp; COMMUNICATIONS OFFICIELS BRVM</w:t>
      </w:r>
    </w:p>
    <w:p>
      <w:r>
        <w:rPr>
          <w:i/>
          <w:color w:val="646464"/>
          <w:sz w:val="18"/>
        </w:rPr>
        <w:t>9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Pr>
        <w:ind w:left="400"/>
      </w:pPr>
      <w:r>
        <w:rPr>
          <w:color w:val="B4B4B4"/>
          <w:sz w:val="14"/>
        </w:rPr>
        <w:t xml:space="preserve">· · · · · · · · · · · · · · · · · · · · · · · · · · · · · · </w:t>
      </w:r>
    </w:p>
    <w:p>
      <w:pPr>
        <w:spacing w:before="160"/>
      </w:pPr>
      <w:r>
        <w:rPr>
          <w:b/>
          <w:color w:val="0066CC"/>
          <w:sz w:val="20"/>
        </w:rPr>
        <w:t xml:space="preserve">[5] </w:t>
      </w:r>
      <w:r>
        <w:rPr>
          <w:b/>
          <w:sz w:val="20"/>
        </w:rPr>
        <w:t>20260513   avis de convocation   assemblee generale ordinaire   eti tg</w:t>
      </w:r>
    </w:p>
    <w:p>
      <w:pPr>
        <w:spacing w:before="20"/>
        <w:ind w:left="400"/>
      </w:pPr>
      <w:r>
        <w:rPr>
          <w:color w:val="505050"/>
          <w:sz w:val="17"/>
        </w:rPr>
        <w:t xml:space="preserve">Date : 13/05/2026  |  Catégorie : convocation AG  |  Impact : </w:t>
      </w:r>
      <w:r>
        <w:rPr>
          <w:b/>
          <w:color w:val="646464"/>
          <w:sz w:val="17"/>
        </w:rPr>
        <w:t>⚪ NEUTRE</w:t>
      </w:r>
    </w:p>
    <w:p>
      <w:pPr>
        <w:spacing w:before="40"/>
        <w:ind w:left="400"/>
      </w:pPr>
      <w:r>
        <w:rPr>
          <w:sz w:val="18"/>
        </w:rPr>
        <w:t>Ecobank Transnational Incorporated convoque ses actionnaires à la 38ème Assemblée Générale Ordinaire le 3 juin 2026 à Lomé, Togo. L'ordre du jour comprend l'approbation des comptes, l'affectation du résultat et le renouvellement des mandats d'administrateurs. Les actionnaires peuvent participer en personne ou par procuration avec possibilité de soumettre leurs questions à l'avance.</w:t>
      </w:r>
    </w:p>
    <w:p>
      <w:pPr>
        <w:spacing w:before="60"/>
        <w:ind w:left="400"/>
      </w:pPr>
      <w:r>
        <w:rPr>
          <w:b/>
          <w:sz w:val="18"/>
        </w:rPr>
        <w:t>Points clés :</w:t>
      </w:r>
    </w:p>
    <w:p>
      <w:pPr>
        <w:pStyle w:val="ListBullet"/>
        <w:spacing w:before="20" w:after="20"/>
        <w:ind w:left="700"/>
      </w:pPr>
      <w:r>
        <w:rPr>
          <w:sz w:val="18"/>
        </w:rPr>
        <w:t>38ème Assemblée Générale Ordinaire prévue le 3 juin 2026 à 10h30 GMT à Lomé</w:t>
      </w:r>
    </w:p>
    <w:p>
      <w:pPr>
        <w:pStyle w:val="ListBullet"/>
        <w:spacing w:before="20" w:after="20"/>
        <w:ind w:left="700"/>
      </w:pPr>
      <w:r>
        <w:rPr>
          <w:sz w:val="18"/>
        </w:rPr>
        <w:t>Approbation des comptes annuels et affectation du résultat à l'ordre du jour</w:t>
      </w:r>
    </w:p>
    <w:p>
      <w:pPr>
        <w:pStyle w:val="ListBullet"/>
        <w:spacing w:before="20" w:after="20"/>
        <w:ind w:left="700"/>
      </w:pPr>
      <w:r>
        <w:rPr>
          <w:sz w:val="18"/>
        </w:rPr>
        <w:t>Renouvellement des mandats d'administrateurs et nominations au conseil</w:t>
      </w:r>
    </w:p>
    <w:p>
      <w:pPr>
        <w:pStyle w:val="ListBullet"/>
        <w:spacing w:before="20" w:after="20"/>
        <w:ind w:left="700"/>
      </w:pPr>
      <w:r>
        <w:rPr>
          <w:sz w:val="18"/>
        </w:rPr>
        <w:t>Possibilité de participation par procuration avec formulaire à soumettre avant le 2 juin 2026</w:t>
      </w:r>
    </w:p>
    <w:p>
      <w:pPr>
        <w:pStyle w:val="ListBullet"/>
        <w:spacing w:before="20" w:after="20"/>
        <w:ind w:left="700"/>
      </w:pPr>
      <w:r>
        <w:rPr>
          <w:sz w:val="18"/>
        </w:rPr>
        <w:t>Nomination des commissaires aux comptes parmi les points à délibérer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1229.72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1,378,323 titres</w:t>
            </w:r>
          </w:p>
        </w:tc>
        <w:tc>
          <w:tcPr>
            <w:tcW w:type="dxa" w:w="2268"/>
            <w:shd w:fill="FFF2CC" w:val="clear"/>
          </w:tcPr>
          <w:p>
            <w:r>
              <w:rPr>
                <w:b/>
                <w:color w:val="503200"/>
                <w:sz w:val="16"/>
              </w:rPr>
              <w:t xml:space="preserve">Cours actuel : </w:t>
            </w:r>
            <w:r>
              <w:rPr>
                <w:color w:val="000000"/>
                <w:sz w:val="17"/>
              </w:rPr>
              <w:t>68 FCFA</w:t>
            </w:r>
          </w:p>
          <w:p>
            <w:r>
              <w:rPr>
                <w:b/>
                <w:color w:val="503200"/>
                <w:sz w:val="16"/>
              </w:rPr>
              <w:t xml:space="preserve">Var. 100 jours : </w:t>
            </w:r>
            <w:r>
              <w:rPr>
                <w:b/>
                <w:color w:val="007800"/>
                <w:sz w:val="17"/>
              </w:rPr>
              <w:t>+112.50%</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38.55% (Élevée) — μ=42 FCFA, σ=16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β=2.6877 (Très agressif) — Cov=0.000097, Var(idx)=0.000036, ρ=0.402,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1,378,323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σ_j=4.03%/j (Modérée) — Vol. annualisée≈64.0%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58</w:t>
            </w:r>
          </w:p>
        </w:tc>
        <w:tc>
          <w:tcPr>
            <w:tcW w:type="dxa" w:w="1440"/>
            <w:shd w:fill="FFDCE0" w:val="clear"/>
          </w:tcPr>
          <w:p>
            <w:r>
              <w:rPr>
                <w:b/>
                <w:sz w:val="17"/>
              </w:rPr>
              <w:t>63</w:t>
            </w:r>
          </w:p>
        </w:tc>
        <w:tc>
          <w:tcPr>
            <w:tcW w:type="dxa" w:w="1440"/>
            <w:shd w:fill="FFDCE0" w:val="clear"/>
          </w:tcPr>
          <w:p>
            <w:r>
              <w:rPr>
                <w:sz w:val="17"/>
              </w:rPr>
              <w:t>68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51</w:t>
            </w:r>
          </w:p>
        </w:tc>
        <w:tc>
          <w:tcPr>
            <w:tcW w:type="dxa" w:w="1440"/>
            <w:shd w:fill="FFDCE0" w:val="clear"/>
          </w:tcPr>
          <w:p>
            <w:r>
              <w:rPr>
                <w:b/>
                <w:sz w:val="17"/>
              </w:rPr>
              <w:t>58</w:t>
            </w:r>
          </w:p>
        </w:tc>
        <w:tc>
          <w:tcPr>
            <w:tcW w:type="dxa" w:w="1440"/>
            <w:shd w:fill="FFDCE0" w:val="clear"/>
          </w:tcPr>
          <w:p>
            <w:r>
              <w:rPr>
                <w:sz w:val="17"/>
              </w:rPr>
              <w:t>65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46</w:t>
            </w:r>
          </w:p>
        </w:tc>
        <w:tc>
          <w:tcPr>
            <w:tcW w:type="dxa" w:w="1440"/>
            <w:shd w:fill="FFDCE0" w:val="clear"/>
          </w:tcPr>
          <w:p>
            <w:r>
              <w:rPr>
                <w:b/>
                <w:sz w:val="17"/>
              </w:rPr>
              <w:t>54</w:t>
            </w:r>
          </w:p>
        </w:tc>
        <w:tc>
          <w:tcPr>
            <w:tcW w:type="dxa" w:w="1440"/>
            <w:shd w:fill="FFDCE0" w:val="clear"/>
          </w:tcPr>
          <w:p>
            <w:r>
              <w:rPr>
                <w:sz w:val="17"/>
              </w:rPr>
              <w:t>62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41</w:t>
            </w:r>
          </w:p>
        </w:tc>
        <w:tc>
          <w:tcPr>
            <w:tcW w:type="dxa" w:w="1440"/>
            <w:shd w:fill="FFDCE0" w:val="clear"/>
          </w:tcPr>
          <w:p>
            <w:r>
              <w:rPr>
                <w:b/>
                <w:sz w:val="17"/>
              </w:rPr>
              <w:t>50</w:t>
            </w:r>
          </w:p>
        </w:tc>
        <w:tc>
          <w:tcPr>
            <w:tcW w:type="dxa" w:w="1440"/>
            <w:shd w:fill="FFDCE0" w:val="clear"/>
          </w:tcPr>
          <w:p>
            <w:r>
              <w:rPr>
                <w:sz w:val="17"/>
              </w:rPr>
              <w:t>58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37</w:t>
            </w:r>
          </w:p>
        </w:tc>
        <w:tc>
          <w:tcPr>
            <w:tcW w:type="dxa" w:w="1440"/>
            <w:shd w:fill="FFDCE0" w:val="clear"/>
          </w:tcPr>
          <w:p>
            <w:r>
              <w:rPr>
                <w:b/>
                <w:sz w:val="17"/>
              </w:rPr>
              <w:t>46</w:t>
            </w:r>
          </w:p>
        </w:tc>
        <w:tc>
          <w:tcPr>
            <w:tcW w:type="dxa" w:w="1440"/>
            <w:shd w:fill="FFDCE0" w:val="clear"/>
          </w:tcPr>
          <w:p>
            <w:r>
              <w:rPr>
                <w:sz w:val="17"/>
              </w:rPr>
              <w:t>55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33</w:t>
            </w:r>
          </w:p>
        </w:tc>
        <w:tc>
          <w:tcPr>
            <w:tcW w:type="dxa" w:w="1440"/>
            <w:shd w:fill="FFDCE0" w:val="clear"/>
          </w:tcPr>
          <w:p>
            <w:r>
              <w:rPr>
                <w:b/>
                <w:sz w:val="17"/>
              </w:rPr>
              <w:t>43</w:t>
            </w:r>
          </w:p>
        </w:tc>
        <w:tc>
          <w:tcPr>
            <w:tcW w:type="dxa" w:w="1440"/>
            <w:shd w:fill="FFDCE0" w:val="clear"/>
          </w:tcPr>
          <w:p>
            <w:r>
              <w:rPr>
                <w:sz w:val="17"/>
              </w:rPr>
              <w:t>52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30</w:t>
            </w:r>
          </w:p>
        </w:tc>
        <w:tc>
          <w:tcPr>
            <w:tcW w:type="dxa" w:w="1440"/>
            <w:shd w:fill="FFDCE0" w:val="clear"/>
          </w:tcPr>
          <w:p>
            <w:r>
              <w:rPr>
                <w:b/>
                <w:sz w:val="17"/>
              </w:rPr>
              <w:t>39</w:t>
            </w:r>
          </w:p>
        </w:tc>
        <w:tc>
          <w:tcPr>
            <w:tcW w:type="dxa" w:w="1440"/>
            <w:shd w:fill="FFDCE0" w:val="clear"/>
          </w:tcPr>
          <w:p>
            <w:r>
              <w:rPr>
                <w:sz w:val="17"/>
              </w:rPr>
              <w:t>49</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27</w:t>
            </w:r>
          </w:p>
        </w:tc>
        <w:tc>
          <w:tcPr>
            <w:tcW w:type="dxa" w:w="1440"/>
            <w:shd w:fill="FFDCE0" w:val="clear"/>
          </w:tcPr>
          <w:p>
            <w:r>
              <w:rPr>
                <w:b/>
                <w:sz w:val="17"/>
              </w:rPr>
              <w:t>36</w:t>
            </w:r>
          </w:p>
        </w:tc>
        <w:tc>
          <w:tcPr>
            <w:tcW w:type="dxa" w:w="1440"/>
            <w:shd w:fill="FFDCE0" w:val="clear"/>
          </w:tcPr>
          <w:p>
            <w:r>
              <w:rPr>
                <w:sz w:val="17"/>
              </w:rPr>
              <w:t>45</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25</w:t>
            </w:r>
          </w:p>
        </w:tc>
        <w:tc>
          <w:tcPr>
            <w:tcW w:type="dxa" w:w="1440"/>
            <w:shd w:fill="FFDCE0" w:val="clear"/>
          </w:tcPr>
          <w:p>
            <w:r>
              <w:rPr>
                <w:b/>
                <w:sz w:val="17"/>
              </w:rPr>
              <w:t>34</w:t>
            </w:r>
          </w:p>
        </w:tc>
        <w:tc>
          <w:tcPr>
            <w:tcW w:type="dxa" w:w="1440"/>
            <w:shd w:fill="FFDCE0" w:val="clear"/>
          </w:tcPr>
          <w:p>
            <w:r>
              <w:rPr>
                <w:sz w:val="17"/>
              </w:rPr>
              <w:t>43</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23</w:t>
            </w:r>
          </w:p>
        </w:tc>
        <w:tc>
          <w:tcPr>
            <w:tcW w:type="dxa" w:w="1440"/>
            <w:shd w:fill="FFDCE0" w:val="clear"/>
          </w:tcPr>
          <w:p>
            <w:r>
              <w:rPr>
                <w:b/>
                <w:sz w:val="17"/>
              </w:rPr>
              <w:t>31</w:t>
            </w:r>
          </w:p>
        </w:tc>
        <w:tc>
          <w:tcPr>
            <w:tcW w:type="dxa" w:w="1440"/>
            <w:shd w:fill="FFDCE0" w:val="clear"/>
          </w:tcPr>
          <w:p>
            <w:r>
              <w:rPr>
                <w:sz w:val="17"/>
              </w:rPr>
              <w:t>40</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**Date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d'ETIT s'établit à 1 229,72 milliards FCFA, ce qui en fait l'une des plus importantes capitalisations de la BRVM, reflétant le statut de leader panafricain du groupe. Avec un BPA de 19 FCFA, le titre se négocie à un PER de 3,6x, très inférieur à la moyenne historique de la BRVM (8-12x), signalant une sous-évaluation potentielle significative. Le P/B de 0,77x indique que le marché valorise le titre en dessous de sa valeur comptable, offrant une marge de sécurité pour l'investisseur. Enfin, l'EV/EBITDA de 5,0x confirme une valorisation raisonnable, comparant favorablement la valeur totale de l'entreprise à sa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d'ETIT a connu une appréciation spectaculaire de +112,50%, passant d'un plus bas de 26 FCFA à un plus haut de 78 FCFA, avant de se stabiliser à 68 FCFA. La variation à J-1 est nulle, marquant une pause après une forte dynamique haussière. La moyenne du cours sur la période (42 FCFA) est nettement supérieure à la médiane (33 FCFA), et le skewness positif de 0,937 confirme une distribution asymétrique avec une concentration de journées sous la moyenne, typique des phases d'accélération. L'écart-type de 16 FCFA (CV=38,7%) et la volatilité annualisée de 64,0% témoignent d'un risque de marché très élevé, tandis que le kurtosis de -0,862 (mésokurtique) indique une absence de pics extrêmes, malgré la forte amplitude du mouvement.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(68 FCFA) se positionne au-dessus de la MM20 (67,75 FCFA) et très au-dessus de la MM50 (53,66 FCFA), confirmant une tendance haussière de moyen terme. La décision d'achat est justifiée par la configuration positive des moyennes mobiles, bien que la proximité du cours avec la MM20 suggère une consolidation possible à court terme.</w:t>
      </w:r>
    </w:p>
    <w:p>
      <w:pPr>
        <w:spacing w:after="120" w:line="276" w:lineRule="auto"/>
      </w:pPr>
      <w:r>
        <w:t>**Bandes de Bollinger :** Le prix se situe à 68 FCFA, entre la borne inférieure (61,01 FCFA) et la borne supérieure (74,49 FCFA), indiquant une volatilité modérée dans un canal haussier. La décision neutre reflète l'absence de signal directionnel fort, le cours n'ayant pas touché les bornes extrêmes, laissant place à une poursuite de la tendance ou un retour vers la moyenne.</w:t>
      </w:r>
    </w:p>
    <w:p>
      <w:pPr>
        <w:spacing w:after="120" w:line="276" w:lineRule="auto"/>
      </w:pPr>
      <w:r>
        <w:t>**MACD :** La valeur du MACD (3,081) est inférieure à son signal (4,232), générant une décision de vente. Cette configuration indique un affaiblissement du momentum haussier, les deux lignes étant en convergence, ce qui pourrait précéder un croisement baissier. Les investisseurs doivent surveiller ce signal comme un avertissement de retournement potentiel.</w:t>
      </w:r>
    </w:p>
    <w:p>
      <w:pPr>
        <w:spacing w:after="120" w:line="276" w:lineRule="auto"/>
      </w:pPr>
      <w:r>
        <w:t>**RSI :** À 43,243, le RSI se situe en zone neutre (30-70), sans signal de surachat ni de survente. Cette valeur reflète un équilibre entre acheteurs et vendeurs après la forte hausse, avec une marge de manœuvre pour une nouvelle appréciation avant d'atteindre la zone de surachat (&gt;70).</w:t>
      </w:r>
    </w:p>
    <w:p>
      <w:pPr>
        <w:spacing w:after="120" w:line="276" w:lineRule="auto"/>
      </w:pPr>
      <w:r>
        <w:t>**Stochastique :** Le %K (40,0) est supérieur au %D (29,697), indiquant un croisement haussier récent, mais les deux restent en zone neutre. La décision neutre suggère une stabilisation après la correction, avec un potentiel de reprise si le %K continue de progresser au-dessus du %D.</w:t>
      </w:r>
    </w:p>
    <w:p>
      <w:pPr>
        <w:spacing w:after="120" w:line="276" w:lineRule="auto"/>
      </w:pPr>
      <w:r>
        <w:t>**Conclusion technique :** Les indicateurs sont globalement mitigés, avec des signaux d'achat (MM) contrebalancés par des signaux de vente (MACD) et des positions neutres (Bollinger, RSI, Stochastique). La tendance de fond reste haussière, mais le momentum s'essouffle, suggérant une phase de consolidation avant une éventuelle reprise. La prudence est de mise à court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d'ETIT révèlent une banque à la santé financière robuste : le Produit Net Bancaire (PNB) s'établit à 1 424,261 milliards FCFA, générant un résultat net de 345,523 milliards FCFA, soit une marge nette de 24,26%. La rentabilité des fonds propres (ROE) atteint 21,62%, un niveau excellent (&gt;15%), et le ROA de 1,80% est satisfaisant pour le secteur. Le coefficient d'exploitation de 27,35% est remarquablement bas (&lt;60%), démontrant une efficacité opérationnelle exceptionnelle. Cependant, le coût du risque de 18,97% (provisions/charges financières) est élevé, signalant une dégradation de la qualité du portefeuille de crédits. Les dépôts clientèle (14 120,139 Mds FCFA) couvrent largement les créances sur la clientèle (6 570,385 Mds FCFA), avec un ratio de transformation sain. Les rapports trimestriels 2026 confirment la dynamique : le S1 2026 (rapport du 30 juin 2026) montre un PNB de 721,318 milliards FCFA (+15% vs S1 2025) et un résultat net de 166,682 milliards FCFA (+6%), avec un coefficient d'exploitation amélioré à 48,4%. Le T1 2026 (rapport du 31 mars 2026) affichait déjà un PNB en hausse de 23% à 636,2 millions $EU. On estime que l'exercice 2026 devrait dépasser les performances de 2025, avec un PNB annuel projeté autour de 1 500 milliards FCFA, porté par la stratégie GTR (Croissance, Transformation, Rentabilité) et les investissements technologiques (partenariat Google Cloud). Le ratio de prêts non performants (NPL) s'améliore à 7,6% (S1 2026), mais la hausse de 40% du coût du risque reste un point de vigilance majeur.</w:t>
      </w:r>
    </w:p>
    <w:p>
      <w:pPr>
        <w:spacing w:after="120" w:line="276" w:lineRule="auto"/>
      </w:pPr>
      <w:r>
        <w:t>---</w:t>
      </w:r>
    </w:p>
    <w:p>
      <w:pPr>
        <w:spacing w:after="120" w:line="276" w:lineRule="auto"/>
      </w:pPr>
      <w:r>
        <w:t>### PARTIE 4 : CONCLUSION D'INVESTISSEMENT</w:t>
      </w:r>
    </w:p>
    <w:p>
      <w:pPr>
        <w:spacing w:after="120" w:line="276" w:lineRule="auto"/>
      </w:pPr>
      <w:r>
        <w:t>La valorisation d'ETIT est extrêmement attractive (PER 3,6x, P/B 0,77x, EV/EBITDA 5,0x), indiquant une sous-évaluation manifeste par rapport aux fondamentaux et au marché BRVM. Le comportement du cours (+112,50% sur 100 jours) montre une dynamique haussière forte, mais la volatilité élevée (64%) et l'asymétrie positive (skewness 0,937) appellent à la prudence. Les signaux techniques sont mitigés : les moyennes mobiles restent haussières, mais le MACD vendeur et les indicateurs neutres suggèrent une consolidation. Les fondamentaux sont solides (ROE 21,62%, coefficient d'exploitation 27,35% en 2025), avec une croissance soutenue du PNB (+15% au S1 2026), malgré un coût du risque en hausse. Les prédictions IA (63 à 46 FCFA sur 10 jours) prévoient une correction significative, contredisant la tendance haussière récente. La convergence entre la sous-évaluation fondamentale et la solidité financière plaide pour une recommandation **ACHAT**, mais la divergence avec les signaux techniques et les prédictions IA suggère d'attendre un point d'entrée plus favorable. **Recommandation : ACHAT** avec un niveau de confiance **Moyen**, un risque global **Élevé**, et un horizon d'investissement **Moyen terme (3-12 mois)** pour capitaliser sur la revalorisation potentielle.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30.89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3,887 titres</w:t>
            </w:r>
          </w:p>
        </w:tc>
        <w:tc>
          <w:tcPr>
            <w:tcW w:type="dxa" w:w="2268"/>
            <w:shd w:fill="FFF2CC" w:val="clear"/>
          </w:tcPr>
          <w:p>
            <w:r>
              <w:rPr>
                <w:b/>
                <w:color w:val="503200"/>
                <w:sz w:val="16"/>
              </w:rPr>
              <w:t xml:space="preserve">Cours actuel : </w:t>
            </w:r>
            <w:r>
              <w:rPr>
                <w:color w:val="000000"/>
                <w:sz w:val="17"/>
              </w:rPr>
              <w:t>2,190 FCFA</w:t>
            </w:r>
          </w:p>
          <w:p>
            <w:r>
              <w:rPr>
                <w:b/>
                <w:color w:val="503200"/>
                <w:sz w:val="16"/>
              </w:rPr>
              <w:t xml:space="preserve">Var. 100 jours : </w:t>
            </w:r>
            <w:r>
              <w:rPr>
                <w:b/>
                <w:color w:val="B40000"/>
                <w:sz w:val="17"/>
              </w:rPr>
              <w:t>-5.40%</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6.68% (Moyenne) — μ=2,169 FCFA, σ=145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β=0.9231 (Neutre (suit le marché)) — Cov=0.000033, Var(idx)=0.000036, ρ=0.243,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3,887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2,131</w:t>
            </w:r>
          </w:p>
        </w:tc>
        <w:tc>
          <w:tcPr>
            <w:tcW w:type="dxa" w:w="1440"/>
            <w:shd w:fill="FAFAFA" w:val="clear"/>
          </w:tcPr>
          <w:p>
            <w:r>
              <w:rPr>
                <w:b/>
                <w:sz w:val="17"/>
              </w:rPr>
              <w:t>2,198</w:t>
            </w:r>
          </w:p>
        </w:tc>
        <w:tc>
          <w:tcPr>
            <w:tcW w:type="dxa" w:w="1440"/>
            <w:shd w:fill="FAFAFA" w:val="clear"/>
          </w:tcPr>
          <w:p>
            <w:r>
              <w:rPr>
                <w:sz w:val="17"/>
              </w:rPr>
              <w:t>2,265</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2,111</w:t>
            </w:r>
          </w:p>
        </w:tc>
        <w:tc>
          <w:tcPr>
            <w:tcW w:type="dxa" w:w="1440"/>
            <w:shd w:fill="FAFAFA" w:val="clear"/>
          </w:tcPr>
          <w:p>
            <w:r>
              <w:rPr>
                <w:b/>
                <w:sz w:val="17"/>
              </w:rPr>
              <w:t>2,206</w:t>
            </w:r>
          </w:p>
        </w:tc>
        <w:tc>
          <w:tcPr>
            <w:tcW w:type="dxa" w:w="1440"/>
            <w:shd w:fill="FAFAFA" w:val="clear"/>
          </w:tcPr>
          <w:p>
            <w:r>
              <w:rPr>
                <w:sz w:val="17"/>
              </w:rPr>
              <w:t>2,301</w:t>
            </w:r>
          </w:p>
        </w:tc>
        <w:tc>
          <w:tcPr>
            <w:tcW w:type="dxa" w:w="1440"/>
            <w:shd w:fill="FAFAFA" w:val="clear"/>
          </w:tcPr>
          <w:p>
            <w:r>
              <w:rPr>
                <w:b/>
                <w:color w:val="008000"/>
                <w:sz w:val="17"/>
              </w:rPr>
              <w:t>+0.7%</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2,098</w:t>
            </w:r>
          </w:p>
        </w:tc>
        <w:tc>
          <w:tcPr>
            <w:tcW w:type="dxa" w:w="1440"/>
            <w:shd w:fill="FAFAFA" w:val="clear"/>
          </w:tcPr>
          <w:p>
            <w:r>
              <w:rPr>
                <w:b/>
                <w:sz w:val="17"/>
              </w:rPr>
              <w:t>2,215</w:t>
            </w:r>
          </w:p>
        </w:tc>
        <w:tc>
          <w:tcPr>
            <w:tcW w:type="dxa" w:w="1440"/>
            <w:shd w:fill="FAFAFA" w:val="clear"/>
          </w:tcPr>
          <w:p>
            <w:r>
              <w:rPr>
                <w:sz w:val="17"/>
              </w:rPr>
              <w:t>2,332</w:t>
            </w:r>
          </w:p>
        </w:tc>
        <w:tc>
          <w:tcPr>
            <w:tcW w:type="dxa" w:w="1440"/>
            <w:shd w:fill="FAFAFA" w:val="clear"/>
          </w:tcPr>
          <w:p>
            <w:r>
              <w:rPr>
                <w:b/>
                <w:color w:val="008000"/>
                <w:sz w:val="17"/>
              </w:rPr>
              <w:t>+1.2%</w:t>
            </w:r>
          </w:p>
        </w:tc>
      </w:tr>
      <w:tr>
        <w:tc>
          <w:tcPr>
            <w:tcW w:type="dxa" w:w="1440"/>
            <w:shd w:fill="FAFAFA" w:val="clear"/>
          </w:tcPr>
          <w:p>
            <w:r>
              <w:rPr>
                <w:sz w:val="17"/>
              </w:rPr>
              <w:t>J+4  Moyenne</w:t>
            </w:r>
          </w:p>
        </w:tc>
        <w:tc>
          <w:tcPr>
            <w:tcW w:type="dxa" w:w="1440"/>
            <w:shd w:fill="FAFAFA" w:val="clear"/>
          </w:tcPr>
          <w:p>
            <w:r>
              <w:rPr>
                <w:sz w:val="17"/>
              </w:rPr>
              <w:t>2026-08-20</w:t>
            </w:r>
          </w:p>
        </w:tc>
        <w:tc>
          <w:tcPr>
            <w:tcW w:type="dxa" w:w="1440"/>
            <w:shd w:fill="FAFAFA" w:val="clear"/>
          </w:tcPr>
          <w:p>
            <w:r>
              <w:rPr>
                <w:sz w:val="17"/>
              </w:rPr>
              <w:t>2,089</w:t>
            </w:r>
          </w:p>
        </w:tc>
        <w:tc>
          <w:tcPr>
            <w:tcW w:type="dxa" w:w="1440"/>
            <w:shd w:fill="FAFAFA" w:val="clear"/>
          </w:tcPr>
          <w:p>
            <w:r>
              <w:rPr>
                <w:b/>
                <w:sz w:val="17"/>
              </w:rPr>
              <w:t>2,225</w:t>
            </w:r>
          </w:p>
        </w:tc>
        <w:tc>
          <w:tcPr>
            <w:tcW w:type="dxa" w:w="1440"/>
            <w:shd w:fill="FAFAFA" w:val="clear"/>
          </w:tcPr>
          <w:p>
            <w:r>
              <w:rPr>
                <w:sz w:val="17"/>
              </w:rPr>
              <w:t>2,360</w:t>
            </w:r>
          </w:p>
        </w:tc>
        <w:tc>
          <w:tcPr>
            <w:tcW w:type="dxa" w:w="1440"/>
            <w:shd w:fill="FAFAFA" w:val="clear"/>
          </w:tcPr>
          <w:p>
            <w:r>
              <w:rPr>
                <w:b/>
                <w:color w:val="008000"/>
                <w:sz w:val="17"/>
              </w:rPr>
              <w:t>+1.6%</w:t>
            </w:r>
          </w:p>
        </w:tc>
      </w:tr>
      <w:tr>
        <w:tc>
          <w:tcPr>
            <w:tcW w:type="dxa" w:w="1440"/>
            <w:shd w:fill="C6EFCE" w:val="clear"/>
          </w:tcPr>
          <w:p>
            <w:r>
              <w:rPr>
                <w:sz w:val="17"/>
              </w:rPr>
              <w:t>J+5  Moyenne</w:t>
            </w:r>
          </w:p>
        </w:tc>
        <w:tc>
          <w:tcPr>
            <w:tcW w:type="dxa" w:w="1440"/>
            <w:shd w:fill="C6EFCE" w:val="clear"/>
          </w:tcPr>
          <w:p>
            <w:r>
              <w:rPr>
                <w:sz w:val="17"/>
              </w:rPr>
              <w:t>2026-08-21</w:t>
            </w:r>
          </w:p>
        </w:tc>
        <w:tc>
          <w:tcPr>
            <w:tcW w:type="dxa" w:w="1440"/>
            <w:shd w:fill="C6EFCE" w:val="clear"/>
          </w:tcPr>
          <w:p>
            <w:r>
              <w:rPr>
                <w:sz w:val="17"/>
              </w:rPr>
              <w:t>2,082</w:t>
            </w:r>
          </w:p>
        </w:tc>
        <w:tc>
          <w:tcPr>
            <w:tcW w:type="dxa" w:w="1440"/>
            <w:shd w:fill="C6EFCE" w:val="clear"/>
          </w:tcPr>
          <w:p>
            <w:r>
              <w:rPr>
                <w:b/>
                <w:sz w:val="17"/>
              </w:rPr>
              <w:t>2,234</w:t>
            </w:r>
          </w:p>
        </w:tc>
        <w:tc>
          <w:tcPr>
            <w:tcW w:type="dxa" w:w="1440"/>
            <w:shd w:fill="C6EFCE" w:val="clear"/>
          </w:tcPr>
          <w:p>
            <w:r>
              <w:rPr>
                <w:sz w:val="17"/>
              </w:rPr>
              <w:t>2,387</w:t>
            </w:r>
          </w:p>
        </w:tc>
        <w:tc>
          <w:tcPr>
            <w:tcW w:type="dxa" w:w="1440"/>
            <w:shd w:fill="C6EFCE" w:val="clear"/>
          </w:tcPr>
          <w:p>
            <w:r>
              <w:rPr>
                <w:b/>
                <w:color w:val="008000"/>
                <w:sz w:val="17"/>
              </w:rPr>
              <w:t>+2.0%</w:t>
            </w:r>
          </w:p>
        </w:tc>
      </w:tr>
      <w:tr>
        <w:tc>
          <w:tcPr>
            <w:tcW w:type="dxa" w:w="1440"/>
            <w:shd w:fill="C6EFCE" w:val="clear"/>
          </w:tcPr>
          <w:p>
            <w:r>
              <w:rPr>
                <w:sz w:val="17"/>
              </w:rPr>
              <w:t>J+6  Moyenne</w:t>
            </w:r>
          </w:p>
        </w:tc>
        <w:tc>
          <w:tcPr>
            <w:tcW w:type="dxa" w:w="1440"/>
            <w:shd w:fill="C6EFCE" w:val="clear"/>
          </w:tcPr>
          <w:p>
            <w:r>
              <w:rPr>
                <w:sz w:val="17"/>
              </w:rPr>
              <w:t>2026-08-24</w:t>
            </w:r>
          </w:p>
        </w:tc>
        <w:tc>
          <w:tcPr>
            <w:tcW w:type="dxa" w:w="1440"/>
            <w:shd w:fill="C6EFCE" w:val="clear"/>
          </w:tcPr>
          <w:p>
            <w:r>
              <w:rPr>
                <w:sz w:val="17"/>
              </w:rPr>
              <w:t>2,076</w:t>
            </w:r>
          </w:p>
        </w:tc>
        <w:tc>
          <w:tcPr>
            <w:tcW w:type="dxa" w:w="1440"/>
            <w:shd w:fill="C6EFCE" w:val="clear"/>
          </w:tcPr>
          <w:p>
            <w:r>
              <w:rPr>
                <w:b/>
                <w:sz w:val="17"/>
              </w:rPr>
              <w:t>2,244</w:t>
            </w:r>
          </w:p>
        </w:tc>
        <w:tc>
          <w:tcPr>
            <w:tcW w:type="dxa" w:w="1440"/>
            <w:shd w:fill="C6EFCE" w:val="clear"/>
          </w:tcPr>
          <w:p>
            <w:r>
              <w:rPr>
                <w:sz w:val="17"/>
              </w:rPr>
              <w:t>2,411</w:t>
            </w:r>
          </w:p>
        </w:tc>
        <w:tc>
          <w:tcPr>
            <w:tcW w:type="dxa" w:w="1440"/>
            <w:shd w:fill="C6EFCE" w:val="clear"/>
          </w:tcPr>
          <w:p>
            <w:r>
              <w:rPr>
                <w:b/>
                <w:color w:val="008000"/>
                <w:sz w:val="17"/>
              </w:rPr>
              <w:t>+2.5%</w:t>
            </w:r>
          </w:p>
        </w:tc>
      </w:tr>
      <w:tr>
        <w:tc>
          <w:tcPr>
            <w:tcW w:type="dxa" w:w="1440"/>
            <w:shd w:fill="C6EFCE" w:val="clear"/>
          </w:tcPr>
          <w:p>
            <w:r>
              <w:rPr>
                <w:sz w:val="17"/>
              </w:rPr>
              <w:t>J+7  Moyenne</w:t>
            </w:r>
          </w:p>
        </w:tc>
        <w:tc>
          <w:tcPr>
            <w:tcW w:type="dxa" w:w="1440"/>
            <w:shd w:fill="C6EFCE" w:val="clear"/>
          </w:tcPr>
          <w:p>
            <w:r>
              <w:rPr>
                <w:sz w:val="17"/>
              </w:rPr>
              <w:t>2026-08-25</w:t>
            </w:r>
          </w:p>
        </w:tc>
        <w:tc>
          <w:tcPr>
            <w:tcW w:type="dxa" w:w="1440"/>
            <w:shd w:fill="C6EFCE" w:val="clear"/>
          </w:tcPr>
          <w:p>
            <w:r>
              <w:rPr>
                <w:sz w:val="17"/>
              </w:rPr>
              <w:t>2,072</w:t>
            </w:r>
          </w:p>
        </w:tc>
        <w:tc>
          <w:tcPr>
            <w:tcW w:type="dxa" w:w="1440"/>
            <w:shd w:fill="C6EFCE" w:val="clear"/>
          </w:tcPr>
          <w:p>
            <w:r>
              <w:rPr>
                <w:b/>
                <w:sz w:val="17"/>
              </w:rPr>
              <w:t>2,253</w:t>
            </w:r>
          </w:p>
        </w:tc>
        <w:tc>
          <w:tcPr>
            <w:tcW w:type="dxa" w:w="1440"/>
            <w:shd w:fill="C6EFCE" w:val="clear"/>
          </w:tcPr>
          <w:p>
            <w:r>
              <w:rPr>
                <w:sz w:val="17"/>
              </w:rPr>
              <w:t>2,435</w:t>
            </w:r>
          </w:p>
        </w:tc>
        <w:tc>
          <w:tcPr>
            <w:tcW w:type="dxa" w:w="1440"/>
            <w:shd w:fill="C6EFCE" w:val="clear"/>
          </w:tcPr>
          <w:p>
            <w:r>
              <w:rPr>
                <w:b/>
                <w:color w:val="008000"/>
                <w:sz w:val="17"/>
              </w:rPr>
              <w:t>+2.9%</w:t>
            </w:r>
          </w:p>
        </w:tc>
      </w:tr>
      <w:tr>
        <w:tc>
          <w:tcPr>
            <w:tcW w:type="dxa" w:w="1440"/>
            <w:shd w:fill="C6EFCE" w:val="clear"/>
          </w:tcPr>
          <w:p>
            <w:r>
              <w:rPr>
                <w:sz w:val="17"/>
              </w:rPr>
              <w:t>J+8  Moyenne</w:t>
            </w:r>
          </w:p>
        </w:tc>
        <w:tc>
          <w:tcPr>
            <w:tcW w:type="dxa" w:w="1440"/>
            <w:shd w:fill="C6EFCE" w:val="clear"/>
          </w:tcPr>
          <w:p>
            <w:r>
              <w:rPr>
                <w:sz w:val="17"/>
              </w:rPr>
              <w:t>2026-08-27</w:t>
            </w:r>
          </w:p>
        </w:tc>
        <w:tc>
          <w:tcPr>
            <w:tcW w:type="dxa" w:w="1440"/>
            <w:shd w:fill="C6EFCE" w:val="clear"/>
          </w:tcPr>
          <w:p>
            <w:r>
              <w:rPr>
                <w:sz w:val="17"/>
              </w:rPr>
              <w:t>2,068</w:t>
            </w:r>
          </w:p>
        </w:tc>
        <w:tc>
          <w:tcPr>
            <w:tcW w:type="dxa" w:w="1440"/>
            <w:shd w:fill="C6EFCE" w:val="clear"/>
          </w:tcPr>
          <w:p>
            <w:r>
              <w:rPr>
                <w:b/>
                <w:sz w:val="17"/>
              </w:rPr>
              <w:t>2,263</w:t>
            </w:r>
          </w:p>
        </w:tc>
        <w:tc>
          <w:tcPr>
            <w:tcW w:type="dxa" w:w="1440"/>
            <w:shd w:fill="C6EFCE" w:val="clear"/>
          </w:tcPr>
          <w:p>
            <w:r>
              <w:rPr>
                <w:sz w:val="17"/>
              </w:rPr>
              <w:t>2,458</w:t>
            </w:r>
          </w:p>
        </w:tc>
        <w:tc>
          <w:tcPr>
            <w:tcW w:type="dxa" w:w="1440"/>
            <w:shd w:fill="C6EFCE" w:val="clear"/>
          </w:tcPr>
          <w:p>
            <w:r>
              <w:rPr>
                <w:b/>
                <w:color w:val="008000"/>
                <w:sz w:val="17"/>
              </w:rPr>
              <w:t>+3.3%</w:t>
            </w:r>
          </w:p>
        </w:tc>
      </w:tr>
      <w:tr>
        <w:tc>
          <w:tcPr>
            <w:tcW w:type="dxa" w:w="1440"/>
            <w:shd w:fill="C6EFCE" w:val="clear"/>
          </w:tcPr>
          <w:p>
            <w:r>
              <w:rPr>
                <w:sz w:val="17"/>
              </w:rPr>
              <w:t>J+9  Moyenne</w:t>
            </w:r>
          </w:p>
        </w:tc>
        <w:tc>
          <w:tcPr>
            <w:tcW w:type="dxa" w:w="1440"/>
            <w:shd w:fill="C6EFCE" w:val="clear"/>
          </w:tcPr>
          <w:p>
            <w:r>
              <w:rPr>
                <w:sz w:val="17"/>
              </w:rPr>
              <w:t>2026-08-28</w:t>
            </w:r>
          </w:p>
        </w:tc>
        <w:tc>
          <w:tcPr>
            <w:tcW w:type="dxa" w:w="1440"/>
            <w:shd w:fill="C6EFCE" w:val="clear"/>
          </w:tcPr>
          <w:p>
            <w:r>
              <w:rPr>
                <w:sz w:val="17"/>
              </w:rPr>
              <w:t>2,065</w:t>
            </w:r>
          </w:p>
        </w:tc>
        <w:tc>
          <w:tcPr>
            <w:tcW w:type="dxa" w:w="1440"/>
            <w:shd w:fill="C6EFCE" w:val="clear"/>
          </w:tcPr>
          <w:p>
            <w:r>
              <w:rPr>
                <w:b/>
                <w:sz w:val="17"/>
              </w:rPr>
              <w:t>2,273</w:t>
            </w:r>
          </w:p>
        </w:tc>
        <w:tc>
          <w:tcPr>
            <w:tcW w:type="dxa" w:w="1440"/>
            <w:shd w:fill="C6EFCE" w:val="clear"/>
          </w:tcPr>
          <w:p>
            <w:r>
              <w:rPr>
                <w:sz w:val="17"/>
              </w:rPr>
              <w:t>2,480</w:t>
            </w:r>
          </w:p>
        </w:tc>
        <w:tc>
          <w:tcPr>
            <w:tcW w:type="dxa" w:w="1440"/>
            <w:shd w:fill="C6EFCE" w:val="clear"/>
          </w:tcPr>
          <w:p>
            <w:r>
              <w:rPr>
                <w:b/>
                <w:color w:val="008000"/>
                <w:sz w:val="17"/>
              </w:rPr>
              <w:t>+3.8%</w:t>
            </w:r>
          </w:p>
        </w:tc>
      </w:tr>
      <w:tr>
        <w:tc>
          <w:tcPr>
            <w:tcW w:type="dxa" w:w="1440"/>
            <w:shd w:fill="C6EFCE" w:val="clear"/>
          </w:tcPr>
          <w:p>
            <w:r>
              <w:rPr>
                <w:sz w:val="17"/>
              </w:rPr>
              <w:t>J+10  Moyenne</w:t>
            </w:r>
          </w:p>
        </w:tc>
        <w:tc>
          <w:tcPr>
            <w:tcW w:type="dxa" w:w="1440"/>
            <w:shd w:fill="C6EFCE" w:val="clear"/>
          </w:tcPr>
          <w:p>
            <w:r>
              <w:rPr>
                <w:sz w:val="17"/>
              </w:rPr>
              <w:t>2026-08-31</w:t>
            </w:r>
          </w:p>
        </w:tc>
        <w:tc>
          <w:tcPr>
            <w:tcW w:type="dxa" w:w="1440"/>
            <w:shd w:fill="C6EFCE" w:val="clear"/>
          </w:tcPr>
          <w:p>
            <w:r>
              <w:rPr>
                <w:sz w:val="17"/>
              </w:rPr>
              <w:t>2,062</w:t>
            </w:r>
          </w:p>
        </w:tc>
        <w:tc>
          <w:tcPr>
            <w:tcW w:type="dxa" w:w="1440"/>
            <w:shd w:fill="C6EFCE" w:val="clear"/>
          </w:tcPr>
          <w:p>
            <w:r>
              <w:rPr>
                <w:b/>
                <w:sz w:val="17"/>
              </w:rPr>
              <w:t>2,282</w:t>
            </w:r>
          </w:p>
        </w:tc>
        <w:tc>
          <w:tcPr>
            <w:tcW w:type="dxa" w:w="1440"/>
            <w:shd w:fill="C6EFCE" w:val="clear"/>
          </w:tcPr>
          <w:p>
            <w:r>
              <w:rPr>
                <w:sz w:val="17"/>
              </w:rPr>
              <w:t>2,502</w:t>
            </w:r>
          </w:p>
        </w:tc>
        <w:tc>
          <w:tcPr>
            <w:tcW w:type="dxa" w:w="1440"/>
            <w:shd w:fill="C6EFCE" w:val="clear"/>
          </w:tcPr>
          <w:p>
            <w:r>
              <w:rPr>
                <w:b/>
                <w:color w:val="008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Absolument. Voici un rapport d'analyse structuré et professionnel pour l'action FTSC (FILTISAC CI)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30,89 milliards FCFA positionne FILTISAC comme une valeur de taille moyenne sur la BRVM. Avec un BPA de 33 FCFA, le titre se paie très cher, affichant un PER de 66,3x, soit plus de 5 fois la moyenne du marché (8-12x). Cette valorisation est extrêmement exigeante et reflète des attentes de croissance très élevées, difficilement justifiables au vu des fondamentaux actuels. Le P/B de 1,97x indique que le marché valorise la société à près de deux fois ses capitaux propres, ce qui est plus raisonnable mais reste supérieur à la moyenne historique du titre. Enfin, un EV/EBITDA de 38,5x, très supérieur au seuil de 15x, confirme une valorisation boursière qui surévalue largement la capacité opérationnelle de l'entreprise, rendant le titre vulnérable à une correction.</w:t>
      </w:r>
    </w:p>
    <w:p>
      <w:pPr>
        <w:spacing w:after="120" w:line="276" w:lineRule="auto"/>
      </w:pPr>
      <w:r>
        <w:t>### PARTIE 1 : ANALYSE DU COURS — STATISTIQUES ET ÉVOLUTION (100 derniers jours)</w:t>
      </w:r>
    </w:p>
    <w:p>
      <w:pPr>
        <w:spacing w:after="120" w:line="276" w:lineRule="auto"/>
      </w:pPr>
      <w:r>
        <w:t>Sur les 100 derniers jours, l'action FTSC a enregistré une baisse de 5,40%, avec une dernière séance stable (+0,00%). Le cours a évolué dans un range de 1 910 FCFA à 2 430 FCFA, montrant une volatilité intraday significative. La moyenne (2 169 FCFA) et la médiane (2 200 FCFA) sont proches, indiquant une distribution des prix relativement symétrique, ce que confirme le skewness de -0,234. L'écart-type de 146 FCFA (CV=6,7%) révèle une dispersion modérée autour de la moyenne. Le kurtosis de -1,272 (platykurtique) suggère une distribution aplatie avec peu de valeurs extrêmes, donc un risque de pics de prix faible. La volatilité annualisée de 36,2% est élevée (&gt;30%), signalant un titre à risque substantiel, ce qui est cohérent avec la tendance baissière observée sur la période.</w:t>
      </w:r>
    </w:p>
    <w:p>
      <w:pPr>
        <w:spacing w:after="120" w:line="276" w:lineRule="auto"/>
      </w:pPr>
      <w:r>
        <w:t>### PARTIE 2 : ANALYSE TECHNIQUE DÉTAILLÉE</w:t>
      </w:r>
    </w:p>
    <w:p>
      <w:pPr>
        <w:spacing w:after="120" w:line="276" w:lineRule="auto"/>
      </w:pPr>
      <w:r>
        <w:t>**Moyennes Mobiles**: Le cours actuel (2 190 FCFA) est nettement supérieur à la MM20 (2 022 FCFA) et à la MM50 (2 061 FCFA). Cette configuration est haussière à court terme, mais la décision globale est "Vente". Cela suggère que, malgré le rebond récent, la tendance de fond reste baissière, et le cours pourrait être en train de tester une résistance.</w:t>
      </w:r>
    </w:p>
    <w:p>
      <w:pPr>
        <w:spacing w:after="120" w:line="276" w:lineRule="auto"/>
      </w:pPr>
      <w:r>
        <w:t>**Bandes de Bollinger**: Le prix se situe près de la borne supérieure (2 213,93 FCFA), indiquant une pression acheteuse récente. La largeur des bandes (borne inférieure à 1 830 FCFA) reflète une volatilité élevée. La décision "Neutre" est justifiée car le cours n'est pas en situation de surachat extrême, mais il est dans la partie haute de la bande, ce qui peut précéder un retour vers la moyenne.</w:t>
      </w:r>
    </w:p>
    <w:p>
      <w:pPr>
        <w:spacing w:after="120" w:line="276" w:lineRule="auto"/>
      </w:pPr>
      <w:r>
        <w:t>**MACD**: Le MACD (36,125) est nettement au-dessus de sa ligne de signal (3,158), générant un signal d'achat fort. Cette configuration indique un momentum haussier à court terme, soutenu par le récent rebond du cours. C'est le signal technique le plus positif actuellement.</w:t>
      </w:r>
    </w:p>
    <w:p>
      <w:pPr>
        <w:spacing w:after="120" w:line="276" w:lineRule="auto"/>
      </w:pPr>
      <w:r>
        <w:t>**RSI**: Le RSI à 69,9 est proche du seuil de surachat (70). La décision "Neutre" est prudente, car le titre est sur le point d'entrer en zone de surachat, ce qui pourrait limiter le potentiel de hausse à court terme et augmenter le risque de correction.</w:t>
      </w:r>
    </w:p>
    <w:p>
      <w:pPr>
        <w:spacing w:after="120" w:line="276" w:lineRule="auto"/>
      </w:pPr>
      <w:r>
        <w:t>**Stochastique**: Les valeurs %K et %D sont toutes deux à 100, en zone de surachat extrême. La décision "Vente" est justifiée, car cette configuration signale que le mouvement haussier est arrivé à son paroxysme et qu'un retournement baissier est statistiquement probable à très court terme.</w:t>
      </w:r>
    </w:p>
    <w:p>
      <w:pPr>
        <w:spacing w:after="120" w:line="276" w:lineRule="auto"/>
      </w:pPr>
      <w:r>
        <w:t>**Conclusion technique**: Les indicateurs sont mitigés. Le MACD est haussier, mais le RSI et le Stochastique sont en zone de surachat, et les moyennes mobiles indiquent une tendance de fond baissière. Le récent rebond semble donc être un mouvement technique de court terme, potentiellement épuisé, qui pourrait se heurter à une résistance. La prudence est de mise.</w:t>
      </w:r>
    </w:p>
    <w:p>
      <w:pPr>
        <w:spacing w:after="120" w:line="276" w:lineRule="auto"/>
      </w:pPr>
      <w:r>
        <w:t>### PARTIE 3 : ANALYSE FONDAMENTALE (SECTION CRITIQUE)</w:t>
      </w:r>
    </w:p>
    <w:p>
      <w:pPr>
        <w:spacing w:after="120" w:line="276" w:lineRule="auto"/>
      </w:pPr>
      <w:r>
        <w:t>En 2025, FILTISAC a réalisé un chiffre d'affaires de 32,109 Mds FCFA, en hausse de 4,6% par rapport à 2024. Cependant, le résultat net s'effondre à 465,98 M FCFA (marge nette de 1,45%), contre 18,6 Mds FCFA en 2024, un bénéfice exceptionnel issu de cessions de filiales. La rentabilité opérationnelle est très faible (marge opérationnelle de 0,86%), et le ROE (2,97%) et le ROA (1,19%) sont très insuffisants. La structure financière s'est dégradée : la trésorerie nette est fortement négative (-11,5 Mds FCFA) après le versement de dividendes massifs en 2024, et le BFR est élevé (11,5 Mds FCFA), avec des délais clients (213 jours) et de stockage (214 jours) très longs, créant un risque de trésorerie. Les rapports trimestriels de 2025 montrent une amélioration progressive : le T1 2025 était déficitaire (-144 M FCFA avant impôt), le S1 2025 a dégagé un résultat net de 105 M FCFA, et le T3 2025 affichait un résultat courant avant impôt de -216 M FCFA. Le rapport T1 2026, publié récemment, est plus encourageant avec un CA en hausse de 55% à 8,9 Mds FCFA et un résultat d'exploitation positif de 75 M FCFA, mais le résultat net reste déficitaire (-154 M FCFA). On estime que l'exercice 2026 pourrait bénéficier de la forte demande d'emballages pour le cacao, mais la rentabilité nette restera sous pression tant que les charges financières et le besoin en fonds de roulement ne seront pas maîtrisés.</w:t>
      </w:r>
    </w:p>
    <w:p>
      <w:pPr>
        <w:spacing w:after="120" w:line="276" w:lineRule="auto"/>
      </w:pPr>
      <w:r>
        <w:t>### PARTIE 4 : CONCLUSION D'INVESTISSEMENT</w:t>
      </w:r>
    </w:p>
    <w:p>
      <w:pPr>
        <w:spacing w:after="120" w:line="276" w:lineRule="auto"/>
      </w:pPr>
      <w:r>
        <w:t>La valorisation boursière de FTSC est extrêmement exigeante (PER de 66x), en totale contradiction avec des fondamentaux fragiles et une rentabilité en chute libre. Le comportement du cours sur 100 jours est baissier avec une volatilité élevée, et les statistiques (kurtosis platykurtique) suggèrent un risque de mouvement brusque. Les signaux techniques sont mitigés, avec un momentum haussier à court terme (MACD) mais des indicateurs de surachat (RSI, Stochastique) qui annoncent un probable retournement. Les fondamentaux, bien qu'en amélioration opérationnelle (CA en hausse), restent préoccupants avec une trésorerie négative et une rentabilité nette toujours déficitaire au T1 2026. Les prédictions IA (hausse de ~2% sur 10 jours) semblent optimistes et ne tiennent pas compte de la dégradation fondamentale. La convergence des signaux est donc négative. **Recommandation finale : VENTE.** Le niveau de confiance est **Moyen**, car un rebond technique de court terme est possible. Le risque global est **Élevé**. L'horizon d'investissement optimal est le **court terme (&lt;3 mois)** pour les investisseurs cherchant à profiter d'un éventuel rebond technique, mais la valeur est à éviter pour tout investissement moyen ou long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82.00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3,057 titres</w:t>
            </w:r>
          </w:p>
        </w:tc>
        <w:tc>
          <w:tcPr>
            <w:tcW w:type="dxa" w:w="2268"/>
            <w:shd w:fill="FFF2CC" w:val="clear"/>
          </w:tcPr>
          <w:p>
            <w:r>
              <w:rPr>
                <w:b/>
                <w:color w:val="503200"/>
                <w:sz w:val="16"/>
              </w:rPr>
              <w:t xml:space="preserve">Cours actuel : </w:t>
            </w:r>
            <w:r>
              <w:rPr>
                <w:color w:val="000000"/>
                <w:sz w:val="17"/>
              </w:rPr>
              <w:t>4,100 FCFA</w:t>
            </w:r>
          </w:p>
          <w:p>
            <w:r>
              <w:rPr>
                <w:b/>
                <w:color w:val="503200"/>
                <w:sz w:val="16"/>
              </w:rPr>
              <w:t xml:space="preserve">Var. 100 jours : </w:t>
            </w:r>
            <w:r>
              <w:rPr>
                <w:b/>
                <w:color w:val="007800"/>
                <w:sz w:val="17"/>
              </w:rPr>
              <w:t>+6.49%</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5.21% (Moyenne) — μ=4,032 FCFA, σ=210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β=0.1388 (Défensif) — Cov=0.000005, Var(idx)=0.000036, ρ=0.037,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3,057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3,883</w:t>
            </w:r>
          </w:p>
        </w:tc>
        <w:tc>
          <w:tcPr>
            <w:tcW w:type="dxa" w:w="1440"/>
            <w:shd w:fill="FAFAFA" w:val="clear"/>
          </w:tcPr>
          <w:p>
            <w:r>
              <w:rPr>
                <w:b/>
                <w:sz w:val="17"/>
              </w:rPr>
              <w:t>4,094</w:t>
            </w:r>
          </w:p>
        </w:tc>
        <w:tc>
          <w:tcPr>
            <w:tcW w:type="dxa" w:w="1440"/>
            <w:shd w:fill="FAFAFA" w:val="clear"/>
          </w:tcPr>
          <w:p>
            <w:r>
              <w:rPr>
                <w:sz w:val="17"/>
              </w:rPr>
              <w:t>4,304</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3,768</w:t>
            </w:r>
          </w:p>
        </w:tc>
        <w:tc>
          <w:tcPr>
            <w:tcW w:type="dxa" w:w="1440"/>
            <w:shd w:fill="FAFAFA" w:val="clear"/>
          </w:tcPr>
          <w:p>
            <w:r>
              <w:rPr>
                <w:b/>
                <w:sz w:val="17"/>
              </w:rPr>
              <w:t>4,064</w:t>
            </w:r>
          </w:p>
        </w:tc>
        <w:tc>
          <w:tcPr>
            <w:tcW w:type="dxa" w:w="1440"/>
            <w:shd w:fill="FAFAFA" w:val="clear"/>
          </w:tcPr>
          <w:p>
            <w:r>
              <w:rPr>
                <w:sz w:val="17"/>
              </w:rPr>
              <w:t>4,360</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2026-08-19</w:t>
            </w:r>
          </w:p>
        </w:tc>
        <w:tc>
          <w:tcPr>
            <w:tcW w:type="dxa" w:w="1440"/>
            <w:shd w:fill="FAFAFA" w:val="clear"/>
          </w:tcPr>
          <w:p>
            <w:r>
              <w:rPr>
                <w:sz w:val="17"/>
              </w:rPr>
              <w:t>3,686</w:t>
            </w:r>
          </w:p>
        </w:tc>
        <w:tc>
          <w:tcPr>
            <w:tcW w:type="dxa" w:w="1440"/>
            <w:shd w:fill="FAFAFA" w:val="clear"/>
          </w:tcPr>
          <w:p>
            <w:r>
              <w:rPr>
                <w:b/>
                <w:sz w:val="17"/>
              </w:rPr>
              <w:t>4,047</w:t>
            </w:r>
          </w:p>
        </w:tc>
        <w:tc>
          <w:tcPr>
            <w:tcW w:type="dxa" w:w="1440"/>
            <w:shd w:fill="FAFAFA" w:val="clear"/>
          </w:tcPr>
          <w:p>
            <w:r>
              <w:rPr>
                <w:sz w:val="17"/>
              </w:rPr>
              <w:t>4,408</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3,616</w:t>
            </w:r>
          </w:p>
        </w:tc>
        <w:tc>
          <w:tcPr>
            <w:tcW w:type="dxa" w:w="1440"/>
            <w:shd w:fill="FAFAFA" w:val="clear"/>
          </w:tcPr>
          <w:p>
            <w:r>
              <w:rPr>
                <w:b/>
                <w:sz w:val="17"/>
              </w:rPr>
              <w:t>4,031</w:t>
            </w:r>
          </w:p>
        </w:tc>
        <w:tc>
          <w:tcPr>
            <w:tcW w:type="dxa" w:w="1440"/>
            <w:shd w:fill="FAFAFA" w:val="clear"/>
          </w:tcPr>
          <w:p>
            <w:r>
              <w:rPr>
                <w:sz w:val="17"/>
              </w:rPr>
              <w:t>4,446</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3,543</w:t>
            </w:r>
          </w:p>
        </w:tc>
        <w:tc>
          <w:tcPr>
            <w:tcW w:type="dxa" w:w="1440"/>
            <w:shd w:fill="FFDCE0" w:val="clear"/>
          </w:tcPr>
          <w:p>
            <w:r>
              <w:rPr>
                <w:b/>
                <w:sz w:val="17"/>
              </w:rPr>
              <w:t>4,003</w:t>
            </w:r>
          </w:p>
        </w:tc>
        <w:tc>
          <w:tcPr>
            <w:tcW w:type="dxa" w:w="1440"/>
            <w:shd w:fill="FFDCE0" w:val="clear"/>
          </w:tcPr>
          <w:p>
            <w:r>
              <w:rPr>
                <w:sz w:val="17"/>
              </w:rPr>
              <w:t>4,464</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3,487</w:t>
            </w:r>
          </w:p>
        </w:tc>
        <w:tc>
          <w:tcPr>
            <w:tcW w:type="dxa" w:w="1440"/>
            <w:shd w:fill="FFDCE0" w:val="clear"/>
          </w:tcPr>
          <w:p>
            <w:r>
              <w:rPr>
                <w:b/>
                <w:sz w:val="17"/>
              </w:rPr>
              <w:t>3,991</w:t>
            </w:r>
          </w:p>
        </w:tc>
        <w:tc>
          <w:tcPr>
            <w:tcW w:type="dxa" w:w="1440"/>
            <w:shd w:fill="FFDCE0" w:val="clear"/>
          </w:tcPr>
          <w:p>
            <w:r>
              <w:rPr>
                <w:sz w:val="17"/>
              </w:rPr>
              <w:t>4,494</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3,436</w:t>
            </w:r>
          </w:p>
        </w:tc>
        <w:tc>
          <w:tcPr>
            <w:tcW w:type="dxa" w:w="1440"/>
            <w:shd w:fill="FFDCE0" w:val="clear"/>
          </w:tcPr>
          <w:p>
            <w:r>
              <w:rPr>
                <w:b/>
                <w:sz w:val="17"/>
              </w:rPr>
              <w:t>3,977</w:t>
            </w:r>
          </w:p>
        </w:tc>
        <w:tc>
          <w:tcPr>
            <w:tcW w:type="dxa" w:w="1440"/>
            <w:shd w:fill="FFDCE0" w:val="clear"/>
          </w:tcPr>
          <w:p>
            <w:r>
              <w:rPr>
                <w:sz w:val="17"/>
              </w:rPr>
              <w:t>4,519</w:t>
            </w:r>
          </w:p>
        </w:tc>
        <w:tc>
          <w:tcPr>
            <w:tcW w:type="dxa" w:w="1440"/>
            <w:shd w:fill="FFDCE0" w:val="clear"/>
          </w:tcPr>
          <w:p>
            <w:r>
              <w:rPr>
                <w:b/>
                <w:color w:val="C00000"/>
                <w:sz w:val="17"/>
              </w:rPr>
              <w:t>-3.0%</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3,387</w:t>
            </w:r>
          </w:p>
        </w:tc>
        <w:tc>
          <w:tcPr>
            <w:tcW w:type="dxa" w:w="1440"/>
            <w:shd w:fill="FFDCE0" w:val="clear"/>
          </w:tcPr>
          <w:p>
            <w:r>
              <w:rPr>
                <w:b/>
                <w:sz w:val="17"/>
              </w:rPr>
              <w:t>3,964</w:t>
            </w:r>
          </w:p>
        </w:tc>
        <w:tc>
          <w:tcPr>
            <w:tcW w:type="dxa" w:w="1440"/>
            <w:shd w:fill="FFDCE0" w:val="clear"/>
          </w:tcPr>
          <w:p>
            <w:r>
              <w:rPr>
                <w:sz w:val="17"/>
              </w:rPr>
              <w:t>4,541</w:t>
            </w:r>
          </w:p>
        </w:tc>
        <w:tc>
          <w:tcPr>
            <w:tcW w:type="dxa" w:w="1440"/>
            <w:shd w:fill="FFDCE0" w:val="clear"/>
          </w:tcPr>
          <w:p>
            <w:r>
              <w:rPr>
                <w:b/>
                <w:color w:val="C00000"/>
                <w:sz w:val="17"/>
              </w:rPr>
              <w:t>-3.3%</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3,343</w:t>
            </w:r>
          </w:p>
        </w:tc>
        <w:tc>
          <w:tcPr>
            <w:tcW w:type="dxa" w:w="1440"/>
            <w:shd w:fill="FFDCE0" w:val="clear"/>
          </w:tcPr>
          <w:p>
            <w:r>
              <w:rPr>
                <w:b/>
                <w:sz w:val="17"/>
              </w:rPr>
              <w:t>3,953</w:t>
            </w:r>
          </w:p>
        </w:tc>
        <w:tc>
          <w:tcPr>
            <w:tcW w:type="dxa" w:w="1440"/>
            <w:shd w:fill="FFDCE0" w:val="clear"/>
          </w:tcPr>
          <w:p>
            <w:r>
              <w:rPr>
                <w:sz w:val="17"/>
              </w:rPr>
              <w:t>4,563</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3,302</w:t>
            </w:r>
          </w:p>
        </w:tc>
        <w:tc>
          <w:tcPr>
            <w:tcW w:type="dxa" w:w="1440"/>
            <w:shd w:fill="FFDCE0" w:val="clear"/>
          </w:tcPr>
          <w:p>
            <w:r>
              <w:rPr>
                <w:b/>
                <w:sz w:val="17"/>
              </w:rPr>
              <w:t>3,944</w:t>
            </w:r>
          </w:p>
        </w:tc>
        <w:tc>
          <w:tcPr>
            <w:tcW w:type="dxa" w:w="1440"/>
            <w:shd w:fill="FFDCE0" w:val="clear"/>
          </w:tcPr>
          <w:p>
            <w:r>
              <w:rPr>
                <w:sz w:val="17"/>
              </w:rPr>
              <w:t>4,585</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82 milliards FCFA, un niveau significatif sur la BRVM qui positionne le titre comme une valeur de taille moyenne à grande, offrant une liquidité potentiellement correcte. Le BPA de 231 FCFA indique que chaque action génère un bénéfice modeste, ce qui, rapporté au cours de 4 100 FCFA, donne un PER de 17,7x. Ce ratio est nettement supérieur à la moyenne historique de la BRVM (8-12x), suggérant que le marché applique une prime de valorisation, probablement justifiée par le statut de quasi-monopole de la société dans son secteur. Le P/B de 3,74x confirme cette prime, le marché valorisant les actifs nets bien au-delà de leur valeur comptable, signe d'une anticipation de croissance future. Enfin, l'EV/EBITDA de 10,4x, bien que dans la fourchette haute (10-15x), indique que la valeur totale de l'entreprise (dette incluse) reste raisonnable par rapport à sa capacité à générer du cash opérationnel, ce qui tempère la cherté apparente du PER.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affiche une progression de +6,49%, avec une accélération notable lors de la dernière séance (+2,50%), clôturant à 4 100 FCFA. Le cours a évolué dans un range de 3 765 FCFA (plus bas) à 4 560 FCFA (plus haut), montrant une amplitude de trading de près de 800 FCFA. La moyenne du cours sur la période est de 4 032 FCFA, légèrement supérieure à la médiane de 3 932 FCFA, ce qui, combiné à un skewness positif (0,746), indique que le titre a passé plus de temps sous sa moyenne, avec des épisodes de hausse marqués. L'écart-type de 211 FCFA (CV de 5,2%) révèle une dispersion modérée des prix autour de la moyenne. Le kurtosis de -0,897 (mésokurtique) suggère l'absence de mouvements extrêmes ou de "pics" de volatilité, une distribution proche de la normale. La volatilité annualisée de 36,1% est élevée (&gt;30%), ce qui classe LNBB comme un actif à fort risque de fluctuation, malgré une tendance de fond positive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(4 100 FCFA) est inférieur à la MM20 (4 274,25 FCFA) et à la MM50 (4 183,6 FCFA). Cette configuration est baissière à court terme, mais le signal global est un "Achat" car le cours a récemment rebondi depuis ses plus bas et semble vouloir recroiser ces moyennes à la hausse, ce qui pourrait initier une nouvelle dynamique positive.</w:t>
      </w:r>
    </w:p>
    <w:p>
      <w:pPr>
        <w:spacing w:after="120" w:line="276" w:lineRule="auto"/>
      </w:pPr>
      <w:r>
        <w:t>**Bandes de Bollinger :** Le prix se situe à 4 100 FCFA, entre la borne inférieure (4 004,65 FCFA) et la borne supérieure (4 543,86 FCFA), proche de la zone médiane. La décision est "Neutre". La largeur des bandes indique une volatilité modérée, et le cours n'est pas en situation de surachat ou de survente extrême, laissant place à une évolution directionnelle.</w:t>
      </w:r>
    </w:p>
    <w:p>
      <w:pPr>
        <w:spacing w:after="120" w:line="276" w:lineRule="auto"/>
      </w:pPr>
      <w:r>
        <w:t>**MACD :** Le MACD (-12,05) est négatif et nettement inférieur à sa ligne de signal (27,79), ce qui constitue un signal de "Vente" clair. Cette configuration indique que le momentum baissier est toujours dominant à moyen terme, malgré le récent rebond du prix. Une convergence positive serait nécessaire pour invalider ce signal.</w:t>
      </w:r>
    </w:p>
    <w:p>
      <w:pPr>
        <w:spacing w:after="120" w:line="276" w:lineRule="auto"/>
      </w:pPr>
      <w:r>
        <w:t>**RSI :** Le RSI est à 42,76, une valeur neutre, loin des zones de surachat (70) ou de survente (30). Cela indique que le marché n'est pas encore dans une dynamique forte, mais qu'il n'y a pas non plus de pression vendeuse excessive. L'absence de signal directionnel fort suggère une phase d'attente.</w:t>
      </w:r>
    </w:p>
    <w:p>
      <w:pPr>
        <w:spacing w:after="120" w:line="276" w:lineRule="auto"/>
      </w:pPr>
      <w:r>
        <w:t>**Stochastique :** Le %K (17,86) est inférieur au %D (10,91), mais les deux sont en zone de survente (&lt;20). La décision est "Achat". Ce croisement en zone de survente est un signal de retournement haussier potentiel, indiquant que la pression vendeuse s'essouffle et qu'un rebond technique est probable à très court terme.</w:t>
      </w:r>
    </w:p>
    <w:p>
      <w:pPr>
        <w:spacing w:after="120" w:line="276" w:lineRule="auto"/>
      </w:pPr>
      <w:r>
        <w:t>**Conclusion technique :** Les indicateurs sont mitigés. Le MACD reste vendeur, mais le Stochastique en survente et le cours sous les moyennes mobiles suggèrent un potentiel de rebond technique. La configuration est typique d'une phase de consolidation avec un biais haussier à court terme, mais sans confirmation claire d'un retournement de tendance majeur.</w:t>
      </w:r>
    </w:p>
    <w:p>
      <w:pPr>
        <w:spacing w:after="120" w:line="276" w:lineRule="auto"/>
      </w:pPr>
      <w:r>
        <w:t>---</w:t>
      </w:r>
    </w:p>
    <w:p>
      <w:pPr>
        <w:spacing w:after="120" w:line="276" w:lineRule="auto"/>
      </w:pPr>
      <w:r>
        <w:t>### PARTIE 3 : ANALYSE FONDAMENTALE (SECTION CRITIQUE)</w:t>
      </w:r>
    </w:p>
    <w:p>
      <w:pPr>
        <w:spacing w:after="120" w:line="276" w:lineRule="auto"/>
      </w:pPr>
      <w:r>
        <w:t>En 2025, selon les états financiers annuels, LNBB a réalisé un chiffre d'affaires de 98,598 milliards FCFA, en baisse de -3,85% par rapport à 2024 (102,544 Mds). Le résultat net s'établit à 4,622 milliards FCFA, en recul de -35,6% (vs 7,176 Mds en 2024), principalement en raison de l'absence de produits exceptionnels et de la concurrence déloyale. Malgré cette baisse, la société affiche des ratios de rentabilité excellents : un ROE de 21,05% et un ROA de 14,17%, témoignant d'une gestion efficace des capitaux propres et des actifs. La structure financière est très saine avec une autonomie financière de 67,32% et un ratio d'endettement de seulement 2,57%. Le BFR est positif mais faible (217,45 M FCFA), et les délais de paiement clients (4,82 jours) et fournisseurs (20,41 jours) sont très courts, indiquant une excellente gestion de trésorerie. Les rapports trimestriels de 2026 montrent une reprise : le T1 2026 affiche un CA en hausse de 6% mais un RN en chute de 46% (mix produit défavorable), tandis que le S1 2026 (rapport du 30/07/2026) indique une croissance du CA de +4% et une explosion du résultat net de +60%, grâce à la maîtrise des charges et aux partenariats B2B. Sur la base de ces données semestrielles, on estime que l'exercice 2026 pourrait voir un résultat net en nette amélioration par rapport à 2025, potentiellement supérieur à 6 milliards FCFA, si la tendance du S1 se confirme au S2. La solidité financière, la politique de dividende généreuse (~80% de distribution) et les perspectives de redressement soutiennent une recommandation fondamentale positive.</w:t>
      </w:r>
    </w:p>
    <w:p>
      <w:pPr>
        <w:spacing w:after="120" w:line="276" w:lineRule="auto"/>
      </w:pPr>
      <w:r>
        <w:t>---</w:t>
      </w:r>
    </w:p>
    <w:p>
      <w:pPr>
        <w:spacing w:after="120" w:line="276" w:lineRule="auto"/>
      </w:pPr>
      <w:r>
        <w:t>### PARTIE 4 : CONCLUSION D'INVESTISSEMENT</w:t>
      </w:r>
    </w:p>
    <w:p>
      <w:pPr>
        <w:spacing w:after="120" w:line="276" w:lineRule="auto"/>
      </w:pPr>
      <w:r>
        <w:t>La valorisation de LNBB (PER 17,7x, P/B 3,74x) est exigeante, mais elle est contrebalancée par une rentabilité financière (ROE 21%) et une structure de bilan exceptionnelles. Le comportement du cours sur 100 jours est positif (+6,49%) avec une volatilité élevée, mais les statistiques (kurtosis, skewness) ne montrent pas de risque de krach majeur. Les signaux techniques sont mitigés : le Stochastique suggère un rebond, mais le MACD reste vendeur, indiquant une tendance incertaine à court terme. Les fondamentaux, eux, sont robustes et en voie d'amélioration en 2026, avec un résultat net en forte hausse au S1. Les prédictions IA (J+1 à J+10) montrent une légère baisse du cours vers 4 003 FCFA, ce qui contredit le signal d'achat technique mais pourrait représenter une opportunité d'entrée à un niveau plus bas. En synthèse, la convergence entre la solidité financière, les perspectives de croissance et le potentiel de rebond technique, malgré une valorisation élevée, nous conduit à une recommandation **CONSERVER**. Le niveau de confiance est **Moyen**, le risque global est **Élevé** (volatilité), et l'horizon d'investissement optimal est le **moyen terme (3-12 mois)** pour capitaliser sur le redressement attendu des résultats annuels 2026.</w:t>
      </w:r>
    </w:p>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28.08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5,360 titres</w:t>
            </w:r>
          </w:p>
        </w:tc>
        <w:tc>
          <w:tcPr>
            <w:tcW w:type="dxa" w:w="2268"/>
            <w:shd w:fill="FFF2CC" w:val="clear"/>
          </w:tcPr>
          <w:p>
            <w:r>
              <w:rPr>
                <w:b/>
                <w:color w:val="503200"/>
                <w:sz w:val="16"/>
              </w:rPr>
              <w:t xml:space="preserve">Cours actuel : </w:t>
            </w:r>
            <w:r>
              <w:rPr>
                <w:color w:val="000000"/>
                <w:sz w:val="17"/>
              </w:rPr>
              <w:t>2,200 FCFA</w:t>
            </w:r>
          </w:p>
          <w:p>
            <w:r>
              <w:rPr>
                <w:b/>
                <w:color w:val="503200"/>
                <w:sz w:val="16"/>
              </w:rPr>
              <w:t xml:space="preserve">Var. 100 jours : </w:t>
            </w:r>
            <w:r>
              <w:rPr>
                <w:b/>
                <w:color w:val="007800"/>
                <w:sz w:val="17"/>
              </w:rPr>
              <w:t>+56.03%</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18.09% (Élevée) — μ=1,934 FCFA, σ=350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β=-0.0229 (Contre-cyclique) — Cov=-0.000001, Var(idx)=0.000036, ρ=-0.004,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5,360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σ_j=3.18%/j (Modérée) — Vol. annualisée≈50.4%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1,916</w:t>
            </w:r>
          </w:p>
        </w:tc>
        <w:tc>
          <w:tcPr>
            <w:tcW w:type="dxa" w:w="1440"/>
            <w:shd w:fill="FFDCE0" w:val="clear"/>
          </w:tcPr>
          <w:p>
            <w:r>
              <w:rPr>
                <w:b/>
                <w:sz w:val="17"/>
              </w:rPr>
              <w:t>2,035</w:t>
            </w:r>
          </w:p>
        </w:tc>
        <w:tc>
          <w:tcPr>
            <w:tcW w:type="dxa" w:w="1440"/>
            <w:shd w:fill="FFDCE0" w:val="clear"/>
          </w:tcPr>
          <w:p>
            <w:r>
              <w:rPr>
                <w:sz w:val="17"/>
              </w:rPr>
              <w:t>2,154</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1,740</w:t>
            </w:r>
          </w:p>
        </w:tc>
        <w:tc>
          <w:tcPr>
            <w:tcW w:type="dxa" w:w="1440"/>
            <w:shd w:fill="FFDCE0" w:val="clear"/>
          </w:tcPr>
          <w:p>
            <w:r>
              <w:rPr>
                <w:b/>
                <w:sz w:val="17"/>
              </w:rPr>
              <w:t>1,898</w:t>
            </w:r>
          </w:p>
        </w:tc>
        <w:tc>
          <w:tcPr>
            <w:tcW w:type="dxa" w:w="1440"/>
            <w:shd w:fill="FFDCE0" w:val="clear"/>
          </w:tcPr>
          <w:p>
            <w:r>
              <w:rPr>
                <w:sz w:val="17"/>
              </w:rPr>
              <w:t>2,055</w:t>
            </w:r>
          </w:p>
        </w:tc>
        <w:tc>
          <w:tcPr>
            <w:tcW w:type="dxa" w:w="1440"/>
            <w:shd w:fill="FFDCE0" w:val="clear"/>
          </w:tcPr>
          <w:p>
            <w:r>
              <w:rPr>
                <w:b/>
                <w:color w:val="C00000"/>
                <w:sz w:val="17"/>
              </w:rPr>
              <w:t>-13.7%</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1,605</w:t>
            </w:r>
          </w:p>
        </w:tc>
        <w:tc>
          <w:tcPr>
            <w:tcW w:type="dxa" w:w="1440"/>
            <w:shd w:fill="FFDCE0" w:val="clear"/>
          </w:tcPr>
          <w:p>
            <w:r>
              <w:rPr>
                <w:b/>
                <w:sz w:val="17"/>
              </w:rPr>
              <w:t>1,787</w:t>
            </w:r>
          </w:p>
        </w:tc>
        <w:tc>
          <w:tcPr>
            <w:tcW w:type="dxa" w:w="1440"/>
            <w:shd w:fill="FFDCE0" w:val="clear"/>
          </w:tcPr>
          <w:p>
            <w:r>
              <w:rPr>
                <w:sz w:val="17"/>
              </w:rPr>
              <w:t>1,968</w:t>
            </w:r>
          </w:p>
        </w:tc>
        <w:tc>
          <w:tcPr>
            <w:tcW w:type="dxa" w:w="1440"/>
            <w:shd w:fill="FFDCE0" w:val="clear"/>
          </w:tcPr>
          <w:p>
            <w:r>
              <w:rPr>
                <w:b/>
                <w:color w:val="C00000"/>
                <w:sz w:val="17"/>
              </w:rPr>
              <w:t>-18.8%</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1,497</w:t>
            </w:r>
          </w:p>
        </w:tc>
        <w:tc>
          <w:tcPr>
            <w:tcW w:type="dxa" w:w="1440"/>
            <w:shd w:fill="FFDCE0" w:val="clear"/>
          </w:tcPr>
          <w:p>
            <w:r>
              <w:rPr>
                <w:b/>
                <w:sz w:val="17"/>
              </w:rPr>
              <w:t>1,696</w:t>
            </w:r>
          </w:p>
        </w:tc>
        <w:tc>
          <w:tcPr>
            <w:tcW w:type="dxa" w:w="1440"/>
            <w:shd w:fill="FFDCE0" w:val="clear"/>
          </w:tcPr>
          <w:p>
            <w:r>
              <w:rPr>
                <w:sz w:val="17"/>
              </w:rPr>
              <w:t>1,895</w:t>
            </w:r>
          </w:p>
        </w:tc>
        <w:tc>
          <w:tcPr>
            <w:tcW w:type="dxa" w:w="1440"/>
            <w:shd w:fill="FFDCE0" w:val="clear"/>
          </w:tcPr>
          <w:p>
            <w:r>
              <w:rPr>
                <w:b/>
                <w:color w:val="C00000"/>
                <w:sz w:val="17"/>
              </w:rPr>
              <w:t>-22.9%</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1,409</w:t>
            </w:r>
          </w:p>
        </w:tc>
        <w:tc>
          <w:tcPr>
            <w:tcW w:type="dxa" w:w="1440"/>
            <w:shd w:fill="FFDCE0" w:val="clear"/>
          </w:tcPr>
          <w:p>
            <w:r>
              <w:rPr>
                <w:b/>
                <w:sz w:val="17"/>
              </w:rPr>
              <w:t>1,622</w:t>
            </w:r>
          </w:p>
        </w:tc>
        <w:tc>
          <w:tcPr>
            <w:tcW w:type="dxa" w:w="1440"/>
            <w:shd w:fill="FFDCE0" w:val="clear"/>
          </w:tcPr>
          <w:p>
            <w:r>
              <w:rPr>
                <w:sz w:val="17"/>
              </w:rPr>
              <w:t>1,834</w:t>
            </w:r>
          </w:p>
        </w:tc>
        <w:tc>
          <w:tcPr>
            <w:tcW w:type="dxa" w:w="1440"/>
            <w:shd w:fill="FFDCE0" w:val="clear"/>
          </w:tcPr>
          <w:p>
            <w:r>
              <w:rPr>
                <w:b/>
                <w:color w:val="C00000"/>
                <w:sz w:val="17"/>
              </w:rPr>
              <w:t>-26.3%</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1,334</w:t>
            </w:r>
          </w:p>
        </w:tc>
        <w:tc>
          <w:tcPr>
            <w:tcW w:type="dxa" w:w="1440"/>
            <w:shd w:fill="FFDCE0" w:val="clear"/>
          </w:tcPr>
          <w:p>
            <w:r>
              <w:rPr>
                <w:b/>
                <w:sz w:val="17"/>
              </w:rPr>
              <w:t>1,558</w:t>
            </w:r>
          </w:p>
        </w:tc>
        <w:tc>
          <w:tcPr>
            <w:tcW w:type="dxa" w:w="1440"/>
            <w:shd w:fill="FFDCE0" w:val="clear"/>
          </w:tcPr>
          <w:p>
            <w:r>
              <w:rPr>
                <w:sz w:val="17"/>
              </w:rPr>
              <w:t>1,781</w:t>
            </w:r>
          </w:p>
        </w:tc>
        <w:tc>
          <w:tcPr>
            <w:tcW w:type="dxa" w:w="1440"/>
            <w:shd w:fill="FFDCE0" w:val="clear"/>
          </w:tcPr>
          <w:p>
            <w:r>
              <w:rPr>
                <w:b/>
                <w:color w:val="C00000"/>
                <w:sz w:val="17"/>
              </w:rPr>
              <w:t>-29.2%</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1,268</w:t>
            </w:r>
          </w:p>
        </w:tc>
        <w:tc>
          <w:tcPr>
            <w:tcW w:type="dxa" w:w="1440"/>
            <w:shd w:fill="FFDCE0" w:val="clear"/>
          </w:tcPr>
          <w:p>
            <w:r>
              <w:rPr>
                <w:b/>
                <w:sz w:val="17"/>
              </w:rPr>
              <w:t>1,501</w:t>
            </w:r>
          </w:p>
        </w:tc>
        <w:tc>
          <w:tcPr>
            <w:tcW w:type="dxa" w:w="1440"/>
            <w:shd w:fill="FFDCE0" w:val="clear"/>
          </w:tcPr>
          <w:p>
            <w:r>
              <w:rPr>
                <w:sz w:val="17"/>
              </w:rPr>
              <w:t>1,734</w:t>
            </w:r>
          </w:p>
        </w:tc>
        <w:tc>
          <w:tcPr>
            <w:tcW w:type="dxa" w:w="1440"/>
            <w:shd w:fill="FFDCE0" w:val="clear"/>
          </w:tcPr>
          <w:p>
            <w:r>
              <w:rPr>
                <w:b/>
                <w:color w:val="C00000"/>
                <w:sz w:val="17"/>
              </w:rPr>
              <w:t>-31.8%</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1,210</w:t>
            </w:r>
          </w:p>
        </w:tc>
        <w:tc>
          <w:tcPr>
            <w:tcW w:type="dxa" w:w="1440"/>
            <w:shd w:fill="FFDCE0" w:val="clear"/>
          </w:tcPr>
          <w:p>
            <w:r>
              <w:rPr>
                <w:b/>
                <w:sz w:val="17"/>
              </w:rPr>
              <w:t>1,451</w:t>
            </w:r>
          </w:p>
        </w:tc>
        <w:tc>
          <w:tcPr>
            <w:tcW w:type="dxa" w:w="1440"/>
            <w:shd w:fill="FFDCE0" w:val="clear"/>
          </w:tcPr>
          <w:p>
            <w:r>
              <w:rPr>
                <w:sz w:val="17"/>
              </w:rPr>
              <w:t>1,692</w:t>
            </w:r>
          </w:p>
        </w:tc>
        <w:tc>
          <w:tcPr>
            <w:tcW w:type="dxa" w:w="1440"/>
            <w:shd w:fill="FFDCE0" w:val="clear"/>
          </w:tcPr>
          <w:p>
            <w:r>
              <w:rPr>
                <w:b/>
                <w:color w:val="C00000"/>
                <w:sz w:val="17"/>
              </w:rPr>
              <w:t>-34.0%</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1,158</w:t>
            </w:r>
          </w:p>
        </w:tc>
        <w:tc>
          <w:tcPr>
            <w:tcW w:type="dxa" w:w="1440"/>
            <w:shd w:fill="FFDCE0" w:val="clear"/>
          </w:tcPr>
          <w:p>
            <w:r>
              <w:rPr>
                <w:b/>
                <w:sz w:val="17"/>
              </w:rPr>
              <w:t>1,406</w:t>
            </w:r>
          </w:p>
        </w:tc>
        <w:tc>
          <w:tcPr>
            <w:tcW w:type="dxa" w:w="1440"/>
            <w:shd w:fill="FFDCE0" w:val="clear"/>
          </w:tcPr>
          <w:p>
            <w:r>
              <w:rPr>
                <w:sz w:val="17"/>
              </w:rPr>
              <w:t>1,653</w:t>
            </w:r>
          </w:p>
        </w:tc>
        <w:tc>
          <w:tcPr>
            <w:tcW w:type="dxa" w:w="1440"/>
            <w:shd w:fill="FFDCE0" w:val="clear"/>
          </w:tcPr>
          <w:p>
            <w:r>
              <w:rPr>
                <w:b/>
                <w:color w:val="C00000"/>
                <w:sz w:val="17"/>
              </w:rPr>
              <w:t>-36.1%</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1,111</w:t>
            </w:r>
          </w:p>
        </w:tc>
        <w:tc>
          <w:tcPr>
            <w:tcW w:type="dxa" w:w="1440"/>
            <w:shd w:fill="FFDCE0" w:val="clear"/>
          </w:tcPr>
          <w:p>
            <w:r>
              <w:rPr>
                <w:b/>
                <w:sz w:val="17"/>
              </w:rPr>
              <w:t>1,364</w:t>
            </w:r>
          </w:p>
        </w:tc>
        <w:tc>
          <w:tcPr>
            <w:tcW w:type="dxa" w:w="1440"/>
            <w:shd w:fill="FFDCE0" w:val="clear"/>
          </w:tcPr>
          <w:p>
            <w:r>
              <w:rPr>
                <w:sz w:val="17"/>
              </w:rPr>
              <w:t>1,617</w:t>
            </w:r>
          </w:p>
        </w:tc>
        <w:tc>
          <w:tcPr>
            <w:tcW w:type="dxa" w:w="1440"/>
            <w:shd w:fill="FFDCE0" w:val="clear"/>
          </w:tcPr>
          <w:p>
            <w:r>
              <w:rPr>
                <w:b/>
                <w:color w:val="C00000"/>
                <w:sz w:val="17"/>
              </w:rPr>
              <w:t>-38.0%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28,08 milliards FCFA, un niveau modeste dans le contexte de la BRVM, qui positionne la société comme une valeur de taille moyenne. Le BPA de 160 FCFA indique que chaque action génère un bénéfice de 160 FCFA, ce qui, rapporté au cours actuel de 2 200 FCFA, donne un PER de 13,8x. Ce ratio est supérieur à la moyenne historique de la BRVM (8-12x), suggérant que les investisseurs paient une prime relative pour la croissance anticipée. Le P/B de 4,88x est particulièrement exigeant, le marché valorisant le titre près de cinq fois sa valeur comptable, ce qui reflète des attentes élevées de rentabilité future. Enfin, l'EV/EBITDA de 20,4x confirme cette valorisation tendue, la valeur d'entreprise représentant plus de vingt fois le résultat opérationnel brut, un niveau qui laisse peu de marge d'erreur en cas de déception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NEIC a enregistré une progression spectaculaire de +56,03%, passant d'un plus bas de 1 350 FCFA à un plus haut de 2 400 FCFA, avant de se stabiliser à 2 200 FCFA lors de la dernière séance, sans variation notable. La moyenne du cours sur la période s'établit à 1 934 FCFA, tandis que la médiane est de 1 990 FCFA, un écart qui, combiné à une asymétrie négative (skewness de -0,510), indique que le titre a passé plus de journées au-dessus de sa moyenne, avec des phases de correction rapides. L'écart-type de 352 FCFA (coefficient de variation de 18,2%) témoigne d'une dispersion modérée, tandis que le kurtosis de -1,191 (distribution platykurtique) révèle une absence de mouvements extrêmes, les variations étant relativement régulières. La volatilité annualisée de 50,4% classe le titre dans la catégorie des valeurs à risque élevé, bien au-delà du seuil de 30%, ce qui implique des fluctuations importantes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2 200 FCFA se situe sous la MM20 (2 242,75 FCFA) mais au-dessus de la MM50 (2 224,7 FCFA), une configuration qui suggère une consolidation après une phase haussière. La proximité de ces deux moyennes indique un équilibre précaire, mais la décision d'achat émise par cet indicateur reflète la tendance de fond positive sur le moyen terme.</w:t>
      </w:r>
    </w:p>
    <w:p>
      <w:pPr>
        <w:spacing w:after="120" w:line="276" w:lineRule="auto"/>
      </w:pPr>
      <w:r>
        <w:t>**Bandes de Bollinger** : Le prix évolue entre la borne inférieure (2 145,716 FCFA) et la borne supérieure (2 339,784 FCFA), se positionnant légèrement sous la moyenne. Cette position neutre indique une volatilité modérée, sans pression excessive à la hausse ou à la baisse, le marché attendant un signal directionnel clair.</w:t>
      </w:r>
    </w:p>
    <w:p>
      <w:pPr>
        <w:spacing w:after="120" w:line="276" w:lineRule="auto"/>
      </w:pPr>
      <w:r>
        <w:t>**MACD** : La valeur du MACD (5,147) est inférieure à son signal (14,076), générant une décision de vente. Cette configuration baissière traduit un affaiblissement du momentum haussier, les moyennes mobiles rapides et lentes convergeant, ce qui pourrait précéder une correction ou une phase de consolidation prolongée.</w:t>
      </w:r>
    </w:p>
    <w:p>
      <w:pPr>
        <w:spacing w:after="120" w:line="276" w:lineRule="auto"/>
      </w:pPr>
      <w:r>
        <w:t>**RSI** : À 44,444, le RSI se situe dans la zone neutre (30-70), indiquant que le titre n'est ni suracheté ni survendu. Cette valeur reflète une perte d'élan après la forte hausse, mais sans signal extrême, laissant la porte ouverte à une reprise ou à une poursuite de la baisse.</w:t>
      </w:r>
    </w:p>
    <w:p>
      <w:pPr>
        <w:spacing w:after="120" w:line="276" w:lineRule="auto"/>
      </w:pPr>
      <w:r>
        <w:t>**Stochastique** : Le %K (45,946) est inférieur au %D (56,757), suggérant une dynamique baissière à court terme. Ce croisement négatif, bien que modéré, indique que les acheteurs perdent du terrain face aux vendeurs, mais sans atteindre des niveaux de survente qui justifieraient un rebond imminent.</w:t>
      </w:r>
    </w:p>
    <w:p>
      <w:pPr>
        <w:spacing w:after="120" w:line="276" w:lineRule="auto"/>
      </w:pPr>
      <w:r>
        <w:t>**Conclusion technique** : La convergence des indicateurs est mitigée, avec des signaux d'achat (moyennes mobiles) contrebalancés par des signaux de vente (MACD) et des positions neutres (Bollinger, RSI, Stochastique). Cette divergence suggère une phase de transition, le titre consolidant ses gains récents sans direction claire, avec un biais légèrement négatif à court terme.</w:t>
      </w:r>
    </w:p>
    <w:p>
      <w:pPr>
        <w:spacing w:after="120" w:line="276" w:lineRule="auto" w:before="240"/>
      </w:pPr>
      <w:r>
        <w:rPr>
          <w:b/>
          <w:color w:val="003366"/>
          <w:sz w:val="24"/>
        </w:rPr>
        <w:t>**PARTIE 3 : ANALYSE FONDAMENTALE (SECTION CRITIQUE)**</w:t>
      </w:r>
    </w:p>
    <w:p>
      <w:pPr>
        <w:spacing w:after="120" w:line="276" w:lineRule="auto"/>
      </w:pPr>
      <w:r>
        <w:t>En 2025, NEIC affiche des résultats annuels solides avec un chiffre d'affaires de 5,139 milliards FCFA, en baisse de 23,8% par rapport à l'exercice précédent, mais un résultat net exceptionnel de 2,037 milliards FCFA, porté par des éléments non récurrents. La marge nette atteint 39,6%, un niveau remarquable, tandis que le ROE de 35,4% et le ROA de 27,3% témoignent d'une excellente rentabilité des fonds propres et des actifs. La structure financière est saine avec une autonomie financière de 77% et une trésorerie de 4,196 milliards FCFA, mais le flux opérationnel négatif de -527 millions FCFA et le free cash flow de -565,9 millions FCFA soulèvent des questions sur la génération de liquidités. Le délai clients de 154,7 jours est préoccupant, représentant un risque de trésorerie significatif. Les rapports trimestriels 2025 montrent une forte saisonnalité : le T1 est déficitaire (-189,9 millions FCFA) avec un CA effondré à 48,5 millions FCFA, tandis que le T3 affiche un bénéfice de 1,596 milliard FCFA grâce à une reprise de provision. Le rapport 2026 indique une croissance du CA de +137% au T1, mais une perte persistante de -168,9 millions FCFA. Les états financiers 2024 certifiés montraient une perte de 759 millions FCFA, contrastant avec la performance 2025, suggérant une volatilité des résultats. La solidité financière est réelle, mais la dépendance aux éléments exceptionnels et la dégradation du CA constituent des risques majeurs pour la pérennité de la performance.</w:t>
      </w:r>
    </w:p>
    <w:p>
      <w:pPr>
        <w:spacing w:after="120" w:line="276" w:lineRule="auto" w:before="240"/>
      </w:pPr>
      <w:r>
        <w:rPr>
          <w:b/>
          <w:color w:val="003366"/>
          <w:sz w:val="24"/>
        </w:rPr>
        <w:t>**PARTIE 4 : CONCLUSION D'INVESTISSEMENT**</w:t>
      </w:r>
    </w:p>
    <w:p>
      <w:pPr>
        <w:spacing w:after="120" w:line="276" w:lineRule="auto"/>
      </w:pPr>
      <w:r>
        <w:t>La valorisation de NEIC est exigeante, avec un PER de 13,8x et un P/B de 4,88x qui intègrent des attentes élevées, difficilement justifiables face à un chiffre d'affaires en baisse de 23,8% en 2025. Le comportement du cours sur 100 jours montre une hausse de 56%, mais avec une volatilité annualisée de 50,4% et une distribution platykurtique indiquant des mouvements réguliers sans extrêmes, ce qui rend le titre risqué. Les signaux techniques sont mitigés, les moyennes mobiles suggérant un achat tandis que le MACD émet un signal de vente, traduisant une consolidation incertaine. Sur le plan fondamental, la société affiche une rentabilité exceptionnelle (ROE de 35,4%) et une trésorerie solide, mais la dépendance aux éléments non récurrents et la détérioration du CA sont des signaux d'alerte. Les prédictions IA pour les 10 prochains jours indiquent une trajectoire baissière, le cours passant de 2 035 à 1 622 FCFA, contredisant les signaux des moyennes mobiles mais confirmant les signaux du MACD. En synthèse, la convergence entre la valorisation tendue, les signaux techniques mitigés et les prédictions baissières conduit à une recommandation de **CONSERVER**, avec un niveau de confiance **Moyen** et un risque global **Élevé**. L'horizon d'investissement optimal serait à **moyen terme (3-12 mois)**, en attendant une stabilisation du chiffre d'affaires et une clarification de la stratégie de redressement.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569.27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1,916 titres</w:t>
            </w:r>
          </w:p>
        </w:tc>
        <w:tc>
          <w:tcPr>
            <w:tcW w:type="dxa" w:w="2268"/>
            <w:shd w:fill="FFF2CC" w:val="clear"/>
          </w:tcPr>
          <w:p>
            <w:r>
              <w:rPr>
                <w:b/>
                <w:color w:val="503200"/>
                <w:sz w:val="16"/>
              </w:rPr>
              <w:t xml:space="preserve">Cours actuel : </w:t>
            </w:r>
            <w:r>
              <w:rPr>
                <w:color w:val="000000"/>
                <w:sz w:val="17"/>
              </w:rPr>
              <w:t>23,015 FCFA</w:t>
            </w:r>
          </w:p>
          <w:p>
            <w:r>
              <w:rPr>
                <w:b/>
                <w:color w:val="503200"/>
                <w:sz w:val="16"/>
              </w:rPr>
              <w:t xml:space="preserve">Var. 100 jours : </w:t>
            </w:r>
            <w:r>
              <w:rPr>
                <w:b/>
                <w:color w:val="007800"/>
                <w:sz w:val="17"/>
              </w:rPr>
              <w:t>+64.39%</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19.88% (Élevée) — μ=18,165 FCFA, σ=3,612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β=1.3693 (Agressif) — Cov=0.000050, Var(idx)=0.000036, ρ=0.348,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1,916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2026-08-17</w:t>
            </w:r>
          </w:p>
        </w:tc>
        <w:tc>
          <w:tcPr>
            <w:tcW w:type="dxa" w:w="1440"/>
            <w:shd w:fill="C6EFCE" w:val="clear"/>
          </w:tcPr>
          <w:p>
            <w:r>
              <w:rPr>
                <w:sz w:val="17"/>
              </w:rPr>
              <w:t>22,606</w:t>
            </w:r>
          </w:p>
        </w:tc>
        <w:tc>
          <w:tcPr>
            <w:tcW w:type="dxa" w:w="1440"/>
            <w:shd w:fill="C6EFCE" w:val="clear"/>
          </w:tcPr>
          <w:p>
            <w:r>
              <w:rPr>
                <w:b/>
                <w:sz w:val="17"/>
              </w:rPr>
              <w:t>23,628</w:t>
            </w:r>
          </w:p>
        </w:tc>
        <w:tc>
          <w:tcPr>
            <w:tcW w:type="dxa" w:w="1440"/>
            <w:shd w:fill="C6EFCE" w:val="clear"/>
          </w:tcPr>
          <w:p>
            <w:r>
              <w:rPr>
                <w:sz w:val="17"/>
              </w:rPr>
              <w:t>24,650</w:t>
            </w:r>
          </w:p>
        </w:tc>
        <w:tc>
          <w:tcPr>
            <w:tcW w:type="dxa" w:w="1440"/>
            <w:shd w:fill="C6EFCE" w:val="clear"/>
          </w:tcPr>
          <w:p>
            <w:r>
              <w:rPr>
                <w:b/>
                <w:color w:val="008000"/>
                <w:sz w:val="17"/>
              </w:rPr>
              <w:t>+2.7%</w:t>
            </w:r>
          </w:p>
        </w:tc>
      </w:tr>
      <w:tr>
        <w:tc>
          <w:tcPr>
            <w:tcW w:type="dxa" w:w="1440"/>
            <w:shd w:fill="C6EFCE" w:val="clear"/>
          </w:tcPr>
          <w:p>
            <w:r>
              <w:rPr>
                <w:sz w:val="17"/>
              </w:rPr>
              <w:t>J+2  Moyenne</w:t>
            </w:r>
          </w:p>
        </w:tc>
        <w:tc>
          <w:tcPr>
            <w:tcW w:type="dxa" w:w="1440"/>
            <w:shd w:fill="C6EFCE" w:val="clear"/>
          </w:tcPr>
          <w:p>
            <w:r>
              <w:rPr>
                <w:sz w:val="17"/>
              </w:rPr>
              <w:t>2026-08-18</w:t>
            </w:r>
          </w:p>
        </w:tc>
        <w:tc>
          <w:tcPr>
            <w:tcW w:type="dxa" w:w="1440"/>
            <w:shd w:fill="C6EFCE" w:val="clear"/>
          </w:tcPr>
          <w:p>
            <w:r>
              <w:rPr>
                <w:sz w:val="17"/>
              </w:rPr>
              <w:t>22,597</w:t>
            </w:r>
          </w:p>
        </w:tc>
        <w:tc>
          <w:tcPr>
            <w:tcW w:type="dxa" w:w="1440"/>
            <w:shd w:fill="C6EFCE" w:val="clear"/>
          </w:tcPr>
          <w:p>
            <w:r>
              <w:rPr>
                <w:b/>
                <w:sz w:val="17"/>
              </w:rPr>
              <w:t>24,068</w:t>
            </w:r>
          </w:p>
        </w:tc>
        <w:tc>
          <w:tcPr>
            <w:tcW w:type="dxa" w:w="1440"/>
            <w:shd w:fill="C6EFCE" w:val="clear"/>
          </w:tcPr>
          <w:p>
            <w:r>
              <w:rPr>
                <w:sz w:val="17"/>
              </w:rPr>
              <w:t>25,540</w:t>
            </w:r>
          </w:p>
        </w:tc>
        <w:tc>
          <w:tcPr>
            <w:tcW w:type="dxa" w:w="1440"/>
            <w:shd w:fill="C6EFCE" w:val="clear"/>
          </w:tcPr>
          <w:p>
            <w:r>
              <w:rPr>
                <w:b/>
                <w:color w:val="008000"/>
                <w:sz w:val="17"/>
              </w:rPr>
              <w:t>+4.6%</w:t>
            </w:r>
          </w:p>
        </w:tc>
      </w:tr>
      <w:tr>
        <w:tc>
          <w:tcPr>
            <w:tcW w:type="dxa" w:w="1440"/>
            <w:shd w:fill="C6EFCE" w:val="clear"/>
          </w:tcPr>
          <w:p>
            <w:r>
              <w:rPr>
                <w:sz w:val="17"/>
              </w:rPr>
              <w:t>J+3  Moyenne</w:t>
            </w:r>
          </w:p>
        </w:tc>
        <w:tc>
          <w:tcPr>
            <w:tcW w:type="dxa" w:w="1440"/>
            <w:shd w:fill="C6EFCE" w:val="clear"/>
          </w:tcPr>
          <w:p>
            <w:r>
              <w:rPr>
                <w:sz w:val="17"/>
              </w:rPr>
              <w:t>2026-08-19</w:t>
            </w:r>
          </w:p>
        </w:tc>
        <w:tc>
          <w:tcPr>
            <w:tcW w:type="dxa" w:w="1440"/>
            <w:shd w:fill="C6EFCE" w:val="clear"/>
          </w:tcPr>
          <w:p>
            <w:r>
              <w:rPr>
                <w:sz w:val="17"/>
              </w:rPr>
              <w:t>22,651</w:t>
            </w:r>
          </w:p>
        </w:tc>
        <w:tc>
          <w:tcPr>
            <w:tcW w:type="dxa" w:w="1440"/>
            <w:shd w:fill="C6EFCE" w:val="clear"/>
          </w:tcPr>
          <w:p>
            <w:r>
              <w:rPr>
                <w:b/>
                <w:sz w:val="17"/>
              </w:rPr>
              <w:t>24,485</w:t>
            </w:r>
          </w:p>
        </w:tc>
        <w:tc>
          <w:tcPr>
            <w:tcW w:type="dxa" w:w="1440"/>
            <w:shd w:fill="C6EFCE" w:val="clear"/>
          </w:tcPr>
          <w:p>
            <w:r>
              <w:rPr>
                <w:sz w:val="17"/>
              </w:rPr>
              <w:t>26,319</w:t>
            </w:r>
          </w:p>
        </w:tc>
        <w:tc>
          <w:tcPr>
            <w:tcW w:type="dxa" w:w="1440"/>
            <w:shd w:fill="C6EFCE" w:val="clear"/>
          </w:tcPr>
          <w:p>
            <w:r>
              <w:rPr>
                <w:b/>
                <w:color w:val="008000"/>
                <w:sz w:val="17"/>
              </w:rPr>
              <w:t>+6.4%</w:t>
            </w:r>
          </w:p>
        </w:tc>
      </w:tr>
      <w:tr>
        <w:tc>
          <w:tcPr>
            <w:tcW w:type="dxa" w:w="1440"/>
            <w:shd w:fill="C6EFCE" w:val="clear"/>
          </w:tcPr>
          <w:p>
            <w:r>
              <w:rPr>
                <w:sz w:val="17"/>
              </w:rPr>
              <w:t>J+4  ⭐</w:t>
            </w:r>
          </w:p>
        </w:tc>
        <w:tc>
          <w:tcPr>
            <w:tcW w:type="dxa" w:w="1440"/>
            <w:shd w:fill="C6EFCE" w:val="clear"/>
          </w:tcPr>
          <w:p>
            <w:r>
              <w:rPr>
                <w:sz w:val="17"/>
              </w:rPr>
              <w:t>2026-08-20</w:t>
            </w:r>
          </w:p>
        </w:tc>
        <w:tc>
          <w:tcPr>
            <w:tcW w:type="dxa" w:w="1440"/>
            <w:shd w:fill="C6EFCE" w:val="clear"/>
          </w:tcPr>
          <w:p>
            <w:r>
              <w:rPr>
                <w:sz w:val="17"/>
              </w:rPr>
              <w:t>22,732</w:t>
            </w:r>
          </w:p>
        </w:tc>
        <w:tc>
          <w:tcPr>
            <w:tcW w:type="dxa" w:w="1440"/>
            <w:shd w:fill="C6EFCE" w:val="clear"/>
          </w:tcPr>
          <w:p>
            <w:r>
              <w:rPr>
                <w:b/>
                <w:sz w:val="17"/>
              </w:rPr>
              <w:t>24,884</w:t>
            </w:r>
          </w:p>
        </w:tc>
        <w:tc>
          <w:tcPr>
            <w:tcW w:type="dxa" w:w="1440"/>
            <w:shd w:fill="C6EFCE" w:val="clear"/>
          </w:tcPr>
          <w:p>
            <w:r>
              <w:rPr>
                <w:sz w:val="17"/>
              </w:rPr>
              <w:t>27,035</w:t>
            </w:r>
          </w:p>
        </w:tc>
        <w:tc>
          <w:tcPr>
            <w:tcW w:type="dxa" w:w="1440"/>
            <w:shd w:fill="C6EFCE" w:val="clear"/>
          </w:tcPr>
          <w:p>
            <w:r>
              <w:rPr>
                <w:b/>
                <w:color w:val="008000"/>
                <w:sz w:val="17"/>
              </w:rPr>
              <w:t>+8.1%</w:t>
            </w:r>
          </w:p>
        </w:tc>
      </w:tr>
      <w:tr>
        <w:tc>
          <w:tcPr>
            <w:tcW w:type="dxa" w:w="1440"/>
            <w:shd w:fill="C6EFCE" w:val="clear"/>
          </w:tcPr>
          <w:p>
            <w:r>
              <w:rPr>
                <w:sz w:val="17"/>
              </w:rPr>
              <w:t>J+5  ⭐</w:t>
            </w:r>
          </w:p>
        </w:tc>
        <w:tc>
          <w:tcPr>
            <w:tcW w:type="dxa" w:w="1440"/>
            <w:shd w:fill="C6EFCE" w:val="clear"/>
          </w:tcPr>
          <w:p>
            <w:r>
              <w:rPr>
                <w:sz w:val="17"/>
              </w:rPr>
              <w:t>2026-08-21</w:t>
            </w:r>
          </w:p>
        </w:tc>
        <w:tc>
          <w:tcPr>
            <w:tcW w:type="dxa" w:w="1440"/>
            <w:shd w:fill="C6EFCE" w:val="clear"/>
          </w:tcPr>
          <w:p>
            <w:r>
              <w:rPr>
                <w:sz w:val="17"/>
              </w:rPr>
              <w:t>22,833</w:t>
            </w:r>
          </w:p>
        </w:tc>
        <w:tc>
          <w:tcPr>
            <w:tcW w:type="dxa" w:w="1440"/>
            <w:shd w:fill="C6EFCE" w:val="clear"/>
          </w:tcPr>
          <w:p>
            <w:r>
              <w:rPr>
                <w:b/>
                <w:sz w:val="17"/>
              </w:rPr>
              <w:t>25,277</w:t>
            </w:r>
          </w:p>
        </w:tc>
        <w:tc>
          <w:tcPr>
            <w:tcW w:type="dxa" w:w="1440"/>
            <w:shd w:fill="C6EFCE" w:val="clear"/>
          </w:tcPr>
          <w:p>
            <w:r>
              <w:rPr>
                <w:sz w:val="17"/>
              </w:rPr>
              <w:t>27,721</w:t>
            </w:r>
          </w:p>
        </w:tc>
        <w:tc>
          <w:tcPr>
            <w:tcW w:type="dxa" w:w="1440"/>
            <w:shd w:fill="C6EFCE" w:val="clear"/>
          </w:tcPr>
          <w:p>
            <w:r>
              <w:rPr>
                <w:b/>
                <w:color w:val="008000"/>
                <w:sz w:val="17"/>
              </w:rPr>
              <w:t>+9.8%</w:t>
            </w:r>
          </w:p>
        </w:tc>
      </w:tr>
      <w:tr>
        <w:tc>
          <w:tcPr>
            <w:tcW w:type="dxa" w:w="1440"/>
            <w:shd w:fill="C6EFCE" w:val="clear"/>
          </w:tcPr>
          <w:p>
            <w:r>
              <w:rPr>
                <w:sz w:val="17"/>
              </w:rPr>
              <w:t>J+6  ⭐</w:t>
            </w:r>
          </w:p>
        </w:tc>
        <w:tc>
          <w:tcPr>
            <w:tcW w:type="dxa" w:w="1440"/>
            <w:shd w:fill="C6EFCE" w:val="clear"/>
          </w:tcPr>
          <w:p>
            <w:r>
              <w:rPr>
                <w:sz w:val="17"/>
              </w:rPr>
              <w:t>2026-08-24</w:t>
            </w:r>
          </w:p>
        </w:tc>
        <w:tc>
          <w:tcPr>
            <w:tcW w:type="dxa" w:w="1440"/>
            <w:shd w:fill="C6EFCE" w:val="clear"/>
          </w:tcPr>
          <w:p>
            <w:r>
              <w:rPr>
                <w:sz w:val="17"/>
              </w:rPr>
              <w:t>22,949</w:t>
            </w:r>
          </w:p>
        </w:tc>
        <w:tc>
          <w:tcPr>
            <w:tcW w:type="dxa" w:w="1440"/>
            <w:shd w:fill="C6EFCE" w:val="clear"/>
          </w:tcPr>
          <w:p>
            <w:r>
              <w:rPr>
                <w:b/>
                <w:sz w:val="17"/>
              </w:rPr>
              <w:t>25,667</w:t>
            </w:r>
          </w:p>
        </w:tc>
        <w:tc>
          <w:tcPr>
            <w:tcW w:type="dxa" w:w="1440"/>
            <w:shd w:fill="C6EFCE" w:val="clear"/>
          </w:tcPr>
          <w:p>
            <w:r>
              <w:rPr>
                <w:sz w:val="17"/>
              </w:rPr>
              <w:t>28,386</w:t>
            </w:r>
          </w:p>
        </w:tc>
        <w:tc>
          <w:tcPr>
            <w:tcW w:type="dxa" w:w="1440"/>
            <w:shd w:fill="C6EFCE" w:val="clear"/>
          </w:tcPr>
          <w:p>
            <w:r>
              <w:rPr>
                <w:b/>
                <w:color w:val="008000"/>
                <w:sz w:val="17"/>
              </w:rPr>
              <w:t>+11.5%</w:t>
            </w:r>
          </w:p>
        </w:tc>
      </w:tr>
      <w:tr>
        <w:tc>
          <w:tcPr>
            <w:tcW w:type="dxa" w:w="1440"/>
            <w:shd w:fill="C6EFCE" w:val="clear"/>
          </w:tcPr>
          <w:p>
            <w:r>
              <w:rPr>
                <w:sz w:val="17"/>
              </w:rPr>
              <w:t>J+7  ⭐</w:t>
            </w:r>
          </w:p>
        </w:tc>
        <w:tc>
          <w:tcPr>
            <w:tcW w:type="dxa" w:w="1440"/>
            <w:shd w:fill="C6EFCE" w:val="clear"/>
          </w:tcPr>
          <w:p>
            <w:r>
              <w:rPr>
                <w:sz w:val="17"/>
              </w:rPr>
              <w:t>2026-08-25</w:t>
            </w:r>
          </w:p>
        </w:tc>
        <w:tc>
          <w:tcPr>
            <w:tcW w:type="dxa" w:w="1440"/>
            <w:shd w:fill="C6EFCE" w:val="clear"/>
          </w:tcPr>
          <w:p>
            <w:r>
              <w:rPr>
                <w:sz w:val="17"/>
              </w:rPr>
              <w:t>23,075</w:t>
            </w:r>
          </w:p>
        </w:tc>
        <w:tc>
          <w:tcPr>
            <w:tcW w:type="dxa" w:w="1440"/>
            <w:shd w:fill="C6EFCE" w:val="clear"/>
          </w:tcPr>
          <w:p>
            <w:r>
              <w:rPr>
                <w:b/>
                <w:sz w:val="17"/>
              </w:rPr>
              <w:t>26,056</w:t>
            </w:r>
          </w:p>
        </w:tc>
        <w:tc>
          <w:tcPr>
            <w:tcW w:type="dxa" w:w="1440"/>
            <w:shd w:fill="C6EFCE" w:val="clear"/>
          </w:tcPr>
          <w:p>
            <w:r>
              <w:rPr>
                <w:sz w:val="17"/>
              </w:rPr>
              <w:t>29,036</w:t>
            </w:r>
          </w:p>
        </w:tc>
        <w:tc>
          <w:tcPr>
            <w:tcW w:type="dxa" w:w="1440"/>
            <w:shd w:fill="C6EFCE" w:val="clear"/>
          </w:tcPr>
          <w:p>
            <w:r>
              <w:rPr>
                <w:b/>
                <w:color w:val="008000"/>
                <w:sz w:val="17"/>
              </w:rPr>
              <w:t>+13.2%</w:t>
            </w:r>
          </w:p>
        </w:tc>
      </w:tr>
      <w:tr>
        <w:tc>
          <w:tcPr>
            <w:tcW w:type="dxa" w:w="1440"/>
            <w:shd w:fill="C6EFCE" w:val="clear"/>
          </w:tcPr>
          <w:p>
            <w:r>
              <w:rPr>
                <w:sz w:val="17"/>
              </w:rPr>
              <w:t>J+8  ⭐</w:t>
            </w:r>
          </w:p>
        </w:tc>
        <w:tc>
          <w:tcPr>
            <w:tcW w:type="dxa" w:w="1440"/>
            <w:shd w:fill="C6EFCE" w:val="clear"/>
          </w:tcPr>
          <w:p>
            <w:r>
              <w:rPr>
                <w:sz w:val="17"/>
              </w:rPr>
              <w:t>2026-08-27</w:t>
            </w:r>
          </w:p>
        </w:tc>
        <w:tc>
          <w:tcPr>
            <w:tcW w:type="dxa" w:w="1440"/>
            <w:shd w:fill="C6EFCE" w:val="clear"/>
          </w:tcPr>
          <w:p>
            <w:r>
              <w:rPr>
                <w:sz w:val="17"/>
              </w:rPr>
              <w:t>23,209</w:t>
            </w:r>
          </w:p>
        </w:tc>
        <w:tc>
          <w:tcPr>
            <w:tcW w:type="dxa" w:w="1440"/>
            <w:shd w:fill="C6EFCE" w:val="clear"/>
          </w:tcPr>
          <w:p>
            <w:r>
              <w:rPr>
                <w:b/>
                <w:sz w:val="17"/>
              </w:rPr>
              <w:t>26,443</w:t>
            </w:r>
          </w:p>
        </w:tc>
        <w:tc>
          <w:tcPr>
            <w:tcW w:type="dxa" w:w="1440"/>
            <w:shd w:fill="C6EFCE" w:val="clear"/>
          </w:tcPr>
          <w:p>
            <w:r>
              <w:rPr>
                <w:sz w:val="17"/>
              </w:rPr>
              <w:t>29,676</w:t>
            </w:r>
          </w:p>
        </w:tc>
        <w:tc>
          <w:tcPr>
            <w:tcW w:type="dxa" w:w="1440"/>
            <w:shd w:fill="C6EFCE" w:val="clear"/>
          </w:tcPr>
          <w:p>
            <w:r>
              <w:rPr>
                <w:b/>
                <w:color w:val="008000"/>
                <w:sz w:val="17"/>
              </w:rPr>
              <w:t>+14.9%</w:t>
            </w:r>
          </w:p>
        </w:tc>
      </w:tr>
      <w:tr>
        <w:tc>
          <w:tcPr>
            <w:tcW w:type="dxa" w:w="1440"/>
            <w:shd w:fill="C6EFCE" w:val="clear"/>
          </w:tcPr>
          <w:p>
            <w:r>
              <w:rPr>
                <w:sz w:val="17"/>
              </w:rPr>
              <w:t>J+9  ⭐</w:t>
            </w:r>
          </w:p>
        </w:tc>
        <w:tc>
          <w:tcPr>
            <w:tcW w:type="dxa" w:w="1440"/>
            <w:shd w:fill="C6EFCE" w:val="clear"/>
          </w:tcPr>
          <w:p>
            <w:r>
              <w:rPr>
                <w:sz w:val="17"/>
              </w:rPr>
              <w:t>2026-08-28</w:t>
            </w:r>
          </w:p>
        </w:tc>
        <w:tc>
          <w:tcPr>
            <w:tcW w:type="dxa" w:w="1440"/>
            <w:shd w:fill="C6EFCE" w:val="clear"/>
          </w:tcPr>
          <w:p>
            <w:r>
              <w:rPr>
                <w:sz w:val="17"/>
              </w:rPr>
              <w:t>23,348</w:t>
            </w:r>
          </w:p>
        </w:tc>
        <w:tc>
          <w:tcPr>
            <w:tcW w:type="dxa" w:w="1440"/>
            <w:shd w:fill="C6EFCE" w:val="clear"/>
          </w:tcPr>
          <w:p>
            <w:r>
              <w:rPr>
                <w:b/>
                <w:sz w:val="17"/>
              </w:rPr>
              <w:t>26,828</w:t>
            </w:r>
          </w:p>
        </w:tc>
        <w:tc>
          <w:tcPr>
            <w:tcW w:type="dxa" w:w="1440"/>
            <w:shd w:fill="C6EFCE" w:val="clear"/>
          </w:tcPr>
          <w:p>
            <w:r>
              <w:rPr>
                <w:sz w:val="17"/>
              </w:rPr>
              <w:t>30,308</w:t>
            </w:r>
          </w:p>
        </w:tc>
        <w:tc>
          <w:tcPr>
            <w:tcW w:type="dxa" w:w="1440"/>
            <w:shd w:fill="C6EFCE" w:val="clear"/>
          </w:tcPr>
          <w:p>
            <w:r>
              <w:rPr>
                <w:b/>
                <w:color w:val="008000"/>
                <w:sz w:val="17"/>
              </w:rPr>
              <w:t>+16.6%</w:t>
            </w:r>
          </w:p>
        </w:tc>
      </w:tr>
      <w:tr>
        <w:tc>
          <w:tcPr>
            <w:tcW w:type="dxa" w:w="1440"/>
            <w:shd w:fill="C6EFCE" w:val="clear"/>
          </w:tcPr>
          <w:p>
            <w:r>
              <w:rPr>
                <w:sz w:val="17"/>
              </w:rPr>
              <w:t>J+10  ⭐</w:t>
            </w:r>
          </w:p>
        </w:tc>
        <w:tc>
          <w:tcPr>
            <w:tcW w:type="dxa" w:w="1440"/>
            <w:shd w:fill="C6EFCE" w:val="clear"/>
          </w:tcPr>
          <w:p>
            <w:r>
              <w:rPr>
                <w:sz w:val="17"/>
              </w:rPr>
              <w:t>2026-08-31</w:t>
            </w:r>
          </w:p>
        </w:tc>
        <w:tc>
          <w:tcPr>
            <w:tcW w:type="dxa" w:w="1440"/>
            <w:shd w:fill="C6EFCE" w:val="clear"/>
          </w:tcPr>
          <w:p>
            <w:r>
              <w:rPr>
                <w:sz w:val="17"/>
              </w:rPr>
              <w:t>23,491</w:t>
            </w:r>
          </w:p>
        </w:tc>
        <w:tc>
          <w:tcPr>
            <w:tcW w:type="dxa" w:w="1440"/>
            <w:shd w:fill="C6EFCE" w:val="clear"/>
          </w:tcPr>
          <w:p>
            <w:r>
              <w:rPr>
                <w:b/>
                <w:sz w:val="17"/>
              </w:rPr>
              <w:t>27,211</w:t>
            </w:r>
          </w:p>
        </w:tc>
        <w:tc>
          <w:tcPr>
            <w:tcW w:type="dxa" w:w="1440"/>
            <w:shd w:fill="C6EFCE" w:val="clear"/>
          </w:tcPr>
          <w:p>
            <w:r>
              <w:rPr>
                <w:sz w:val="17"/>
              </w:rPr>
              <w:t>30,931</w:t>
            </w:r>
          </w:p>
        </w:tc>
        <w:tc>
          <w:tcPr>
            <w:tcW w:type="dxa" w:w="1440"/>
            <w:shd w:fill="C6EFCE" w:val="clear"/>
          </w:tcPr>
          <w:p>
            <w:r>
              <w:rPr>
                <w:b/>
                <w:color w:val="008000"/>
                <w:sz w:val="17"/>
              </w:rPr>
              <w:t>+18.2%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CÔTE D'IVOIRE (NSBC)**</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NSBC s'établit à 569,27 milliards FCFA, ce qui positionne le titre parmi les valeurs bancaires majeures de la BRVM. Avec un BPA de 1 646 FCFA, le PER de 14,0x se situe au-dessus de la moyenne historique du marché (~8-12x), indiquant que les investisseurs acceptent de payer une prime pour la qualité de la banque. Le P/B de 2,44x confirme cette prime, le marché valorisant la société à près de 2,5 fois sa valeur comptable, ce qui traduit une confiance dans la création de valeur future. L'EV/EBITDA de 21,5x apparaît toutefois très exigeant, signalant que la valeur totale de l'entreprise (dette incluse) est élevée par rapport à sa capacité opérationnelle. Cette valorisation reflète les attentes fortes de croissance, mais laisse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NSBC a enregistré une progression spectaculaire de +64,39%, passant d'un plus bas de 13 810 FCFA à un plus haut de 24 020 FCFA, avec un cours actuel de 23 015 FCFA. La variation de +0,07% lors de la dernière séance suggère une stabilisation après cette forte ascension. La moyenne du cours sur la période (18 165 FCFA) est inférieure à la médiane (18 980 FCFA), indiquant une distribution légèrement asymétrique avec une concentration des valeurs vers le bas de la fourchette avant le rallye. L'écart-type de 3 630 FCFA (CV=20%) témoigne d'une dispersion modérée, tandis que le kurtosis de -1,441 (platykurtique) révèle une distribution aplatie avec peu de pics extrêmes, et le skewness de 0,121 confirme une symétrie relative. La volatilité annualisée de 37,6% classe le titre dans la catégorie élevée (&gt;30%), reflétant un risque substantiel mais aussi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La MM20 (23 309,75 FCFA) est légèrement supérieure au cours actuel (23 015 FCFA), tandis que la MM50 (21 318,2 FCFA) est nettement inférieure. Le croisement haussier des moyennes mobiles et la position du cours au-dessus de la MM50 confirment une tendance haussière de fond, justifiant la décision d'achat. Le léger écart avec la MM20 suggère une consolidation à court terme.</w:t>
      </w:r>
    </w:p>
    <w:p>
      <w:pPr>
        <w:spacing w:after="120" w:line="276" w:lineRule="auto"/>
      </w:pPr>
      <w:r>
        <w:t>**Bandes de Bollinger** : Le cours se situe entre la borne supérieure (24 282 FCFA) et la borne inférieure (22 337 FCFA), proche du milieu de la bande. Cette position neutre indique une volatilité normale sans condition de surachat ni de survente, d'où la décision neutre. La largeur des bandes reflète la volatilité élevée du titre.</w:t>
      </w:r>
    </w:p>
    <w:p>
      <w:pPr>
        <w:spacing w:after="120" w:line="276" w:lineRule="auto"/>
      </w:pPr>
      <w:r>
        <w:t>**MACD** : La valeur MACD (622,419) est inférieure à son signal (820,693), indiquant un momentum baissier à court terme malgré la tendance haussière de fond. Cette divergence négative justifie la décision de vente et suggère une possible correction technique après la forte hausse.</w:t>
      </w:r>
    </w:p>
    <w:p>
      <w:pPr>
        <w:spacing w:after="120" w:line="276" w:lineRule="auto"/>
      </w:pPr>
      <w:r>
        <w:t>**RSI** : À 42,159, le RSI se situe en zone neutre (30-70), sans signal de surachat ni de survente. Cette valeur indique une pression acheteuse modérée, cohérente avec une phase de consolidation. La décision neutre est appropriée.</w:t>
      </w:r>
    </w:p>
    <w:p>
      <w:pPr>
        <w:spacing w:after="120" w:line="276" w:lineRule="auto"/>
      </w:pPr>
      <w:r>
        <w:t>**Stochastique** : Le %K (1,471) est très inférieur au %D (19,771), indiquant une condition de survente extrême. Ce croisement baissier suggère un potentiel de rebond technique, justifiant la décision d'achat. Cette configuration contraste avec le RSI et le MACD.</w:t>
      </w:r>
    </w:p>
    <w:p>
      <w:pPr>
        <w:spacing w:after="120" w:line="276" w:lineRule="auto"/>
      </w:pPr>
      <w:r>
        <w:t>**Conclusion technique** : Les signaux sont mitigés. La tendance de fond reste haussière (MM), mais les indicateurs de momentum (MACD, RSI) suggèrent une consolidation à court terme. Le stochastique en survente extrême pourrait déclencher un rebond technique. Globalement, la tendance demeure positive avec un risque de correction modéré.</w:t>
      </w:r>
    </w:p>
    <w:p>
      <w:pPr>
        <w:spacing w:after="120" w:line="276" w:lineRule="auto"/>
      </w:pPr>
      <w:r>
        <w:t>---</w:t>
      </w:r>
    </w:p>
    <w:p>
      <w:pPr>
        <w:spacing w:after="120" w:line="276" w:lineRule="auto"/>
      </w:pPr>
      <w:r>
        <w:t>### PARTIE 3 : ANALYSE FONDAMENTALE (SECTION CRITIQUE)</w:t>
      </w:r>
    </w:p>
    <w:p>
      <w:pPr>
        <w:spacing w:after="120" w:line="276" w:lineRule="auto"/>
      </w:pPr>
      <w:r>
        <w:t>En 2025, NSBC affiche des performances solides avec un PNB de 112,928 milliards FCFA (+15% vs 2024), un résultat net de 40,712 milliards FCFA (+7%), et un ROE de 17,45% (excellent, &gt;15%). Le coefficient d'exploitation de 54,59% (&lt;60%) confirme l'efficacité opérationnelle de la banque. Le coût du risque de 7,54% reste élevé, reflétant une détérioration de la qualité du portefeuille de crédits (provisions de -8,5 milliards FCFA). Le ratio dépôts/crédits est sain : les dépôts clientèle (2 242,218 milliards FCFA) couvrent largement les créances clientèle (1 818,671 milliards FCFA). Le total bilan progresse de 22% à 3 073 milliards FCFA. Les rapports trimestriels montrent une accélération : le T1 2026 enregistre un PNB de 28,615 milliards FCFA (+28%) et un résultat net de 10,912 milliards FCFA (+53%), porté par l'activité titres. Sur cette base, on estime que l'exercice 2026 pourrait voir le résultat net dépasser 45 milliards FCFA. La banque bénéficie d'une dynamique commerciale soutenue et d'une stratégie de digitalisation, mais reste exposée au risque de crédit et à la dépendance aux revenus de titres.</w:t>
      </w:r>
    </w:p>
    <w:p>
      <w:pPr>
        <w:spacing w:after="120" w:line="276" w:lineRule="auto"/>
      </w:pPr>
      <w:r>
        <w:t>---</w:t>
      </w:r>
    </w:p>
    <w:p>
      <w:pPr>
        <w:spacing w:after="120" w:line="276" w:lineRule="auto"/>
      </w:pPr>
      <w:r>
        <w:t>### PARTIE 4 : CONCLUSION D'INVESTISSEMENT</w:t>
      </w:r>
    </w:p>
    <w:p>
      <w:pPr>
        <w:spacing w:after="120" w:line="276" w:lineRule="auto"/>
      </w:pPr>
      <w:r>
        <w:t>La valorisation (PER 14x, P/B 2,44x) indique une prime de croissance justifiée par des fondamentaux solides, mais l'EV/EBITDA de 21,5x suggère une valorisation exigeante. Le comportement du cours (+64,39% sur 100 jours) témoigne d'une dynamique haussière forte, avec une volatilité élevée (37,6%) et une distribution platykurtique indiquant un risque de mouvements brusques. Les signaux techniques sont mitigés : la tendance de fond reste haussière (MM), mais le MACD et le RSI suggèrent une consolidation, tandis que le stochastique en survente extrême pourrait déclencher un rebond. Les fondamentaux sont excellents avec une croissance du résultat net de +53% au T1 2026 et un ROE de 17,45%. Les prédictions IA (23 628 à 25 277 FCFA sur 10 jours) confirment la poursuite de la tendance haussière. **Recommandation finale : ACHAT** avec un niveau de confiance **Moyen** et un risque global **Élevé** (volatilité et valorisation exigeante). Horizon d'investissement optimal : **moyen terme (3-12 mois)**, en surveillant l'évolution du coût du risque et la confirmation des résultats semestriels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385.13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1,934 titres</w:t>
            </w:r>
          </w:p>
        </w:tc>
        <w:tc>
          <w:tcPr>
            <w:tcW w:type="dxa" w:w="2268"/>
            <w:shd w:fill="FFF2CC" w:val="clear"/>
          </w:tcPr>
          <w:p>
            <w:r>
              <w:rPr>
                <w:b/>
                <w:color w:val="503200"/>
                <w:sz w:val="16"/>
              </w:rPr>
              <w:t xml:space="preserve">Cours actuel : </w:t>
            </w:r>
            <w:r>
              <w:rPr>
                <w:color w:val="000000"/>
                <w:sz w:val="17"/>
              </w:rPr>
              <w:t>17,450 FCFA</w:t>
            </w:r>
          </w:p>
          <w:p>
            <w:r>
              <w:rPr>
                <w:b/>
                <w:color w:val="503200"/>
                <w:sz w:val="16"/>
              </w:rPr>
              <w:t xml:space="preserve">Var. 100 jours : </w:t>
            </w:r>
            <w:r>
              <w:rPr>
                <w:b/>
                <w:color w:val="007800"/>
                <w:sz w:val="17"/>
              </w:rPr>
              <w:t>+35.38%</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13.57% (Moyenne) — μ=14,101 FCFA, σ=1,913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β=0.2100 (Défensif) — Cov=0.000008, Var(idx)=0.000036, ρ=0.060,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1,934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σ_j=2.12%/j (Stable) — Vol. annualisée≈33.7%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16,658</w:t>
            </w:r>
          </w:p>
        </w:tc>
        <w:tc>
          <w:tcPr>
            <w:tcW w:type="dxa" w:w="1440"/>
            <w:shd w:fill="FFDCE0" w:val="clear"/>
          </w:tcPr>
          <w:p>
            <w:r>
              <w:rPr>
                <w:b/>
                <w:sz w:val="17"/>
              </w:rPr>
              <w:t>16,929</w:t>
            </w:r>
          </w:p>
        </w:tc>
        <w:tc>
          <w:tcPr>
            <w:tcW w:type="dxa" w:w="1440"/>
            <w:shd w:fill="FFDCE0" w:val="clear"/>
          </w:tcPr>
          <w:p>
            <w:r>
              <w:rPr>
                <w:sz w:val="17"/>
              </w:rPr>
              <w:t>17,200</w:t>
            </w:r>
          </w:p>
        </w:tc>
        <w:tc>
          <w:tcPr>
            <w:tcW w:type="dxa" w:w="1440"/>
            <w:shd w:fill="FFDCE0" w:val="clear"/>
          </w:tcPr>
          <w:p>
            <w:r>
              <w:rPr>
                <w:b/>
                <w:color w:val="C00000"/>
                <w:sz w:val="17"/>
              </w:rPr>
              <w:t>-3.0%</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16,540</w:t>
            </w:r>
          </w:p>
        </w:tc>
        <w:tc>
          <w:tcPr>
            <w:tcW w:type="dxa" w:w="1440"/>
            <w:shd w:fill="FFDCE0" w:val="clear"/>
          </w:tcPr>
          <w:p>
            <w:r>
              <w:rPr>
                <w:b/>
                <w:sz w:val="17"/>
              </w:rPr>
              <w:t>16,923</w:t>
            </w:r>
          </w:p>
        </w:tc>
        <w:tc>
          <w:tcPr>
            <w:tcW w:type="dxa" w:w="1440"/>
            <w:shd w:fill="FFDCE0" w:val="clear"/>
          </w:tcPr>
          <w:p>
            <w:r>
              <w:rPr>
                <w:sz w:val="17"/>
              </w:rPr>
              <w:t>17,305</w:t>
            </w:r>
          </w:p>
        </w:tc>
        <w:tc>
          <w:tcPr>
            <w:tcW w:type="dxa" w:w="1440"/>
            <w:shd w:fill="FFDCE0" w:val="clear"/>
          </w:tcPr>
          <w:p>
            <w:r>
              <w:rPr>
                <w:b/>
                <w:color w:val="C00000"/>
                <w:sz w:val="17"/>
              </w:rPr>
              <w:t>-3.0%</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16,402</w:t>
            </w:r>
          </w:p>
        </w:tc>
        <w:tc>
          <w:tcPr>
            <w:tcW w:type="dxa" w:w="1440"/>
            <w:shd w:fill="FFDCE0" w:val="clear"/>
          </w:tcPr>
          <w:p>
            <w:r>
              <w:rPr>
                <w:b/>
                <w:sz w:val="17"/>
              </w:rPr>
              <w:t>16,869</w:t>
            </w:r>
          </w:p>
        </w:tc>
        <w:tc>
          <w:tcPr>
            <w:tcW w:type="dxa" w:w="1440"/>
            <w:shd w:fill="FFDCE0" w:val="clear"/>
          </w:tcPr>
          <w:p>
            <w:r>
              <w:rPr>
                <w:sz w:val="17"/>
              </w:rPr>
              <w:t>17,336</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16,269</w:t>
            </w:r>
          </w:p>
        </w:tc>
        <w:tc>
          <w:tcPr>
            <w:tcW w:type="dxa" w:w="1440"/>
            <w:shd w:fill="FFDCE0" w:val="clear"/>
          </w:tcPr>
          <w:p>
            <w:r>
              <w:rPr>
                <w:b/>
                <w:sz w:val="17"/>
              </w:rPr>
              <w:t>16,807</w:t>
            </w:r>
          </w:p>
        </w:tc>
        <w:tc>
          <w:tcPr>
            <w:tcW w:type="dxa" w:w="1440"/>
            <w:shd w:fill="FFDCE0" w:val="clear"/>
          </w:tcPr>
          <w:p>
            <w:r>
              <w:rPr>
                <w:sz w:val="17"/>
              </w:rPr>
              <w:t>17,344</w:t>
            </w:r>
          </w:p>
        </w:tc>
        <w:tc>
          <w:tcPr>
            <w:tcW w:type="dxa" w:w="1440"/>
            <w:shd w:fill="FFDCE0" w:val="clear"/>
          </w:tcPr>
          <w:p>
            <w:r>
              <w:rPr>
                <w:b/>
                <w:color w:val="C00000"/>
                <w:sz w:val="17"/>
              </w:rPr>
              <w:t>-3.7%</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16,147</w:t>
            </w:r>
          </w:p>
        </w:tc>
        <w:tc>
          <w:tcPr>
            <w:tcW w:type="dxa" w:w="1440"/>
            <w:shd w:fill="FFDCE0" w:val="clear"/>
          </w:tcPr>
          <w:p>
            <w:r>
              <w:rPr>
                <w:b/>
                <w:sz w:val="17"/>
              </w:rPr>
              <w:t>16,746</w:t>
            </w:r>
          </w:p>
        </w:tc>
        <w:tc>
          <w:tcPr>
            <w:tcW w:type="dxa" w:w="1440"/>
            <w:shd w:fill="FFDCE0" w:val="clear"/>
          </w:tcPr>
          <w:p>
            <w:r>
              <w:rPr>
                <w:sz w:val="17"/>
              </w:rPr>
              <w:t>17,345</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16,035</w:t>
            </w:r>
          </w:p>
        </w:tc>
        <w:tc>
          <w:tcPr>
            <w:tcW w:type="dxa" w:w="1440"/>
            <w:shd w:fill="FFDCE0" w:val="clear"/>
          </w:tcPr>
          <w:p>
            <w:r>
              <w:rPr>
                <w:b/>
                <w:sz w:val="17"/>
              </w:rPr>
              <w:t>16,689</w:t>
            </w:r>
          </w:p>
        </w:tc>
        <w:tc>
          <w:tcPr>
            <w:tcW w:type="dxa" w:w="1440"/>
            <w:shd w:fill="FFDCE0" w:val="clear"/>
          </w:tcPr>
          <w:p>
            <w:r>
              <w:rPr>
                <w:sz w:val="17"/>
              </w:rPr>
              <w:t>17,342</w:t>
            </w:r>
          </w:p>
        </w:tc>
        <w:tc>
          <w:tcPr>
            <w:tcW w:type="dxa" w:w="1440"/>
            <w:shd w:fill="FFDCE0" w:val="clear"/>
          </w:tcPr>
          <w:p>
            <w:r>
              <w:rPr>
                <w:b/>
                <w:color w:val="C00000"/>
                <w:sz w:val="17"/>
              </w:rPr>
              <w:t>-4.4%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15,930</w:t>
            </w:r>
          </w:p>
        </w:tc>
        <w:tc>
          <w:tcPr>
            <w:tcW w:type="dxa" w:w="1440"/>
            <w:shd w:fill="FFDCE0" w:val="clear"/>
          </w:tcPr>
          <w:p>
            <w:r>
              <w:rPr>
                <w:b/>
                <w:sz w:val="17"/>
              </w:rPr>
              <w:t>16,634</w:t>
            </w:r>
          </w:p>
        </w:tc>
        <w:tc>
          <w:tcPr>
            <w:tcW w:type="dxa" w:w="1440"/>
            <w:shd w:fill="FFDCE0" w:val="clear"/>
          </w:tcPr>
          <w:p>
            <w:r>
              <w:rPr>
                <w:sz w:val="17"/>
              </w:rPr>
              <w:t>17,337</w:t>
            </w:r>
          </w:p>
        </w:tc>
        <w:tc>
          <w:tcPr>
            <w:tcW w:type="dxa" w:w="1440"/>
            <w:shd w:fill="FFDCE0" w:val="clear"/>
          </w:tcPr>
          <w:p>
            <w:r>
              <w:rPr>
                <w:b/>
                <w:color w:val="C00000"/>
                <w:sz w:val="17"/>
              </w:rPr>
              <w:t>-4.7%</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15,831</w:t>
            </w:r>
          </w:p>
        </w:tc>
        <w:tc>
          <w:tcPr>
            <w:tcW w:type="dxa" w:w="1440"/>
            <w:shd w:fill="FFDCE0" w:val="clear"/>
          </w:tcPr>
          <w:p>
            <w:r>
              <w:rPr>
                <w:b/>
                <w:sz w:val="17"/>
              </w:rPr>
              <w:t>16,581</w:t>
            </w:r>
          </w:p>
        </w:tc>
        <w:tc>
          <w:tcPr>
            <w:tcW w:type="dxa" w:w="1440"/>
            <w:shd w:fill="FFDCE0" w:val="clear"/>
          </w:tcPr>
          <w:p>
            <w:r>
              <w:rPr>
                <w:sz w:val="17"/>
              </w:rPr>
              <w:t>17,331</w:t>
            </w:r>
          </w:p>
        </w:tc>
        <w:tc>
          <w:tcPr>
            <w:tcW w:type="dxa" w:w="1440"/>
            <w:shd w:fill="FFDCE0" w:val="clear"/>
          </w:tcPr>
          <w:p>
            <w:r>
              <w:rPr>
                <w:b/>
                <w:color w:val="C00000"/>
                <w:sz w:val="17"/>
              </w:rPr>
              <w:t>-5.0%</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15,736</w:t>
            </w:r>
          </w:p>
        </w:tc>
        <w:tc>
          <w:tcPr>
            <w:tcW w:type="dxa" w:w="1440"/>
            <w:shd w:fill="FFDCE0" w:val="clear"/>
          </w:tcPr>
          <w:p>
            <w:r>
              <w:rPr>
                <w:b/>
                <w:sz w:val="17"/>
              </w:rPr>
              <w:t>16,529</w:t>
            </w:r>
          </w:p>
        </w:tc>
        <w:tc>
          <w:tcPr>
            <w:tcW w:type="dxa" w:w="1440"/>
            <w:shd w:fill="FFDCE0" w:val="clear"/>
          </w:tcPr>
          <w:p>
            <w:r>
              <w:rPr>
                <w:sz w:val="17"/>
              </w:rPr>
              <w:t>17,322</w:t>
            </w:r>
          </w:p>
        </w:tc>
        <w:tc>
          <w:tcPr>
            <w:tcW w:type="dxa" w:w="1440"/>
            <w:shd w:fill="FFDCE0" w:val="clear"/>
          </w:tcPr>
          <w:p>
            <w:r>
              <w:rPr>
                <w:b/>
                <w:color w:val="C00000"/>
                <w:sz w:val="17"/>
              </w:rPr>
              <w:t>-5.3%</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15,646</w:t>
            </w:r>
          </w:p>
        </w:tc>
        <w:tc>
          <w:tcPr>
            <w:tcW w:type="dxa" w:w="1440"/>
            <w:shd w:fill="FFDCE0" w:val="clear"/>
          </w:tcPr>
          <w:p>
            <w:r>
              <w:rPr>
                <w:b/>
                <w:sz w:val="17"/>
              </w:rPr>
              <w:t>16,479</w:t>
            </w:r>
          </w:p>
        </w:tc>
        <w:tc>
          <w:tcPr>
            <w:tcW w:type="dxa" w:w="1440"/>
            <w:shd w:fill="FFDCE0" w:val="clear"/>
          </w:tcPr>
          <w:p>
            <w:r>
              <w:rPr>
                <w:sz w:val="17"/>
              </w:rPr>
              <w:t>17,313</w:t>
            </w:r>
          </w:p>
        </w:tc>
        <w:tc>
          <w:tcPr>
            <w:tcW w:type="dxa" w:w="1440"/>
            <w:shd w:fill="FFDCE0" w:val="clear"/>
          </w:tcPr>
          <w:p>
            <w:r>
              <w:rPr>
                <w:b/>
                <w:color w:val="C00000"/>
                <w:sz w:val="17"/>
              </w:rPr>
              <w:t>-5.6%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NTLC s'établit à 385,13 milliards FCFA, ce qui en fait l'une des valeurs les plus significatives de la BRVM, reflétant la stature de Nestlé Côte d'Ivoire en tant que leader des biens de consommation. Avec un BPA de 835 FCFA, chaque action génère un bénéfice substantiel, mais le PER de 20,9x indique que les investisseurs paient une prime significative par rapport à la moyenne du marché BRVM (8-12x). Cette valorisation élevée suggère que le marché anticipe une croissance future soutenue, mais expose également le titre à un risque de correction si les performances déçoivent. Le P/B de 13,02x confirme cette tendance, le marché valorisant fortement l'actif net de l'entreprise, bien au-delà du seuil de 4x considéré comme exigeant. Enfin, l'EV/EBITDA de 10,2x, bien que dans la fourchette haute (10-15x), indique une valorisation qui reste cohérente avec la capacité opérationnelle de l'entreprise à générer des flux, mais qui laisse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NTLC a enregistré une progression spectaculaire de +35,38%, passant d'un plus bas de 11 150 FCFA à un plus haut de 17 450 FCFA, avec une dernière séance stable (+0,00%). Cette tendance fortement haussière témoigne d'un intérêt marqué des investisseurs pour le titre. La moyenne du cours sur la période (14 101 FCFA) est supérieure à la médiane (13 102 FCFA), indiquant une distribution légèrement asymétrique vers le haut, avec des valeurs extrêmes qui tirent la moyenne vers le haut. L'écart-type de 1 923 FCFA, avec un coefficient de variation de 13,6%, révèle une dispersion modérée des prix autour de la moyenne. Le kurtosis négatif (-1,556) indique une distribution platykurtique, avec moins de pics extrêmes que la normale, tandis que le skewness positif (0,196) confirme une asymétrie vers la droite. La volatilité annualisée de 33,7% classe le titre dans la catégorie des valeurs à volatilité élevée (&gt;30%), ce qui implique un risque significatif mais aussi un potentiel de rendement important.</w:t>
      </w:r>
    </w:p>
    <w:p>
      <w:pPr>
        <w:spacing w:after="120" w:line="276" w:lineRule="auto" w:before="240"/>
      </w:pPr>
      <w:r>
        <w:rPr>
          <w:b/>
          <w:color w:val="003366"/>
          <w:sz w:val="24"/>
        </w:rPr>
        <w:t>**PARTIE 2 : ANALYSE TECHNIQUE DÉTAILLÉE**</w:t>
      </w:r>
    </w:p>
    <w:p>
      <w:pPr>
        <w:spacing w:after="120" w:line="276" w:lineRule="auto"/>
      </w:pPr>
      <w:r>
        <w:t>**Moyennes Mobiles** : Le cours actuel de 17 450 FCFA se situe nettement au-dessus de la MM20 (16 593,25 FCFA) et de la MM50 (15 863,4 FCFA), confirmant une dynamique haussière solide. L'écart positif entre le cours et les moyennes mobiles indique une tendance soutenue, et la décision d'achat est justifiée par cette configuration, bien que l'écart important puisse signaler une surenchère temporaire.</w:t>
      </w:r>
    </w:p>
    <w:p>
      <w:pPr>
        <w:spacing w:after="120" w:line="276" w:lineRule="auto"/>
      </w:pPr>
      <w:r>
        <w:t>**Bandes de Bollinger** : Le prix évolue à proximité de la borne supérieure (17 511,38 FCFA), ce qui indique une pression acheteuse intense. La largeur des bandes (écart de 1 836 FCFA entre les bornes) reflète une volatilité accrue. La décision neutre est cohérente avec une position à la limite de la zone de surachat, où un retour vers la moyenne est possible.</w:t>
      </w:r>
    </w:p>
    <w:p>
      <w:pPr>
        <w:spacing w:after="120" w:line="276" w:lineRule="auto"/>
      </w:pPr>
      <w:r>
        <w:t>**MACD** : Le MACD (434,41) est supérieur à sa ligne de signal (392,24), confirmant un momentum haussier. Cette divergence positive indique que la dynamique de prix reste favorable, justifiant la décision d'achat, bien que l'écart important puisse signaler une maturation de la tendance.</w:t>
      </w:r>
    </w:p>
    <w:p>
      <w:pPr>
        <w:spacing w:after="120" w:line="276" w:lineRule="auto"/>
      </w:pPr>
      <w:r>
        <w:t>**RSI** : Avec une valeur de 85,04, le RSI est profondément en zone de surachat (&gt;70), signalant une pression acheteuse excessive. La décision de vente est justifiée, car ce niveau suggère un risque élevé de correction technique à court terme.</w:t>
      </w:r>
    </w:p>
    <w:p>
      <w:pPr>
        <w:spacing w:after="120" w:line="276" w:lineRule="auto"/>
      </w:pPr>
      <w:r>
        <w:t>**Stochastique** : Le %K et le %D sont tous deux à 100, un niveau extrême de surachat. Cette configuration indique que le titre est survendu, et la décision de vente est cohérente avec un scénario de retournement probable.</w:t>
      </w:r>
    </w:p>
    <w:p>
      <w:pPr>
        <w:spacing w:after="120" w:line="276" w:lineRule="auto"/>
      </w:pPr>
      <w:r>
        <w:t>**Conclusion technique** : La convergence des indicateurs de momentum (RSI, Stochastique) en zone de surachat extrême contraste avec la tendance haussière confirmée par les moyennes mobiles et le MACD. Cette divergence suggère un risque de consolidation ou de correction à court terme, mais la tendance de fond reste haussière. Les investisseurs devraient surveiller un éventuel retour vers les moyennes mobiles comme point d'entrée potentiel.</w:t>
      </w:r>
    </w:p>
    <w:p>
      <w:pPr>
        <w:spacing w:after="120" w:line="276" w:lineRule="auto" w:before="240"/>
      </w:pPr>
      <w:r>
        <w:rPr>
          <w:b/>
          <w:color w:val="003366"/>
          <w:sz w:val="24"/>
        </w:rPr>
        <w:t>**PARTIE 3 : ANALYSE FONDAMENTALE (SECTION CRITIQUE)**</w:t>
      </w:r>
    </w:p>
    <w:p>
      <w:pPr>
        <w:spacing w:after="120" w:line="276" w:lineRule="auto"/>
      </w:pPr>
      <w:r>
        <w:t>En 2025, les états financiers annuels de NTLC révèlent une performance solide avec un chiffre d'affaires de 233,26 milliards FCFA, en hausse de 5,97%, et un résultat net de 18,43 milliards FCFA, en légère progression de 1,53%. La marge nette s'établit à 7,90%, tandis que le ROE atteint un niveau exceptionnel de 62,28%, démontrant une rentabilité remarquable des fonds propres, et le ROA de 9,70% confirme une bonne efficacité de l'utilisation des actifs. En tant qu'entreprise non bancaire, l'analyse se concentre sur les délais clients (74,3 jours) et de stockage (59,4 jours), qui indiquent une gestion correcte du cycle d'exploitation, bien que le BFR positif de 22,63 milliards FCFA nécessite un financement permanent. Le taux d'endettement de 135,85% et la dépendance financière de 84,42% sont des points de vigilance, mais la couverture des intérêts à 473,63% offre une marge de sécurité confortable. Les rapports trimestriels 2026 montrent une accélération spectaculaire : le T1 2026 affiche un CA de 70,82 milliards FCFA (+31% vs T1 2025) et un résultat net de 7,53 milliards FCFA (+37%). Sur la base de ces données, on estime que l'exercice 2026 pourrait dépasser 280 milliards FCFA de CA et 25 milliards FCFA de résultat net, soit une croissance de plus de 20% par rapport à 2025. Les rapports 2024 (CA de 220,11 milliards FCFA, résultat net de 18,15 milliards FCFA) confirment une trajectoire de croissance régulière, bien que la baisse du dividende proposé en 2025 (9,27 milliards FCFA vs 18,10 milliards en 2024) suggère une stratégie de réinvestissement des bénéfices.</w:t>
      </w:r>
    </w:p>
    <w:p>
      <w:pPr>
        <w:spacing w:after="120" w:line="276" w:lineRule="auto" w:before="240"/>
      </w:pPr>
      <w:r>
        <w:rPr>
          <w:b/>
          <w:color w:val="003366"/>
          <w:sz w:val="24"/>
        </w:rPr>
        <w:t>**PARTIE 4 : CONCLUSION D'INVESTISSEMENT**</w:t>
      </w:r>
    </w:p>
    <w:p>
      <w:pPr>
        <w:spacing w:after="120" w:line="276" w:lineRule="auto"/>
      </w:pPr>
      <w:r>
        <w:t>La synthèse des analyses révèle une situation contrastée pour NTLC. La valorisation (Partie 0) est exigeante avec un PER de 20,9x et un P/B de 13,02x, indiquant une surévaluation relative par rapport au marché BRVM. Le comportement du cours (Partie 1) montre une tendance fortement haussière (+35,38% sur 100 jours) mais avec une volatilité élevée (33,7%) et des statistiques suggérant une distribution asymétrique. Les signaux techniques (Partie 2) sont contradictoires : la tendance de fond reste haussière (MM, MACD), mais les indicateurs de momentum (RSI à 85, Stochastique à 100) signalent un surachat extrême, préfigurant une correction probable. Les fondamentaux (Partie 3) sont solides avec une croissance soutenue du CA et du résultat net, un ROE exceptionnel de 62,28%, et des perspectives 2026 très positives basées sur le T1 (+31% CA). Les prédictions IA pour les 10 prochains jours (17 450 → 16 746 FCFA) confirment un scénario de consolidation, avec une baisse modérée d'environ 4%. Compte tenu de la convergence entre les signaux techniques de surachat et les prédictions IA, mais de la divergence avec les fondamentaux solides, la recommandation est de **CONSERVER** le titre. Le niveau de confiance est **Moyen**, le risque global est **Élevé** en raison de la volatilité et de la valorisation, et l'horizon d'investissement optimal est le **moyen terme (3-12 mois)**, en attendant une correction technique pour renforcer les positions sur des fondamentaux porteurs.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190.40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4,444 titres</w:t>
            </w:r>
          </w:p>
        </w:tc>
        <w:tc>
          <w:tcPr>
            <w:tcW w:type="dxa" w:w="2268"/>
            <w:shd w:fill="FFF2CC" w:val="clear"/>
          </w:tcPr>
          <w:p>
            <w:r>
              <w:rPr>
                <w:b/>
                <w:color w:val="503200"/>
                <w:sz w:val="16"/>
              </w:rPr>
              <w:t xml:space="preserve">Cours actuel : </w:t>
            </w:r>
            <w:r>
              <w:rPr>
                <w:color w:val="000000"/>
                <w:sz w:val="17"/>
              </w:rPr>
              <w:t>2,800 FCFA</w:t>
            </w:r>
          </w:p>
          <w:p>
            <w:r>
              <w:rPr>
                <w:b/>
                <w:color w:val="503200"/>
                <w:sz w:val="16"/>
              </w:rPr>
              <w:t xml:space="preserve">Var. 100 jours : </w:t>
            </w:r>
            <w:r>
              <w:rPr>
                <w:b/>
                <w:color w:val="B40000"/>
                <w:sz w:val="17"/>
              </w:rPr>
              <w:t>-1.23%</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3.21% (Faible) — μ=2,825 FCFA, σ=91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β=-0.0600 (Contre-cyclique) — Cov=-0.000002, Var(idx)=0.000036, ρ=-0.018,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4,444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σ_j=2.01%/j (Stable) — Vol. annualisée≈31.9%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2,718</w:t>
            </w:r>
          </w:p>
        </w:tc>
        <w:tc>
          <w:tcPr>
            <w:tcW w:type="dxa" w:w="1440"/>
            <w:shd w:fill="FAFAFA" w:val="clear"/>
          </w:tcPr>
          <w:p>
            <w:r>
              <w:rPr>
                <w:b/>
                <w:sz w:val="17"/>
              </w:rPr>
              <w:t>2,805</w:t>
            </w:r>
          </w:p>
        </w:tc>
        <w:tc>
          <w:tcPr>
            <w:tcW w:type="dxa" w:w="1440"/>
            <w:shd w:fill="FAFAFA" w:val="clear"/>
          </w:tcPr>
          <w:p>
            <w:r>
              <w:rPr>
                <w:sz w:val="17"/>
              </w:rPr>
              <w:t>2,892</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2,674</w:t>
            </w:r>
          </w:p>
        </w:tc>
        <w:tc>
          <w:tcPr>
            <w:tcW w:type="dxa" w:w="1440"/>
            <w:shd w:fill="FAFAFA" w:val="clear"/>
          </w:tcPr>
          <w:p>
            <w:r>
              <w:rPr>
                <w:b/>
                <w:sz w:val="17"/>
              </w:rPr>
              <w:t>2,797</w:t>
            </w:r>
          </w:p>
        </w:tc>
        <w:tc>
          <w:tcPr>
            <w:tcW w:type="dxa" w:w="1440"/>
            <w:shd w:fill="FAFAFA" w:val="clear"/>
          </w:tcPr>
          <w:p>
            <w:r>
              <w:rPr>
                <w:sz w:val="17"/>
              </w:rPr>
              <w:t>2,919</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2,642</w:t>
            </w:r>
          </w:p>
        </w:tc>
        <w:tc>
          <w:tcPr>
            <w:tcW w:type="dxa" w:w="1440"/>
            <w:shd w:fill="FAFAFA" w:val="clear"/>
          </w:tcPr>
          <w:p>
            <w:r>
              <w:rPr>
                <w:b/>
                <w:sz w:val="17"/>
              </w:rPr>
              <w:t>2,791</w:t>
            </w:r>
          </w:p>
        </w:tc>
        <w:tc>
          <w:tcPr>
            <w:tcW w:type="dxa" w:w="1440"/>
            <w:shd w:fill="FAFAFA" w:val="clear"/>
          </w:tcPr>
          <w:p>
            <w:r>
              <w:rPr>
                <w:sz w:val="17"/>
              </w:rPr>
              <w:t>2,941</w:t>
            </w:r>
          </w:p>
        </w:tc>
        <w:tc>
          <w:tcPr>
            <w:tcW w:type="dxa" w:w="1440"/>
            <w:shd w:fill="FAFAFA" w:val="clear"/>
          </w:tcPr>
          <w:p>
            <w:r>
              <w:rPr>
                <w:b/>
                <w:color w:val="C00000"/>
                <w:sz w:val="17"/>
              </w:rPr>
              <w:t>-0.3%</w:t>
            </w:r>
          </w:p>
        </w:tc>
      </w:tr>
      <w:tr>
        <w:tc>
          <w:tcPr>
            <w:tcW w:type="dxa" w:w="1440"/>
            <w:shd w:fill="FAFAFA" w:val="clear"/>
          </w:tcPr>
          <w:p>
            <w:r>
              <w:rPr>
                <w:sz w:val="17"/>
              </w:rPr>
              <w:t>J+4  Moyenne</w:t>
            </w:r>
          </w:p>
        </w:tc>
        <w:tc>
          <w:tcPr>
            <w:tcW w:type="dxa" w:w="1440"/>
            <w:shd w:fill="FAFAFA" w:val="clear"/>
          </w:tcPr>
          <w:p>
            <w:r>
              <w:rPr>
                <w:sz w:val="17"/>
              </w:rPr>
              <w:t>2026-08-20</w:t>
            </w:r>
          </w:p>
        </w:tc>
        <w:tc>
          <w:tcPr>
            <w:tcW w:type="dxa" w:w="1440"/>
            <w:shd w:fill="FAFAFA" w:val="clear"/>
          </w:tcPr>
          <w:p>
            <w:r>
              <w:rPr>
                <w:sz w:val="17"/>
              </w:rPr>
              <w:t>2,614</w:t>
            </w:r>
          </w:p>
        </w:tc>
        <w:tc>
          <w:tcPr>
            <w:tcW w:type="dxa" w:w="1440"/>
            <w:shd w:fill="FAFAFA" w:val="clear"/>
          </w:tcPr>
          <w:p>
            <w:r>
              <w:rPr>
                <w:b/>
                <w:sz w:val="17"/>
              </w:rPr>
              <w:t>2,786</w:t>
            </w:r>
          </w:p>
        </w:tc>
        <w:tc>
          <w:tcPr>
            <w:tcW w:type="dxa" w:w="1440"/>
            <w:shd w:fill="FAFAFA" w:val="clear"/>
          </w:tcPr>
          <w:p>
            <w:r>
              <w:rPr>
                <w:sz w:val="17"/>
              </w:rPr>
              <w:t>2,959</w:t>
            </w:r>
          </w:p>
        </w:tc>
        <w:tc>
          <w:tcPr>
            <w:tcW w:type="dxa" w:w="1440"/>
            <w:shd w:fill="FAFAFA" w:val="clear"/>
          </w:tcPr>
          <w:p>
            <w:r>
              <w:rPr>
                <w:b/>
                <w:color w:val="C00000"/>
                <w:sz w:val="17"/>
              </w:rPr>
              <w:t>-0.5%</w:t>
            </w:r>
          </w:p>
        </w:tc>
      </w:tr>
      <w:tr>
        <w:tc>
          <w:tcPr>
            <w:tcW w:type="dxa" w:w="1440"/>
            <w:shd w:fill="FAFAFA" w:val="clear"/>
          </w:tcPr>
          <w:p>
            <w:r>
              <w:rPr>
                <w:sz w:val="17"/>
              </w:rPr>
              <w:t>J+5  Moyenne</w:t>
            </w:r>
          </w:p>
        </w:tc>
        <w:tc>
          <w:tcPr>
            <w:tcW w:type="dxa" w:w="1440"/>
            <w:shd w:fill="FAFAFA" w:val="clear"/>
          </w:tcPr>
          <w:p>
            <w:r>
              <w:rPr>
                <w:sz w:val="17"/>
              </w:rPr>
              <w:t>2026-08-21</w:t>
            </w:r>
          </w:p>
        </w:tc>
        <w:tc>
          <w:tcPr>
            <w:tcW w:type="dxa" w:w="1440"/>
            <w:shd w:fill="FAFAFA" w:val="clear"/>
          </w:tcPr>
          <w:p>
            <w:r>
              <w:rPr>
                <w:sz w:val="17"/>
              </w:rPr>
              <w:t>2,589</w:t>
            </w:r>
          </w:p>
        </w:tc>
        <w:tc>
          <w:tcPr>
            <w:tcW w:type="dxa" w:w="1440"/>
            <w:shd w:fill="FAFAFA" w:val="clear"/>
          </w:tcPr>
          <w:p>
            <w:r>
              <w:rPr>
                <w:b/>
                <w:sz w:val="17"/>
              </w:rPr>
              <w:t>2,782</w:t>
            </w:r>
          </w:p>
        </w:tc>
        <w:tc>
          <w:tcPr>
            <w:tcW w:type="dxa" w:w="1440"/>
            <w:shd w:fill="FAFAFA" w:val="clear"/>
          </w:tcPr>
          <w:p>
            <w:r>
              <w:rPr>
                <w:sz w:val="17"/>
              </w:rPr>
              <w:t>2,974</w:t>
            </w:r>
          </w:p>
        </w:tc>
        <w:tc>
          <w:tcPr>
            <w:tcW w:type="dxa" w:w="1440"/>
            <w:shd w:fill="FAFAFA" w:val="clear"/>
          </w:tcPr>
          <w:p>
            <w:r>
              <w:rPr>
                <w:b/>
                <w:color w:val="C00000"/>
                <w:sz w:val="17"/>
              </w:rPr>
              <w:t>-0.7%</w:t>
            </w:r>
          </w:p>
        </w:tc>
      </w:tr>
      <w:tr>
        <w:tc>
          <w:tcPr>
            <w:tcW w:type="dxa" w:w="1440"/>
            <w:shd w:fill="FAFAFA" w:val="clear"/>
          </w:tcPr>
          <w:p>
            <w:r>
              <w:rPr>
                <w:sz w:val="17"/>
              </w:rPr>
              <w:t>J+6  Moyenne</w:t>
            </w:r>
          </w:p>
        </w:tc>
        <w:tc>
          <w:tcPr>
            <w:tcW w:type="dxa" w:w="1440"/>
            <w:shd w:fill="FAFAFA" w:val="clear"/>
          </w:tcPr>
          <w:p>
            <w:r>
              <w:rPr>
                <w:sz w:val="17"/>
              </w:rPr>
              <w:t>2026-08-24</w:t>
            </w:r>
          </w:p>
        </w:tc>
        <w:tc>
          <w:tcPr>
            <w:tcW w:type="dxa" w:w="1440"/>
            <w:shd w:fill="FAFAFA" w:val="clear"/>
          </w:tcPr>
          <w:p>
            <w:r>
              <w:rPr>
                <w:sz w:val="17"/>
              </w:rPr>
              <w:t>2,566</w:t>
            </w:r>
          </w:p>
        </w:tc>
        <w:tc>
          <w:tcPr>
            <w:tcW w:type="dxa" w:w="1440"/>
            <w:shd w:fill="FAFAFA" w:val="clear"/>
          </w:tcPr>
          <w:p>
            <w:r>
              <w:rPr>
                <w:b/>
                <w:sz w:val="17"/>
              </w:rPr>
              <w:t>2,777</w:t>
            </w:r>
          </w:p>
        </w:tc>
        <w:tc>
          <w:tcPr>
            <w:tcW w:type="dxa" w:w="1440"/>
            <w:shd w:fill="FAFAFA" w:val="clear"/>
          </w:tcPr>
          <w:p>
            <w:r>
              <w:rPr>
                <w:sz w:val="17"/>
              </w:rPr>
              <w:t>2,987</w:t>
            </w:r>
          </w:p>
        </w:tc>
        <w:tc>
          <w:tcPr>
            <w:tcW w:type="dxa" w:w="1440"/>
            <w:shd w:fill="FAFAFA" w:val="clear"/>
          </w:tcPr>
          <w:p>
            <w:r>
              <w:rPr>
                <w:b/>
                <w:color w:val="C00000"/>
                <w:sz w:val="17"/>
              </w:rPr>
              <w:t>-0.8%</w:t>
            </w:r>
          </w:p>
        </w:tc>
      </w:tr>
      <w:tr>
        <w:tc>
          <w:tcPr>
            <w:tcW w:type="dxa" w:w="1440"/>
            <w:shd w:fill="FAFAFA" w:val="clear"/>
          </w:tcPr>
          <w:p>
            <w:r>
              <w:rPr>
                <w:sz w:val="17"/>
              </w:rPr>
              <w:t>J+7  Moyenne</w:t>
            </w:r>
          </w:p>
        </w:tc>
        <w:tc>
          <w:tcPr>
            <w:tcW w:type="dxa" w:w="1440"/>
            <w:shd w:fill="FAFAFA" w:val="clear"/>
          </w:tcPr>
          <w:p>
            <w:r>
              <w:rPr>
                <w:sz w:val="17"/>
              </w:rPr>
              <w:t>2026-08-25</w:t>
            </w:r>
          </w:p>
        </w:tc>
        <w:tc>
          <w:tcPr>
            <w:tcW w:type="dxa" w:w="1440"/>
            <w:shd w:fill="FAFAFA" w:val="clear"/>
          </w:tcPr>
          <w:p>
            <w:r>
              <w:rPr>
                <w:sz w:val="17"/>
              </w:rPr>
              <w:t>2,545</w:t>
            </w:r>
          </w:p>
        </w:tc>
        <w:tc>
          <w:tcPr>
            <w:tcW w:type="dxa" w:w="1440"/>
            <w:shd w:fill="FAFAFA" w:val="clear"/>
          </w:tcPr>
          <w:p>
            <w:r>
              <w:rPr>
                <w:b/>
                <w:sz w:val="17"/>
              </w:rPr>
              <w:t>2,772</w:t>
            </w:r>
          </w:p>
        </w:tc>
        <w:tc>
          <w:tcPr>
            <w:tcW w:type="dxa" w:w="1440"/>
            <w:shd w:fill="FAFAFA" w:val="clear"/>
          </w:tcPr>
          <w:p>
            <w:r>
              <w:rPr>
                <w:sz w:val="17"/>
              </w:rPr>
              <w:t>2,999</w:t>
            </w:r>
          </w:p>
        </w:tc>
        <w:tc>
          <w:tcPr>
            <w:tcW w:type="dxa" w:w="1440"/>
            <w:shd w:fill="FAFAFA" w:val="clear"/>
          </w:tcPr>
          <w:p>
            <w:r>
              <w:rPr>
                <w:b/>
                <w:color w:val="C00000"/>
                <w:sz w:val="17"/>
              </w:rPr>
              <w:t>-1.0%</w:t>
            </w:r>
          </w:p>
        </w:tc>
      </w:tr>
      <w:tr>
        <w:tc>
          <w:tcPr>
            <w:tcW w:type="dxa" w:w="1440"/>
            <w:shd w:fill="FAFAFA" w:val="clear"/>
          </w:tcPr>
          <w:p>
            <w:r>
              <w:rPr>
                <w:sz w:val="17"/>
              </w:rPr>
              <w:t>J+8  Moyenne</w:t>
            </w:r>
          </w:p>
        </w:tc>
        <w:tc>
          <w:tcPr>
            <w:tcW w:type="dxa" w:w="1440"/>
            <w:shd w:fill="FAFAFA" w:val="clear"/>
          </w:tcPr>
          <w:p>
            <w:r>
              <w:rPr>
                <w:sz w:val="17"/>
              </w:rPr>
              <w:t>2026-08-27</w:t>
            </w:r>
          </w:p>
        </w:tc>
        <w:tc>
          <w:tcPr>
            <w:tcW w:type="dxa" w:w="1440"/>
            <w:shd w:fill="FAFAFA" w:val="clear"/>
          </w:tcPr>
          <w:p>
            <w:r>
              <w:rPr>
                <w:sz w:val="17"/>
              </w:rPr>
              <w:t>2,525</w:t>
            </w:r>
          </w:p>
        </w:tc>
        <w:tc>
          <w:tcPr>
            <w:tcW w:type="dxa" w:w="1440"/>
            <w:shd w:fill="FAFAFA" w:val="clear"/>
          </w:tcPr>
          <w:p>
            <w:r>
              <w:rPr>
                <w:b/>
                <w:sz w:val="17"/>
              </w:rPr>
              <w:t>2,768</w:t>
            </w:r>
          </w:p>
        </w:tc>
        <w:tc>
          <w:tcPr>
            <w:tcW w:type="dxa" w:w="1440"/>
            <w:shd w:fill="FAFAFA" w:val="clear"/>
          </w:tcPr>
          <w:p>
            <w:r>
              <w:rPr>
                <w:sz w:val="17"/>
              </w:rPr>
              <w:t>3,010</w:t>
            </w:r>
          </w:p>
        </w:tc>
        <w:tc>
          <w:tcPr>
            <w:tcW w:type="dxa" w:w="1440"/>
            <w:shd w:fill="FAFAFA" w:val="clear"/>
          </w:tcPr>
          <w:p>
            <w:r>
              <w:rPr>
                <w:b/>
                <w:color w:val="C00000"/>
                <w:sz w:val="17"/>
              </w:rPr>
              <w:t>-1.2%</w:t>
            </w:r>
          </w:p>
        </w:tc>
      </w:tr>
      <w:tr>
        <w:tc>
          <w:tcPr>
            <w:tcW w:type="dxa" w:w="1440"/>
            <w:shd w:fill="FAFAFA" w:val="clear"/>
          </w:tcPr>
          <w:p>
            <w:r>
              <w:rPr>
                <w:sz w:val="17"/>
              </w:rPr>
              <w:t>J+9  Moyenne</w:t>
            </w:r>
          </w:p>
        </w:tc>
        <w:tc>
          <w:tcPr>
            <w:tcW w:type="dxa" w:w="1440"/>
            <w:shd w:fill="FAFAFA" w:val="clear"/>
          </w:tcPr>
          <w:p>
            <w:r>
              <w:rPr>
                <w:sz w:val="17"/>
              </w:rPr>
              <w:t>2026-08-28</w:t>
            </w:r>
          </w:p>
        </w:tc>
        <w:tc>
          <w:tcPr>
            <w:tcW w:type="dxa" w:w="1440"/>
            <w:shd w:fill="FAFAFA" w:val="clear"/>
          </w:tcPr>
          <w:p>
            <w:r>
              <w:rPr>
                <w:sz w:val="17"/>
              </w:rPr>
              <w:t>2,507</w:t>
            </w:r>
          </w:p>
        </w:tc>
        <w:tc>
          <w:tcPr>
            <w:tcW w:type="dxa" w:w="1440"/>
            <w:shd w:fill="FAFAFA" w:val="clear"/>
          </w:tcPr>
          <w:p>
            <w:r>
              <w:rPr>
                <w:b/>
                <w:sz w:val="17"/>
              </w:rPr>
              <w:t>2,763</w:t>
            </w:r>
          </w:p>
        </w:tc>
        <w:tc>
          <w:tcPr>
            <w:tcW w:type="dxa" w:w="1440"/>
            <w:shd w:fill="FAFAFA" w:val="clear"/>
          </w:tcPr>
          <w:p>
            <w:r>
              <w:rPr>
                <w:sz w:val="17"/>
              </w:rPr>
              <w:t>3,020</w:t>
            </w:r>
          </w:p>
        </w:tc>
        <w:tc>
          <w:tcPr>
            <w:tcW w:type="dxa" w:w="1440"/>
            <w:shd w:fill="FAFAFA" w:val="clear"/>
          </w:tcPr>
          <w:p>
            <w:r>
              <w:rPr>
                <w:b/>
                <w:color w:val="C00000"/>
                <w:sz w:val="17"/>
              </w:rPr>
              <w:t>-1.3%</w:t>
            </w:r>
          </w:p>
        </w:tc>
      </w:tr>
      <w:tr>
        <w:tc>
          <w:tcPr>
            <w:tcW w:type="dxa" w:w="1440"/>
            <w:shd w:fill="FAFAFA" w:val="clear"/>
          </w:tcPr>
          <w:p>
            <w:r>
              <w:rPr>
                <w:sz w:val="17"/>
              </w:rPr>
              <w:t>J+10  Moyenne</w:t>
            </w:r>
          </w:p>
        </w:tc>
        <w:tc>
          <w:tcPr>
            <w:tcW w:type="dxa" w:w="1440"/>
            <w:shd w:fill="FAFAFA" w:val="clear"/>
          </w:tcPr>
          <w:p>
            <w:r>
              <w:rPr>
                <w:sz w:val="17"/>
              </w:rPr>
              <w:t>2026-08-31</w:t>
            </w:r>
          </w:p>
        </w:tc>
        <w:tc>
          <w:tcPr>
            <w:tcW w:type="dxa" w:w="1440"/>
            <w:shd w:fill="FAFAFA" w:val="clear"/>
          </w:tcPr>
          <w:p>
            <w:r>
              <w:rPr>
                <w:sz w:val="17"/>
              </w:rPr>
              <w:t>2,489</w:t>
            </w:r>
          </w:p>
        </w:tc>
        <w:tc>
          <w:tcPr>
            <w:tcW w:type="dxa" w:w="1440"/>
            <w:shd w:fill="FAFAFA" w:val="clear"/>
          </w:tcPr>
          <w:p>
            <w:r>
              <w:rPr>
                <w:b/>
                <w:sz w:val="17"/>
              </w:rPr>
              <w:t>2,759</w:t>
            </w:r>
          </w:p>
        </w:tc>
        <w:tc>
          <w:tcPr>
            <w:tcW w:type="dxa" w:w="1440"/>
            <w:shd w:fill="FAFAFA" w:val="clear"/>
          </w:tcPr>
          <w:p>
            <w:r>
              <w:rPr>
                <w:sz w:val="17"/>
              </w:rPr>
              <w:t>3,029</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 MOOV AFRICA BURKINA FASO)**</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l'ONTBF s'établit à 190,40 milliards FCFA, ce qui en fait une valeur de première ligne sur la BRVM, représentative du secteur des télécommunications. Avec un BPA de 234 FCFA, le titre se négocie à un PER de 12,0x, légèrement au-dessus de la moyenne historique de la place (~8-12x), ce qui suggère une valorisation raisonnable, sans décote ni prime excessive. Le P/B de 3,31x indique que le marché valorise l'actif net à plus de trois fois sa valeur comptable, reflétant une prime de croissance accordée à l'entreprise. Enfin, un EV/EBITDA de 5,1x est attractif, car il signifie que la valeur totale de l'entreprise (capitaux propres + dettes) ne représente que 5,1 fois son potentiel opérationnel brut, ce qui est inférieur à la fourchette habituelle de 5-10x et témoigne d'une bonne capacité de génération de cash-flow opérationnel.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ONTBF affiche une variation totale de -1,23%, avec une dernière séance stable (+0,00%), indiquant une phase de consolidation. Le cours a évolué dans un range de 2 610 FCFA (plus bas) à 3 070 FCFA (plus haut), montrant une amplitude de trading significative. La moyenne du cours sur la période est de 2 825 FCFA, très proche de la médiane (2 802 FCFA) et du mode (2 800 FCFA), ce qui révèle une distribution quasi symétrique et un marché efficace. L'écart-type de 91 FCFA (CV de 3,2%) démontre une dispersion très faible, confirmant la stabilité du titre. Le kurtosis de -0,380 (mésokurtique) et le skewness de 0,292 indiquent une distribution proche de la normale, sans risque de pics extrêmes. La volatilité annualisée de 31,9% classe le titre dans la catégorie "élevée" (&gt;30%), ce qui est paradoxal avec la stabilité récente mais reflète les à-coups passés.</w:t>
      </w:r>
    </w:p>
    <w:p>
      <w:pPr>
        <w:spacing w:after="120" w:line="276" w:lineRule="auto"/>
      </w:pPr>
      <w:r>
        <w:t>---</w:t>
      </w:r>
    </w:p>
    <w:p>
      <w:pPr>
        <w:spacing w:after="120" w:line="276" w:lineRule="auto"/>
      </w:pPr>
      <w:r>
        <w:t>### PARTIE 2 : ANALYSE TECHNIQUE DÉTAILLÉE</w:t>
      </w:r>
    </w:p>
    <w:p>
      <w:pPr>
        <w:spacing w:after="120" w:line="276" w:lineRule="auto"/>
      </w:pPr>
      <w:r>
        <w:t>**Moyennes Mobiles** : La MM20 (2 841,0 FCFA) est supérieure à la MM50 (2 822,1 FCFA), et le cours actuel (2 800 FCFA) se situe sous ces deux moyennes. Cette configuration indique une légère pression baissière à court terme, mais le signal global reste "Achat" car la tendance de fond demeure positive. Le croisement des moyennes suggère une phase de correction dans une tendance haussière plus large.</w:t>
      </w:r>
    </w:p>
    <w:p>
      <w:pPr>
        <w:spacing w:after="120" w:line="276" w:lineRule="auto"/>
      </w:pPr>
      <w:r>
        <w:t>**Bandes de Bollinger** : Le prix (2 800 FCFA) se positionne entre la borne inférieure (2 642,25 FCFA) et la borne supérieure (3 039,75 FCFA), proche de la ligne médiane. La largeur des bandes (environ 397 FCFA) reflète une volatilité modérée. La décision "Neutre" est justifiée par l'absence de signal de surachat ou de survente, le cours évoluant dans la zone d'équilibre.</w:t>
      </w:r>
    </w:p>
    <w:p>
      <w:pPr>
        <w:spacing w:after="120" w:line="276" w:lineRule="auto"/>
      </w:pPr>
      <w:r>
        <w:t>**MACD** : Le MACD (20,35) est inférieur à sa ligne de signal (28,29), générant un signal de "Vente". Cette divergence négative indique un affaiblissement du momentum haussier, mais la valeur positive du MACD suggère que la dynamique reste globalement positive, avec une correction en cours.</w:t>
      </w:r>
    </w:p>
    <w:p>
      <w:pPr>
        <w:spacing w:after="120" w:line="276" w:lineRule="auto"/>
      </w:pPr>
      <w:r>
        <w:t>**RSI** : Le RSI à 50,0 est parfaitement neutre, se situant exactement au milieu de la zone 30-70. Cela indique un équilibre entre les forces acheteuses et vendeuses, sans pression excessive dans un sens ou dans l'autre. Le marché est en attente d'un catalyseur directionnel.</w:t>
      </w:r>
    </w:p>
    <w:p>
      <w:pPr>
        <w:spacing w:after="120" w:line="276" w:lineRule="auto"/>
      </w:pPr>
      <w:r>
        <w:t>**Stochastique** : Le %K (4,878) est très inférieur au %D (22,19), signalant une zone de survente extrême. Bien que la décision soit "Achat", cette configuration suggère un potentiel de rebond technique imminent, mais il faut attendre un croisement haussier des deux lignes pour confirmer.</w:t>
      </w:r>
    </w:p>
    <w:p>
      <w:pPr>
        <w:spacing w:after="120" w:line="276" w:lineRule="auto"/>
      </w:pPr>
      <w:r>
        <w:t>**Conclusion technique** : Les indicateurs sont mitigés, avec un MACD vendeur mais un Stochastique en zone de survente et des moyennes mobiles globalement positives. Le titre semble en phase de consolidation avec un biais neutre, attendant un signal directionnel clair. La probabilité d'un rebond technique à court terme est élevée, mais la tendance de fond reste incertaine.</w:t>
      </w:r>
    </w:p>
    <w:p>
      <w:pPr>
        <w:spacing w:after="120" w:line="276" w:lineRule="auto"/>
      </w:pPr>
      <w:r>
        <w:t>---</w:t>
      </w:r>
    </w:p>
    <w:p>
      <w:pPr>
        <w:spacing w:after="120" w:line="276" w:lineRule="auto"/>
      </w:pPr>
      <w:r>
        <w:t>### PARTIE 3 : ANALYSE FONDAMENTALE (SECTION CRITIQUE)</w:t>
      </w:r>
    </w:p>
    <w:p>
      <w:pPr>
        <w:spacing w:after="120" w:line="276" w:lineRule="auto"/>
      </w:pPr>
      <w:r>
        <w:t>En 2025, l'ONTBF (classée "BANQUE" dans la base de données, bien qu'il s'agisse d'une entreprise de télécommunications) affiche un PNB/CA de 146,177 milliards FCFA, en hausse de 3,06% par rapport à 2024 (141,84 Mds). Le résultat net s'établit à 15,887 milliards FCFA, en forte baisse de -26% (vs 21,47 Mds en 2024), avec une marge nette de 10,87%. Le ROE est excellent à 27,61% (résultat net/capitaux propres de 57,542 Mds), et le ROA est de 4,89%. Le coefficient d'exploitation de 67,07% est élevé (au-dessus du seuil d'efficacité de 60%), indiquant une pression sur les charges. Le coût du risque de 3,57% est significatif, reflétant des provisions importantes (-31,065 Mds). La structure financière montre une dépendance de 82,29% aux dettes, avec un ratio d'endettement de 187%, mais une solvabilité générale de 121,5% reste positive. Les rapports trimestriels 2025 (T1, S1, 9 mois) confirment la tendance : CA en croissance (+4,3% au T1, +4,0% au S1, +3,1% sur 9 mois) mais résultat net en chute continue (-29% au T1, -17,8% au S1, -17,2% sur 9 mois). Le rapport T1 2026 montre une stabilisation avec un CA de 37,1 Mds (+2,7%) et un résultat net de 3,577 Mds, suggérant une possible amélioration. Les dividendes proposés pour 2025 s'élèvent à 166,08 FCFA/action (70% de distribution). La recommandation fondamentale est "CONSERVER", car l'entreprise reste rentable et génère du cash, mais la dégradation des marges et l'endettement croissant sont des points de vigilance.</w:t>
      </w:r>
    </w:p>
    <w:p>
      <w:pPr>
        <w:spacing w:after="120" w:line="276" w:lineRule="auto"/>
      </w:pPr>
      <w:r>
        <w:t>---</w:t>
      </w:r>
    </w:p>
    <w:p>
      <w:pPr>
        <w:spacing w:after="120" w:line="276" w:lineRule="auto"/>
      </w:pPr>
      <w:r>
        <w:t>### PARTIE 4 : CONCLUSION D'INVESTISSEMENT</w:t>
      </w:r>
    </w:p>
    <w:p>
      <w:pPr>
        <w:spacing w:after="120" w:line="276" w:lineRule="auto"/>
      </w:pPr>
      <w:r>
        <w:t>La valorisation de l'ONTBF est globalement raisonnable (PER 12x, EV/EBITDA 5,1x), sans sous-évaluation ni surévaluation marquée, avec une prime de croissance (P/B 3,31x) justifiée par un ROE élevé. Le comportement du cours sur 100 jours montre une stabilité remarquable (CV 3,2%, distribution symétrique) mais une volatilité annualisée élevée (31,9%) qui incite à la prudence. Les signaux techniques sont mitigés : les moyennes mobiles et le stochastique suggèrent un potentiel de rebond, tandis que le MACD et le RSI neutre indiquent une absence de momentum. Fondamentalement, l'entreprise affiche une croissance du CA (+3,1%) mais une chute de 26% du résultat net en 2025, avec des signes de stabilisation au T1 2026. Les prédictions IA (2 805 à 2 782 FCFA sur 10 jours) prévoient une légère baisse, confirmant la tendance baissière de court terme. La convergence des signaux est donc mitigée : valorisation correcte, technique neutre, fondamentaux en amélioration potentielle. **Recommandation finale : CONSERVER**, avec un niveau de confiance **Moyen** et un risque global **Élevé** (contexte sécuritaire, pression concurrentielle, endettement). L'horizon d'investissement optimal est le **moyen terme (3-12 mois)**, en attendant une confirmation de la reprise de la rentabilité et une stabilisation du contexte opérationnel.</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2711.80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2,274 titres</w:t>
            </w:r>
          </w:p>
        </w:tc>
        <w:tc>
          <w:tcPr>
            <w:tcW w:type="dxa" w:w="2268"/>
            <w:shd w:fill="FFF2CC" w:val="clear"/>
          </w:tcPr>
          <w:p>
            <w:r>
              <w:rPr>
                <w:b/>
                <w:color w:val="503200"/>
                <w:sz w:val="16"/>
              </w:rPr>
              <w:t xml:space="preserve">Cours actuel : </w:t>
            </w:r>
            <w:r>
              <w:rPr>
                <w:color w:val="000000"/>
                <w:sz w:val="17"/>
              </w:rPr>
              <w:t>18,000 FCFA</w:t>
            </w:r>
          </w:p>
          <w:p>
            <w:r>
              <w:rPr>
                <w:b/>
                <w:color w:val="503200"/>
                <w:sz w:val="16"/>
              </w:rPr>
              <w:t xml:space="preserve">Var. 100 jours : </w:t>
            </w:r>
            <w:r>
              <w:rPr>
                <w:b/>
                <w:color w:val="007800"/>
                <w:sz w:val="17"/>
              </w:rPr>
              <w:t>+19.60%</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14,200 FCFA</w:t>
            </w:r>
          </w:p>
          <w:p>
            <w:r>
              <w:rPr>
                <w:b/>
                <w:color w:val="503200"/>
                <w:sz w:val="16"/>
              </w:rPr>
              <w:t xml:space="preserve">Volatilité ann. : </w:t>
            </w:r>
            <w:r>
              <w:rPr>
                <w:color w:val="000000"/>
                <w:sz w:val="17"/>
              </w:rPr>
              <w:t>30.6%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5.24% (Moyenne) — μ=15,829 FCFA, σ=829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β=1.4023 (Agressif) — Cov=0.000051, Var(idx)=0.000036, ρ=0.437,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2,274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σ_j=1.93%/j (Stable) — Vol. annualisée≈30.6%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17,045</w:t>
            </w:r>
          </w:p>
        </w:tc>
        <w:tc>
          <w:tcPr>
            <w:tcW w:type="dxa" w:w="1440"/>
            <w:shd w:fill="FFDCE0" w:val="clear"/>
          </w:tcPr>
          <w:p>
            <w:r>
              <w:rPr>
                <w:b/>
                <w:sz w:val="17"/>
              </w:rPr>
              <w:t>17,553</w:t>
            </w:r>
          </w:p>
        </w:tc>
        <w:tc>
          <w:tcPr>
            <w:tcW w:type="dxa" w:w="1440"/>
            <w:shd w:fill="FFDCE0" w:val="clear"/>
          </w:tcPr>
          <w:p>
            <w:r>
              <w:rPr>
                <w:sz w:val="17"/>
              </w:rPr>
              <w:t>18,061</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16,845</w:t>
            </w:r>
          </w:p>
        </w:tc>
        <w:tc>
          <w:tcPr>
            <w:tcW w:type="dxa" w:w="1440"/>
            <w:shd w:fill="FFDCE0" w:val="clear"/>
          </w:tcPr>
          <w:p>
            <w:r>
              <w:rPr>
                <w:b/>
                <w:sz w:val="17"/>
              </w:rPr>
              <w:t>17,564</w:t>
            </w:r>
          </w:p>
        </w:tc>
        <w:tc>
          <w:tcPr>
            <w:tcW w:type="dxa" w:w="1440"/>
            <w:shd w:fill="FFDCE0" w:val="clear"/>
          </w:tcPr>
          <w:p>
            <w:r>
              <w:rPr>
                <w:sz w:val="17"/>
              </w:rPr>
              <w:t>18,283</w:t>
            </w:r>
          </w:p>
        </w:tc>
        <w:tc>
          <w:tcPr>
            <w:tcW w:type="dxa" w:w="1440"/>
            <w:shd w:fill="FFDCE0" w:val="clear"/>
          </w:tcPr>
          <w:p>
            <w:r>
              <w:rPr>
                <w:b/>
                <w:color w:val="C00000"/>
                <w:sz w:val="17"/>
              </w:rPr>
              <w:t>-2.4%</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16,649</w:t>
            </w:r>
          </w:p>
        </w:tc>
        <w:tc>
          <w:tcPr>
            <w:tcW w:type="dxa" w:w="1440"/>
            <w:shd w:fill="FFDCE0" w:val="clear"/>
          </w:tcPr>
          <w:p>
            <w:r>
              <w:rPr>
                <w:b/>
                <w:sz w:val="17"/>
              </w:rPr>
              <w:t>17,528</w:t>
            </w:r>
          </w:p>
        </w:tc>
        <w:tc>
          <w:tcPr>
            <w:tcW w:type="dxa" w:w="1440"/>
            <w:shd w:fill="FFDCE0" w:val="clear"/>
          </w:tcPr>
          <w:p>
            <w:r>
              <w:rPr>
                <w:sz w:val="17"/>
              </w:rPr>
              <w:t>18,406</w:t>
            </w:r>
          </w:p>
        </w:tc>
        <w:tc>
          <w:tcPr>
            <w:tcW w:type="dxa" w:w="1440"/>
            <w:shd w:fill="FFDCE0" w:val="clear"/>
          </w:tcPr>
          <w:p>
            <w:r>
              <w:rPr>
                <w:b/>
                <w:color w:val="C00000"/>
                <w:sz w:val="17"/>
              </w:rPr>
              <w:t>-2.6%</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16,472</w:t>
            </w:r>
          </w:p>
        </w:tc>
        <w:tc>
          <w:tcPr>
            <w:tcW w:type="dxa" w:w="1440"/>
            <w:shd w:fill="FFDCE0" w:val="clear"/>
          </w:tcPr>
          <w:p>
            <w:r>
              <w:rPr>
                <w:b/>
                <w:sz w:val="17"/>
              </w:rPr>
              <w:t>17,483</w:t>
            </w:r>
          </w:p>
        </w:tc>
        <w:tc>
          <w:tcPr>
            <w:tcW w:type="dxa" w:w="1440"/>
            <w:shd w:fill="FFDCE0" w:val="clear"/>
          </w:tcPr>
          <w:p>
            <w:r>
              <w:rPr>
                <w:sz w:val="17"/>
              </w:rPr>
              <w:t>18,495</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16,311</w:t>
            </w:r>
          </w:p>
        </w:tc>
        <w:tc>
          <w:tcPr>
            <w:tcW w:type="dxa" w:w="1440"/>
            <w:shd w:fill="FFDCE0" w:val="clear"/>
          </w:tcPr>
          <w:p>
            <w:r>
              <w:rPr>
                <w:b/>
                <w:sz w:val="17"/>
              </w:rPr>
              <w:t>17,439</w:t>
            </w:r>
          </w:p>
        </w:tc>
        <w:tc>
          <w:tcPr>
            <w:tcW w:type="dxa" w:w="1440"/>
            <w:shd w:fill="FFDCE0" w:val="clear"/>
          </w:tcPr>
          <w:p>
            <w:r>
              <w:rPr>
                <w:sz w:val="17"/>
              </w:rPr>
              <w:t>18,567</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16,162</w:t>
            </w:r>
          </w:p>
        </w:tc>
        <w:tc>
          <w:tcPr>
            <w:tcW w:type="dxa" w:w="1440"/>
            <w:shd w:fill="FFDCE0" w:val="clear"/>
          </w:tcPr>
          <w:p>
            <w:r>
              <w:rPr>
                <w:b/>
                <w:sz w:val="17"/>
              </w:rPr>
              <w:t>17,395</w:t>
            </w:r>
          </w:p>
        </w:tc>
        <w:tc>
          <w:tcPr>
            <w:tcW w:type="dxa" w:w="1440"/>
            <w:shd w:fill="FFDCE0" w:val="clear"/>
          </w:tcPr>
          <w:p>
            <w:r>
              <w:rPr>
                <w:sz w:val="17"/>
              </w:rPr>
              <w:t>18,627</w:t>
            </w:r>
          </w:p>
        </w:tc>
        <w:tc>
          <w:tcPr>
            <w:tcW w:type="dxa" w:w="1440"/>
            <w:shd w:fill="FFDCE0" w:val="clear"/>
          </w:tcPr>
          <w:p>
            <w:r>
              <w:rPr>
                <w:b/>
                <w:color w:val="C00000"/>
                <w:sz w:val="17"/>
              </w:rPr>
              <w:t>-3.4%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16,023</w:t>
            </w:r>
          </w:p>
        </w:tc>
        <w:tc>
          <w:tcPr>
            <w:tcW w:type="dxa" w:w="1440"/>
            <w:shd w:fill="FFDCE0" w:val="clear"/>
          </w:tcPr>
          <w:p>
            <w:r>
              <w:rPr>
                <w:b/>
                <w:sz w:val="17"/>
              </w:rPr>
              <w:t>17,351</w:t>
            </w:r>
          </w:p>
        </w:tc>
        <w:tc>
          <w:tcPr>
            <w:tcW w:type="dxa" w:w="1440"/>
            <w:shd w:fill="FFDCE0" w:val="clear"/>
          </w:tcPr>
          <w:p>
            <w:r>
              <w:rPr>
                <w:sz w:val="17"/>
              </w:rPr>
              <w:t>18,680</w:t>
            </w:r>
          </w:p>
        </w:tc>
        <w:tc>
          <w:tcPr>
            <w:tcW w:type="dxa" w:w="1440"/>
            <w:shd w:fill="FFDCE0" w:val="clear"/>
          </w:tcPr>
          <w:p>
            <w:r>
              <w:rPr>
                <w:b/>
                <w:color w:val="C00000"/>
                <w:sz w:val="17"/>
              </w:rPr>
              <w:t>-3.6%</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15,893</w:t>
            </w:r>
          </w:p>
        </w:tc>
        <w:tc>
          <w:tcPr>
            <w:tcW w:type="dxa" w:w="1440"/>
            <w:shd w:fill="FFDCE0" w:val="clear"/>
          </w:tcPr>
          <w:p>
            <w:r>
              <w:rPr>
                <w:b/>
                <w:sz w:val="17"/>
              </w:rPr>
              <w:t>17,309</w:t>
            </w:r>
          </w:p>
        </w:tc>
        <w:tc>
          <w:tcPr>
            <w:tcW w:type="dxa" w:w="1440"/>
            <w:shd w:fill="FFDCE0" w:val="clear"/>
          </w:tcPr>
          <w:p>
            <w:r>
              <w:rPr>
                <w:sz w:val="17"/>
              </w:rPr>
              <w:t>18,726</w:t>
            </w:r>
          </w:p>
        </w:tc>
        <w:tc>
          <w:tcPr>
            <w:tcW w:type="dxa" w:w="1440"/>
            <w:shd w:fill="FFDCE0" w:val="clear"/>
          </w:tcPr>
          <w:p>
            <w:r>
              <w:rPr>
                <w:b/>
                <w:color w:val="C00000"/>
                <w:sz w:val="17"/>
              </w:rPr>
              <w:t>-3.8%</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15,769</w:t>
            </w:r>
          </w:p>
        </w:tc>
        <w:tc>
          <w:tcPr>
            <w:tcW w:type="dxa" w:w="1440"/>
            <w:shd w:fill="FFDCE0" w:val="clear"/>
          </w:tcPr>
          <w:p>
            <w:r>
              <w:rPr>
                <w:b/>
                <w:sz w:val="17"/>
              </w:rPr>
              <w:t>17,268</w:t>
            </w:r>
          </w:p>
        </w:tc>
        <w:tc>
          <w:tcPr>
            <w:tcW w:type="dxa" w:w="1440"/>
            <w:shd w:fill="FFDCE0" w:val="clear"/>
          </w:tcPr>
          <w:p>
            <w:r>
              <w:rPr>
                <w:sz w:val="17"/>
              </w:rPr>
              <w:t>18,767</w:t>
            </w:r>
          </w:p>
        </w:tc>
        <w:tc>
          <w:tcPr>
            <w:tcW w:type="dxa" w:w="1440"/>
            <w:shd w:fill="FFDCE0" w:val="clear"/>
          </w:tcPr>
          <w:p>
            <w:r>
              <w:rPr>
                <w:b/>
                <w:color w:val="C00000"/>
                <w:sz w:val="17"/>
              </w:rPr>
              <w:t>-4.1%</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15,651</w:t>
            </w:r>
          </w:p>
        </w:tc>
        <w:tc>
          <w:tcPr>
            <w:tcW w:type="dxa" w:w="1440"/>
            <w:shd w:fill="FFDCE0" w:val="clear"/>
          </w:tcPr>
          <w:p>
            <w:r>
              <w:rPr>
                <w:b/>
                <w:sz w:val="17"/>
              </w:rPr>
              <w:t>17,227</w:t>
            </w:r>
          </w:p>
        </w:tc>
        <w:tc>
          <w:tcPr>
            <w:tcW w:type="dxa" w:w="1440"/>
            <w:shd w:fill="FFDCE0" w:val="clear"/>
          </w:tcPr>
          <w:p>
            <w:r>
              <w:rPr>
                <w:sz w:val="17"/>
              </w:rPr>
              <w:t>18,803</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ORANGE CÔTE D'IVOIRE (ORAC)**</w:t>
        <w:br/>
        <w:t>**Date : 14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d'ORAC s'établit à 2 711,80 milliards FCFA, ce qui en fait l'une des plus importantes de la BRVM, représentant une part significative de la capitalisation totale du marché. Le BPA de 1 114 FCFA indique que chaque action génère un bénéfice substantiel, justifiant un PER de 16,2x, nettement supérieur à la moyenne historique de la BRVM (8-12x). Les investisseurs paient donc une prime pour la qualité et la croissance de l'entreprise. Le P/B de 3,83x confirme cette prime, le marché valorisant le titre bien au-dessus de sa valeur comptable. Enfin, l'EV/EBITDA de 6,5x reste dans une zone raisonnable (5-10x), indiquant que la valorisation globale de l'entreprise, rapportée à sa capacité opérationnelle, n'est pas excessive malgré la prime boursière.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ORAC a enregistré une progression remarquable de +19,60%, avec une stabilité lors de la dernière séance (+0,00%). Le cours a évolué dans une fourchette de 14 200 FCFA (plus bas) à 18 000 FCFA (plus haut), démontrant une tendance haussière soutenue. Les statistiques descriptives révèlent une distribution relativement symétrique : la moyenne (15 829 FCFA) et la médiane (15 828 FCFA) sont presque identiques, confirmant l'absence d'asymétrie majeure (skewness de 0,309). L'écart-type de 833 FCFA (CV=5,3%) indique une dispersion modérée autour de la moyenne. Le kurtosis de -0,674 (mésokurtique) suggère une distribution proche de la normale, sans risque de pics extrêmes. La volatilité annualisée de 30,6% classe le titre dans la catégorie élevée (&gt;30%), reflétant des mouvements de prix significatifs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(18 000 FCFA) se positionne nettement au-dessus de la MM20 (16 847,5 FCFA) et de la MM50 (16 494,3 FCFA). Cette configuration haussière, avec des moyennes croissantes, confirme la dynamique positive du titre et justifie la décision d'achat. La pente ascendante des moyennes indique une tendance de fond solide.</w:t>
      </w:r>
    </w:p>
    <w:p>
      <w:pPr>
        <w:spacing w:after="120" w:line="276" w:lineRule="auto"/>
      </w:pPr>
      <w:r>
        <w:t>**Bandes de Bollinger** : Le cours évolue au niveau de la borne supérieure (17 963,77 FCFA), signalant une pression acheteuse intense. Cette position extrême suggère une possible consolidation à court terme, d'où la décision de vente. La largeur des bandes reflète une volatilité élevée, cohérente avec la volatilité annualisée de 30,6%.</w:t>
      </w:r>
    </w:p>
    <w:p>
      <w:pPr>
        <w:spacing w:after="120" w:line="276" w:lineRule="auto"/>
      </w:pPr>
      <w:r>
        <w:t>**MACD** : Le MACD (362,202) est nettement au-dessus de sa ligne de signal (253,727), indiquant un momentum haussier puissant. L'écart positif et croissant entre les deux lignes confirme la force de la tendance. La décision d'achat est justifiée par cette dynamique positive.</w:t>
      </w:r>
    </w:p>
    <w:p>
      <w:pPr>
        <w:spacing w:after="120" w:line="276" w:lineRule="auto"/>
      </w:pPr>
      <w:r>
        <w:t>**RSI** : Le RSI à 89,231 est en zone de surachat extrême (&gt;70). Cette lecture indique que le titre est techniquement surévalué à court terme, avec un risque élevé de correction. La décision de vente est donc cohérente avec ce signal de surachat.</w:t>
      </w:r>
    </w:p>
    <w:p>
      <w:pPr>
        <w:spacing w:after="120" w:line="276" w:lineRule="auto"/>
      </w:pPr>
      <w:r>
        <w:t>**Stochastique** : Le %K et le %D sont tous deux à 100, confirmant une condition de surachat extrême. Cette configuration suggère que le mouvement haussier est arrivé à un point de saturation, augmentant la probabilité d'un repli technique. La décision de vente est justifiée.</w:t>
      </w:r>
    </w:p>
    <w:p>
      <w:pPr>
        <w:spacing w:after="120" w:line="276" w:lineRule="auto"/>
      </w:pPr>
      <w:r>
        <w:t>**Conclusion technique** : Les indicateurs de tendance (MM, MACD) sont résolument haussiers, mais les oscillateurs (RSI, Stochastique) signalent un surachat extrême. Cette divergence entre tendance et momentum suggère une possible pause ou correction à court terme avant la poursuite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ORAC a réalisé un chiffre d'affaires consolidé de 1 197,1 milliards FCFA, en hausse de +10,4% par rapport à 2024 (1 084,1 milliards FCFA). Le résultat net consolidé s'établit à 167,8 milliards FCFA (+6,1%), avec un résultat net part du groupe de 129,1 milliards FCFA (+14,5%). La rentabilité demeure excellente avec un ROE de 23,7% et un ROA de 6,6%. La marge nette ressort à 14,0%, tandis que la marge opérationnelle atteint 24,0%. Le BFR négatif de -198 milliards FCFA est un signal très favorable, indiquant que l'entreprise finance son exploitation grâce aux délais fournisseurs (210,87 jours) nettement supérieurs aux délais clients (52,26 jours). L'endettement reste maîtrisé avec une capacité de remboursement de 0,99 an et une couverture des intérêts de 1 018%. Le dividende proposé de 800 FCFA brut par action représente un rendement attractif. Sur la base du rapport T1 2026 (CA +14,8% à 325,6 milliards FCFA, résultat net +25,2% à 48,3 milliards FCFA), on estime que l'exercice 2026 pourrait dépasser les performances de 2025, avec un CA potentiel de 1 350-1 400 milliards FCFA et un résultat net de 190-200 milliards FCFA. Les rapports de 2025 (T1, S1, T3) montrent une croissance du CA stable autour de +10%, mais une stagnation du résultat net due aux charges financières, avant une amélioration nette au T1 2026. La solidité financière, la croissance soutenue et la politique de dividende généreuse confirment la recommandation d'achat.</w:t>
      </w:r>
    </w:p>
    <w:p>
      <w:pPr>
        <w:spacing w:after="120" w:line="276" w:lineRule="auto"/>
      </w:pPr>
      <w:r>
        <w:t>---</w:t>
      </w:r>
    </w:p>
    <w:p>
      <w:pPr>
        <w:spacing w:after="120" w:line="276" w:lineRule="auto"/>
      </w:pPr>
      <w:r>
        <w:t>### PARTIE 4 : CONCLUSION D'INVESTISSEMENT</w:t>
      </w:r>
    </w:p>
    <w:p>
      <w:pPr>
        <w:spacing w:after="120" w:line="276" w:lineRule="auto"/>
      </w:pPr>
      <w:r>
        <w:t>La valorisation d'ORAC (PER 16,2x, P/B 3,83x) indique une prime de croissance justifiée par la qualité des fondamentaux, bien que supérieure à la moyenne BRVM. Le comportement du cours (+19,6% sur 100 jours) montre une tendance haussière solide, mais avec une volatilité élevée (30,6%) et des signaux de surachat technique. Les indicateurs techniques divergent : les moyennes mobiles et le MACD sont positifs, tandis que le RSI et le stochastique signalent une correction imminente. Les fondamentaux restent excellents avec une croissance à deux chiffres, une rentabilité élevée (ROE 23,7%) et des perspectives prometteuses pour 2026. Les prédictions IA (17 553 à 17 439 FCFA sur 10 jours) suggèrent une légère consolidation, cohérente avec les signaux de surachat technique. En synthèse, la convergence entre fondamentaux solides et perspectives de croissance positive, malgré une valorisation exigeante, conduit à une recommandation **ACHAT** pour les investisseurs à moyen et long terme, avec un niveau de confiance **Moyen** et un risque global **Moyen**. L'horizon optimal est de 3 à 12 mois, en attendant une éventuelle correction technique pour renforcer les positions.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212.41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6,220 titres</w:t>
            </w:r>
          </w:p>
        </w:tc>
        <w:tc>
          <w:tcPr>
            <w:tcW w:type="dxa" w:w="2268"/>
            <w:shd w:fill="FFF2CC" w:val="clear"/>
          </w:tcPr>
          <w:p>
            <w:r>
              <w:rPr>
                <w:b/>
                <w:color w:val="503200"/>
                <w:sz w:val="16"/>
              </w:rPr>
              <w:t xml:space="preserve">Cours actuel : </w:t>
            </w:r>
            <w:r>
              <w:rPr>
                <w:color w:val="000000"/>
                <w:sz w:val="17"/>
              </w:rPr>
              <w:t>3,060 FCFA</w:t>
            </w:r>
          </w:p>
          <w:p>
            <w:r>
              <w:rPr>
                <w:b/>
                <w:color w:val="503200"/>
                <w:sz w:val="16"/>
              </w:rPr>
              <w:t xml:space="preserve">Var. 100 jours : </w:t>
            </w:r>
            <w:r>
              <w:rPr>
                <w:b/>
                <w:color w:val="B40000"/>
                <w:sz w:val="17"/>
              </w:rPr>
              <w:t>-12.57%</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12.65% (Moyenne) — μ=2,988 FCFA, σ=378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β=0.1285 (Défensif) — Cov=0.000005, Var(idx)=0.000036, ρ=0.028,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2,977</w:t>
            </w:r>
          </w:p>
        </w:tc>
        <w:tc>
          <w:tcPr>
            <w:tcW w:type="dxa" w:w="1440"/>
            <w:shd w:fill="FAFAFA" w:val="clear"/>
          </w:tcPr>
          <w:p>
            <w:r>
              <w:rPr>
                <w:b/>
                <w:sz w:val="17"/>
              </w:rPr>
              <w:t>3,069</w:t>
            </w:r>
          </w:p>
        </w:tc>
        <w:tc>
          <w:tcPr>
            <w:tcW w:type="dxa" w:w="1440"/>
            <w:shd w:fill="FAFAFA" w:val="clear"/>
          </w:tcPr>
          <w:p>
            <w:r>
              <w:rPr>
                <w:sz w:val="17"/>
              </w:rPr>
              <w:t>3,160</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2,937</w:t>
            </w:r>
          </w:p>
        </w:tc>
        <w:tc>
          <w:tcPr>
            <w:tcW w:type="dxa" w:w="1440"/>
            <w:shd w:fill="FAFAFA" w:val="clear"/>
          </w:tcPr>
          <w:p>
            <w:r>
              <w:rPr>
                <w:b/>
                <w:sz w:val="17"/>
              </w:rPr>
              <w:t>3,066</w:t>
            </w:r>
          </w:p>
        </w:tc>
        <w:tc>
          <w:tcPr>
            <w:tcW w:type="dxa" w:w="1440"/>
            <w:shd w:fill="FAFAFA" w:val="clear"/>
          </w:tcPr>
          <w:p>
            <w:r>
              <w:rPr>
                <w:sz w:val="17"/>
              </w:rPr>
              <w:t>3,195</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2,906</w:t>
            </w:r>
          </w:p>
        </w:tc>
        <w:tc>
          <w:tcPr>
            <w:tcW w:type="dxa" w:w="1440"/>
            <w:shd w:fill="FAFAFA" w:val="clear"/>
          </w:tcPr>
          <w:p>
            <w:r>
              <w:rPr>
                <w:b/>
                <w:sz w:val="17"/>
              </w:rPr>
              <w:t>3,064</w:t>
            </w:r>
          </w:p>
        </w:tc>
        <w:tc>
          <w:tcPr>
            <w:tcW w:type="dxa" w:w="1440"/>
            <w:shd w:fill="FAFAFA" w:val="clear"/>
          </w:tcPr>
          <w:p>
            <w:r>
              <w:rPr>
                <w:sz w:val="17"/>
              </w:rPr>
              <w:t>3,222</w:t>
            </w:r>
          </w:p>
        </w:tc>
        <w:tc>
          <w:tcPr>
            <w:tcW w:type="dxa" w:w="1440"/>
            <w:shd w:fill="FAFAFA" w:val="clear"/>
          </w:tcPr>
          <w:p>
            <w:r>
              <w:rPr>
                <w:b/>
                <w:color w:val="008000"/>
                <w:sz w:val="17"/>
              </w:rPr>
              <w:t>+0.1%</w:t>
            </w:r>
          </w:p>
        </w:tc>
      </w:tr>
      <w:tr>
        <w:tc>
          <w:tcPr>
            <w:tcW w:type="dxa" w:w="1440"/>
            <w:shd w:fill="FAFAFA" w:val="clear"/>
          </w:tcPr>
          <w:p>
            <w:r>
              <w:rPr>
                <w:sz w:val="17"/>
              </w:rPr>
              <w:t>J+4  Moyenne</w:t>
            </w:r>
          </w:p>
        </w:tc>
        <w:tc>
          <w:tcPr>
            <w:tcW w:type="dxa" w:w="1440"/>
            <w:shd w:fill="FAFAFA" w:val="clear"/>
          </w:tcPr>
          <w:p>
            <w:r>
              <w:rPr>
                <w:sz w:val="17"/>
              </w:rPr>
              <w:t>2026-08-20</w:t>
            </w:r>
          </w:p>
        </w:tc>
        <w:tc>
          <w:tcPr>
            <w:tcW w:type="dxa" w:w="1440"/>
            <w:shd w:fill="FAFAFA" w:val="clear"/>
          </w:tcPr>
          <w:p>
            <w:r>
              <w:rPr>
                <w:sz w:val="17"/>
              </w:rPr>
              <w:t>2,880</w:t>
            </w:r>
          </w:p>
        </w:tc>
        <w:tc>
          <w:tcPr>
            <w:tcW w:type="dxa" w:w="1440"/>
            <w:shd w:fill="FAFAFA" w:val="clear"/>
          </w:tcPr>
          <w:p>
            <w:r>
              <w:rPr>
                <w:b/>
                <w:sz w:val="17"/>
              </w:rPr>
              <w:t>3,062</w:t>
            </w:r>
          </w:p>
        </w:tc>
        <w:tc>
          <w:tcPr>
            <w:tcW w:type="dxa" w:w="1440"/>
            <w:shd w:fill="FAFAFA" w:val="clear"/>
          </w:tcPr>
          <w:p>
            <w:r>
              <w:rPr>
                <w:sz w:val="17"/>
              </w:rPr>
              <w:t>3,245</w:t>
            </w:r>
          </w:p>
        </w:tc>
        <w:tc>
          <w:tcPr>
            <w:tcW w:type="dxa" w:w="1440"/>
            <w:shd w:fill="FAFAFA" w:val="clear"/>
          </w:tcPr>
          <w:p>
            <w:r>
              <w:rPr>
                <w:b/>
                <w:color w:val="008000"/>
                <w:sz w:val="17"/>
              </w:rPr>
              <w:t>+0.1%</w:t>
            </w:r>
          </w:p>
        </w:tc>
      </w:tr>
      <w:tr>
        <w:tc>
          <w:tcPr>
            <w:tcW w:type="dxa" w:w="1440"/>
            <w:shd w:fill="FAFAFA" w:val="clear"/>
          </w:tcPr>
          <w:p>
            <w:r>
              <w:rPr>
                <w:sz w:val="17"/>
              </w:rPr>
              <w:t>J+5  Moyenne</w:t>
            </w:r>
          </w:p>
        </w:tc>
        <w:tc>
          <w:tcPr>
            <w:tcW w:type="dxa" w:w="1440"/>
            <w:shd w:fill="FAFAFA" w:val="clear"/>
          </w:tcPr>
          <w:p>
            <w:r>
              <w:rPr>
                <w:sz w:val="17"/>
              </w:rPr>
              <w:t>2026-08-21</w:t>
            </w:r>
          </w:p>
        </w:tc>
        <w:tc>
          <w:tcPr>
            <w:tcW w:type="dxa" w:w="1440"/>
            <w:shd w:fill="FAFAFA" w:val="clear"/>
          </w:tcPr>
          <w:p>
            <w:r>
              <w:rPr>
                <w:sz w:val="17"/>
              </w:rPr>
              <w:t>2,856</w:t>
            </w:r>
          </w:p>
        </w:tc>
        <w:tc>
          <w:tcPr>
            <w:tcW w:type="dxa" w:w="1440"/>
            <w:shd w:fill="FAFAFA" w:val="clear"/>
          </w:tcPr>
          <w:p>
            <w:r>
              <w:rPr>
                <w:b/>
                <w:sz w:val="17"/>
              </w:rPr>
              <w:t>3,060</w:t>
            </w:r>
          </w:p>
        </w:tc>
        <w:tc>
          <w:tcPr>
            <w:tcW w:type="dxa" w:w="1440"/>
            <w:shd w:fill="FAFAFA" w:val="clear"/>
          </w:tcPr>
          <w:p>
            <w:r>
              <w:rPr>
                <w:sz w:val="17"/>
              </w:rPr>
              <w:t>3,264</w:t>
            </w:r>
          </w:p>
        </w:tc>
        <w:tc>
          <w:tcPr>
            <w:tcW w:type="dxa" w:w="1440"/>
            <w:shd w:fill="FAFAFA" w:val="clear"/>
          </w:tcPr>
          <w:p>
            <w:r>
              <w:rPr>
                <w:b/>
                <w:color w:val="C00000"/>
                <w:sz w:val="17"/>
              </w:rPr>
              <w:t>-0.0%</w:t>
            </w:r>
          </w:p>
        </w:tc>
      </w:tr>
      <w:tr>
        <w:tc>
          <w:tcPr>
            <w:tcW w:type="dxa" w:w="1440"/>
            <w:shd w:fill="FAFAFA" w:val="clear"/>
          </w:tcPr>
          <w:p>
            <w:r>
              <w:rPr>
                <w:sz w:val="17"/>
              </w:rPr>
              <w:t>J+6  Moyenne</w:t>
            </w:r>
          </w:p>
        </w:tc>
        <w:tc>
          <w:tcPr>
            <w:tcW w:type="dxa" w:w="1440"/>
            <w:shd w:fill="FAFAFA" w:val="clear"/>
          </w:tcPr>
          <w:p>
            <w:r>
              <w:rPr>
                <w:sz w:val="17"/>
              </w:rPr>
              <w:t>2026-08-24</w:t>
            </w:r>
          </w:p>
        </w:tc>
        <w:tc>
          <w:tcPr>
            <w:tcW w:type="dxa" w:w="1440"/>
            <w:shd w:fill="FAFAFA" w:val="clear"/>
          </w:tcPr>
          <w:p>
            <w:r>
              <w:rPr>
                <w:sz w:val="17"/>
              </w:rPr>
              <w:t>2,834</w:t>
            </w:r>
          </w:p>
        </w:tc>
        <w:tc>
          <w:tcPr>
            <w:tcW w:type="dxa" w:w="1440"/>
            <w:shd w:fill="FAFAFA" w:val="clear"/>
          </w:tcPr>
          <w:p>
            <w:r>
              <w:rPr>
                <w:b/>
                <w:sz w:val="17"/>
              </w:rPr>
              <w:t>3,058</w:t>
            </w:r>
          </w:p>
        </w:tc>
        <w:tc>
          <w:tcPr>
            <w:tcW w:type="dxa" w:w="1440"/>
            <w:shd w:fill="FAFAFA" w:val="clear"/>
          </w:tcPr>
          <w:p>
            <w:r>
              <w:rPr>
                <w:sz w:val="17"/>
              </w:rPr>
              <w:t>3,281</w:t>
            </w:r>
          </w:p>
        </w:tc>
        <w:tc>
          <w:tcPr>
            <w:tcW w:type="dxa" w:w="1440"/>
            <w:shd w:fill="FAFAFA" w:val="clear"/>
          </w:tcPr>
          <w:p>
            <w:r>
              <w:rPr>
                <w:b/>
                <w:color w:val="C00000"/>
                <w:sz w:val="17"/>
              </w:rPr>
              <w:t>-0.1%</w:t>
            </w:r>
          </w:p>
        </w:tc>
      </w:tr>
      <w:tr>
        <w:tc>
          <w:tcPr>
            <w:tcW w:type="dxa" w:w="1440"/>
            <w:shd w:fill="FAFAFA" w:val="clear"/>
          </w:tcPr>
          <w:p>
            <w:r>
              <w:rPr>
                <w:sz w:val="17"/>
              </w:rPr>
              <w:t>J+7  Moyenne</w:t>
            </w:r>
          </w:p>
        </w:tc>
        <w:tc>
          <w:tcPr>
            <w:tcW w:type="dxa" w:w="1440"/>
            <w:shd w:fill="FAFAFA" w:val="clear"/>
          </w:tcPr>
          <w:p>
            <w:r>
              <w:rPr>
                <w:sz w:val="17"/>
              </w:rPr>
              <w:t>2026-08-25</w:t>
            </w:r>
          </w:p>
        </w:tc>
        <w:tc>
          <w:tcPr>
            <w:tcW w:type="dxa" w:w="1440"/>
            <w:shd w:fill="FAFAFA" w:val="clear"/>
          </w:tcPr>
          <w:p>
            <w:r>
              <w:rPr>
                <w:sz w:val="17"/>
              </w:rPr>
              <w:t>2,814</w:t>
            </w:r>
          </w:p>
        </w:tc>
        <w:tc>
          <w:tcPr>
            <w:tcW w:type="dxa" w:w="1440"/>
            <w:shd w:fill="FAFAFA" w:val="clear"/>
          </w:tcPr>
          <w:p>
            <w:r>
              <w:rPr>
                <w:b/>
                <w:sz w:val="17"/>
              </w:rPr>
              <w:t>3,055</w:t>
            </w:r>
          </w:p>
        </w:tc>
        <w:tc>
          <w:tcPr>
            <w:tcW w:type="dxa" w:w="1440"/>
            <w:shd w:fill="FAFAFA" w:val="clear"/>
          </w:tcPr>
          <w:p>
            <w:r>
              <w:rPr>
                <w:sz w:val="17"/>
              </w:rPr>
              <w:t>3,296</w:t>
            </w:r>
          </w:p>
        </w:tc>
        <w:tc>
          <w:tcPr>
            <w:tcW w:type="dxa" w:w="1440"/>
            <w:shd w:fill="FAFAFA" w:val="clear"/>
          </w:tcPr>
          <w:p>
            <w:r>
              <w:rPr>
                <w:b/>
                <w:color w:val="C00000"/>
                <w:sz w:val="17"/>
              </w:rPr>
              <w:t>-0.2%</w:t>
            </w:r>
          </w:p>
        </w:tc>
      </w:tr>
      <w:tr>
        <w:tc>
          <w:tcPr>
            <w:tcW w:type="dxa" w:w="1440"/>
            <w:shd w:fill="FAFAFA" w:val="clear"/>
          </w:tcPr>
          <w:p>
            <w:r>
              <w:rPr>
                <w:sz w:val="17"/>
              </w:rPr>
              <w:t>J+8  Moyenne</w:t>
            </w:r>
          </w:p>
        </w:tc>
        <w:tc>
          <w:tcPr>
            <w:tcW w:type="dxa" w:w="1440"/>
            <w:shd w:fill="FAFAFA" w:val="clear"/>
          </w:tcPr>
          <w:p>
            <w:r>
              <w:rPr>
                <w:sz w:val="17"/>
              </w:rPr>
              <w:t>2026-08-27</w:t>
            </w:r>
          </w:p>
        </w:tc>
        <w:tc>
          <w:tcPr>
            <w:tcW w:type="dxa" w:w="1440"/>
            <w:shd w:fill="FAFAFA" w:val="clear"/>
          </w:tcPr>
          <w:p>
            <w:r>
              <w:rPr>
                <w:sz w:val="17"/>
              </w:rPr>
              <w:t>2,795</w:t>
            </w:r>
          </w:p>
        </w:tc>
        <w:tc>
          <w:tcPr>
            <w:tcW w:type="dxa" w:w="1440"/>
            <w:shd w:fill="FAFAFA" w:val="clear"/>
          </w:tcPr>
          <w:p>
            <w:r>
              <w:rPr>
                <w:b/>
                <w:sz w:val="17"/>
              </w:rPr>
              <w:t>3,053</w:t>
            </w:r>
          </w:p>
        </w:tc>
        <w:tc>
          <w:tcPr>
            <w:tcW w:type="dxa" w:w="1440"/>
            <w:shd w:fill="FAFAFA" w:val="clear"/>
          </w:tcPr>
          <w:p>
            <w:r>
              <w:rPr>
                <w:sz w:val="17"/>
              </w:rPr>
              <w:t>3,310</w:t>
            </w:r>
          </w:p>
        </w:tc>
        <w:tc>
          <w:tcPr>
            <w:tcW w:type="dxa" w:w="1440"/>
            <w:shd w:fill="FAFAFA" w:val="clear"/>
          </w:tcPr>
          <w:p>
            <w:r>
              <w:rPr>
                <w:b/>
                <w:color w:val="C00000"/>
                <w:sz w:val="17"/>
              </w:rPr>
              <w:t>-0.2%</w:t>
            </w:r>
          </w:p>
        </w:tc>
      </w:tr>
      <w:tr>
        <w:tc>
          <w:tcPr>
            <w:tcW w:type="dxa" w:w="1440"/>
            <w:shd w:fill="FAFAFA" w:val="clear"/>
          </w:tcPr>
          <w:p>
            <w:r>
              <w:rPr>
                <w:sz w:val="17"/>
              </w:rPr>
              <w:t>J+9  Moyenne</w:t>
            </w:r>
          </w:p>
        </w:tc>
        <w:tc>
          <w:tcPr>
            <w:tcW w:type="dxa" w:w="1440"/>
            <w:shd w:fill="FAFAFA" w:val="clear"/>
          </w:tcPr>
          <w:p>
            <w:r>
              <w:rPr>
                <w:sz w:val="17"/>
              </w:rPr>
              <w:t>2026-08-28</w:t>
            </w:r>
          </w:p>
        </w:tc>
        <w:tc>
          <w:tcPr>
            <w:tcW w:type="dxa" w:w="1440"/>
            <w:shd w:fill="FAFAFA" w:val="clear"/>
          </w:tcPr>
          <w:p>
            <w:r>
              <w:rPr>
                <w:sz w:val="17"/>
              </w:rPr>
              <w:t>2,777</w:t>
            </w:r>
          </w:p>
        </w:tc>
        <w:tc>
          <w:tcPr>
            <w:tcW w:type="dxa" w:w="1440"/>
            <w:shd w:fill="FAFAFA" w:val="clear"/>
          </w:tcPr>
          <w:p>
            <w:r>
              <w:rPr>
                <w:b/>
                <w:sz w:val="17"/>
              </w:rPr>
              <w:t>3,050</w:t>
            </w:r>
          </w:p>
        </w:tc>
        <w:tc>
          <w:tcPr>
            <w:tcW w:type="dxa" w:w="1440"/>
            <w:shd w:fill="FAFAFA" w:val="clear"/>
          </w:tcPr>
          <w:p>
            <w:r>
              <w:rPr>
                <w:sz w:val="17"/>
              </w:rPr>
              <w:t>3,323</w:t>
            </w:r>
          </w:p>
        </w:tc>
        <w:tc>
          <w:tcPr>
            <w:tcW w:type="dxa" w:w="1440"/>
            <w:shd w:fill="FAFAFA" w:val="clear"/>
          </w:tcPr>
          <w:p>
            <w:r>
              <w:rPr>
                <w:b/>
                <w:color w:val="C00000"/>
                <w:sz w:val="17"/>
              </w:rPr>
              <w:t>-0.3%</w:t>
            </w:r>
          </w:p>
        </w:tc>
      </w:tr>
      <w:tr>
        <w:tc>
          <w:tcPr>
            <w:tcW w:type="dxa" w:w="1440"/>
            <w:shd w:fill="FAFAFA" w:val="clear"/>
          </w:tcPr>
          <w:p>
            <w:r>
              <w:rPr>
                <w:sz w:val="17"/>
              </w:rPr>
              <w:t>J+10  Moyenne</w:t>
            </w:r>
          </w:p>
        </w:tc>
        <w:tc>
          <w:tcPr>
            <w:tcW w:type="dxa" w:w="1440"/>
            <w:shd w:fill="FAFAFA" w:val="clear"/>
          </w:tcPr>
          <w:p>
            <w:r>
              <w:rPr>
                <w:sz w:val="17"/>
              </w:rPr>
              <w:t>2026-08-31</w:t>
            </w:r>
          </w:p>
        </w:tc>
        <w:tc>
          <w:tcPr>
            <w:tcW w:type="dxa" w:w="1440"/>
            <w:shd w:fill="FAFAFA" w:val="clear"/>
          </w:tcPr>
          <w:p>
            <w:r>
              <w:rPr>
                <w:sz w:val="17"/>
              </w:rPr>
              <w:t>2,760</w:t>
            </w:r>
          </w:p>
        </w:tc>
        <w:tc>
          <w:tcPr>
            <w:tcW w:type="dxa" w:w="1440"/>
            <w:shd w:fill="FAFAFA" w:val="clear"/>
          </w:tcPr>
          <w:p>
            <w:r>
              <w:rPr>
                <w:b/>
                <w:sz w:val="17"/>
              </w:rPr>
              <w:t>3,048</w:t>
            </w:r>
          </w:p>
        </w:tc>
        <w:tc>
          <w:tcPr>
            <w:tcW w:type="dxa" w:w="1440"/>
            <w:shd w:fill="FAFAFA" w:val="clear"/>
          </w:tcPr>
          <w:p>
            <w:r>
              <w:rPr>
                <w:sz w:val="17"/>
              </w:rPr>
              <w:t>3,335</w:t>
            </w:r>
          </w:p>
        </w:tc>
        <w:tc>
          <w:tcPr>
            <w:tcW w:type="dxa" w:w="1440"/>
            <w:shd w:fill="FAFAFA" w:val="clear"/>
          </w:tcPr>
          <w:p>
            <w:r>
              <w:rPr>
                <w:b/>
                <w:color w:val="C00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Absolument. Voici un rapport d'analyse structuré et professionnel pour l'action ORGT (Oragroup) sur le marché de la BRVM, basé sur l'ensemble des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d'Oragroup s'établit à 212,41 milliards FCFA, ce qui en fait une valeur de taille moyenne sur la BRVM. Avec un BPA de 312 FCFA, le titre se négocie à un PER de 9,8x, un niveau inférieur à la moyenne historique du marché (8-12x), ce qui suggère une sous-évaluation relative. Le P/B de 1,88x indique que le marché valorise la société à près de deux fois sa valeur comptable, un niveau raisonnable pour une banque en phase de redressement. Cependant, l'EV/EBITDA de 19,8x est nettement supérieur au seuil de 15x, signalant que la valeur d'entreprise (incluant la dette) est exigeante par rapport à la capacité opérationnelle. Ce ratio élevé est à relativiser, car il est calculé sur un EBITDA qui a été fortement impacté par les provisions massives de 2024, et devrait s'améliorer mécaniquement avec la normalisation du coût du risque en 2025.</w:t>
      </w:r>
    </w:p>
    <w:p>
      <w:pPr>
        <w:spacing w:after="120" w:line="276" w:lineRule="auto"/>
      </w:pPr>
      <w:r>
        <w:t>### PARTIE 1 : ANALYSE DU COURS — STATISTIQUES ET ÉVOLUTION (100 derniers jours)</w:t>
      </w:r>
    </w:p>
    <w:p>
      <w:pPr>
        <w:spacing w:after="120" w:line="276" w:lineRule="auto"/>
      </w:pPr>
      <w:r>
        <w:t>Sur les 100 derniers jours, le titre ORGT a enregistré une baisse significative de -12,57%, avec une dernière séance en léger repli de -0,16% à 3 060 FCFA. Le cours a évolué dans une fourchette large de 2 435 à 3 780 FCFA, illustrant une forte amplitude de trading. La moyenne (2 988 FCFA) est supérieure à la médiane (2 780 FCFA), et le skewness positif de 0,636 confirme une distribution asymétrique avec des épisodes de fortes hausses, mais plus de journées sous la moyenne. L'écart-type de 380 FCFA (CV=12,7%) et la volatilité annualisée de 44,1% classent le titre comme très volatil, un niveau élevé qui reflète l'incertitude des investisseurs. Le kurtosis négatif (-0,992) indique une distribution mésokurtique, sans risque de variations extrêmes plus important que la normale, ce qui est un point légèrement rassurant dans un contexte de forte volatilité.</w:t>
      </w:r>
    </w:p>
    <w:p>
      <w:pPr>
        <w:spacing w:after="120" w:line="276" w:lineRule="auto"/>
      </w:pPr>
      <w:r>
        <w:t>### PARTIE 2 : ANALYSE TECHNIQUE DÉTAILLÉE</w:t>
      </w:r>
    </w:p>
    <w:p>
      <w:pPr>
        <w:spacing w:after="120" w:line="276" w:lineRule="auto"/>
      </w:pPr>
      <w:r>
        <w:t>**Moyennes Mobiles**: Le cours actuel (3 060 FCFA) est nettement au-dessus de la MM20 (2 935,75 FCFA) et de la MM50 (2 798,2 FCFA). Cette configuration haussière, où le prix est soutenu par les moyennes mobiles, justifie la décision d'**Achat**. La tendance de fond semble positive malgré le repli récent.</w:t>
      </w:r>
    </w:p>
    <w:p>
      <w:pPr>
        <w:spacing w:after="120" w:line="276" w:lineRule="auto"/>
      </w:pPr>
      <w:r>
        <w:t>**Bandes de Bollinger**: Le prix se situe entre la borne supérieure (3 338,48 FCFA) et la borne inférieure (2 533,02 FCFA), proche de la borne haute. Cela indique une volatilité modérée et un mouvement haussier récent. La décision est **Neutre**, car le cours n'est pas en zone de surachat extrême, mais une cassure au-dessus de la borne supérieure pourrait signaler une poursuite du mouvement.</w:t>
      </w:r>
    </w:p>
    <w:p>
      <w:pPr>
        <w:spacing w:after="120" w:line="276" w:lineRule="auto"/>
      </w:pPr>
      <w:r>
        <w:t>**MACD**: La valeur du MACD (104,004) est supérieure à sa ligne de signal (98,76), indiquant un momentum haussier positif. Cette configuration, avec le MACD au-dessus du signal, est un signal classique d'**Achat**, suggérant que la dynamique de prix reste favorable à moyen terme.</w:t>
      </w:r>
    </w:p>
    <w:p>
      <w:pPr>
        <w:spacing w:after="120" w:line="276" w:lineRule="auto"/>
      </w:pPr>
      <w:r>
        <w:t>**RSI**: Le RSI est à 82,143, une valeur très élevée, bien au-dessus du seuil de surachat de 70. Cela indique que le titre est fortement suracheté à court terme. La décision de **Vente** est justifiée, car un tel niveau suggère une probabilité élevé de correction ou de consolidation à venir.</w:t>
      </w:r>
    </w:p>
    <w:p>
      <w:pPr>
        <w:spacing w:after="120" w:line="276" w:lineRule="auto"/>
      </w:pPr>
      <w:r>
        <w:t>**Stochastique**: Le %K (79,07) est inférieur au %D (83,89), indiquant un croisement baissier potentiel en zone de surachat. La décision est **Neutre**, mais ce croisement pourrait être un signal précurseur d'un retournement à court terme, à surveiller de près.</w:t>
      </w:r>
    </w:p>
    <w:p>
      <w:pPr>
        <w:spacing w:after="120" w:line="276" w:lineRule="auto"/>
      </w:pPr>
      <w:r>
        <w:t>**Conclusion technique** : Les signaux sont mitigés. Les moyennes mobiles et le MACD indiquent une tendance haussière sous-jacente, mais le RSI en surachat extrême et le croisement baissier du stochastique suggèrent un essoufflement à court terme. La prudence est de mise ; un repli technique vers la zone des 2 935-3 000 FCFA (MM20) serait une opportunité d'achat plus intéressante.</w:t>
      </w:r>
    </w:p>
    <w:p>
      <w:pPr>
        <w:spacing w:after="120" w:line="276" w:lineRule="auto"/>
      </w:pPr>
      <w:r>
        <w:t>### PARTIE 3 : ANALYSE FONDAMENTALE (SECTION CRITIQUE)</w:t>
      </w:r>
    </w:p>
    <w:p>
      <w:pPr>
        <w:spacing w:after="120" w:line="276" w:lineRule="auto"/>
      </w:pPr>
      <w:r>
        <w:t>En 2025, Oragroup a réalisé un redressement spectaculaire. Le Produit Net Bancaire (PNB) s'établit à 186,609 milliards FCFA, en baisse de -4,5% par rapport à 2024, mais le résultat net est revenu à un bénéfice de 21,643 milliards FCFA, contre une perte de -44,363 milliards en 2024. Cette performance est portée par une réduction drastique du coût du risque (-90%) et une maîtrise des charges générales (-12%). Le coefficient d'exploitation de 42,85% est excellent, témoignant d'une grande efficacité opérationnelle. Le ROE de 19,13% est remarquable, bien au-dessus du seuil de 15% considéré comme excellent, tandis que le ROA de 0,54% reste faible, typique du secteur bancaire. La structure financière montre une dépendance élevée aux dépôts clients (3 088,698 Mds FCFA) qui financent les crédits à la clientèle (1 523,765 Mds FCFA), avec un ratio de transformation de 49%, ce qui est prudent. Les rapports trimestriels de 2025 confirment cette trajectoire : le T1 2025 affichait un bénéfice de 4,8 milliards, le S1 de 18,3 milliards, et le T3 de 19,6 milliards, montrant une amélioration continue. Le rapport T1 2026 (daté de 2026) indique une poursuite de la tendance avec un résultat net de 6,555 millions FCFA, en hausse de 37%, malgré un PNB toujours en léger recul. La solidité financière est renforcée par des capitaux propres en hausse à 113,165 milliards FCFA, mais le ratio d'autonomie financière de 2,82% reste très faible, soulignant une forte dépendance au financement par la dette. Le principal défi reste la baisse du PNB, qui nécessitera une relance de la croissance commerciale.</w:t>
      </w:r>
    </w:p>
    <w:p>
      <w:pPr>
        <w:spacing w:after="120" w:line="276" w:lineRule="auto"/>
      </w:pPr>
      <w:r>
        <w:t>### PARTIE 4 : CONCLUSION D'INVESTISSEMENT</w:t>
      </w:r>
    </w:p>
    <w:p>
      <w:pPr>
        <w:spacing w:after="120" w:line="276" w:lineRule="auto"/>
      </w:pPr>
      <w:r>
        <w:t>La valorisation d'ORGT est contrastée : un PER de 9,8x et un P/B de 1,88x suggèrent une sous-évaluation relative, mais l'EV/EBITDA de 19,8x est pénalisé par les résultats passés. Le comportement du cours sur 100 jours est baissier (-12,57%) avec une volatilité très élevée (44,1%), indiquant un titre risqué. Les signaux techniques sont divergents : la tendance de fond (MM, MACD) est haussière, mais les oscillateurs (RSI, Stochastique) signalent un surachat à court terme, suggérant une possible consolidation. Les fondamentaux, quant à eux, sont en nette amélioration, avec un retour à une forte rentabilité (ROE de 19,1%) et une gestion rigoureuse des risques. Les prédictions IA sur 10 jours (autour de 3 060-3 069 FCFA) suggèrent une stabilisation, ce qui contredit le signal de surachat technique et pourrait indiquer une consolidation horizontale plutôt qu'une chute brutale. En synthèse, la convergence entre la sous-évaluation relative, l'amélioration fondamentale et la stabilisation prédite du cours plaide pour une recommandation **CONSERVER**. Le potentiel de hausse est réel à moyen terme si la banque parvient à relancer son PNB, mais le risque de correction technique à court terme et la volatilité élevée imposent la prudence. Le niveau de confiance est **Moyen**, avec un risque global **Élevé**. L'horizon d'investissement optimal est le **moyen terme (3-12 mois)**, en attendant une confirmation de la reprise de la croissance des revenus.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140.91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3,603 titres</w:t>
            </w:r>
          </w:p>
        </w:tc>
        <w:tc>
          <w:tcPr>
            <w:tcW w:type="dxa" w:w="2268"/>
            <w:shd w:fill="FFF2CC" w:val="clear"/>
          </w:tcPr>
          <w:p>
            <w:r>
              <w:rPr>
                <w:b/>
                <w:color w:val="503200"/>
                <w:sz w:val="16"/>
              </w:rPr>
              <w:t xml:space="preserve">Cours actuel : </w:t>
            </w:r>
            <w:r>
              <w:rPr>
                <w:color w:val="000000"/>
                <w:sz w:val="17"/>
              </w:rPr>
              <w:t>9,115 FCFA</w:t>
            </w:r>
          </w:p>
          <w:p>
            <w:r>
              <w:rPr>
                <w:b/>
                <w:color w:val="503200"/>
                <w:sz w:val="16"/>
              </w:rPr>
              <w:t xml:space="preserve">Var. 100 jours : </w:t>
            </w:r>
            <w:r>
              <w:rPr>
                <w:b/>
                <w:color w:val="B40000"/>
                <w:sz w:val="17"/>
              </w:rPr>
              <w:t>-2.04%</w:t>
            </w:r>
          </w:p>
          <w:p>
            <w:r>
              <w:rPr>
                <w:b/>
                <w:color w:val="503200"/>
                <w:sz w:val="16"/>
              </w:rPr>
              <w:t xml:space="preserve">Plus haut 100j : </w:t>
            </w:r>
            <w:r>
              <w:rPr>
                <w:color w:val="000000"/>
                <w:sz w:val="17"/>
              </w:rPr>
              <w:t>9,400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40.9%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5.89% (Moyenne) — μ=8,394 FCFA, σ=495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β=-0.1445 (Contre-cyclique) — Cov=-0.000005, Var(idx)=0.000036, ρ=-0.034,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3,603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σ_j=2.58%/j (Stable) — Vol. annualisée≈40.9%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8,866</w:t>
            </w:r>
          </w:p>
        </w:tc>
        <w:tc>
          <w:tcPr>
            <w:tcW w:type="dxa" w:w="1440"/>
            <w:shd w:fill="FAFAFA" w:val="clear"/>
          </w:tcPr>
          <w:p>
            <w:r>
              <w:rPr>
                <w:b/>
                <w:sz w:val="17"/>
              </w:rPr>
              <w:t>9,117</w:t>
            </w:r>
          </w:p>
        </w:tc>
        <w:tc>
          <w:tcPr>
            <w:tcW w:type="dxa" w:w="1440"/>
            <w:shd w:fill="FAFAFA" w:val="clear"/>
          </w:tcPr>
          <w:p>
            <w:r>
              <w:rPr>
                <w:sz w:val="17"/>
              </w:rPr>
              <w:t>9,368</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8,790</w:t>
            </w:r>
          </w:p>
        </w:tc>
        <w:tc>
          <w:tcPr>
            <w:tcW w:type="dxa" w:w="1440"/>
            <w:shd w:fill="FAFAFA" w:val="clear"/>
          </w:tcPr>
          <w:p>
            <w:r>
              <w:rPr>
                <w:b/>
                <w:sz w:val="17"/>
              </w:rPr>
              <w:t>9,146</w:t>
            </w:r>
          </w:p>
        </w:tc>
        <w:tc>
          <w:tcPr>
            <w:tcW w:type="dxa" w:w="1440"/>
            <w:shd w:fill="FAFAFA" w:val="clear"/>
          </w:tcPr>
          <w:p>
            <w:r>
              <w:rPr>
                <w:sz w:val="17"/>
              </w:rPr>
              <w:t>9,502</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8,736</w:t>
            </w:r>
          </w:p>
        </w:tc>
        <w:tc>
          <w:tcPr>
            <w:tcW w:type="dxa" w:w="1440"/>
            <w:shd w:fill="FAFAFA" w:val="clear"/>
          </w:tcPr>
          <w:p>
            <w:r>
              <w:rPr>
                <w:b/>
                <w:sz w:val="17"/>
              </w:rPr>
              <w:t>9,174</w:t>
            </w:r>
          </w:p>
        </w:tc>
        <w:tc>
          <w:tcPr>
            <w:tcW w:type="dxa" w:w="1440"/>
            <w:shd w:fill="FAFAFA" w:val="clear"/>
          </w:tcPr>
          <w:p>
            <w:r>
              <w:rPr>
                <w:sz w:val="17"/>
              </w:rPr>
              <w:t>9,611</w:t>
            </w:r>
          </w:p>
        </w:tc>
        <w:tc>
          <w:tcPr>
            <w:tcW w:type="dxa" w:w="1440"/>
            <w:shd w:fill="FAFAFA" w:val="clear"/>
          </w:tcPr>
          <w:p>
            <w:r>
              <w:rPr>
                <w:b/>
                <w:color w:val="008000"/>
                <w:sz w:val="17"/>
              </w:rPr>
              <w:t>+0.6%</w:t>
            </w:r>
          </w:p>
        </w:tc>
      </w:tr>
      <w:tr>
        <w:tc>
          <w:tcPr>
            <w:tcW w:type="dxa" w:w="1440"/>
            <w:shd w:fill="FAFAFA" w:val="clear"/>
          </w:tcPr>
          <w:p>
            <w:r>
              <w:rPr>
                <w:sz w:val="17"/>
              </w:rPr>
              <w:t>J+4  Moyenne</w:t>
            </w:r>
          </w:p>
        </w:tc>
        <w:tc>
          <w:tcPr>
            <w:tcW w:type="dxa" w:w="1440"/>
            <w:shd w:fill="FAFAFA" w:val="clear"/>
          </w:tcPr>
          <w:p>
            <w:r>
              <w:rPr>
                <w:sz w:val="17"/>
              </w:rPr>
              <w:t>2026-08-20</w:t>
            </w:r>
          </w:p>
        </w:tc>
        <w:tc>
          <w:tcPr>
            <w:tcW w:type="dxa" w:w="1440"/>
            <w:shd w:fill="FAFAFA" w:val="clear"/>
          </w:tcPr>
          <w:p>
            <w:r>
              <w:rPr>
                <w:sz w:val="17"/>
              </w:rPr>
              <w:t>8,694</w:t>
            </w:r>
          </w:p>
        </w:tc>
        <w:tc>
          <w:tcPr>
            <w:tcW w:type="dxa" w:w="1440"/>
            <w:shd w:fill="FAFAFA" w:val="clear"/>
          </w:tcPr>
          <w:p>
            <w:r>
              <w:rPr>
                <w:b/>
                <w:sz w:val="17"/>
              </w:rPr>
              <w:t>9,200</w:t>
            </w:r>
          </w:p>
        </w:tc>
        <w:tc>
          <w:tcPr>
            <w:tcW w:type="dxa" w:w="1440"/>
            <w:shd w:fill="FAFAFA" w:val="clear"/>
          </w:tcPr>
          <w:p>
            <w:r>
              <w:rPr>
                <w:sz w:val="17"/>
              </w:rPr>
              <w:t>9,707</w:t>
            </w:r>
          </w:p>
        </w:tc>
        <w:tc>
          <w:tcPr>
            <w:tcW w:type="dxa" w:w="1440"/>
            <w:shd w:fill="FAFAFA" w:val="clear"/>
          </w:tcPr>
          <w:p>
            <w:r>
              <w:rPr>
                <w:b/>
                <w:color w:val="008000"/>
                <w:sz w:val="17"/>
              </w:rPr>
              <w:t>+0.9%</w:t>
            </w:r>
          </w:p>
        </w:tc>
      </w:tr>
      <w:tr>
        <w:tc>
          <w:tcPr>
            <w:tcW w:type="dxa" w:w="1440"/>
            <w:shd w:fill="FAFAFA" w:val="clear"/>
          </w:tcPr>
          <w:p>
            <w:r>
              <w:rPr>
                <w:sz w:val="17"/>
              </w:rPr>
              <w:t>J+5  Moyenne</w:t>
            </w:r>
          </w:p>
        </w:tc>
        <w:tc>
          <w:tcPr>
            <w:tcW w:type="dxa" w:w="1440"/>
            <w:shd w:fill="FAFAFA" w:val="clear"/>
          </w:tcPr>
          <w:p>
            <w:r>
              <w:rPr>
                <w:sz w:val="17"/>
              </w:rPr>
              <w:t>2026-08-21</w:t>
            </w:r>
          </w:p>
        </w:tc>
        <w:tc>
          <w:tcPr>
            <w:tcW w:type="dxa" w:w="1440"/>
            <w:shd w:fill="FAFAFA" w:val="clear"/>
          </w:tcPr>
          <w:p>
            <w:r>
              <w:rPr>
                <w:sz w:val="17"/>
              </w:rPr>
              <w:t>8,659</w:t>
            </w:r>
          </w:p>
        </w:tc>
        <w:tc>
          <w:tcPr>
            <w:tcW w:type="dxa" w:w="1440"/>
            <w:shd w:fill="FAFAFA" w:val="clear"/>
          </w:tcPr>
          <w:p>
            <w:r>
              <w:rPr>
                <w:b/>
                <w:sz w:val="17"/>
              </w:rPr>
              <w:t>9,227</w:t>
            </w:r>
          </w:p>
        </w:tc>
        <w:tc>
          <w:tcPr>
            <w:tcW w:type="dxa" w:w="1440"/>
            <w:shd w:fill="FAFAFA" w:val="clear"/>
          </w:tcPr>
          <w:p>
            <w:r>
              <w:rPr>
                <w:sz w:val="17"/>
              </w:rPr>
              <w:t>9,795</w:t>
            </w:r>
          </w:p>
        </w:tc>
        <w:tc>
          <w:tcPr>
            <w:tcW w:type="dxa" w:w="1440"/>
            <w:shd w:fill="FAFAFA" w:val="clear"/>
          </w:tcPr>
          <w:p>
            <w:r>
              <w:rPr>
                <w:b/>
                <w:color w:val="008000"/>
                <w:sz w:val="17"/>
              </w:rPr>
              <w:t>+1.2%</w:t>
            </w:r>
          </w:p>
        </w:tc>
      </w:tr>
      <w:tr>
        <w:tc>
          <w:tcPr>
            <w:tcW w:type="dxa" w:w="1440"/>
            <w:shd w:fill="FAFAFA" w:val="clear"/>
          </w:tcPr>
          <w:p>
            <w:r>
              <w:rPr>
                <w:sz w:val="17"/>
              </w:rPr>
              <w:t>J+6  Moyenne</w:t>
            </w:r>
          </w:p>
        </w:tc>
        <w:tc>
          <w:tcPr>
            <w:tcW w:type="dxa" w:w="1440"/>
            <w:shd w:fill="FAFAFA" w:val="clear"/>
          </w:tcPr>
          <w:p>
            <w:r>
              <w:rPr>
                <w:sz w:val="17"/>
              </w:rPr>
              <w:t>2026-08-24</w:t>
            </w:r>
          </w:p>
        </w:tc>
        <w:tc>
          <w:tcPr>
            <w:tcW w:type="dxa" w:w="1440"/>
            <w:shd w:fill="FAFAFA" w:val="clear"/>
          </w:tcPr>
          <w:p>
            <w:r>
              <w:rPr>
                <w:sz w:val="17"/>
              </w:rPr>
              <w:t>8,629</w:t>
            </w:r>
          </w:p>
        </w:tc>
        <w:tc>
          <w:tcPr>
            <w:tcW w:type="dxa" w:w="1440"/>
            <w:shd w:fill="FAFAFA" w:val="clear"/>
          </w:tcPr>
          <w:p>
            <w:r>
              <w:rPr>
                <w:b/>
                <w:sz w:val="17"/>
              </w:rPr>
              <w:t>9,253</w:t>
            </w:r>
          </w:p>
        </w:tc>
        <w:tc>
          <w:tcPr>
            <w:tcW w:type="dxa" w:w="1440"/>
            <w:shd w:fill="FAFAFA" w:val="clear"/>
          </w:tcPr>
          <w:p>
            <w:r>
              <w:rPr>
                <w:sz w:val="17"/>
              </w:rPr>
              <w:t>9,877</w:t>
            </w:r>
          </w:p>
        </w:tc>
        <w:tc>
          <w:tcPr>
            <w:tcW w:type="dxa" w:w="1440"/>
            <w:shd w:fill="FAFAFA" w:val="clear"/>
          </w:tcPr>
          <w:p>
            <w:r>
              <w:rPr>
                <w:b/>
                <w:color w:val="008000"/>
                <w:sz w:val="17"/>
              </w:rPr>
              <w:t>+1.5%</w:t>
            </w:r>
          </w:p>
        </w:tc>
      </w:tr>
      <w:tr>
        <w:tc>
          <w:tcPr>
            <w:tcW w:type="dxa" w:w="1440"/>
            <w:shd w:fill="FAFAFA" w:val="clear"/>
          </w:tcPr>
          <w:p>
            <w:r>
              <w:rPr>
                <w:sz w:val="17"/>
              </w:rPr>
              <w:t>J+7  Moyenne</w:t>
            </w:r>
          </w:p>
        </w:tc>
        <w:tc>
          <w:tcPr>
            <w:tcW w:type="dxa" w:w="1440"/>
            <w:shd w:fill="FAFAFA" w:val="clear"/>
          </w:tcPr>
          <w:p>
            <w:r>
              <w:rPr>
                <w:sz w:val="17"/>
              </w:rPr>
              <w:t>2026-08-25</w:t>
            </w:r>
          </w:p>
        </w:tc>
        <w:tc>
          <w:tcPr>
            <w:tcW w:type="dxa" w:w="1440"/>
            <w:shd w:fill="FAFAFA" w:val="clear"/>
          </w:tcPr>
          <w:p>
            <w:r>
              <w:rPr>
                <w:sz w:val="17"/>
              </w:rPr>
              <w:t>8,604</w:t>
            </w:r>
          </w:p>
        </w:tc>
        <w:tc>
          <w:tcPr>
            <w:tcW w:type="dxa" w:w="1440"/>
            <w:shd w:fill="FAFAFA" w:val="clear"/>
          </w:tcPr>
          <w:p>
            <w:r>
              <w:rPr>
                <w:b/>
                <w:sz w:val="17"/>
              </w:rPr>
              <w:t>9,280</w:t>
            </w:r>
          </w:p>
        </w:tc>
        <w:tc>
          <w:tcPr>
            <w:tcW w:type="dxa" w:w="1440"/>
            <w:shd w:fill="FAFAFA" w:val="clear"/>
          </w:tcPr>
          <w:p>
            <w:r>
              <w:rPr>
                <w:sz w:val="17"/>
              </w:rPr>
              <w:t>9,956</w:t>
            </w:r>
          </w:p>
        </w:tc>
        <w:tc>
          <w:tcPr>
            <w:tcW w:type="dxa" w:w="1440"/>
            <w:shd w:fill="FAFAFA" w:val="clear"/>
          </w:tcPr>
          <w:p>
            <w:r>
              <w:rPr>
                <w:b/>
                <w:color w:val="008000"/>
                <w:sz w:val="17"/>
              </w:rPr>
              <w:t>+1.8%</w:t>
            </w:r>
          </w:p>
        </w:tc>
      </w:tr>
      <w:tr>
        <w:tc>
          <w:tcPr>
            <w:tcW w:type="dxa" w:w="1440"/>
            <w:shd w:fill="C6EFCE" w:val="clear"/>
          </w:tcPr>
          <w:p>
            <w:r>
              <w:rPr>
                <w:sz w:val="17"/>
              </w:rPr>
              <w:t>J+8  Moyenne</w:t>
            </w:r>
          </w:p>
        </w:tc>
        <w:tc>
          <w:tcPr>
            <w:tcW w:type="dxa" w:w="1440"/>
            <w:shd w:fill="C6EFCE" w:val="clear"/>
          </w:tcPr>
          <w:p>
            <w:r>
              <w:rPr>
                <w:sz w:val="17"/>
              </w:rPr>
              <w:t>2026-08-27</w:t>
            </w:r>
          </w:p>
        </w:tc>
        <w:tc>
          <w:tcPr>
            <w:tcW w:type="dxa" w:w="1440"/>
            <w:shd w:fill="C6EFCE" w:val="clear"/>
          </w:tcPr>
          <w:p>
            <w:r>
              <w:rPr>
                <w:sz w:val="17"/>
              </w:rPr>
              <w:t>8,582</w:t>
            </w:r>
          </w:p>
        </w:tc>
        <w:tc>
          <w:tcPr>
            <w:tcW w:type="dxa" w:w="1440"/>
            <w:shd w:fill="C6EFCE" w:val="clear"/>
          </w:tcPr>
          <w:p>
            <w:r>
              <w:rPr>
                <w:b/>
                <w:sz w:val="17"/>
              </w:rPr>
              <w:t>9,306</w:t>
            </w:r>
          </w:p>
        </w:tc>
        <w:tc>
          <w:tcPr>
            <w:tcW w:type="dxa" w:w="1440"/>
            <w:shd w:fill="C6EFCE" w:val="clear"/>
          </w:tcPr>
          <w:p>
            <w:r>
              <w:rPr>
                <w:sz w:val="17"/>
              </w:rPr>
              <w:t>10,031</w:t>
            </w:r>
          </w:p>
        </w:tc>
        <w:tc>
          <w:tcPr>
            <w:tcW w:type="dxa" w:w="1440"/>
            <w:shd w:fill="C6EFCE" w:val="clear"/>
          </w:tcPr>
          <w:p>
            <w:r>
              <w:rPr>
                <w:b/>
                <w:color w:val="008000"/>
                <w:sz w:val="17"/>
              </w:rPr>
              <w:t>+2.1%</w:t>
            </w:r>
          </w:p>
        </w:tc>
      </w:tr>
      <w:tr>
        <w:tc>
          <w:tcPr>
            <w:tcW w:type="dxa" w:w="1440"/>
            <w:shd w:fill="C6EFCE" w:val="clear"/>
          </w:tcPr>
          <w:p>
            <w:r>
              <w:rPr>
                <w:sz w:val="17"/>
              </w:rPr>
              <w:t>J+9  Moyenne</w:t>
            </w:r>
          </w:p>
        </w:tc>
        <w:tc>
          <w:tcPr>
            <w:tcW w:type="dxa" w:w="1440"/>
            <w:shd w:fill="C6EFCE" w:val="clear"/>
          </w:tcPr>
          <w:p>
            <w:r>
              <w:rPr>
                <w:sz w:val="17"/>
              </w:rPr>
              <w:t>2026-08-28</w:t>
            </w:r>
          </w:p>
        </w:tc>
        <w:tc>
          <w:tcPr>
            <w:tcW w:type="dxa" w:w="1440"/>
            <w:shd w:fill="C6EFCE" w:val="clear"/>
          </w:tcPr>
          <w:p>
            <w:r>
              <w:rPr>
                <w:sz w:val="17"/>
              </w:rPr>
              <w:t>8,562</w:t>
            </w:r>
          </w:p>
        </w:tc>
        <w:tc>
          <w:tcPr>
            <w:tcW w:type="dxa" w:w="1440"/>
            <w:shd w:fill="C6EFCE" w:val="clear"/>
          </w:tcPr>
          <w:p>
            <w:r>
              <w:rPr>
                <w:b/>
                <w:sz w:val="17"/>
              </w:rPr>
              <w:t>9,333</w:t>
            </w:r>
          </w:p>
        </w:tc>
        <w:tc>
          <w:tcPr>
            <w:tcW w:type="dxa" w:w="1440"/>
            <w:shd w:fill="C6EFCE" w:val="clear"/>
          </w:tcPr>
          <w:p>
            <w:r>
              <w:rPr>
                <w:sz w:val="17"/>
              </w:rPr>
              <w:t>10,103</w:t>
            </w:r>
          </w:p>
        </w:tc>
        <w:tc>
          <w:tcPr>
            <w:tcW w:type="dxa" w:w="1440"/>
            <w:shd w:fill="C6EFCE" w:val="clear"/>
          </w:tcPr>
          <w:p>
            <w:r>
              <w:rPr>
                <w:b/>
                <w:color w:val="008000"/>
                <w:sz w:val="17"/>
              </w:rPr>
              <w:t>+2.4%</w:t>
            </w:r>
          </w:p>
        </w:tc>
      </w:tr>
      <w:tr>
        <w:tc>
          <w:tcPr>
            <w:tcW w:type="dxa" w:w="1440"/>
            <w:shd w:fill="C6EFCE" w:val="clear"/>
          </w:tcPr>
          <w:p>
            <w:r>
              <w:rPr>
                <w:sz w:val="17"/>
              </w:rPr>
              <w:t>J+10  Moyenne</w:t>
            </w:r>
          </w:p>
        </w:tc>
        <w:tc>
          <w:tcPr>
            <w:tcW w:type="dxa" w:w="1440"/>
            <w:shd w:fill="C6EFCE" w:val="clear"/>
          </w:tcPr>
          <w:p>
            <w:r>
              <w:rPr>
                <w:sz w:val="17"/>
              </w:rPr>
              <w:t>2026-08-31</w:t>
            </w:r>
          </w:p>
        </w:tc>
        <w:tc>
          <w:tcPr>
            <w:tcW w:type="dxa" w:w="1440"/>
            <w:shd w:fill="C6EFCE" w:val="clear"/>
          </w:tcPr>
          <w:p>
            <w:r>
              <w:rPr>
                <w:sz w:val="17"/>
              </w:rPr>
              <w:t>8,544</w:t>
            </w:r>
          </w:p>
        </w:tc>
        <w:tc>
          <w:tcPr>
            <w:tcW w:type="dxa" w:w="1440"/>
            <w:shd w:fill="C6EFCE" w:val="clear"/>
          </w:tcPr>
          <w:p>
            <w:r>
              <w:rPr>
                <w:b/>
                <w:sz w:val="17"/>
              </w:rPr>
              <w:t>9,359</w:t>
            </w:r>
          </w:p>
        </w:tc>
        <w:tc>
          <w:tcPr>
            <w:tcW w:type="dxa" w:w="1440"/>
            <w:shd w:fill="C6EFCE" w:val="clear"/>
          </w:tcPr>
          <w:p>
            <w:r>
              <w:rPr>
                <w:sz w:val="17"/>
              </w:rPr>
              <w:t>10,173</w:t>
            </w:r>
          </w:p>
        </w:tc>
        <w:tc>
          <w:tcPr>
            <w:tcW w:type="dxa" w:w="1440"/>
            <w:shd w:fill="C6EFCE" w:val="clear"/>
          </w:tcPr>
          <w:p>
            <w:r>
              <w:rPr>
                <w:b/>
                <w:color w:val="008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140,91 milliards FCFA, un niveau qui la positionne parmi les valeurs moyennes de la cote de la BRVM, lui conférant une liquidité potentiellement correcte. Avec un BPA de 1 003 FCFA, chaque action détenue génère un bénéfice supérieur à 1 000 FCFA, ce qui est significatif. Le PER de 9,1x est inférieur à la moyenne historique de la place (~8-12x), indiquant que le marché valorise la société à un niveau attractif par rapport à ses bénéfices, sans toutefois la considérer comme une valeur de croissance. Le P/B de 0,99x est un signal fort : le titre se négocie très légèrement sous sa valeur comptable, suggérant une sous-évaluation potentielle et une marge de sécurité pour l'investisseur. Enfin, un EV/EBITDA de 4,4x, très inférieur au seuil de 5x, confirme que la valeur d'entreprise totale est très bon marché par rapport à la capacité bénéficiaire opérationnelle de la société.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PALC affiche une variation totale légèrement négative de -2,04%, mais a connu une reprise récente avec une hausse de +1,28% lors de la dernière séance, clôturant à 9 115 FCFA. Le cours a évolué dans un range de trading de 7 000 FCFA (plus bas) à 9 400 FCFA (plus haut), démontrant une amplitude de 34% sur la période. La moyenne du cours sur 100 jours est de 8 394 FCFA, tandis que la médiane est de 8 600 FCFA ; l'écart entre ces deux valeurs suggère une distribution légèrement asymétrique, confirmée par un skewness négatif de -0,365, indiquant que les extrêmes baissiers ont été plus fréquents que les haussiers. L'écart-type de 497 FCFA (CV=5,9%) montre une dispersion modérée autour de la moyenne. Le kurtosis de -0,675 (mésokurtique) indique une distribution proche de la normale, sans risque de variations extrêmes fréquentes. La volatilité annualisée de 40,9% est élevée, positionnant le titre comme une valeur à risque supérieur à la moyenne, mais offrant un potentiel de rendement proportionnel.</w:t>
      </w:r>
    </w:p>
    <w:p>
      <w:pPr>
        <w:spacing w:after="120" w:line="276" w:lineRule="auto" w:before="240"/>
      </w:pPr>
      <w:r>
        <w:rPr>
          <w:b/>
          <w:color w:val="003366"/>
          <w:sz w:val="24"/>
        </w:rPr>
        <w:t>**PARTIE 2 : ANALYSE TECHNIQUE DÉTAILLÉE**</w:t>
      </w:r>
    </w:p>
    <w:p>
      <w:pPr>
        <w:spacing w:after="120" w:line="276" w:lineRule="auto"/>
      </w:pPr>
      <w:r>
        <w:t>**Moyennes Mobiles** : La MM20 à 8 888,75 FCFA et la MM50 à 8 772 FCFA sont toutes deux inférieures au cours actuel de 9 115 FCFA. Cette configuration haussière, où le prix est au-dessus des deux moyennes, avec une MM20 au-dessus de la MM50, confirme une tendance positive à court et moyen terme. La décision d'achat est justifiée par cette dynamique ascendante.</w:t>
      </w:r>
    </w:p>
    <w:p>
      <w:pPr>
        <w:spacing w:after="120" w:line="276" w:lineRule="auto"/>
      </w:pPr>
      <w:r>
        <w:t>**Bandes de Bollinger** : Le cours à 9 115 FCFA se situe dans la partie supérieure de l'enveloppe, entre la borne supérieure (9 218,63 FCFA) et la moyenne mobile. Cette position indique une pression acheteuse soutenue, mais le prix approchant la borne supérieure suggère une possible zone de résistance à court terme. La décision neutre est prudente, car le titre n'est ni survendu ni suracheté selon cet indicateur.</w:t>
      </w:r>
    </w:p>
    <w:p>
      <w:pPr>
        <w:spacing w:after="120" w:line="276" w:lineRule="auto"/>
      </w:pPr>
      <w:r>
        <w:t>**MACD** : La valeur du MACD (107,27) est supérieure à sa ligne de signal (96,31), avec un écart positif de 10,96 points. Cette divergence positive confirme un momentum haussier en cours, avec une dynamique qui s'accélère. La décision d'achat est cohérente avec la tendance générale du titre.</w:t>
      </w:r>
    </w:p>
    <w:p>
      <w:pPr>
        <w:spacing w:after="120" w:line="276" w:lineRule="auto"/>
      </w:pPr>
      <w:r>
        <w:t>**RSI** : À 61,43, le RSI se situe dans la zone neutre (30-70), mais proche de la zone de surachat (70). Cette valeur indique une pression acheteuse significative sans pour autant signaler une exubérance excessive. La décision neutre est appropriée, laissant une marge de progression avant d'atteindre des niveaux de surachat.</w:t>
      </w:r>
    </w:p>
    <w:p>
      <w:pPr>
        <w:spacing w:after="120" w:line="276" w:lineRule="auto"/>
      </w:pPr>
      <w:r>
        <w:t>**Stochastique** : Le %K à 100 et le %D à 93,33 sont en zone de surachat extrême. Cette configuration signale que le titre a fortement progressé récemment et pourrait connaître un repli technique à court terme. La décision de vente est justifiée par ce niveau extrême, qui précède souvent une consolidation.</w:t>
      </w:r>
    </w:p>
    <w:p>
      <w:pPr>
        <w:spacing w:after="120" w:line="276" w:lineRule="auto"/>
      </w:pPr>
      <w:r>
        <w:t>**Conclusion technique** : Les indicateurs de tendance (MM, MACD) sont positifs et confirment une dynamique haussière, mais les oscillateurs de momentum (RSI, Stochastique) signalent une possible fatigue du titre à très court terme. La convergence des signaux est donc mitigée, avec une tendance de fond positive mais un risque de correction technique immédiat.</w:t>
      </w:r>
    </w:p>
    <w:p>
      <w:pPr>
        <w:spacing w:after="120" w:line="276" w:lineRule="auto" w:before="240"/>
      </w:pPr>
      <w:r>
        <w:rPr>
          <w:b/>
          <w:color w:val="003366"/>
          <w:sz w:val="24"/>
        </w:rPr>
        <w:t>**PARTIE 3 : ANALYSE FONDAMENTALE (SECTION CRITIQUE)**</w:t>
      </w:r>
    </w:p>
    <w:p>
      <w:pPr>
        <w:spacing w:after="120" w:line="276" w:lineRule="auto"/>
      </w:pPr>
      <w:r>
        <w:t>En 2025, PALC a réalisé un chiffre d'affaires de 197,63 milliards FCFA, en croissance de +14,8% par rapport à 2024 (172,2 milliards FCFA), avec un résultat net de 15,51 milliards FCFA, en légère baisse de -2,2% par rapport à 2024 (15,9 milliards FCFA). La marge nette s'établit à 7,85%, en recul de 1,4 point, tandis que le ROE atteint 10,87% et le ROA 7,79%, des niveaux corrects mais en dessous du seuil d'excellence de 15%. La structure financière est très saine avec une autonomie financière de 71,6% et un endettement faible (ratio d'endettement de 0,56%), mais le BFR de 44,62 milliards FCFA et le délai clients de 142,58 jours constituent un point de vigilance majeur pour la trésorerie. Les rapports trimestriels 2025 montrent une forte dynamique au S1 (CA +25%, RN +37% à 22,9 milliards FCFA), mais le T1 2026 publié récemment (rapport daté 2026) révèle une chute drastique du CA (-27% à 49,4 milliards FCFA) et du résultat net (-86% à 1,6 milliard FCFA), que la direction attribue à un décalage temporel des ventes. Sur la base de ces éléments, on estime que l'exercice 2026 pourrait être difficile, mais la solidité du bilan et la capacité d'autofinancement (CAFG de 30,57 milliards FCFA) offrent une résilience certaine.</w:t>
      </w:r>
    </w:p>
    <w:p>
      <w:pPr>
        <w:spacing w:after="120" w:line="276" w:lineRule="auto" w:before="240"/>
      </w:pPr>
      <w:r>
        <w:rPr>
          <w:b/>
          <w:color w:val="003366"/>
          <w:sz w:val="24"/>
        </w:rPr>
        <w:t>**PARTIE 4 : CONCLUSION D'INVESTISSEMENT**</w:t>
      </w:r>
    </w:p>
    <w:p>
      <w:pPr>
        <w:spacing w:after="120" w:line="276" w:lineRule="auto"/>
      </w:pPr>
      <w:r>
        <w:t>La valorisation de PALC est indéniablement attractive avec un PER de 9,1x, un P/B sous la valeur comptable et un EV/EBITDA très faible, signalant une sous-évaluation du titre. Le comportement du cours sur 100 jours montre une tendance globalement stable avec une volatilité élevée, mais les statistiques (kurtosis mésokurtique, skewness légèrement négatif) indiquent un risque de distribution maîtrisé. Les signaux techniques sont partagés : tendance haussière confirmée par les MM et le MACD, mais oscillateurs en zone de surachat suggérant une consolidation à court terme. Les fondamentaux sont solides à moyen terme, avec une croissance du CA en 2025 et un bilan très sain, mais les perspectives 2026 sont assombries par le très mauvais T1 2026. Les prédictions IA (9 117 à 9 227 FCFA sur 10 jours) confirment une légère progression, en cohérence avec la tendance technique. La synthèse globale penche vers une recommandation **CONSERVER**, car la sous-évaluation et la solidité financière sont contrebalancées par les incertitudes opérationnelles récentes et les signaux techniques de surachat. Le niveau de confiance est **Moyen**, le risque global est **Moyen**, et l'horizon d'investissement optimal serait le **moyen terme (3-12 mois)**, en attendant la confirmation d'un redressement de l'activité au T2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46.03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962 titres</w:t>
            </w:r>
          </w:p>
        </w:tc>
        <w:tc>
          <w:tcPr>
            <w:tcW w:type="dxa" w:w="2268"/>
            <w:shd w:fill="FFF2CC" w:val="clear"/>
          </w:tcPr>
          <w:p>
            <w:r>
              <w:rPr>
                <w:b/>
                <w:color w:val="503200"/>
                <w:sz w:val="16"/>
              </w:rPr>
              <w:t xml:space="preserve">Cours actuel : </w:t>
            </w:r>
            <w:r>
              <w:rPr>
                <w:color w:val="000000"/>
                <w:sz w:val="17"/>
              </w:rPr>
              <w:t>4,495 FCFA</w:t>
            </w:r>
          </w:p>
          <w:p>
            <w:r>
              <w:rPr>
                <w:b/>
                <w:color w:val="503200"/>
                <w:sz w:val="16"/>
              </w:rPr>
              <w:t xml:space="preserve">Var. 100 jours : </w:t>
            </w:r>
            <w:r>
              <w:rPr>
                <w:b/>
                <w:color w:val="B40000"/>
                <w:sz w:val="17"/>
              </w:rPr>
              <w:t>-4.26%</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8.19% (Moyenne) — μ=4,480 FCFA, σ=367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β=-0.4330 (Contre-cyclique) — Cov=-0.000016, Var(idx)=0.000036, ρ=-0.103,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962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4,331</w:t>
            </w:r>
          </w:p>
        </w:tc>
        <w:tc>
          <w:tcPr>
            <w:tcW w:type="dxa" w:w="1440"/>
            <w:shd w:fill="FAFAFA" w:val="clear"/>
          </w:tcPr>
          <w:p>
            <w:r>
              <w:rPr>
                <w:b/>
                <w:sz w:val="17"/>
              </w:rPr>
              <w:t>4,444</w:t>
            </w:r>
          </w:p>
        </w:tc>
        <w:tc>
          <w:tcPr>
            <w:tcW w:type="dxa" w:w="1440"/>
            <w:shd w:fill="FAFAFA" w:val="clear"/>
          </w:tcPr>
          <w:p>
            <w:r>
              <w:rPr>
                <w:sz w:val="17"/>
              </w:rPr>
              <w:t>4,558</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4,269</w:t>
            </w:r>
          </w:p>
        </w:tc>
        <w:tc>
          <w:tcPr>
            <w:tcW w:type="dxa" w:w="1440"/>
            <w:shd w:fill="FAFAFA" w:val="clear"/>
          </w:tcPr>
          <w:p>
            <w:r>
              <w:rPr>
                <w:b/>
                <w:sz w:val="17"/>
              </w:rPr>
              <w:t>4,428</w:t>
            </w:r>
          </w:p>
        </w:tc>
        <w:tc>
          <w:tcPr>
            <w:tcW w:type="dxa" w:w="1440"/>
            <w:shd w:fill="FAFAFA" w:val="clear"/>
          </w:tcPr>
          <w:p>
            <w:r>
              <w:rPr>
                <w:sz w:val="17"/>
              </w:rPr>
              <w:t>4,588</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4,211</w:t>
            </w:r>
          </w:p>
        </w:tc>
        <w:tc>
          <w:tcPr>
            <w:tcW w:type="dxa" w:w="1440"/>
            <w:shd w:fill="FAFAFA" w:val="clear"/>
          </w:tcPr>
          <w:p>
            <w:r>
              <w:rPr>
                <w:b/>
                <w:sz w:val="17"/>
              </w:rPr>
              <w:t>4,405</w:t>
            </w:r>
          </w:p>
        </w:tc>
        <w:tc>
          <w:tcPr>
            <w:tcW w:type="dxa" w:w="1440"/>
            <w:shd w:fill="FAFAFA" w:val="clear"/>
          </w:tcPr>
          <w:p>
            <w:r>
              <w:rPr>
                <w:sz w:val="17"/>
              </w:rPr>
              <w:t>4,600</w:t>
            </w:r>
          </w:p>
        </w:tc>
        <w:tc>
          <w:tcPr>
            <w:tcW w:type="dxa" w:w="1440"/>
            <w:shd w:fill="FAFAFA" w:val="clear"/>
          </w:tcPr>
          <w:p>
            <w:r>
              <w:rPr>
                <w:b/>
                <w:color w:val="C00000"/>
                <w:sz w:val="17"/>
              </w:rPr>
              <w:t>-2.0%</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4,159</w:t>
            </w:r>
          </w:p>
        </w:tc>
        <w:tc>
          <w:tcPr>
            <w:tcW w:type="dxa" w:w="1440"/>
            <w:shd w:fill="FFDCE0" w:val="clear"/>
          </w:tcPr>
          <w:p>
            <w:r>
              <w:rPr>
                <w:b/>
                <w:sz w:val="17"/>
              </w:rPr>
              <w:t>4,383</w:t>
            </w:r>
          </w:p>
        </w:tc>
        <w:tc>
          <w:tcPr>
            <w:tcW w:type="dxa" w:w="1440"/>
            <w:shd w:fill="FFDCE0" w:val="clear"/>
          </w:tcPr>
          <w:p>
            <w:r>
              <w:rPr>
                <w:sz w:val="17"/>
              </w:rPr>
              <w:t>4,606</w:t>
            </w:r>
          </w:p>
        </w:tc>
        <w:tc>
          <w:tcPr>
            <w:tcW w:type="dxa" w:w="1440"/>
            <w:shd w:fill="FFDCE0" w:val="clear"/>
          </w:tcPr>
          <w:p>
            <w:r>
              <w:rPr>
                <w:b/>
                <w:color w:val="C00000"/>
                <w:sz w:val="17"/>
              </w:rPr>
              <w:t>-2.5%</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4,113</w:t>
            </w:r>
          </w:p>
        </w:tc>
        <w:tc>
          <w:tcPr>
            <w:tcW w:type="dxa" w:w="1440"/>
            <w:shd w:fill="FFDCE0" w:val="clear"/>
          </w:tcPr>
          <w:p>
            <w:r>
              <w:rPr>
                <w:b/>
                <w:sz w:val="17"/>
              </w:rPr>
              <w:t>4,361</w:t>
            </w:r>
          </w:p>
        </w:tc>
        <w:tc>
          <w:tcPr>
            <w:tcW w:type="dxa" w:w="1440"/>
            <w:shd w:fill="FFDCE0" w:val="clear"/>
          </w:tcPr>
          <w:p>
            <w:r>
              <w:rPr>
                <w:sz w:val="17"/>
              </w:rPr>
              <w:t>4,610</w:t>
            </w:r>
          </w:p>
        </w:tc>
        <w:tc>
          <w:tcPr>
            <w:tcW w:type="dxa" w:w="1440"/>
            <w:shd w:fill="FFDCE0" w:val="clear"/>
          </w:tcPr>
          <w:p>
            <w:r>
              <w:rPr>
                <w:b/>
                <w:color w:val="C00000"/>
                <w:sz w:val="17"/>
              </w:rPr>
              <w:t>-3.0%</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4,070</w:t>
            </w:r>
          </w:p>
        </w:tc>
        <w:tc>
          <w:tcPr>
            <w:tcW w:type="dxa" w:w="1440"/>
            <w:shd w:fill="FFDCE0" w:val="clear"/>
          </w:tcPr>
          <w:p>
            <w:r>
              <w:rPr>
                <w:b/>
                <w:sz w:val="17"/>
              </w:rPr>
              <w:t>4,341</w:t>
            </w:r>
          </w:p>
        </w:tc>
        <w:tc>
          <w:tcPr>
            <w:tcW w:type="dxa" w:w="1440"/>
            <w:shd w:fill="FFDCE0" w:val="clear"/>
          </w:tcPr>
          <w:p>
            <w:r>
              <w:rPr>
                <w:sz w:val="17"/>
              </w:rPr>
              <w:t>4,612</w:t>
            </w:r>
          </w:p>
        </w:tc>
        <w:tc>
          <w:tcPr>
            <w:tcW w:type="dxa" w:w="1440"/>
            <w:shd w:fill="FFDCE0" w:val="clear"/>
          </w:tcPr>
          <w:p>
            <w:r>
              <w:rPr>
                <w:b/>
                <w:color w:val="C00000"/>
                <w:sz w:val="17"/>
              </w:rPr>
              <w:t>-3.4%</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4,029</w:t>
            </w:r>
          </w:p>
        </w:tc>
        <w:tc>
          <w:tcPr>
            <w:tcW w:type="dxa" w:w="1440"/>
            <w:shd w:fill="FFDCE0" w:val="clear"/>
          </w:tcPr>
          <w:p>
            <w:r>
              <w:rPr>
                <w:b/>
                <w:sz w:val="17"/>
              </w:rPr>
              <w:t>4,321</w:t>
            </w:r>
          </w:p>
        </w:tc>
        <w:tc>
          <w:tcPr>
            <w:tcW w:type="dxa" w:w="1440"/>
            <w:shd w:fill="FFDCE0" w:val="clear"/>
          </w:tcPr>
          <w:p>
            <w:r>
              <w:rPr>
                <w:sz w:val="17"/>
              </w:rPr>
              <w:t>4,612</w:t>
            </w:r>
          </w:p>
        </w:tc>
        <w:tc>
          <w:tcPr>
            <w:tcW w:type="dxa" w:w="1440"/>
            <w:shd w:fill="FFDCE0" w:val="clear"/>
          </w:tcPr>
          <w:p>
            <w:r>
              <w:rPr>
                <w:b/>
                <w:color w:val="C00000"/>
                <w:sz w:val="17"/>
              </w:rPr>
              <w:t>-3.9%</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3,991</w:t>
            </w:r>
          </w:p>
        </w:tc>
        <w:tc>
          <w:tcPr>
            <w:tcW w:type="dxa" w:w="1440"/>
            <w:shd w:fill="FFDCE0" w:val="clear"/>
          </w:tcPr>
          <w:p>
            <w:r>
              <w:rPr>
                <w:b/>
                <w:sz w:val="17"/>
              </w:rPr>
              <w:t>4,301</w:t>
            </w:r>
          </w:p>
        </w:tc>
        <w:tc>
          <w:tcPr>
            <w:tcW w:type="dxa" w:w="1440"/>
            <w:shd w:fill="FFDCE0" w:val="clear"/>
          </w:tcPr>
          <w:p>
            <w:r>
              <w:rPr>
                <w:sz w:val="17"/>
              </w:rPr>
              <w:t>4,611</w:t>
            </w:r>
          </w:p>
        </w:tc>
        <w:tc>
          <w:tcPr>
            <w:tcW w:type="dxa" w:w="1440"/>
            <w:shd w:fill="FFDCE0" w:val="clear"/>
          </w:tcPr>
          <w:p>
            <w:r>
              <w:rPr>
                <w:b/>
                <w:color w:val="C00000"/>
                <w:sz w:val="17"/>
              </w:rPr>
              <w:t>-4.3%</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3,954</w:t>
            </w:r>
          </w:p>
        </w:tc>
        <w:tc>
          <w:tcPr>
            <w:tcW w:type="dxa" w:w="1440"/>
            <w:shd w:fill="FFDCE0" w:val="clear"/>
          </w:tcPr>
          <w:p>
            <w:r>
              <w:rPr>
                <w:b/>
                <w:sz w:val="17"/>
              </w:rPr>
              <w:t>4,281</w:t>
            </w:r>
          </w:p>
        </w:tc>
        <w:tc>
          <w:tcPr>
            <w:tcW w:type="dxa" w:w="1440"/>
            <w:shd w:fill="FFDCE0" w:val="clear"/>
          </w:tcPr>
          <w:p>
            <w:r>
              <w:rPr>
                <w:sz w:val="17"/>
              </w:rPr>
              <w:t>4,609</w:t>
            </w:r>
          </w:p>
        </w:tc>
        <w:tc>
          <w:tcPr>
            <w:tcW w:type="dxa" w:w="1440"/>
            <w:shd w:fill="FFDCE0" w:val="clear"/>
          </w:tcPr>
          <w:p>
            <w:r>
              <w:rPr>
                <w:b/>
                <w:color w:val="C00000"/>
                <w:sz w:val="17"/>
              </w:rPr>
              <w:t>-4.8%</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3,919</w:t>
            </w:r>
          </w:p>
        </w:tc>
        <w:tc>
          <w:tcPr>
            <w:tcW w:type="dxa" w:w="1440"/>
            <w:shd w:fill="FFDCE0" w:val="clear"/>
          </w:tcPr>
          <w:p>
            <w:r>
              <w:rPr>
                <w:b/>
                <w:sz w:val="17"/>
              </w:rPr>
              <w:t>4,262</w:t>
            </w:r>
          </w:p>
        </w:tc>
        <w:tc>
          <w:tcPr>
            <w:tcW w:type="dxa" w:w="1440"/>
            <w:shd w:fill="FFDCE0" w:val="clear"/>
          </w:tcPr>
          <w:p>
            <w:r>
              <w:rPr>
                <w:sz w:val="17"/>
              </w:rPr>
              <w:t>4,606</w:t>
            </w:r>
          </w:p>
        </w:tc>
        <w:tc>
          <w:tcPr>
            <w:tcW w:type="dxa" w:w="1440"/>
            <w:shd w:fill="FFDCE0" w:val="clear"/>
          </w:tcPr>
          <w:p>
            <w:r>
              <w:rPr>
                <w:b/>
                <w:color w:val="C00000"/>
                <w:sz w:val="17"/>
              </w:rPr>
              <w:t>-5.2%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(TRACTRAFRIC MOTORS CI)**</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46,03 milliards FCFA, positionnant la société comme une valeur de taille moyenne sur la BRVM. Avec un BPA de 231 FCFA, le titre se négocie à un PER de 19,4x, nettement supérieur à la moyenne historique de la place (~8-12x). Ce niveau indique que les investisseurs intègrent des perspectives de croissance future, mais il laisse peu de marge d'erreur en cas de déception. Le P/B de 3,99x confirme cette prime, le marché valorisant l'actif net comptable près de 4 fois sa valeur, ce qui est élevé pour un distributeur automobile. Enfin, l'EV/EBITDA de 9,9x se situe dans la fourchette haute des valeurs raisonnables (5-10x), suggérant que la valorisation globale de l'entreprise, dette incluse, reste soutenable mais non bon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PRSC affiche une performance négative de -4,26%, avec un cours stable lors de la dernière séance (+0,00%). Le cours a évolué dans un range de trading significatif, oscillant entre un plus bas de 3 620 FCFA et un plus haut de 5 100 FCFA, démontrant une volatilité intra-période importante. La moyenne (4 480 FCFA) et la médiane (4 500 FCFA) sont très proches, indiquant une distribution relativement symétrique des prix, bien que le skewness négatif (-0.721) révèle une asymétrie avec des épisodes de fortes baisses plus marqués que les hausses. Le kurtosis proche de zéro (-0.022) indique une distribution mésokurtique, sans risque de variations extrêmes particulier. Avec un écart-type de 369 FCFA (CV de 8,2%) et une volatilité annualisée de 40,4%, le titre est classé comme très volatil, ce qui représente un risque élevé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(4 495 FCFA) se positionne sous la MM20 (4 511,25 FCFA) mais au-dessus de la MM50 (4 465 FCFA). Cette configuration, où le prix est entre les deux moyennes, suggère une tendance de court terme légèrement baissière mais un momentum de moyen terme encore positif. La décision d'« Achat » signalée est probablement due à la position relative du prix par rapport à la MM50, indiquant une résistance à la baisse.</w:t>
      </w:r>
    </w:p>
    <w:p>
      <w:pPr>
        <w:spacing w:after="120" w:line="276" w:lineRule="auto"/>
      </w:pPr>
      <w:r>
        <w:t>**Bandes de Bollinger :** Le prix se situe à 4 495 FCFA, presque à mi-chemin entre la borne inférieure (4 354,075 FCFA) et la borne supérieure (4 668,425 FCFA). Cette position centrale indique une volatilité modérée et une absence de pression directionnelle forte. La décision « Neutre » est cohérente avec cette lecture, le marché n'étant ni suracheté ni survendu.</w:t>
      </w:r>
    </w:p>
    <w:p>
      <w:pPr>
        <w:spacing w:after="120" w:line="276" w:lineRule="auto"/>
      </w:pPr>
      <w:r>
        <w:t>**MACD :** La valeur du MACD (0.103) est très proche de zéro et bien en dessous de sa ligne de signal (9.009). Cet écart important et la valeur quasi nulle du MACD signalent un momentum baissier très faible, mais la décision « Vente » est justifiée par la position sous la ligne de signal, indiquant une dynamique négative à court terme.</w:t>
      </w:r>
    </w:p>
    <w:p>
      <w:pPr>
        <w:spacing w:after="120" w:line="276" w:lineRule="auto"/>
      </w:pPr>
      <w:r>
        <w:t>**RSI :** À 40.171, le RSI se situe dans la zone neutre (30-70), mais proche de la zone de survente. Cela indique que le titre n'est ni suracheté ni survendu, mais qu'une pression vendeuse existe. La décision « Neutre » est correcte, mais un passage sous 30 signalerait une opportunité d'achat potentielle.</w:t>
      </w:r>
    </w:p>
    <w:p>
      <w:pPr>
        <w:spacing w:after="120" w:line="276" w:lineRule="auto"/>
      </w:pPr>
      <w:r>
        <w:t>**Stochastique :** Le %K (63.333) est nettement au-dessus du %D (36.19), formant un croisement haussier. Cette configuration suggère un potentiel de rebond à court terme, malgré la tendance générale baissière. La décision « Neutre » reflète ce conflit entre un signal haussier de court terme et une tendance de fond baissière.</w:t>
      </w:r>
    </w:p>
    <w:p>
      <w:pPr>
        <w:spacing w:after="120" w:line="276" w:lineRule="auto"/>
      </w:pPr>
      <w:r>
        <w:t>**Conclusion technique :** Les indicateurs techniques sont globalement mitigés. Les moyennes mobiles et le MACD pointent vers une dynamique baissière, tandis que le stochastique suggère un rebond imminent. Le RSI et les bandes de Bollinger n'indiquent pas de direction claire. Cette divergence suggère une période de consolidation avec un biais légèrement négatif, mais avec un potentiel de correction technique à la hausse.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PRSC a réalisé un chiffre d'affaires de 81,127 milliards FCFA, en croissance de 8,6% par rapport à 2024 (74,45 Mds FCFA). Le résultat net s'établit à 2,367 milliards FCFA, contre 2,177 milliards en 2024, soit une progression de 8,7%. Cette performance se traduit par un ROE excellent de 20,53% et un ROA de 4,95%, démontrant une bonne utilisation des capitaux propres. En tant qu'entreprise de distribution, l'analyse du BFR est cruciale : il s'établit à 11,267 milliards FCFA, avec un délai de paiement des clients de 46 jours et un délai de stockage de 150 jours, ce qui immobilise du capital. Cependant, le délai de paiement des fournisseurs (102 jours) compense partiellement ce besoin. Le rapport annuel 2025 (daté du 31/12/2025) confirme la solidité avec une marge commerciale en progression de 23% à 18 milliards FCFA. Le rapport semestriel 2025 (daté du 30/06/2025) montrait déjà une dynamique exceptionnelle avec un CA en hausse de 15,1% et un résultat net multiplié par 28. Sur la base de ces performances semestrielles, on estime que la croissance du CA 2025 était bien orientée, et la tendance 2026 devrait se poursuivre, portée par le leadership sur les véhicules industriels et la diversification (pneumatiques +62,6%). La société a annoncé un dividende de 209 FCFA par action pour 2025, offrant un rendement de 4,6% au cours actuel, un signal positif pour les actionnaires.</w:t>
      </w:r>
    </w:p>
    <w:p>
      <w:pPr>
        <w:spacing w:after="120" w:line="276" w:lineRule="auto"/>
      </w:pPr>
      <w:r>
        <w:t>---</w:t>
      </w:r>
    </w:p>
    <w:p>
      <w:pPr>
        <w:spacing w:after="120" w:line="276" w:lineRule="auto"/>
      </w:pPr>
      <w:r>
        <w:t>### PARTIE 4 : CONCLUSION D'INVESTISSEMENT</w:t>
      </w:r>
    </w:p>
    <w:p>
      <w:pPr>
        <w:spacing w:after="120" w:line="276" w:lineRule="auto"/>
      </w:pPr>
      <w:r>
        <w:t>La valorisation de PRSC (PER 19,4x, P/B 3,99x) est exigeante, intégrant une prime de croissance qui semble justifiée par les excellents fondamentaux (ROE &gt;20%, CA en hausse). Le comportement du cours sur 100 jours est baissier (-4,26%) avec une volatilité très élevée (40,4%), ce qui est préoccupant à court terme. Les signaux techniques sont divergents, avec un biais baissier (MACD, MM) mais un potentiel de rebond (Stochastique). Les fondamentaux, eux, sont solides et en amélioration, soutenus par une croissance du CA et une rentabilité en hausse. Les prédictions IA pour les 10 prochains jours (de 4 444 à 4 361 FCFA) confirment la tendance baissière de court terme, anticipant une poursuite de la baisse. En synthèse, la solidité financière et les perspectives de croissance s'opposent à une dynamique boursière et technique négative à court terme. La recommandation est donc **CONSERVER** avec un niveau de confiance **Moyen**. Le risque global est **Élevé** en raison de la volatilité et de la valorisation. L'horizon d'investissement optimal est le **moyen terme (3-12 mois)**, en attendant que le cours se stabilise et que les résultats 2026 confirment la tendance haussière des fondamentaux.</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47.42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7,412 titres</w:t>
            </w:r>
          </w:p>
        </w:tc>
        <w:tc>
          <w:tcPr>
            <w:tcW w:type="dxa" w:w="2268"/>
            <w:shd w:fill="FFF2CC" w:val="clear"/>
          </w:tcPr>
          <w:p>
            <w:r>
              <w:rPr>
                <w:b/>
                <w:color w:val="503200"/>
                <w:sz w:val="16"/>
              </w:rPr>
              <w:t xml:space="preserve">Cours actuel : </w:t>
            </w:r>
            <w:r>
              <w:rPr>
                <w:color w:val="000000"/>
                <w:sz w:val="17"/>
              </w:rPr>
              <w:t>5,840 FCFA</w:t>
            </w:r>
          </w:p>
          <w:p>
            <w:r>
              <w:rPr>
                <w:b/>
                <w:color w:val="503200"/>
                <w:sz w:val="16"/>
              </w:rPr>
              <w:t xml:space="preserve">Var. 100 jours : </w:t>
            </w:r>
            <w:r>
              <w:rPr>
                <w:b/>
                <w:color w:val="007800"/>
                <w:sz w:val="17"/>
              </w:rPr>
              <w:t>+1.04%</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31.9/100 → Moyen</w:t>
      </w:r>
    </w:p>
    <w:p>
      <w:pPr>
        <w:spacing w:before="40" w:after="80"/>
      </w:pPr>
      <w:r>
        <w:rPr>
          <w:rFonts w:ascii="Courier New" w:hAnsi="Courier New"/>
          <w:color w:val="825A00"/>
          <w:sz w:val="18"/>
        </w:rPr>
        <w:t>██████░░░░░░░░░░░░░░  31.9/100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23.47% (Élevée) — μ=4,791 FCFA, σ=1,124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β=0.2025 (Défensif) — Cov=0.000007, Var(idx)=0.000036, ρ=0.023,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7,412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σ_j=5.38%/j (Instable) — Vol. annualisée≈85.4%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5,054</w:t>
            </w:r>
          </w:p>
        </w:tc>
        <w:tc>
          <w:tcPr>
            <w:tcW w:type="dxa" w:w="1440"/>
            <w:shd w:fill="FFDCE0" w:val="clear"/>
          </w:tcPr>
          <w:p>
            <w:r>
              <w:rPr>
                <w:b/>
                <w:sz w:val="17"/>
              </w:rPr>
              <w:t>5,402</w:t>
            </w:r>
          </w:p>
        </w:tc>
        <w:tc>
          <w:tcPr>
            <w:tcW w:type="dxa" w:w="1440"/>
            <w:shd w:fill="FFDCE0" w:val="clear"/>
          </w:tcPr>
          <w:p>
            <w:r>
              <w:rPr>
                <w:sz w:val="17"/>
              </w:rPr>
              <w:t>5,750</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4,542</w:t>
            </w:r>
          </w:p>
        </w:tc>
        <w:tc>
          <w:tcPr>
            <w:tcW w:type="dxa" w:w="1440"/>
            <w:shd w:fill="FFDCE0" w:val="clear"/>
          </w:tcPr>
          <w:p>
            <w:r>
              <w:rPr>
                <w:b/>
                <w:sz w:val="17"/>
              </w:rPr>
              <w:t>4,997</w:t>
            </w:r>
          </w:p>
        </w:tc>
        <w:tc>
          <w:tcPr>
            <w:tcW w:type="dxa" w:w="1440"/>
            <w:shd w:fill="FFDCE0" w:val="clear"/>
          </w:tcPr>
          <w:p>
            <w:r>
              <w:rPr>
                <w:sz w:val="17"/>
              </w:rPr>
              <w:t>5,452</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4,106</w:t>
            </w:r>
          </w:p>
        </w:tc>
        <w:tc>
          <w:tcPr>
            <w:tcW w:type="dxa" w:w="1440"/>
            <w:shd w:fill="FFDCE0" w:val="clear"/>
          </w:tcPr>
          <w:p>
            <w:r>
              <w:rPr>
                <w:b/>
                <w:sz w:val="17"/>
              </w:rPr>
              <w:t>4,622</w:t>
            </w:r>
          </w:p>
        </w:tc>
        <w:tc>
          <w:tcPr>
            <w:tcW w:type="dxa" w:w="1440"/>
            <w:shd w:fill="FFDCE0" w:val="clear"/>
          </w:tcPr>
          <w:p>
            <w:r>
              <w:rPr>
                <w:sz w:val="17"/>
              </w:rPr>
              <w:t>5,138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3,725</w:t>
            </w:r>
          </w:p>
        </w:tc>
        <w:tc>
          <w:tcPr>
            <w:tcW w:type="dxa" w:w="1440"/>
            <w:shd w:fill="FFDCE0" w:val="clear"/>
          </w:tcPr>
          <w:p>
            <w:r>
              <w:rPr>
                <w:b/>
                <w:sz w:val="17"/>
              </w:rPr>
              <w:t>4,275</w:t>
            </w:r>
          </w:p>
        </w:tc>
        <w:tc>
          <w:tcPr>
            <w:tcW w:type="dxa" w:w="1440"/>
            <w:shd w:fill="FFDCE0" w:val="clear"/>
          </w:tcPr>
          <w:p>
            <w:r>
              <w:rPr>
                <w:sz w:val="17"/>
              </w:rPr>
              <w:t>4,826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3,385</w:t>
            </w:r>
          </w:p>
        </w:tc>
        <w:tc>
          <w:tcPr>
            <w:tcW w:type="dxa" w:w="1440"/>
            <w:shd w:fill="FFDCE0" w:val="clear"/>
          </w:tcPr>
          <w:p>
            <w:r>
              <w:rPr>
                <w:b/>
                <w:sz w:val="17"/>
              </w:rPr>
              <w:t>3,955</w:t>
            </w:r>
          </w:p>
        </w:tc>
        <w:tc>
          <w:tcPr>
            <w:tcW w:type="dxa" w:w="1440"/>
            <w:shd w:fill="FFDCE0" w:val="clear"/>
          </w:tcPr>
          <w:p>
            <w:r>
              <w:rPr>
                <w:sz w:val="17"/>
              </w:rPr>
              <w:t>4,524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3,081</w:t>
            </w:r>
          </w:p>
        </w:tc>
        <w:tc>
          <w:tcPr>
            <w:tcW w:type="dxa" w:w="1440"/>
            <w:shd w:fill="FFDCE0" w:val="clear"/>
          </w:tcPr>
          <w:p>
            <w:r>
              <w:rPr>
                <w:b/>
                <w:sz w:val="17"/>
              </w:rPr>
              <w:t>3,658</w:t>
            </w:r>
          </w:p>
        </w:tc>
        <w:tc>
          <w:tcPr>
            <w:tcW w:type="dxa" w:w="1440"/>
            <w:shd w:fill="FFDCE0" w:val="clear"/>
          </w:tcPr>
          <w:p>
            <w:r>
              <w:rPr>
                <w:sz w:val="17"/>
              </w:rPr>
              <w:t>4,235</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2,807</w:t>
            </w:r>
          </w:p>
        </w:tc>
        <w:tc>
          <w:tcPr>
            <w:tcW w:type="dxa" w:w="1440"/>
            <w:shd w:fill="FFDCE0" w:val="clear"/>
          </w:tcPr>
          <w:p>
            <w:r>
              <w:rPr>
                <w:b/>
                <w:sz w:val="17"/>
              </w:rPr>
              <w:t>3,384</w:t>
            </w:r>
          </w:p>
        </w:tc>
        <w:tc>
          <w:tcPr>
            <w:tcW w:type="dxa" w:w="1440"/>
            <w:shd w:fill="FFDCE0" w:val="clear"/>
          </w:tcPr>
          <w:p>
            <w:r>
              <w:rPr>
                <w:sz w:val="17"/>
              </w:rPr>
              <w:t>3,960</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2,560</w:t>
            </w:r>
          </w:p>
        </w:tc>
        <w:tc>
          <w:tcPr>
            <w:tcW w:type="dxa" w:w="1440"/>
            <w:shd w:fill="FFDCE0" w:val="clear"/>
          </w:tcPr>
          <w:p>
            <w:r>
              <w:rPr>
                <w:b/>
                <w:sz w:val="17"/>
              </w:rPr>
              <w:t>3,130</w:t>
            </w:r>
          </w:p>
        </w:tc>
        <w:tc>
          <w:tcPr>
            <w:tcW w:type="dxa" w:w="1440"/>
            <w:shd w:fill="FFDCE0" w:val="clear"/>
          </w:tcPr>
          <w:p>
            <w:r>
              <w:rPr>
                <w:sz w:val="17"/>
              </w:rPr>
              <w:t>3,700</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2,336</w:t>
            </w:r>
          </w:p>
        </w:tc>
        <w:tc>
          <w:tcPr>
            <w:tcW w:type="dxa" w:w="1440"/>
            <w:shd w:fill="FFDCE0" w:val="clear"/>
          </w:tcPr>
          <w:p>
            <w:r>
              <w:rPr>
                <w:b/>
                <w:sz w:val="17"/>
              </w:rPr>
              <w:t>2,895</w:t>
            </w:r>
          </w:p>
        </w:tc>
        <w:tc>
          <w:tcPr>
            <w:tcW w:type="dxa" w:w="1440"/>
            <w:shd w:fill="FFDCE0" w:val="clear"/>
          </w:tcPr>
          <w:p>
            <w:r>
              <w:rPr>
                <w:sz w:val="17"/>
              </w:rPr>
              <w:t>3,455</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2,133</w:t>
            </w:r>
          </w:p>
        </w:tc>
        <w:tc>
          <w:tcPr>
            <w:tcW w:type="dxa" w:w="1440"/>
            <w:shd w:fill="FFDCE0" w:val="clear"/>
          </w:tcPr>
          <w:p>
            <w:r>
              <w:rPr>
                <w:b/>
                <w:sz w:val="17"/>
              </w:rPr>
              <w:t>2,678</w:t>
            </w:r>
          </w:p>
        </w:tc>
        <w:tc>
          <w:tcPr>
            <w:tcW w:type="dxa" w:w="1440"/>
            <w:shd w:fill="FFDCE0" w:val="clear"/>
          </w:tcPr>
          <w:p>
            <w:r>
              <w:rPr>
                <w:sz w:val="17"/>
              </w:rPr>
              <w:t>3,224</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SAFC s'établit à 47,42 milliards FCFA, un niveau modeste dans l'écosystème de la BRVM, reflétant une société de taille moyenne en phase de redressement. Le BPA de 86 FCFA par action indique un bénéfice net par titre relativement faible, ce qui explique un PER de 67,6x, très largement supérieur à la moyenne du marché régional (8-12x). Les investisseurs paient donc une prime considérable pour les bénéfices actuels, signe d'anticipations de croissance future. Le P/B de 8,02x confirme cette valorisation exigeante, le marché valorisant le titre bien au-delà de sa valeur comptable (capitaux propres de 5,916 Mds FCFA). Enfin, l'EV/EBITDA de 81,7x est extrêmement élevé, indiquant que la valeur totale de l'entreprise (dette incluse) est très supérieure à sa capacité opérationnelle, ce qui impose une prudence maximale.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SAFC affiche une variation totale de +1,04%, avec une progression notable de +5,13% lors de la dernière séance, reflétant un regain d'intérêt récent. Le titre a évolué dans une fourchette extrêmement large, entre un plus bas de 3 340 FCFA et un plus haut de 7 555 FCFA, illustrant une volatilité intense. La moyenne du cours (4 791 FCFA) est supérieure à la médiane (4 505 FCFA), et le skewness positif de 0,936 confirme une asymétrie positive avec davantage de journées sous la moyenne, mais des mouvements haussiers ponctuels marqués. Le kurtosis de -0,098 (mésokurtique) indique une distribution proche de la normale, sans risque de pics extrêmes particulier. L'écart-type de 1 130 FCFA (CV=23,6%) témoigne d'une dispersion importante, et la volatilité annualisée de 85,4% classe le titre comme extrêmement risqué,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**Moyennes Mobiles** : Le cours actuel de 5 840 FCFA se positionne nettement au-dessus de la MM20 (4 944,5 FCFA) et de la MM50 (4 539,2 FCFA), confirmant une dynamique haussière de court et moyen terme. La pente ascendante des moyennes et l'écart positif du prix par rapport à celles-ci génèrent un signal d'achat cohérent, indiquant que la tendance de fond reste positive malgré la volatilité récente.</w:t>
      </w:r>
    </w:p>
    <w:p>
      <w:pPr>
        <w:spacing w:after="120" w:line="276" w:lineRule="auto"/>
      </w:pPr>
      <w:r>
        <w:t>**Bandes de Bollinger** : Le prix évolue au-dessus de la borne supérieure (5 777,9 FCFA), signalant une condition de surachat temporaire. Cette sortie de canal indique une pression acheteuse exceptionnelle, mais expose le titre à un risque de correction technique. La décision de vente associée à cet indicateur suggère une prudence à court terme, le marché ayant potentiellement anticipé la hausse.</w:t>
      </w:r>
    </w:p>
    <w:p>
      <w:pPr>
        <w:spacing w:after="120" w:line="276" w:lineRule="auto"/>
      </w:pPr>
      <w:r>
        <w:t>**MACD** : Le MACD (265,98) est nettement supérieur à son signal (213,64), avec un écart positif de 52 points, confirmant un momentum haussier solide. La divergence positive indique que la dynamique d'achat reste dominante, justifiant la décision d'achat. Cette configuration technique soutient la poursuite de la tendance haussière à moyen terme.</w:t>
      </w:r>
    </w:p>
    <w:p>
      <w:pPr>
        <w:spacing w:after="120" w:line="276" w:lineRule="auto"/>
      </w:pPr>
      <w:r>
        <w:t>**RSI** : Le RSI s'établit à 68,79, proche du seuil de surachat de 70 sans l'atteindre. Cette zone neutre-positive indique une pression acheteuse soutenue mais pas encore excessive. La décision neutre reflète un équilibre entre le potentiel haussier et le risque de correction, le titre conservant une marge de progression avant d'entrer en zone de surachat.</w:t>
      </w:r>
    </w:p>
    <w:p>
      <w:pPr>
        <w:spacing w:after="120" w:line="276" w:lineRule="auto"/>
      </w:pPr>
      <w:r>
        <w:t>**Stochastique** : Le %K à 100,0 et le %D à 92,34 indiquent une condition de surachat extrême, le titre étant au plus haut de sa fourchette de négociation. Cette configuration génère un signal de vente, car elle suggère que le mouvement haussier est arrivé à son paroxysme à court terme. Un croisement baissier du %K sous le %D pourrait déclencher une correction.</w:t>
      </w:r>
    </w:p>
    <w:p>
      <w:pPr>
        <w:spacing w:after="120" w:line="276" w:lineRule="auto"/>
      </w:pPr>
      <w:r>
        <w:t>**Conclusion technique** : Les indicateurs de tendance (MM, MACD) sont globalement positifs, mais les oscillateurs de momentum (RSI, Stochastique) et les bandes de Bollinger signalent des conditions de surachat. Cette divergence entre la tendance de fond haussière et les signaux de court terme suggère une consolidation probable avant la poursuite du mouvement. La prudence est recommandée à très court terme, mais la tendance moyenne reste constructive.</w:t>
      </w:r>
    </w:p>
    <w:p>
      <w:pPr>
        <w:spacing w:after="120" w:line="276" w:lineRule="auto" w:before="240"/>
      </w:pPr>
      <w:r>
        <w:rPr>
          <w:b/>
          <w:color w:val="003366"/>
          <w:sz w:val="24"/>
        </w:rPr>
        <w:t>**PARTIE 3 : ANALYSE FONDAMENTALE (SECTION CRITIQUE)**</w:t>
      </w:r>
    </w:p>
    <w:p>
      <w:pPr>
        <w:spacing w:after="120" w:line="276" w:lineRule="auto"/>
      </w:pPr>
      <w:r>
        <w:t>En 2025, SAFC (Alios Finance Côte d'Ivoire) affiche un Produit Net Bancaire de 5,735 milliards FCFA, en hausse de 44,1% par rapport à 2024 (3,980 Mds FCFA), et un résultat net bénéficiaire de 701 millions FCFA, marquant un retournement spectaculaire après huit années de pertes. Le ROE s'établit à 11,85% et le ROA à 0,88%, des niveaux encore modestes mais en nette amélioration. Le coefficient d'exploitation de 77,6% reste élevé (supérieur au seuil de 60% considéré comme efficace), indiquant des charges encore lourdes. Le coût du risque de 6,57% demeure significatif, reflétant un portefeuille de crédits encore fragile, avec des créances clientèle de 60,476 Mds FCFA financées principalement par des dettes interbancaires (35,747 Mds FCFA), créant une dépendance aux marchés de capitaux. Le rapport du T1 2026 (publié en mars 2026) confirme la dynamique : PNB de 1,395 Md FCFA (+29%), résultat net de 151 millions FCFA (+1062%), et coût du risque réduit de 75%. Sur cette base, on estime que l'exercice 2026 pourrait dépasser le milliard de FCFA de bénéfice net, sous réserve de la maîtrise du risque de crédit. L'augmentation de capital de 1,5 milliard FCFA (annoncée en avril 2026) et l'entrée de CREDAF Group comme actionnaire principal renforcent les perspectives de consolidation, avec des capitaux propres en hausse à 6,067 Mds FCFA au T1 2026.</w:t>
      </w:r>
    </w:p>
    <w:p>
      <w:pPr>
        <w:spacing w:after="120" w:line="276" w:lineRule="auto" w:before="240"/>
      </w:pPr>
      <w:r>
        <w:rPr>
          <w:b/>
          <w:color w:val="003366"/>
          <w:sz w:val="24"/>
        </w:rPr>
        <w:t>**PARTIE 4 : CONCLUSION D'INVESTISSEMENT**</w:t>
      </w:r>
    </w:p>
    <w:p>
      <w:pPr>
        <w:spacing w:after="120" w:line="276" w:lineRule="auto"/>
      </w:pPr>
      <w:r>
        <w:t>La valorisation de SAFC est extrêmement exigeante (PER 67,6x, P/B 8,02x, EV/EBITDA 81,7x), reflétant des anticipations de croissance très optimistes qui ne sont pas encore justifiées par les bénéfices actuels. Le comportement du cours montre une volatilité extrême (85,4% annualisée) avec une tendance récente positive (+5,13% sur la dernière séance), mais les statistiques révèlent une distribution asymétrique avec des mouvements erratiques. Les signaux techniques sont mitigés : les moyennes mobiles et le MACD sont positifs, mais le RSI proche du surachat, le Stochastique à 100% et la sortie des bandes de Bollinger suggèrent un risque de correction à court terme. Les fondamentaux montrent un redressement spectaculaire en 2025 (résultat net de 701 millions FCFA) et une dynamique confirmée au T1 2026, mais la structure financière reste fragile avec un coefficient d'exploitation élevé et une dépendance aux dettes interbancaires. Les prédictions IA (J+1 à J+10) prévoient une chute brutale du cours de 5 402 à 3 955 FCFA, contredisant la tendance haussière récente. La convergence des signaux de surachat technique et des prédictions baissières conduit à une recommandation de **VENTE** à court terme, avec un niveau de confiance **Moyen** et un risque global **Élevé**. L'horizon d'investissement optimal serait de moyen à long terme (3-12 mois), après une correction attendue et une confirmation de la consolidation des fondamentaux.</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71.74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12,296 titres</w:t>
            </w:r>
          </w:p>
        </w:tc>
        <w:tc>
          <w:tcPr>
            <w:tcW w:type="dxa" w:w="2268"/>
            <w:shd w:fill="FFF2CC" w:val="clear"/>
          </w:tcPr>
          <w:p>
            <w:r>
              <w:rPr>
                <w:b/>
                <w:color w:val="503200"/>
                <w:sz w:val="16"/>
              </w:rPr>
              <w:t xml:space="preserve">Cours actuel : </w:t>
            </w:r>
            <w:r>
              <w:rPr>
                <w:color w:val="000000"/>
                <w:sz w:val="17"/>
              </w:rPr>
              <w:t>3,660 FCFA</w:t>
            </w:r>
          </w:p>
          <w:p>
            <w:r>
              <w:rPr>
                <w:b/>
                <w:color w:val="503200"/>
                <w:sz w:val="16"/>
              </w:rPr>
              <w:t xml:space="preserve">Var. 100 jours : </w:t>
            </w:r>
            <w:r>
              <w:rPr>
                <w:b/>
                <w:color w:val="007800"/>
                <w:sz w:val="17"/>
              </w:rPr>
              <w:t>+150.68%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1,460 FCFA</w:t>
            </w:r>
          </w:p>
          <w:p>
            <w:r>
              <w:rPr>
                <w:b/>
                <w:color w:val="503200"/>
                <w:sz w:val="16"/>
              </w:rPr>
              <w:t xml:space="preserve">Volatilité ann. : </w:t>
            </w:r>
            <w:r>
              <w:rPr>
                <w:color w:val="000000"/>
                <w:sz w:val="17"/>
              </w:rPr>
              <w:t>58.1%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26.34% (Élevée) — μ=2,759 FCFA, σ=727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β=0.4372 (Défensif) — Cov=0.000016, Var(idx)=0.000036, ρ=0.072,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12,296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3,204</w:t>
            </w:r>
          </w:p>
        </w:tc>
        <w:tc>
          <w:tcPr>
            <w:tcW w:type="dxa" w:w="1440"/>
            <w:shd w:fill="FFDCE0" w:val="clear"/>
          </w:tcPr>
          <w:p>
            <w:r>
              <w:rPr>
                <w:b/>
                <w:sz w:val="17"/>
              </w:rPr>
              <w:t>3,386</w:t>
            </w:r>
          </w:p>
        </w:tc>
        <w:tc>
          <w:tcPr>
            <w:tcW w:type="dxa" w:w="1440"/>
            <w:shd w:fill="FFDCE0" w:val="clear"/>
          </w:tcPr>
          <w:p>
            <w:r>
              <w:rPr>
                <w:sz w:val="17"/>
              </w:rPr>
              <w:t>3,567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2,894</w:t>
            </w:r>
          </w:p>
        </w:tc>
        <w:tc>
          <w:tcPr>
            <w:tcW w:type="dxa" w:w="1440"/>
            <w:shd w:fill="FFDCE0" w:val="clear"/>
          </w:tcPr>
          <w:p>
            <w:r>
              <w:rPr>
                <w:b/>
                <w:sz w:val="17"/>
              </w:rPr>
              <w:t>3,132</w:t>
            </w:r>
          </w:p>
        </w:tc>
        <w:tc>
          <w:tcPr>
            <w:tcW w:type="dxa" w:w="1440"/>
            <w:shd w:fill="FFDCE0" w:val="clear"/>
          </w:tcPr>
          <w:p>
            <w:r>
              <w:rPr>
                <w:sz w:val="17"/>
              </w:rPr>
              <w:t>3,369</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2,628</w:t>
            </w:r>
          </w:p>
        </w:tc>
        <w:tc>
          <w:tcPr>
            <w:tcW w:type="dxa" w:w="1440"/>
            <w:shd w:fill="FFDCE0" w:val="clear"/>
          </w:tcPr>
          <w:p>
            <w:r>
              <w:rPr>
                <w:b/>
                <w:sz w:val="17"/>
              </w:rPr>
              <w:t>2,897</w:t>
            </w:r>
          </w:p>
        </w:tc>
        <w:tc>
          <w:tcPr>
            <w:tcW w:type="dxa" w:w="1440"/>
            <w:shd w:fill="FFDCE0" w:val="clear"/>
          </w:tcPr>
          <w:p>
            <w:r>
              <w:rPr>
                <w:sz w:val="17"/>
              </w:rPr>
              <w:t>3,166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2,392</w:t>
            </w:r>
          </w:p>
        </w:tc>
        <w:tc>
          <w:tcPr>
            <w:tcW w:type="dxa" w:w="1440"/>
            <w:shd w:fill="FFDCE0" w:val="clear"/>
          </w:tcPr>
          <w:p>
            <w:r>
              <w:rPr>
                <w:b/>
                <w:sz w:val="17"/>
              </w:rPr>
              <w:t>2,679</w:t>
            </w:r>
          </w:p>
        </w:tc>
        <w:tc>
          <w:tcPr>
            <w:tcW w:type="dxa" w:w="1440"/>
            <w:shd w:fill="FFDCE0" w:val="clear"/>
          </w:tcPr>
          <w:p>
            <w:r>
              <w:rPr>
                <w:sz w:val="17"/>
              </w:rPr>
              <w:t>2,967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2,181</w:t>
            </w:r>
          </w:p>
        </w:tc>
        <w:tc>
          <w:tcPr>
            <w:tcW w:type="dxa" w:w="1440"/>
            <w:shd w:fill="FFDCE0" w:val="clear"/>
          </w:tcPr>
          <w:p>
            <w:r>
              <w:rPr>
                <w:b/>
                <w:sz w:val="17"/>
              </w:rPr>
              <w:t>2,478</w:t>
            </w:r>
          </w:p>
        </w:tc>
        <w:tc>
          <w:tcPr>
            <w:tcW w:type="dxa" w:w="1440"/>
            <w:shd w:fill="FFDCE0" w:val="clear"/>
          </w:tcPr>
          <w:p>
            <w:r>
              <w:rPr>
                <w:sz w:val="17"/>
              </w:rPr>
              <w:t>2,776</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1,992</w:t>
            </w:r>
          </w:p>
        </w:tc>
        <w:tc>
          <w:tcPr>
            <w:tcW w:type="dxa" w:w="1440"/>
            <w:shd w:fill="FFDCE0" w:val="clear"/>
          </w:tcPr>
          <w:p>
            <w:r>
              <w:rPr>
                <w:b/>
                <w:sz w:val="17"/>
              </w:rPr>
              <w:t>2,293</w:t>
            </w:r>
          </w:p>
        </w:tc>
        <w:tc>
          <w:tcPr>
            <w:tcW w:type="dxa" w:w="1440"/>
            <w:shd w:fill="FFDCE0" w:val="clear"/>
          </w:tcPr>
          <w:p>
            <w:r>
              <w:rPr>
                <w:sz w:val="17"/>
              </w:rPr>
              <w:t>2,594</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1,820</w:t>
            </w:r>
          </w:p>
        </w:tc>
        <w:tc>
          <w:tcPr>
            <w:tcW w:type="dxa" w:w="1440"/>
            <w:shd w:fill="FFDCE0" w:val="clear"/>
          </w:tcPr>
          <w:p>
            <w:r>
              <w:rPr>
                <w:b/>
                <w:sz w:val="17"/>
              </w:rPr>
              <w:t>2,121</w:t>
            </w:r>
          </w:p>
        </w:tc>
        <w:tc>
          <w:tcPr>
            <w:tcW w:type="dxa" w:w="1440"/>
            <w:shd w:fill="FFDCE0" w:val="clear"/>
          </w:tcPr>
          <w:p>
            <w:r>
              <w:rPr>
                <w:sz w:val="17"/>
              </w:rPr>
              <w:t>2,421</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1,664</w:t>
            </w:r>
          </w:p>
        </w:tc>
        <w:tc>
          <w:tcPr>
            <w:tcW w:type="dxa" w:w="1440"/>
            <w:shd w:fill="FFDCE0" w:val="clear"/>
          </w:tcPr>
          <w:p>
            <w:r>
              <w:rPr>
                <w:b/>
                <w:sz w:val="17"/>
              </w:rPr>
              <w:t>1,962</w:t>
            </w:r>
          </w:p>
        </w:tc>
        <w:tc>
          <w:tcPr>
            <w:tcW w:type="dxa" w:w="1440"/>
            <w:shd w:fill="FFDCE0" w:val="clear"/>
          </w:tcPr>
          <w:p>
            <w:r>
              <w:rPr>
                <w:sz w:val="17"/>
              </w:rPr>
              <w:t>2,259</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1,523</w:t>
            </w:r>
          </w:p>
        </w:tc>
        <w:tc>
          <w:tcPr>
            <w:tcW w:type="dxa" w:w="1440"/>
            <w:shd w:fill="FFDCE0" w:val="clear"/>
          </w:tcPr>
          <w:p>
            <w:r>
              <w:rPr>
                <w:b/>
                <w:sz w:val="17"/>
              </w:rPr>
              <w:t>1,814</w:t>
            </w:r>
          </w:p>
        </w:tc>
        <w:tc>
          <w:tcPr>
            <w:tcW w:type="dxa" w:w="1440"/>
            <w:shd w:fill="FFDCE0" w:val="clear"/>
          </w:tcPr>
          <w:p>
            <w:r>
              <w:rPr>
                <w:sz w:val="17"/>
              </w:rPr>
              <w:t>2,106</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1,394</w:t>
            </w:r>
          </w:p>
        </w:tc>
        <w:tc>
          <w:tcPr>
            <w:tcW w:type="dxa" w:w="1440"/>
            <w:shd w:fill="FFDCE0" w:val="clear"/>
          </w:tcPr>
          <w:p>
            <w:r>
              <w:rPr>
                <w:b/>
                <w:sz w:val="17"/>
              </w:rPr>
              <w:t>1,678</w:t>
            </w:r>
          </w:p>
        </w:tc>
        <w:tc>
          <w:tcPr>
            <w:tcW w:type="dxa" w:w="1440"/>
            <w:shd w:fill="FFDCE0" w:val="clear"/>
          </w:tcPr>
          <w:p>
            <w:r>
              <w:rPr>
                <w:sz w:val="17"/>
              </w:rPr>
              <w:t>1,963</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71,74 milliards FCFA, un niveau significatif pour la BRVM qui positionne le titre parmi les valeurs moyennes de la cote. Le BPA est négatif à -406 FCFA, reflétant la perte nette de l'exercice 2025, ce qui rend le PER non pertinent à -9,0x ; les investisseurs paient donc actuellement pour une société déficitaire, ce qui constitue un signal d'alerte majeur. Le P/B de 4,16x indique que le marché valorise l'actif net comptable plus de quatre fois au-dessus de sa valeur, une prime exigeante qui traduit des anticipations de redressement probablement trop optimistes. L'EV/EBITDA de 11,0x se situe dans la fourchette haute des valeurs de la place, suggérant que la capacité opérationnelle est déjà largement intégrée dans le prix, malgré un EBE en contraction.</w:t>
      </w:r>
    </w:p>
    <w:p>
      <w:pPr>
        <w:spacing w:after="120" w:line="276" w:lineRule="auto" w:before="240"/>
      </w:pPr>
      <w:r>
        <w:rPr>
          <w:b/>
          <w:color w:val="003366"/>
          <w:sz w:val="24"/>
        </w:rPr>
        <w:t>**PARTIE 1 : ANALYSE DU COURS — STATISTIQUES ET ÉVOLUTION (100 derniers jours)**</w:t>
      </w:r>
    </w:p>
    <w:p>
      <w:pPr>
        <w:spacing w:after="120" w:line="276" w:lineRule="auto"/>
      </w:pPr>
      <w:r>
        <w:t>Le titre SCRC affiche une progression spectaculaire de +150,68% sur les 100 derniers jours, passant d'un plus bas de 1 460 FCFA à un plus haut de 3 920 FCFA, avant de clôturer à 3 660 FCFA, en léger repli de -0,95% sur la dernière séance. Cette tendance fortement haussière s'accompagne d'une moyenne de 2 759 FCFA et d'une médiane de 2 792 FCFA, dont la proximité indique une distribution relativement symétrique, confirmée par un skewness de -0,130. L'écart-type de 730 FCFA (CV=26,5%) révèle une dispersion importante des cours, tandis que le kurtosis de -1,390 (platykurtique) suggère une distribution aplatie avec peu de valeurs extrêmes, donc un risque de pics limité. La volatilité annualisée de 58,1% classe le titre dans la catégorie des valeurs à très forte volatilité, bien au-delà du seuil de 30% considéré comme élevé, ce qui implique un risque substantiel pour les investisseurs malgré la performance impressionnante.</w:t>
      </w:r>
    </w:p>
    <w:p>
      <w:pPr>
        <w:spacing w:after="120" w:line="276" w:lineRule="auto" w:before="240"/>
      </w:pPr>
      <w:r>
        <w:rPr>
          <w:b/>
          <w:color w:val="003366"/>
          <w:sz w:val="24"/>
        </w:rPr>
        <w:t>**PARTIE 2 : ANALYSE TECHNIQUE DÉTAILLÉE**</w:t>
      </w:r>
    </w:p>
    <w:p>
      <w:pPr>
        <w:spacing w:after="120" w:line="276" w:lineRule="auto"/>
      </w:pPr>
      <w:r>
        <w:t>Les moyennes mobiles MM20 (3 628,5 FCFA) et MM50 (3 405,4 FCFA) sont toutes deux inférieures au cours actuel de 3 660 FCFA, avec une MM20 au-dessus de la MM50, configuration typique d'une tendance haussière en place. Le signal d'achat généré par ce croisement est cohérent avec la dynamique positive du titre, bien que l'écart entre le cours et la MM20 commence à se resserrer, suggérant un possible essoufflement à court terme.</w:t>
      </w:r>
    </w:p>
    <w:p>
      <w:pPr>
        <w:spacing w:after="120" w:line="276" w:lineRule="auto"/>
      </w:pPr>
      <w:r>
        <w:t>Le cours se positionne entre les bornes de Bollinger (3 454,05 FCFA en bas et 3 802,95 FCFA en haut), plus près de la borne supérieure, indiquant une volatilité modérée avec une pression acheteuse encore présente. La décision neutre reflète l'absence de sortie des bandes, mais la proximité de la borne haute suggère que le titre pourrait tester des niveaux de résistance dans les prochaines séances.</w:t>
      </w:r>
    </w:p>
    <w:p>
      <w:pPr>
        <w:spacing w:after="120" w:line="276" w:lineRule="auto"/>
      </w:pPr>
      <w:r>
        <w:t>Le MACD affiche une valeur de 67,926 inférieure à son signal de 87,366, configuration baissière qui indique un ralentissement du momentum haussier. Cette divergence négative, bien que les deux lignes restent en territoire positif, signale une perte de vigueur de la tendance et justifie la décision de vente, suggérant une possible consolidation ou correction à venir.</w:t>
      </w:r>
    </w:p>
    <w:p>
      <w:pPr>
        <w:spacing w:after="120" w:line="276" w:lineRule="auto"/>
      </w:pPr>
      <w:r>
        <w:t>Le RSI de 58,462 se situe en zone neutre, sans signal de surachat ni de survente, indiquant que le titre dispose encore de marge avant d'atteindre des conditions extrêmes. Cette valeur reflète un équilibre entre acheteurs et vendeurs, sans pression directionnelle forte, cohérente avec la décision neutre.</w:t>
      </w:r>
    </w:p>
    <w:p>
      <w:pPr>
        <w:spacing w:after="120" w:line="276" w:lineRule="auto"/>
      </w:pPr>
      <w:r>
        <w:t>Le stochastique avec %K à 44,0 et %D à 47,454 montre que %K est passé sous %D, configuration baissière naissante, mais les deux lignes restent en zone neutre, indiquant une absence de signal directionnel clair. La décision neutre est justifiée par cette situation indécise, avec un risque de poursuite de la baisse si %K continue de s'éloigner sous %D.</w:t>
      </w:r>
    </w:p>
    <w:p>
      <w:pPr>
        <w:spacing w:after="120" w:line="276" w:lineRule="auto"/>
      </w:pPr>
      <w:r>
        <w:t>La conclusion technique est mitigée : la tendance de fond reste haussière portée par les moyennes mobiles, mais les indicateurs de momentum (MACD, stochastique) montrent des signes d'essoufflement. Le RSI neutre et les bandes de Bollinger sans sortie suggèrent une phase de consolidation probable, avec un biais légèrement négatif à court terme avant une possible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les données structurées officielles de la BRVM révèlent une situation financière très dégradée pour SCRC : le chiffre d'affaires s'établit à 80,569 milliards FCFA, en baisse de -7,6% par rapport à 2024, tandis que le résultat net est une perte massive de -7,954 milliards FCFA, contre un bénéfice de 2,474 milliards en 2024, soit une dégradation de 421%. La marge nette est négative à -9,87%, le ROE s'effondre à -46,13% et le ROA à -5,08%, traduisant une destruction de valeur significative. Le secteur entreprise révèle des tensions de trésorerie : le BFR est positif à 6,529 milliards FCFA, le délai fournisseurs est très élevé à 366 jours, et la durée de stockage atteint 361 jours, immobilisant le capital. L'endettement est critique avec un ratio d'endettement de 88,98% et des charges financières de 6,790 milliards FCFA, en hausse de 262%, qui absorbent l'essentiel de l'EBE de 14,846 milliards. Les rapports de 2025 confirment cette dégradation : le rapport du 31/12/2025 (analysé par DeepSeek le 19/05/2026) souligne le redressement spectaculaire du résultat net en 2025, mais les rapports du 30/09/2024 et du S1 2025 montrent une volatilité extrême des performances, avec une perte de -6,71 milliards au S1 2025. Le rapport du 31/12/2025 (analysé le 01/05/2026) précise que le bénéfice est artificiellement gonflé par des éléments non récurrents, le résultat opérationnel courant n'étant que de 209 millions FCFA. Les recommandations sources convergent vers une décision de vente, justifiée par l'érosion des capitaux propres (17,243 milliards FCFA) et le niveau critique d'endettement. Les perspectives 2026 restent préoccupantes, la société devant impérativement restructurer sa dette et améliorer ses marges opérationnelles pour éviter une défaillance financière.</w:t>
      </w:r>
    </w:p>
    <w:p>
      <w:pPr>
        <w:spacing w:after="120" w:line="276" w:lineRule="auto" w:before="240"/>
      </w:pPr>
      <w:r>
        <w:rPr>
          <w:b/>
          <w:color w:val="003366"/>
          <w:sz w:val="24"/>
        </w:rPr>
        <w:t>**PARTIE 4 : CONCLUSION D'INVESTISSEMENT**</w:t>
      </w:r>
    </w:p>
    <w:p>
      <w:pPr>
        <w:spacing w:after="120" w:line="276" w:lineRule="auto"/>
      </w:pPr>
      <w:r>
        <w:t>La synthèse des quatre analyses révèle une divergence profonde entre la performance boursière et les fondamentaux. La valorisation (Partie 0) est exigeante avec un P/B de 4,16x et un EV/EBITDA de 11,0x pour une société déficitaire, indiquant une surévaluation relative. Le comportement du cours (Partie 1) montre une hausse spectaculaire de +150,68% avec une volatilité très élevée de 58,1%, mais les statistiques (kurtosis platykurtique, skewness légèrement négatif) suggèrent une distribution sans extrêmes, donc un risque de retournement brutal. Les signaux techniques (Partie 2) sont mitigés : la tendance de fond reste haussière via les moyennes mobiles, mais le MACD et le stochastique indiquent un essoufflement du momentum, préfigurant une consolidation. Les fondamentaux (Partie 3) sont très préoccupants avec une perte nette de 7,95 milliards FCFA en 2025, un ROE de -46,13% et un endettement critique. Les prédictions IA pour les 10 prochains jours (de 3 386 à 2 478 FCFA) confirment cette analyse en projetant une correction sévère de -32% par rapport au cours actuel. Sur la base de cette convergence entre la faiblesse des fondamentaux, les signaux techniques d'essoufflement et les prédictions baissières, la recommandation finale est **VENTE FORTE**, avec un niveau de confiance Élevé, un risque global Élevé, et un horizon d'investissement optimal à court terme (moins de 3 mois) pour les investisseurs détenant le titre, tandis que les nouveaux investisseurs devraient éviter toute position à l'achat dans ce contexte de fragilité financière et de correction probable.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104.49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974 titres</w:t>
            </w:r>
          </w:p>
        </w:tc>
        <w:tc>
          <w:tcPr>
            <w:tcW w:type="dxa" w:w="2268"/>
            <w:shd w:fill="FFF2CC" w:val="clear"/>
          </w:tcPr>
          <w:p>
            <w:r>
              <w:rPr>
                <w:b/>
                <w:color w:val="503200"/>
                <w:sz w:val="16"/>
              </w:rPr>
              <w:t xml:space="preserve">Cours actuel : </w:t>
            </w:r>
            <w:r>
              <w:rPr>
                <w:color w:val="000000"/>
                <w:sz w:val="17"/>
              </w:rPr>
              <w:t>11,610 FCFA</w:t>
            </w:r>
          </w:p>
          <w:p>
            <w:r>
              <w:rPr>
                <w:b/>
                <w:color w:val="503200"/>
                <w:sz w:val="16"/>
              </w:rPr>
              <w:t xml:space="preserve">Var. 100 jours : </w:t>
            </w:r>
            <w:r>
              <w:rPr>
                <w:b/>
                <w:color w:val="007800"/>
                <w:sz w:val="17"/>
              </w:rPr>
              <w:t>+49.04%</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27.5/100 → Moyen</w:t>
      </w:r>
    </w:p>
    <w:p>
      <w:pPr>
        <w:spacing w:before="40" w:after="80"/>
      </w:pPr>
      <w:r>
        <w:rPr>
          <w:rFonts w:ascii="Courier New" w:hAnsi="Courier New"/>
          <w:color w:val="825A00"/>
          <w:sz w:val="18"/>
        </w:rPr>
        <w:t>█████░░░░░░░░░░░░░░░  27.5/100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18.99% (Élevée) — μ=10,240 FCFA, σ=1,944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β=0.3292 (Défensif) — Cov=0.000012, Var(idx)=0.000036, ρ=0.087,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974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10,992</w:t>
            </w:r>
          </w:p>
        </w:tc>
        <w:tc>
          <w:tcPr>
            <w:tcW w:type="dxa" w:w="1440"/>
            <w:shd w:fill="FFDCE0" w:val="clear"/>
          </w:tcPr>
          <w:p>
            <w:r>
              <w:rPr>
                <w:b/>
                <w:sz w:val="17"/>
              </w:rPr>
              <w:t>11,368</w:t>
            </w:r>
          </w:p>
        </w:tc>
        <w:tc>
          <w:tcPr>
            <w:tcW w:type="dxa" w:w="1440"/>
            <w:shd w:fill="FFDCE0" w:val="clear"/>
          </w:tcPr>
          <w:p>
            <w:r>
              <w:rPr>
                <w:sz w:val="17"/>
              </w:rPr>
              <w:t>11,744</w:t>
            </w:r>
          </w:p>
        </w:tc>
        <w:tc>
          <w:tcPr>
            <w:tcW w:type="dxa" w:w="1440"/>
            <w:shd w:fill="FFDCE0" w:val="clear"/>
          </w:tcPr>
          <w:p>
            <w:r>
              <w:rPr>
                <w:b/>
                <w:color w:val="C00000"/>
                <w:sz w:val="17"/>
              </w:rPr>
              <w:t>-2.1%</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10,735</w:t>
            </w:r>
          </w:p>
        </w:tc>
        <w:tc>
          <w:tcPr>
            <w:tcW w:type="dxa" w:w="1440"/>
            <w:shd w:fill="FFDCE0" w:val="clear"/>
          </w:tcPr>
          <w:p>
            <w:r>
              <w:rPr>
                <w:b/>
                <w:sz w:val="17"/>
              </w:rPr>
              <w:t>11,262</w:t>
            </w:r>
          </w:p>
        </w:tc>
        <w:tc>
          <w:tcPr>
            <w:tcW w:type="dxa" w:w="1440"/>
            <w:shd w:fill="FFDCE0" w:val="clear"/>
          </w:tcPr>
          <w:p>
            <w:r>
              <w:rPr>
                <w:sz w:val="17"/>
              </w:rPr>
              <w:t>11,789</w:t>
            </w:r>
          </w:p>
        </w:tc>
        <w:tc>
          <w:tcPr>
            <w:tcW w:type="dxa" w:w="1440"/>
            <w:shd w:fill="FFDCE0" w:val="clear"/>
          </w:tcPr>
          <w:p>
            <w:r>
              <w:rPr>
                <w:b/>
                <w:color w:val="C00000"/>
                <w:sz w:val="17"/>
              </w:rPr>
              <w:t>-3.0%</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10,521</w:t>
            </w:r>
          </w:p>
        </w:tc>
        <w:tc>
          <w:tcPr>
            <w:tcW w:type="dxa" w:w="1440"/>
            <w:shd w:fill="FFDCE0" w:val="clear"/>
          </w:tcPr>
          <w:p>
            <w:r>
              <w:rPr>
                <w:b/>
                <w:sz w:val="17"/>
              </w:rPr>
              <w:t>11,161</w:t>
            </w:r>
          </w:p>
        </w:tc>
        <w:tc>
          <w:tcPr>
            <w:tcW w:type="dxa" w:w="1440"/>
            <w:shd w:fill="FFDCE0" w:val="clear"/>
          </w:tcPr>
          <w:p>
            <w:r>
              <w:rPr>
                <w:sz w:val="17"/>
              </w:rPr>
              <w:t>11,801</w:t>
            </w:r>
          </w:p>
        </w:tc>
        <w:tc>
          <w:tcPr>
            <w:tcW w:type="dxa" w:w="1440"/>
            <w:shd w:fill="FFDCE0" w:val="clear"/>
          </w:tcPr>
          <w:p>
            <w:r>
              <w:rPr>
                <w:b/>
                <w:color w:val="C00000"/>
                <w:sz w:val="17"/>
              </w:rPr>
              <w:t>-3.9%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10,335</w:t>
            </w:r>
          </w:p>
        </w:tc>
        <w:tc>
          <w:tcPr>
            <w:tcW w:type="dxa" w:w="1440"/>
            <w:shd w:fill="FFDCE0" w:val="clear"/>
          </w:tcPr>
          <w:p>
            <w:r>
              <w:rPr>
                <w:b/>
                <w:sz w:val="17"/>
              </w:rPr>
              <w:t>11,067</w:t>
            </w:r>
          </w:p>
        </w:tc>
        <w:tc>
          <w:tcPr>
            <w:tcW w:type="dxa" w:w="1440"/>
            <w:shd w:fill="FFDCE0" w:val="clear"/>
          </w:tcPr>
          <w:p>
            <w:r>
              <w:rPr>
                <w:sz w:val="17"/>
              </w:rPr>
              <w:t>11,800</w:t>
            </w:r>
          </w:p>
        </w:tc>
        <w:tc>
          <w:tcPr>
            <w:tcW w:type="dxa" w:w="1440"/>
            <w:shd w:fill="FFDCE0" w:val="clear"/>
          </w:tcPr>
          <w:p>
            <w:r>
              <w:rPr>
                <w:b/>
                <w:color w:val="C00000"/>
                <w:sz w:val="17"/>
              </w:rPr>
              <w:t>-4.7%</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10,167</w:t>
            </w:r>
          </w:p>
        </w:tc>
        <w:tc>
          <w:tcPr>
            <w:tcW w:type="dxa" w:w="1440"/>
            <w:shd w:fill="FFDCE0" w:val="clear"/>
          </w:tcPr>
          <w:p>
            <w:r>
              <w:rPr>
                <w:b/>
                <w:sz w:val="17"/>
              </w:rPr>
              <w:t>10,980</w:t>
            </w:r>
          </w:p>
        </w:tc>
        <w:tc>
          <w:tcPr>
            <w:tcW w:type="dxa" w:w="1440"/>
            <w:shd w:fill="FFDCE0" w:val="clear"/>
          </w:tcPr>
          <w:p>
            <w:r>
              <w:rPr>
                <w:sz w:val="17"/>
              </w:rPr>
              <w:t>11,792</w:t>
            </w:r>
          </w:p>
        </w:tc>
        <w:tc>
          <w:tcPr>
            <w:tcW w:type="dxa" w:w="1440"/>
            <w:shd w:fill="FFDCE0" w:val="clear"/>
          </w:tcPr>
          <w:p>
            <w:r>
              <w:rPr>
                <w:b/>
                <w:color w:val="C00000"/>
                <w:sz w:val="17"/>
              </w:rPr>
              <w:t>-5.4%</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10,015</w:t>
            </w:r>
          </w:p>
        </w:tc>
        <w:tc>
          <w:tcPr>
            <w:tcW w:type="dxa" w:w="1440"/>
            <w:shd w:fill="FFDCE0" w:val="clear"/>
          </w:tcPr>
          <w:p>
            <w:r>
              <w:rPr>
                <w:b/>
                <w:sz w:val="17"/>
              </w:rPr>
              <w:t>10,899</w:t>
            </w:r>
          </w:p>
        </w:tc>
        <w:tc>
          <w:tcPr>
            <w:tcW w:type="dxa" w:w="1440"/>
            <w:shd w:fill="FFDCE0" w:val="clear"/>
          </w:tcPr>
          <w:p>
            <w:r>
              <w:rPr>
                <w:sz w:val="17"/>
              </w:rPr>
              <w:t>11,782</w:t>
            </w:r>
          </w:p>
        </w:tc>
        <w:tc>
          <w:tcPr>
            <w:tcW w:type="dxa" w:w="1440"/>
            <w:shd w:fill="FFDCE0" w:val="clear"/>
          </w:tcPr>
          <w:p>
            <w:r>
              <w:rPr>
                <w:b/>
                <w:color w:val="C00000"/>
                <w:sz w:val="17"/>
              </w:rPr>
              <w:t>-6.1%</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9,876</w:t>
            </w:r>
          </w:p>
        </w:tc>
        <w:tc>
          <w:tcPr>
            <w:tcW w:type="dxa" w:w="1440"/>
            <w:shd w:fill="FFDCE0" w:val="clear"/>
          </w:tcPr>
          <w:p>
            <w:r>
              <w:rPr>
                <w:b/>
                <w:sz w:val="17"/>
              </w:rPr>
              <w:t>10,824</w:t>
            </w:r>
          </w:p>
        </w:tc>
        <w:tc>
          <w:tcPr>
            <w:tcW w:type="dxa" w:w="1440"/>
            <w:shd w:fill="FFDCE0" w:val="clear"/>
          </w:tcPr>
          <w:p>
            <w:r>
              <w:rPr>
                <w:sz w:val="17"/>
              </w:rPr>
              <w:t>11,772</w:t>
            </w:r>
          </w:p>
        </w:tc>
        <w:tc>
          <w:tcPr>
            <w:tcW w:type="dxa" w:w="1440"/>
            <w:shd w:fill="FFDCE0" w:val="clear"/>
          </w:tcPr>
          <w:p>
            <w:r>
              <w:rPr>
                <w:b/>
                <w:color w:val="C00000"/>
                <w:sz w:val="17"/>
              </w:rPr>
              <w:t>-6.8%</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9,749</w:t>
            </w:r>
          </w:p>
        </w:tc>
        <w:tc>
          <w:tcPr>
            <w:tcW w:type="dxa" w:w="1440"/>
            <w:shd w:fill="FFDCE0" w:val="clear"/>
          </w:tcPr>
          <w:p>
            <w:r>
              <w:rPr>
                <w:b/>
                <w:sz w:val="17"/>
              </w:rPr>
              <w:t>10,756</w:t>
            </w:r>
          </w:p>
        </w:tc>
        <w:tc>
          <w:tcPr>
            <w:tcW w:type="dxa" w:w="1440"/>
            <w:shd w:fill="FFDCE0" w:val="clear"/>
          </w:tcPr>
          <w:p>
            <w:r>
              <w:rPr>
                <w:sz w:val="17"/>
              </w:rPr>
              <w:t>11,763</w:t>
            </w:r>
          </w:p>
        </w:tc>
        <w:tc>
          <w:tcPr>
            <w:tcW w:type="dxa" w:w="1440"/>
            <w:shd w:fill="FFDCE0" w:val="clear"/>
          </w:tcPr>
          <w:p>
            <w:r>
              <w:rPr>
                <w:b/>
                <w:color w:val="C00000"/>
                <w:sz w:val="17"/>
              </w:rPr>
              <w:t>-7.4%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9,632</w:t>
            </w:r>
          </w:p>
        </w:tc>
        <w:tc>
          <w:tcPr>
            <w:tcW w:type="dxa" w:w="1440"/>
            <w:shd w:fill="FFDCE0" w:val="clear"/>
          </w:tcPr>
          <w:p>
            <w:r>
              <w:rPr>
                <w:b/>
                <w:sz w:val="17"/>
              </w:rPr>
              <w:t>10,694</w:t>
            </w:r>
          </w:p>
        </w:tc>
        <w:tc>
          <w:tcPr>
            <w:tcW w:type="dxa" w:w="1440"/>
            <w:shd w:fill="FFDCE0" w:val="clear"/>
          </w:tcPr>
          <w:p>
            <w:r>
              <w:rPr>
                <w:sz w:val="17"/>
              </w:rPr>
              <w:t>11,756</w:t>
            </w:r>
          </w:p>
        </w:tc>
        <w:tc>
          <w:tcPr>
            <w:tcW w:type="dxa" w:w="1440"/>
            <w:shd w:fill="FFDCE0" w:val="clear"/>
          </w:tcPr>
          <w:p>
            <w:r>
              <w:rPr>
                <w:b/>
                <w:color w:val="C00000"/>
                <w:sz w:val="17"/>
              </w:rPr>
              <w:t>-7.9%</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9,526</w:t>
            </w:r>
          </w:p>
        </w:tc>
        <w:tc>
          <w:tcPr>
            <w:tcW w:type="dxa" w:w="1440"/>
            <w:shd w:fill="FFDCE0" w:val="clear"/>
          </w:tcPr>
          <w:p>
            <w:r>
              <w:rPr>
                <w:b/>
                <w:sz w:val="17"/>
              </w:rPr>
              <w:t>10,639</w:t>
            </w:r>
          </w:p>
        </w:tc>
        <w:tc>
          <w:tcPr>
            <w:tcW w:type="dxa" w:w="1440"/>
            <w:shd w:fill="FFDCE0" w:val="clear"/>
          </w:tcPr>
          <w:p>
            <w:r>
              <w:rPr>
                <w:sz w:val="17"/>
              </w:rPr>
              <w:t>11,753</w:t>
            </w:r>
          </w:p>
        </w:tc>
        <w:tc>
          <w:tcPr>
            <w:tcW w:type="dxa" w:w="1440"/>
            <w:shd w:fill="FFDCE0" w:val="clear"/>
          </w:tcPr>
          <w:p>
            <w:r>
              <w:rPr>
                <w:b/>
                <w:color w:val="C00000"/>
                <w:sz w:val="17"/>
              </w:rPr>
              <w:t>-8.4%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**Date : 14 août 2026 | Marché : BRVM (Côte d'Ivoire)**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104,49 milliards FCFA positionne la SDCC comme une valeur de taille moyenne sur la BRVM, reflétant son statut de quasi-monopole dans la distribution d'eau en Côte d'Ivoire. Le BPA de 518 FCFA par action indique que chaque titre a généré un bénéfice net de ce montant sur l'exercice 2025. Le PER de 22,4x est nettement supérieur à la moyenne historique de la BRVM (8-12x), ce qui suggère que les investisseurs anticipent une croissance future significative, mais expose également le titre à un risque de correction si ces attentes ne se matérialisent pas. Le P/B de 5,30x confirme cette prime boursière, le marché valorisant le titre plus de cinq fois sa valeur comptable, tandis que l'EV/EBITDA de 14,3x indique une valorisation élevée de la capacité opérationnelle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SDCC a enregistré une progression spectaculaire de +49,04%, passant d'un plus bas de 7 140 FCFA à un plus haut de 12 195 FCFA, avec un cours actuel de 11 610 FCFA. Cette tendance haussière marquée s'est toutefois stabilisée lors de la dernière séance (variation nulle à J-1). La moyenne du cours (10 240 FCFA) est inférieure à la médiane (11 152 FCFA), ce qui, combiné à un skewness négatif (-0,600), indique que le titre a passé la majorité de la période au-dessus de sa moyenne, avec des épisodes de baisse concentrés. L'écart-type de 1 954 FCFA (CV = 19,1%) témoigne d'une dispersion modérée, tandis que le kurtosis platykurtique (-1,391) suggère l'absence de mouvements extrêmes. La volatilité annualisée de 36,2% classe le titre dans la catégorie des valeurs à forte volatilité, ce qui implique un risque élevé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(11 610 FCFA) est inférieur à la MM20 (11 774 FCFA) et à la MM50 (11 842 FCFA), indiquant une dynamique baissière à court et moyen terme. La décision de Vente est justifiée par cette configuration où le prix évolue sous les moyennes clés, signalant un possible retournement de tendance après la forte hausse.</w:t>
      </w:r>
    </w:p>
    <w:p>
      <w:pPr>
        <w:spacing w:after="120" w:line="276" w:lineRule="auto"/>
      </w:pPr>
      <w:r>
        <w:t>**Bandes de Bollinger** : Le prix se situe à 11 610 FCFA, entre la borne inférieure (11 391 FCFA) et la borne supérieure (12 157 FCFA), proche de la zone médiane. La décision Neutre reflète une volatilité en contraction et une absence de signal directionnel fort, le marché semblant consolider les gains récents.</w:t>
      </w:r>
    </w:p>
    <w:p>
      <w:pPr>
        <w:spacing w:after="120" w:line="276" w:lineRule="auto"/>
      </w:pPr>
      <w:r>
        <w:t>**MACD** : La valeur négative du MACD (-14,972) par rapport au signal (18,229) confirme un momentum baissier. La décision de Vente est cohérente avec cette divergence négative, indiquant que la pression vendeuse domine actuellement malgré la tendance haussière de fond.</w:t>
      </w:r>
    </w:p>
    <w:p>
      <w:pPr>
        <w:spacing w:after="120" w:line="276" w:lineRule="auto"/>
      </w:pPr>
      <w:r>
        <w:t>**RSI** : À 44,501, le RSI se situe dans la zone neutre (30-70), sans signal de surachat ni de survente. Cette valeur suggère un équilibre relatif entre acheteurs et vendeurs, avec une légère orientation baissière, justifiant une position d'attente.</w:t>
      </w:r>
    </w:p>
    <w:p>
      <w:pPr>
        <w:spacing w:after="120" w:line="276" w:lineRule="auto"/>
      </w:pPr>
      <w:r>
        <w:t>**Stochastique** : Le %K (38,889) et le %D (38,58) sont proches et orientés à la baisse, sans croisement décisif. Cette configuration Neutre indique une absence de signal clair, le marché hésitant sur la direction à prendre.</w:t>
      </w:r>
    </w:p>
    <w:p>
      <w:pPr>
        <w:spacing w:after="120" w:line="276" w:lineRule="auto"/>
      </w:pPr>
      <w:r>
        <w:t>**Conclusion technique** : Les indicateurs techniques sont globalement mitigés, avec une prédominance de signaux de vente (MM, MACD) contre des indicateurs neutres (Bollinger, RSI, Stochastique). Cette divergence suggère une phase de consolidation après la forte hausse, avec un risque de correction à court terme si les moyennes mobiles ne sont pas rapidement reconquises.</w:t>
      </w:r>
    </w:p>
    <w:p>
      <w:pPr>
        <w:spacing w:after="120" w:line="276" w:lineRule="auto"/>
      </w:pPr>
      <w:r>
        <w:t>---</w:t>
      </w:r>
    </w:p>
    <w:p>
      <w:pPr>
        <w:spacing w:after="120" w:line="276" w:lineRule="auto"/>
      </w:pPr>
      <w:r>
        <w:t>### PARTIE 3 : ANALYSE FONDAMENTALE (SECTION CRITIQUE)</w:t>
      </w:r>
    </w:p>
    <w:p>
      <w:pPr>
        <w:spacing w:after="120" w:line="276" w:lineRule="auto"/>
      </w:pPr>
      <w:r>
        <w:t>**En 2025**, la SDCC a réalisé un chiffre d'affaires de 189,430 milliards FCFA, en croissance de +9,98% par rapport à 2024, avec un résultat net de 4,663 milliards FCFA (+31% vs 2024). Le ROE de 23,65% est excellent, démontrant une utilisation efficace des capitaux propres (19,716 milliards FCFA), tandis que le ROA de 0,99% reste faible, reflétant la lourdeur du bilan (472,672 milliards FCFA). La marge nette de 2,46% et la marge opérationnelle de 4,81% restent modestes, typiques du secteur de l'eau. **Le délai clients de 749 jours est extrêmement préoccupant**, représentant un risque majeur de trésorerie, avec un BFR de 104,748 milliards FCFA et une trésorerie nette négative de -61,710 milliards FCFA. Le rapport d'activité du S1 2025 (30/06/2025) confirme une stabilité du CA (-0,4%) mais un résultat net en baisse de -24%, tandis que le rapport T1 2025 montrait une croissance de +8% du CA. **Le rapport T1 2026 (publié en 2026) révèle une amélioration spectaculaire** : résultat net en hausse de +118% à 1,318 milliard FCFA, avec un résultat d'exploitation multiplié par 2,5, malgré un CA en léger repli de -2%. Le rapport annuel 2025 mentionne un dividende de 525 FCFA par action, offrant un rendement de 4,5% au cours actuel. La structure financière reste fragile avec une autonomie financière de seulement 4,17% et un endettement élevé (ratio d'endettement de 95,83%), mais la capacité de remboursement de 8,18 ans reste gérable. Les perspectives pour 2026 sont positives, portées par le nouveau contrat de délégation et la transformation digitale.</w:t>
      </w:r>
    </w:p>
    <w:p>
      <w:pPr>
        <w:spacing w:after="120" w:line="276" w:lineRule="auto"/>
      </w:pPr>
      <w:r>
        <w:t>---</w:t>
      </w:r>
    </w:p>
    <w:p>
      <w:pPr>
        <w:spacing w:after="120" w:line="276" w:lineRule="auto"/>
      </w:pPr>
      <w:r>
        <w:t>### PARTIE 4 : CONCLUSION D'INVESTISSEMENT</w:t>
      </w:r>
    </w:p>
    <w:p>
      <w:pPr>
        <w:spacing w:after="120" w:line="276" w:lineRule="auto"/>
      </w:pPr>
      <w:r>
        <w:t>La valorisation de la SDCC (PER 22,4x, P/B 5,30x, EV/EBITDA 14,3x) apparaît exigeante, intégrant des attentes de croissance qui devront se confirmer. Le comportement du cours sur 100 jours montre une forte dynamique haussière (+49%) mais avec une volatilité élevée (36,2%) et des statistiques indiquant une distribution atypique des rendements. Les signaux techniques sont partagés, avec une tendance baissière à court terme (MM, MACD) contre des indicateurs neutres, suggérant une phase de consolidation. Les fondamentaux sont contrastés : excellente rentabilité des capitaux propres (ROE 23,65%) et croissance du CA (+10%), mais fragilité de la trésorerie et délais clients préoccupants. Les prédictions IA indiquent une poursuite de la baisse sur les 10 prochains jours (de 11 368 à 10 980 FCFA), confirmant les signaux techniques baissiers. **Recommandation : CONSERVER** — la convergence entre les signaux techniques baissiers et les prédictions IA suggère une correction à court terme, mais les fondamentaux solides et le dividende attractif justifient le maintien en portefeuille. **Niveau de confiance : Moyen** | **Risque global : Élevé** (volatilité, endettement, délais clients) | **Horizon optimal : Moyen terme (3-12 mois)** — attendre un point d'entrée plus favorable autour de 10 500-11 000 FCFA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151.06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16,479 titres</w:t>
            </w:r>
          </w:p>
        </w:tc>
        <w:tc>
          <w:tcPr>
            <w:tcW w:type="dxa" w:w="2268"/>
            <w:shd w:fill="FFF2CC" w:val="clear"/>
          </w:tcPr>
          <w:p>
            <w:r>
              <w:rPr>
                <w:b/>
                <w:color w:val="503200"/>
                <w:sz w:val="16"/>
              </w:rPr>
              <w:t xml:space="preserve">Cours actuel : </w:t>
            </w:r>
            <w:r>
              <w:rPr>
                <w:color w:val="000000"/>
                <w:sz w:val="17"/>
              </w:rPr>
              <w:t>2,775 FCFA</w:t>
            </w:r>
          </w:p>
          <w:p>
            <w:r>
              <w:rPr>
                <w:b/>
                <w:color w:val="503200"/>
                <w:sz w:val="16"/>
              </w:rPr>
              <w:t xml:space="preserve">Var. 100 jours : </w:t>
            </w:r>
            <w:r>
              <w:rPr>
                <w:b/>
                <w:color w:val="007800"/>
                <w:sz w:val="17"/>
              </w:rPr>
              <w:t>+52.47%</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28.8/100 → Moyen</w:t>
      </w:r>
    </w:p>
    <w:p>
      <w:pPr>
        <w:spacing w:before="40" w:after="80"/>
      </w:pPr>
      <w:r>
        <w:rPr>
          <w:rFonts w:ascii="Courier New" w:hAnsi="Courier New"/>
          <w:color w:val="825A00"/>
          <w:sz w:val="18"/>
        </w:rPr>
        <w:t>█████░░░░░░░░░░░░░░░  28.8/100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17.18% (Élevée) — μ=2,145 FCFA, σ=369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β=-0.0417 (Contre-cyclique) — Cov=-0.000002, Var(idx)=0.000036, ρ=-0.008,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16,479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σ_j=3.17%/j (Modérée) — Vol. annualisée≈50.3%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2,554</w:t>
            </w:r>
          </w:p>
        </w:tc>
        <w:tc>
          <w:tcPr>
            <w:tcW w:type="dxa" w:w="1440"/>
            <w:shd w:fill="FAFAFA" w:val="clear"/>
          </w:tcPr>
          <w:p>
            <w:r>
              <w:rPr>
                <w:b/>
                <w:sz w:val="17"/>
              </w:rPr>
              <w:t>2,724</w:t>
            </w:r>
          </w:p>
        </w:tc>
        <w:tc>
          <w:tcPr>
            <w:tcW w:type="dxa" w:w="1440"/>
            <w:shd w:fill="FAFAFA" w:val="clear"/>
          </w:tcPr>
          <w:p>
            <w:r>
              <w:rPr>
                <w:sz w:val="17"/>
              </w:rPr>
              <w:t>2,895</w:t>
            </w:r>
          </w:p>
        </w:tc>
        <w:tc>
          <w:tcPr>
            <w:tcW w:type="dxa" w:w="1440"/>
            <w:shd w:fill="FAFAFA" w:val="clear"/>
          </w:tcPr>
          <w:p>
            <w:r>
              <w:rPr>
                <w:b/>
                <w:color w:val="C00000"/>
                <w:sz w:val="17"/>
              </w:rPr>
              <w:t>-1.8%</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2,448</w:t>
            </w:r>
          </w:p>
        </w:tc>
        <w:tc>
          <w:tcPr>
            <w:tcW w:type="dxa" w:w="1440"/>
            <w:shd w:fill="FFDCE0" w:val="clear"/>
          </w:tcPr>
          <w:p>
            <w:r>
              <w:rPr>
                <w:b/>
                <w:sz w:val="17"/>
              </w:rPr>
              <w:t>2,686</w:t>
            </w:r>
          </w:p>
        </w:tc>
        <w:tc>
          <w:tcPr>
            <w:tcW w:type="dxa" w:w="1440"/>
            <w:shd w:fill="FFDCE0" w:val="clear"/>
          </w:tcPr>
          <w:p>
            <w:r>
              <w:rPr>
                <w:sz w:val="17"/>
              </w:rPr>
              <w:t>2,923</w:t>
            </w:r>
          </w:p>
        </w:tc>
        <w:tc>
          <w:tcPr>
            <w:tcW w:type="dxa" w:w="1440"/>
            <w:shd w:fill="FFDCE0" w:val="clear"/>
          </w:tcPr>
          <w:p>
            <w:r>
              <w:rPr>
                <w:b/>
                <w:color w:val="C00000"/>
                <w:sz w:val="17"/>
              </w:rPr>
              <w:t>-3.2%</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2,369</w:t>
            </w:r>
          </w:p>
        </w:tc>
        <w:tc>
          <w:tcPr>
            <w:tcW w:type="dxa" w:w="1440"/>
            <w:shd w:fill="FFDCE0" w:val="clear"/>
          </w:tcPr>
          <w:p>
            <w:r>
              <w:rPr>
                <w:b/>
                <w:sz w:val="17"/>
              </w:rPr>
              <w:t>2,657</w:t>
            </w:r>
          </w:p>
        </w:tc>
        <w:tc>
          <w:tcPr>
            <w:tcW w:type="dxa" w:w="1440"/>
            <w:shd w:fill="FFDCE0" w:val="clear"/>
          </w:tcPr>
          <w:p>
            <w:r>
              <w:rPr>
                <w:sz w:val="17"/>
              </w:rPr>
              <w:t>2,945</w:t>
            </w:r>
          </w:p>
        </w:tc>
        <w:tc>
          <w:tcPr>
            <w:tcW w:type="dxa" w:w="1440"/>
            <w:shd w:fill="FFDCE0" w:val="clear"/>
          </w:tcPr>
          <w:p>
            <w:r>
              <w:rPr>
                <w:b/>
                <w:color w:val="C00000"/>
                <w:sz w:val="17"/>
              </w:rPr>
              <w:t>-4.3%</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2,304</w:t>
            </w:r>
          </w:p>
        </w:tc>
        <w:tc>
          <w:tcPr>
            <w:tcW w:type="dxa" w:w="1440"/>
            <w:shd w:fill="FFDCE0" w:val="clear"/>
          </w:tcPr>
          <w:p>
            <w:r>
              <w:rPr>
                <w:b/>
                <w:sz w:val="17"/>
              </w:rPr>
              <w:t>2,633</w:t>
            </w:r>
          </w:p>
        </w:tc>
        <w:tc>
          <w:tcPr>
            <w:tcW w:type="dxa" w:w="1440"/>
            <w:shd w:fill="FFDCE0" w:val="clear"/>
          </w:tcPr>
          <w:p>
            <w:r>
              <w:rPr>
                <w:sz w:val="17"/>
              </w:rPr>
              <w:t>2,963</w:t>
            </w:r>
          </w:p>
        </w:tc>
        <w:tc>
          <w:tcPr>
            <w:tcW w:type="dxa" w:w="1440"/>
            <w:shd w:fill="FFDCE0" w:val="clear"/>
          </w:tcPr>
          <w:p>
            <w:r>
              <w:rPr>
                <w:b/>
                <w:color w:val="C00000"/>
                <w:sz w:val="17"/>
              </w:rPr>
              <w:t>-5.1%</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2,247</w:t>
            </w:r>
          </w:p>
        </w:tc>
        <w:tc>
          <w:tcPr>
            <w:tcW w:type="dxa" w:w="1440"/>
            <w:shd w:fill="FFDCE0" w:val="clear"/>
          </w:tcPr>
          <w:p>
            <w:r>
              <w:rPr>
                <w:b/>
                <w:sz w:val="17"/>
              </w:rPr>
              <w:t>2,612</w:t>
            </w:r>
          </w:p>
        </w:tc>
        <w:tc>
          <w:tcPr>
            <w:tcW w:type="dxa" w:w="1440"/>
            <w:shd w:fill="FFDCE0" w:val="clear"/>
          </w:tcPr>
          <w:p>
            <w:r>
              <w:rPr>
                <w:sz w:val="17"/>
              </w:rPr>
              <w:t>2,978</w:t>
            </w:r>
          </w:p>
        </w:tc>
        <w:tc>
          <w:tcPr>
            <w:tcW w:type="dxa" w:w="1440"/>
            <w:shd w:fill="FFDCE0" w:val="clear"/>
          </w:tcPr>
          <w:p>
            <w:r>
              <w:rPr>
                <w:b/>
                <w:color w:val="C00000"/>
                <w:sz w:val="17"/>
              </w:rPr>
              <w:t>-5.9%</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2,196</w:t>
            </w:r>
          </w:p>
        </w:tc>
        <w:tc>
          <w:tcPr>
            <w:tcW w:type="dxa" w:w="1440"/>
            <w:shd w:fill="FFDCE0" w:val="clear"/>
          </w:tcPr>
          <w:p>
            <w:r>
              <w:rPr>
                <w:b/>
                <w:sz w:val="17"/>
              </w:rPr>
              <w:t>2,593</w:t>
            </w:r>
          </w:p>
        </w:tc>
        <w:tc>
          <w:tcPr>
            <w:tcW w:type="dxa" w:w="1440"/>
            <w:shd w:fill="FFDCE0" w:val="clear"/>
          </w:tcPr>
          <w:p>
            <w:r>
              <w:rPr>
                <w:sz w:val="17"/>
              </w:rPr>
              <w:t>2,991</w:t>
            </w:r>
          </w:p>
        </w:tc>
        <w:tc>
          <w:tcPr>
            <w:tcW w:type="dxa" w:w="1440"/>
            <w:shd w:fill="FFDCE0" w:val="clear"/>
          </w:tcPr>
          <w:p>
            <w:r>
              <w:rPr>
                <w:b/>
                <w:color w:val="C00000"/>
                <w:sz w:val="17"/>
              </w:rPr>
              <w:t>-6.6%</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2,149</w:t>
            </w:r>
          </w:p>
        </w:tc>
        <w:tc>
          <w:tcPr>
            <w:tcW w:type="dxa" w:w="1440"/>
            <w:shd w:fill="FFDCE0" w:val="clear"/>
          </w:tcPr>
          <w:p>
            <w:r>
              <w:rPr>
                <w:b/>
                <w:sz w:val="17"/>
              </w:rPr>
              <w:t>2,575</w:t>
            </w:r>
          </w:p>
        </w:tc>
        <w:tc>
          <w:tcPr>
            <w:tcW w:type="dxa" w:w="1440"/>
            <w:shd w:fill="FFDCE0" w:val="clear"/>
          </w:tcPr>
          <w:p>
            <w:r>
              <w:rPr>
                <w:sz w:val="17"/>
              </w:rPr>
              <w:t>3,001</w:t>
            </w:r>
          </w:p>
        </w:tc>
        <w:tc>
          <w:tcPr>
            <w:tcW w:type="dxa" w:w="1440"/>
            <w:shd w:fill="FFDCE0" w:val="clear"/>
          </w:tcPr>
          <w:p>
            <w:r>
              <w:rPr>
                <w:b/>
                <w:color w:val="C00000"/>
                <w:sz w:val="17"/>
              </w:rPr>
              <w:t>-7.2%</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2,105</w:t>
            </w:r>
          </w:p>
        </w:tc>
        <w:tc>
          <w:tcPr>
            <w:tcW w:type="dxa" w:w="1440"/>
            <w:shd w:fill="FFDCE0" w:val="clear"/>
          </w:tcPr>
          <w:p>
            <w:r>
              <w:rPr>
                <w:b/>
                <w:sz w:val="17"/>
              </w:rPr>
              <w:t>2,558</w:t>
            </w:r>
          </w:p>
        </w:tc>
        <w:tc>
          <w:tcPr>
            <w:tcW w:type="dxa" w:w="1440"/>
            <w:shd w:fill="FFDCE0" w:val="clear"/>
          </w:tcPr>
          <w:p>
            <w:r>
              <w:rPr>
                <w:sz w:val="17"/>
              </w:rPr>
              <w:t>3,010</w:t>
            </w:r>
          </w:p>
        </w:tc>
        <w:tc>
          <w:tcPr>
            <w:tcW w:type="dxa" w:w="1440"/>
            <w:shd w:fill="FFDCE0" w:val="clear"/>
          </w:tcPr>
          <w:p>
            <w:r>
              <w:rPr>
                <w:b/>
                <w:color w:val="C00000"/>
                <w:sz w:val="17"/>
              </w:rPr>
              <w:t>-7.8%</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2,064</w:t>
            </w:r>
          </w:p>
        </w:tc>
        <w:tc>
          <w:tcPr>
            <w:tcW w:type="dxa" w:w="1440"/>
            <w:shd w:fill="FFDCE0" w:val="clear"/>
          </w:tcPr>
          <w:p>
            <w:r>
              <w:rPr>
                <w:b/>
                <w:sz w:val="17"/>
              </w:rPr>
              <w:t>2,541</w:t>
            </w:r>
          </w:p>
        </w:tc>
        <w:tc>
          <w:tcPr>
            <w:tcW w:type="dxa" w:w="1440"/>
            <w:shd w:fill="FFDCE0" w:val="clear"/>
          </w:tcPr>
          <w:p>
            <w:r>
              <w:rPr>
                <w:sz w:val="17"/>
              </w:rPr>
              <w:t>3,018</w:t>
            </w:r>
          </w:p>
        </w:tc>
        <w:tc>
          <w:tcPr>
            <w:tcW w:type="dxa" w:w="1440"/>
            <w:shd w:fill="FFDCE0" w:val="clear"/>
          </w:tcPr>
          <w:p>
            <w:r>
              <w:rPr>
                <w:b/>
                <w:color w:val="C00000"/>
                <w:sz w:val="17"/>
              </w:rPr>
              <w:t>-8.4%</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2,025</w:t>
            </w:r>
          </w:p>
        </w:tc>
        <w:tc>
          <w:tcPr>
            <w:tcW w:type="dxa" w:w="1440"/>
            <w:shd w:fill="FFDCE0" w:val="clear"/>
          </w:tcPr>
          <w:p>
            <w:r>
              <w:rPr>
                <w:b/>
                <w:sz w:val="17"/>
              </w:rPr>
              <w:t>2,525</w:t>
            </w:r>
          </w:p>
        </w:tc>
        <w:tc>
          <w:tcPr>
            <w:tcW w:type="dxa" w:w="1440"/>
            <w:shd w:fill="FFDCE0" w:val="clear"/>
          </w:tcPr>
          <w:p>
            <w:r>
              <w:rPr>
                <w:sz w:val="17"/>
              </w:rPr>
              <w:t>3,024</w:t>
            </w:r>
          </w:p>
        </w:tc>
        <w:tc>
          <w:tcPr>
            <w:tcW w:type="dxa" w:w="1440"/>
            <w:shd w:fill="FFDCE0" w:val="clear"/>
          </w:tcPr>
          <w:p>
            <w:r>
              <w:rPr>
                <w:b/>
                <w:color w:val="C00000"/>
                <w:sz w:val="17"/>
              </w:rPr>
              <w:t>-9.0%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151,06 milliards FCFA, ce qui en fait une valeur moyenne sur la BRVM, représentative d'un acteur logistique majeur en Côte d'Ivoire. Avec un BPA de 387 FCFA, le titre se négocie à un PER de 7,2x, inférieur à la moyenne historique de la place (~8-12x), signalant une sous-évaluation relative du bénéfice net. Le P/B de 1,94x indique que le marché valorise la société à près de deux fois ses capitaux propres, un niveau jugé raisonnable. En revanche, l'EV/EBITDA de 32,6x est particulièrement exigeant, suggérant que la valeur d'entreprise intègre une capacité opérationnelle (EBITDA) faible par rapport à la dette et à la capitalisation. Cette divergence entre un PER attractif et un EV/EBITDA élevé reflète une base d'EBITDA étroite, à surveiller.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+52,47%, passant d'un plus bas de 1 650 FCFA à un plus haut de 2 820 FCFA, avec une légère correction de -0,72% lors de la dernière séance à 2 775 FCFA. La moyenne du cours sur la période (2 145 FCFA) est supérieure à la médiane (1 992 FCFA), indiquant une distribution asymétrique positive (skewness de 0,418), où les fortes hausses récentes tirent la moyenne vers le haut. L'écart-type de 370 FCFA (CV = 17,3%) montre une dispersion modérée, tandis que le kurtosis négatif (-1,304) révèle une distribution platykurtique, avec peu de valeurs extrêmes, réduisant le risque de pics soudains. La volatilité annualisée de 50,3% classe le titre comme très volatil (&gt;30%), reflétant un momentum haussier soutenu mais risqué.</w:t>
      </w:r>
    </w:p>
    <w:p>
      <w:pPr>
        <w:spacing w:after="120" w:line="276" w:lineRule="auto" w:before="240"/>
      </w:pPr>
      <w:r>
        <w:rPr>
          <w:b/>
          <w:color w:val="003366"/>
          <w:sz w:val="24"/>
        </w:rPr>
        <w:t>**PARTIE 2 : ANALYSE TECHNIQUE DÉTAILLÉE**</w:t>
      </w:r>
    </w:p>
    <w:p>
      <w:pPr>
        <w:spacing w:after="120" w:line="276" w:lineRule="auto"/>
      </w:pPr>
      <w:r>
        <w:t>**Moyennes Mobiles** : Le cours actuel (2 775 FCFA) se situe nettement au-dessus de la MM20 (2 685,75 FCFA) et de la MM50 (2 462,6 FCFA), confirmant une tendance haussière solide. L'écart positif entre les deux moyennes (MM20 &gt; MM50) valide la dynamique, justifiant la décision d'achat.</w:t>
      </w:r>
    </w:p>
    <w:p>
      <w:pPr>
        <w:spacing w:after="120" w:line="276" w:lineRule="auto"/>
      </w:pPr>
      <w:r>
        <w:t>**Bandes de Bollinger** : Le prix évolue sous la borne supérieure (2 912,24 FCFA) et au-dessus de la borne inférieure (2 459,26 FCFA), indiquant une volatilité normale sans surachat extrême. La position proche de la borne haute suggère une pression acheteuse, mais la décision neutre reflète une absence de cassure décisive.</w:t>
      </w:r>
    </w:p>
    <w:p>
      <w:pPr>
        <w:spacing w:after="120" w:line="276" w:lineRule="auto"/>
      </w:pPr>
      <w:r>
        <w:t>**MACD** : La valeur du MACD (68,676) est légèrement inférieure à son signal (70,274), signalant un momentum baissier à court terme. Cette divergence négative, bien que modérée, indique un essoufflement possible de la tendance haussière, justifiant la décision de vente.</w:t>
      </w:r>
    </w:p>
    <w:p>
      <w:pPr>
        <w:spacing w:after="120" w:line="276" w:lineRule="auto"/>
      </w:pPr>
      <w:r>
        <w:t>**RSI** : À 50,679, le RSI est en zone neutre (30-70), montrant un équilibre entre acheteurs et vendeurs. Cette valeur suggère que le titre n'est ni suracheté ni survendu, laissant place à une poursuite ou une consolidation, d'où la décision neutre.</w:t>
      </w:r>
    </w:p>
    <w:p>
      <w:pPr>
        <w:spacing w:after="120" w:line="276" w:lineRule="auto"/>
      </w:pPr>
      <w:r>
        <w:t>**Stochastique** : Le %K (95,455) et le %D (95,272) sont tous deux en zone de surachat (&gt;80), avec un croisement baissant potentiel. Cette configuration indique un épuisement haussier imminent, justifiant la décision de vente.</w:t>
      </w:r>
    </w:p>
    <w:p>
      <w:pPr>
        <w:spacing w:after="120" w:line="276" w:lineRule="auto"/>
      </w:pPr>
      <w:r>
        <w:t>**Conclusion technique** : Les signaux sont mitigés : les moyennes mobiles soutiennent une tendance haussière, mais le MACD et le stochastique alertent sur un essoufflement, tandis que le RSI et les bandes restent neutres. La prudence est de mise à court terme.</w:t>
      </w:r>
    </w:p>
    <w:p>
      <w:pPr>
        <w:spacing w:after="120" w:line="276" w:lineRule="auto" w:before="240"/>
      </w:pPr>
      <w:r>
        <w:rPr>
          <w:b/>
          <w:color w:val="003366"/>
          <w:sz w:val="24"/>
        </w:rPr>
        <w:t>**PARTIE 3 : ANALYSE FONDAMENTALE (SECTION CRITIQUE)**</w:t>
      </w:r>
    </w:p>
    <w:p>
      <w:pPr>
        <w:spacing w:after="120" w:line="276" w:lineRule="auto"/>
      </w:pPr>
      <w:r>
        <w:t>En 2024, SDSC a réalisé un chiffre d'affaires de 85,643 milliards FCFA (+3,65% vs 2023), avec un résultat net de 21,069 milliards FCFA (marge nette de 24,6%) et un ROE excellent de 27,08%, soutenu par un ROA de 11,2%. Cependant, la structure financière révèle des fragilités : le délai clients de 466,94 jours est très élevé, exposant à un risque de trésorerie, tandis que le BFR de 17,874 milliards (positif) et la liquidité générale de 132,8% restent acceptables. Les rapports trimestriels 2025 montrent une dégradation marquée : au S1 2025, le résultat net était négatif (-427 millions), et au T3 2025, il chutait de 77% à 4,341 milliards, affecté par la baisse des dividendes des filiales. Pour l'exercice 2025, on estime que le CA atteint 92,004 milliards (+7,4%), mais le résultat net s'effondre à 784,97 millions (marge nette de 0,85%), avec un résultat d'exploitation déficitaire (-2,271 milliards). La trésorerie nette reste solide (74,78 milliards), mais la rentabilité opérationnelle est sous pression, nécessitant une vigilance sur la restauration des marges.</w:t>
      </w:r>
    </w:p>
    <w:p>
      <w:pPr>
        <w:spacing w:after="120" w:line="276" w:lineRule="auto" w:before="240"/>
      </w:pPr>
      <w:r>
        <w:rPr>
          <w:b/>
          <w:color w:val="003366"/>
          <w:sz w:val="24"/>
        </w:rPr>
        <w:t>**PARTIE 4 : CONCLUSION D'INVESTISSEMENT**</w:t>
      </w:r>
    </w:p>
    <w:p>
      <w:pPr>
        <w:spacing w:after="120" w:line="276" w:lineRule="auto"/>
      </w:pPr>
      <w:r>
        <w:t>La valorisation de SDSC est contrastée : un PER de 7,2x suggère une sous-évaluation, mais l'EV/EBITDA de 32,6x et le P/B de 1,94x tempèrent cet optimisme. Le comportement du cours sur 100 jours est très favorable (+52,47%), avec une volatilité élevée (50,3%) et une distribution asymétrique positive, mais les statistiques (kurtosis platykurtique) indiquent un risque de correction. Les signaux techniques sont divergents : les moyennes mobiles sont haussières, tandis que le MACD et le stochastique signalent un essoufflement, et le RSI reste neutre. Fondamentalement, la solidité du bilan (capitaux propres de 77,8 milliards, trésorerie de 21,2 milliards) contraste avec la chute de la rentabilité en 2025 (marge nette de 0,85%). Les prédictions IA (J+1 à J+10) montrent une baisse progressive de 2 724 à 2 612 FCFA, confirmant les signaux techniques baissiers. En synthèse, je recommande **CONSERVER** avec un niveau de confiance **Moyen** et un risque global **Élevé**. L'horizon optimal est le **moyen terme (3-12 mois)**, en attendant une amélioration des marges opérationnelles et une clarification de la politique de dividende.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37.53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5,044 titres</w:t>
            </w:r>
          </w:p>
        </w:tc>
        <w:tc>
          <w:tcPr>
            <w:tcW w:type="dxa" w:w="2268"/>
            <w:shd w:fill="FFF2CC" w:val="clear"/>
          </w:tcPr>
          <w:p>
            <w:r>
              <w:rPr>
                <w:b/>
                <w:color w:val="503200"/>
                <w:sz w:val="16"/>
              </w:rPr>
              <w:t xml:space="preserve">Cours actuel : </w:t>
            </w:r>
            <w:r>
              <w:rPr>
                <w:color w:val="000000"/>
                <w:sz w:val="17"/>
              </w:rPr>
              <w:t>1,490 FCFA</w:t>
            </w:r>
          </w:p>
          <w:p>
            <w:r>
              <w:rPr>
                <w:b/>
                <w:color w:val="503200"/>
                <w:sz w:val="16"/>
              </w:rPr>
              <w:t xml:space="preserve">Var. 100 jours : </w:t>
            </w:r>
            <w:r>
              <w:rPr>
                <w:b/>
                <w:color w:val="B40000"/>
                <w:sz w:val="17"/>
              </w:rPr>
              <w:t>-24.56%</w:t>
            </w:r>
          </w:p>
          <w:p>
            <w:r>
              <w:rPr>
                <w:b/>
                <w:color w:val="503200"/>
                <w:sz w:val="16"/>
              </w:rPr>
              <w:t xml:space="preserve">Plus haut 100j : </w:t>
            </w:r>
            <w:r>
              <w:rPr>
                <w:color w:val="000000"/>
                <w:sz w:val="17"/>
              </w:rPr>
              <w:t>2,265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12.28% (Moyenne) — μ=1,614 FCFA, σ=198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β=0.7983 (Défensif) — Cov=0.000029, Var(idx)=0.000036, ρ=0.149,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σ_j=3.23%/j (Modérée) — Vol. annualisée≈51.2%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1,380</w:t>
            </w:r>
          </w:p>
        </w:tc>
        <w:tc>
          <w:tcPr>
            <w:tcW w:type="dxa" w:w="1440"/>
            <w:shd w:fill="FFDCE0" w:val="clear"/>
          </w:tcPr>
          <w:p>
            <w:r>
              <w:rPr>
                <w:b/>
                <w:sz w:val="17"/>
              </w:rPr>
              <w:t>1,450</w:t>
            </w:r>
          </w:p>
        </w:tc>
        <w:tc>
          <w:tcPr>
            <w:tcW w:type="dxa" w:w="1440"/>
            <w:shd w:fill="FFDCE0" w:val="clear"/>
          </w:tcPr>
          <w:p>
            <w:r>
              <w:rPr>
                <w:sz w:val="17"/>
              </w:rPr>
              <w:t>1,519</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1,342</w:t>
            </w:r>
          </w:p>
        </w:tc>
        <w:tc>
          <w:tcPr>
            <w:tcW w:type="dxa" w:w="1440"/>
            <w:shd w:fill="FFDCE0" w:val="clear"/>
          </w:tcPr>
          <w:p>
            <w:r>
              <w:rPr>
                <w:b/>
                <w:sz w:val="17"/>
              </w:rPr>
              <w:t>1,440</w:t>
            </w:r>
          </w:p>
        </w:tc>
        <w:tc>
          <w:tcPr>
            <w:tcW w:type="dxa" w:w="1440"/>
            <w:shd w:fill="FFDCE0" w:val="clear"/>
          </w:tcPr>
          <w:p>
            <w:r>
              <w:rPr>
                <w:sz w:val="17"/>
              </w:rPr>
              <w:t>1,538</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1,309</w:t>
            </w:r>
          </w:p>
        </w:tc>
        <w:tc>
          <w:tcPr>
            <w:tcW w:type="dxa" w:w="1440"/>
            <w:shd w:fill="FFDCE0" w:val="clear"/>
          </w:tcPr>
          <w:p>
            <w:r>
              <w:rPr>
                <w:b/>
                <w:sz w:val="17"/>
              </w:rPr>
              <w:t>1,427</w:t>
            </w:r>
          </w:p>
        </w:tc>
        <w:tc>
          <w:tcPr>
            <w:tcW w:type="dxa" w:w="1440"/>
            <w:shd w:fill="FFDCE0" w:val="clear"/>
          </w:tcPr>
          <w:p>
            <w:r>
              <w:rPr>
                <w:sz w:val="17"/>
              </w:rPr>
              <w:t>1,545</w:t>
            </w:r>
          </w:p>
        </w:tc>
        <w:tc>
          <w:tcPr>
            <w:tcW w:type="dxa" w:w="1440"/>
            <w:shd w:fill="FFDCE0" w:val="clear"/>
          </w:tcPr>
          <w:p>
            <w:r>
              <w:rPr>
                <w:b/>
                <w:color w:val="C00000"/>
                <w:sz w:val="17"/>
              </w:rPr>
              <w:t>-4.2%</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1,278</w:t>
            </w:r>
          </w:p>
        </w:tc>
        <w:tc>
          <w:tcPr>
            <w:tcW w:type="dxa" w:w="1440"/>
            <w:shd w:fill="FFDCE0" w:val="clear"/>
          </w:tcPr>
          <w:p>
            <w:r>
              <w:rPr>
                <w:b/>
                <w:sz w:val="17"/>
              </w:rPr>
              <w:t>1,413</w:t>
            </w:r>
          </w:p>
        </w:tc>
        <w:tc>
          <w:tcPr>
            <w:tcW w:type="dxa" w:w="1440"/>
            <w:shd w:fill="FFDCE0" w:val="clear"/>
          </w:tcPr>
          <w:p>
            <w:r>
              <w:rPr>
                <w:sz w:val="17"/>
              </w:rPr>
              <w:t>1,549</w:t>
            </w:r>
          </w:p>
        </w:tc>
        <w:tc>
          <w:tcPr>
            <w:tcW w:type="dxa" w:w="1440"/>
            <w:shd w:fill="FFDCE0" w:val="clear"/>
          </w:tcPr>
          <w:p>
            <w:r>
              <w:rPr>
                <w:b/>
                <w:color w:val="C00000"/>
                <w:sz w:val="17"/>
              </w:rPr>
              <w:t>-5.2%</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1,250</w:t>
            </w:r>
          </w:p>
        </w:tc>
        <w:tc>
          <w:tcPr>
            <w:tcW w:type="dxa" w:w="1440"/>
            <w:shd w:fill="FFDCE0" w:val="clear"/>
          </w:tcPr>
          <w:p>
            <w:r>
              <w:rPr>
                <w:b/>
                <w:sz w:val="17"/>
              </w:rPr>
              <w:t>1,399</w:t>
            </w:r>
          </w:p>
        </w:tc>
        <w:tc>
          <w:tcPr>
            <w:tcW w:type="dxa" w:w="1440"/>
            <w:shd w:fill="FFDCE0" w:val="clear"/>
          </w:tcPr>
          <w:p>
            <w:r>
              <w:rPr>
                <w:sz w:val="17"/>
              </w:rPr>
              <w:t>1,549</w:t>
            </w:r>
          </w:p>
        </w:tc>
        <w:tc>
          <w:tcPr>
            <w:tcW w:type="dxa" w:w="1440"/>
            <w:shd w:fill="FFDCE0" w:val="clear"/>
          </w:tcPr>
          <w:p>
            <w:r>
              <w:rPr>
                <w:b/>
                <w:color w:val="C00000"/>
                <w:sz w:val="17"/>
              </w:rPr>
              <w:t>-6.1%</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1,223</w:t>
            </w:r>
          </w:p>
        </w:tc>
        <w:tc>
          <w:tcPr>
            <w:tcW w:type="dxa" w:w="1440"/>
            <w:shd w:fill="FFDCE0" w:val="clear"/>
          </w:tcPr>
          <w:p>
            <w:r>
              <w:rPr>
                <w:b/>
                <w:sz w:val="17"/>
              </w:rPr>
              <w:t>1,386</w:t>
            </w:r>
          </w:p>
        </w:tc>
        <w:tc>
          <w:tcPr>
            <w:tcW w:type="dxa" w:w="1440"/>
            <w:shd w:fill="FFDCE0" w:val="clear"/>
          </w:tcPr>
          <w:p>
            <w:r>
              <w:rPr>
                <w:sz w:val="17"/>
              </w:rPr>
              <w:t>1,549</w:t>
            </w:r>
          </w:p>
        </w:tc>
        <w:tc>
          <w:tcPr>
            <w:tcW w:type="dxa" w:w="1440"/>
            <w:shd w:fill="FFDCE0" w:val="clear"/>
          </w:tcPr>
          <w:p>
            <w:r>
              <w:rPr>
                <w:b/>
                <w:color w:val="C00000"/>
                <w:sz w:val="17"/>
              </w:rPr>
              <w:t>-7.0%</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1,199</w:t>
            </w:r>
          </w:p>
        </w:tc>
        <w:tc>
          <w:tcPr>
            <w:tcW w:type="dxa" w:w="1440"/>
            <w:shd w:fill="FFDCE0" w:val="clear"/>
          </w:tcPr>
          <w:p>
            <w:r>
              <w:rPr>
                <w:b/>
                <w:sz w:val="17"/>
              </w:rPr>
              <w:t>1,373</w:t>
            </w:r>
          </w:p>
        </w:tc>
        <w:tc>
          <w:tcPr>
            <w:tcW w:type="dxa" w:w="1440"/>
            <w:shd w:fill="FFDCE0" w:val="clear"/>
          </w:tcPr>
          <w:p>
            <w:r>
              <w:rPr>
                <w:sz w:val="17"/>
              </w:rPr>
              <w:t>1,547</w:t>
            </w:r>
          </w:p>
        </w:tc>
        <w:tc>
          <w:tcPr>
            <w:tcW w:type="dxa" w:w="1440"/>
            <w:shd w:fill="FFDCE0" w:val="clear"/>
          </w:tcPr>
          <w:p>
            <w:r>
              <w:rPr>
                <w:b/>
                <w:color w:val="C00000"/>
                <w:sz w:val="17"/>
              </w:rPr>
              <w:t>-7.9%</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1,176</w:t>
            </w:r>
          </w:p>
        </w:tc>
        <w:tc>
          <w:tcPr>
            <w:tcW w:type="dxa" w:w="1440"/>
            <w:shd w:fill="FFDCE0" w:val="clear"/>
          </w:tcPr>
          <w:p>
            <w:r>
              <w:rPr>
                <w:b/>
                <w:sz w:val="17"/>
              </w:rPr>
              <w:t>1,360</w:t>
            </w:r>
          </w:p>
        </w:tc>
        <w:tc>
          <w:tcPr>
            <w:tcW w:type="dxa" w:w="1440"/>
            <w:shd w:fill="FFDCE0" w:val="clear"/>
          </w:tcPr>
          <w:p>
            <w:r>
              <w:rPr>
                <w:sz w:val="17"/>
              </w:rPr>
              <w:t>1,544</w:t>
            </w:r>
          </w:p>
        </w:tc>
        <w:tc>
          <w:tcPr>
            <w:tcW w:type="dxa" w:w="1440"/>
            <w:shd w:fill="FFDCE0" w:val="clear"/>
          </w:tcPr>
          <w:p>
            <w:r>
              <w:rPr>
                <w:b/>
                <w:color w:val="C00000"/>
                <w:sz w:val="17"/>
              </w:rPr>
              <w:t>-8.7%</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1,154</w:t>
            </w:r>
          </w:p>
        </w:tc>
        <w:tc>
          <w:tcPr>
            <w:tcW w:type="dxa" w:w="1440"/>
            <w:shd w:fill="FFDCE0" w:val="clear"/>
          </w:tcPr>
          <w:p>
            <w:r>
              <w:rPr>
                <w:b/>
                <w:sz w:val="17"/>
              </w:rPr>
              <w:t>1,347</w:t>
            </w:r>
          </w:p>
        </w:tc>
        <w:tc>
          <w:tcPr>
            <w:tcW w:type="dxa" w:w="1440"/>
            <w:shd w:fill="FFDCE0" w:val="clear"/>
          </w:tcPr>
          <w:p>
            <w:r>
              <w:rPr>
                <w:sz w:val="17"/>
              </w:rPr>
              <w:t>1,541</w:t>
            </w:r>
          </w:p>
        </w:tc>
        <w:tc>
          <w:tcPr>
            <w:tcW w:type="dxa" w:w="1440"/>
            <w:shd w:fill="FFDCE0" w:val="clear"/>
          </w:tcPr>
          <w:p>
            <w:r>
              <w:rPr>
                <w:b/>
                <w:color w:val="C00000"/>
                <w:sz w:val="17"/>
              </w:rPr>
              <w:t>-9.6%</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1,133</w:t>
            </w:r>
          </w:p>
        </w:tc>
        <w:tc>
          <w:tcPr>
            <w:tcW w:type="dxa" w:w="1440"/>
            <w:shd w:fill="FFDCE0" w:val="clear"/>
          </w:tcPr>
          <w:p>
            <w:r>
              <w:rPr>
                <w:b/>
                <w:sz w:val="17"/>
              </w:rPr>
              <w:t>1,335</w:t>
            </w:r>
          </w:p>
        </w:tc>
        <w:tc>
          <w:tcPr>
            <w:tcW w:type="dxa" w:w="1440"/>
            <w:shd w:fill="FFDCE0" w:val="clear"/>
          </w:tcPr>
          <w:p>
            <w:r>
              <w:rPr>
                <w:sz w:val="17"/>
              </w:rPr>
              <w:t>1,537</w:t>
            </w:r>
          </w:p>
        </w:tc>
        <w:tc>
          <w:tcPr>
            <w:tcW w:type="dxa" w:w="1440"/>
            <w:shd w:fill="FFDCE0" w:val="clear"/>
          </w:tcPr>
          <w:p>
            <w:r>
              <w:rPr>
                <w:b/>
                <w:color w:val="C00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Absolument. Voici un rapport d'analyse structuré et professionnel pour l'action SEMC,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37,53 milliards FCFA, ce qui la positionne comme une valeur de taille moyenne sur la BRVM. Ce niveau de valorisation est relativement modeste, reflétant les défis récents de l'entreprise. Cependant, les ratios de valorisation clés (BPA, PER, P/B, EV/EBITDA) ne sont pas calculables en raison de l'absence de données financières structurées et récentes dans la base de données. Cette absence s'explique par l'ancienneté des rapports financiers disponibles (le dernier datant de fin 2024) et la suspension de la cote, qui limite la diffusion d'informations financières standardisées. Par conséquent, il est impossible de déterminer si le marché valorise la société au-dessus ou en dessous de sa valeur comptable ou de ses bénéfices, ce qui constitue une limite majeure pour une évaluation comparative. L'investisseur doit donc se baser sur les données fondamentales historiques et les perspectives narratives pour estimer la attractivité du cours actuel.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SEMC a subi une dépréciation significative de -24,56%, avec une légère baisse de -0,33% lors de la dernière séance, s'échangeant à 1 490 FCFA. Le titre a évolué dans une fourchette large, entre un plus bas de 1 350 FCFA et un plus haut de 2 265 FCFA, illustrant une forte amplitude de trading. La tendance générale est clairement baissière. Les statistiques descriptives confirment cette faiblesse : la moyenne (1 614 FCFA) est supérieure à la médiane (1 542 FCFA), indiquant une asymétrie positive (skewness de 1.396) où les fortes baisses ont tiré le cours vers le bas. L'écart-type de 199 FCFA (CV=12,3%) montre une dispersion modérée, mais le kurtosis élevé (1.023) signale un risque de mouvements extrêmes. La volatilité annualisée de 51,2% est très élevée, classant SEMC comme un actif à haut risque, sujet à de fortes fluctuations de prix.</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(1 490 FCFA) est inférieur à la MM20 (1 478,5 FCFA) et à la MM50 (1 510,3 FCFA). La position sous les deux moyennes clés confirme la dynamique baissière à court et moyen terme. La MM20 étant sous la MM50, la configuration est baissière, justifiant la décision de **Vente**.</w:t>
      </w:r>
    </w:p>
    <w:p>
      <w:pPr>
        <w:spacing w:after="120" w:line="276" w:lineRule="auto"/>
      </w:pPr>
      <w:r>
        <w:t>**Bandes de Bollinger** : Le prix se situe à 1 490 FCFA, à l'intérieur des bandes (borne supérieure à 1 546,5 FCFA et inférieure à 1 410,4 FCFA). La position médiane dans les bandes indique une absence de signal directionnel fort. La largeur des bandes, liée à la volatilité élevée, est importante. La décision est **Neutre**, le marché cherchant une direction.</w:t>
      </w:r>
    </w:p>
    <w:p>
      <w:pPr>
        <w:spacing w:after="120" w:line="276" w:lineRule="auto"/>
      </w:pPr>
      <w:r>
        <w:t>**MACD** : La valeur du MACD (-1.695) est supérieure à sa ligne de signal (-5.857), ce qui constitue un croisement haussier. Bien que les deux valeurs soient en territoire négatif, ce croisement signale un affaiblissement de la dynamique baissière et un potentiel de retournement à court terme. La décision est **Achat**.</w:t>
      </w:r>
    </w:p>
    <w:p>
      <w:pPr>
        <w:spacing w:after="120" w:line="276" w:lineRule="auto"/>
      </w:pPr>
      <w:r>
        <w:t>**RSI** : Avec une valeur de 45,9, le RSI se situe en zone neutre (entre 30 et 70). Il n'est ni suracheté ni survendu, indiquant un équilibre relatif entre les forces acheteuses et vendeuses. Le RSI ne fournit pas de signal directionnel fort, d'où une décision **Neutre**.</w:t>
      </w:r>
    </w:p>
    <w:p>
      <w:pPr>
        <w:spacing w:after="120" w:line="276" w:lineRule="auto"/>
      </w:pPr>
      <w:r>
        <w:t>**Stochastique** : Le %K (68,4) est inférieur au %D (73,7), ce qui suggère un croisement baissier potentiel. Les deux lignes sont en zone de surachat (&gt;70), ce qui pourrait indiquer un essoufflement de la récente tentative de rebond. La décision est **Neutre**, avec une vigilance sur un possible retournement baissier.</w:t>
      </w:r>
    </w:p>
    <w:p>
      <w:pPr>
        <w:spacing w:after="120" w:line="276" w:lineRule="auto"/>
      </w:pPr>
      <w:r>
        <w:t>**Conclusion technique** : Les signaux techniques sont mitigés. La tendance de fond reste baissière (moyennes mobiles), mais des signaux de retournement apparaissent à court terme (MACD). Le RSI et le Stochastique sont neutres, ne confirmant pas une reprise franche. L'action est dans une phase de consolidation après une forte baisse, avec un biais négatif prédominant.</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de la base sont indisponibles, mais les rapports narratifs fournissent des informations cruciales. Le rapport de l'exercice 2023 (daté du 31/12/2024) indique un **chiffre d'affaires de 27,88 milliards FCFA**, en baisse de 6% par rapport à 2022, et un **résultat net de 1,01 milliard FCFA**, en chute de 74% (marge nette de 3,6%). Cette dégradation est due à la perte de clients clés et à la concurrence des emballages alternatifs. En revanche, un autre rapport pour l'exercice 2022 (daté du 31/12/2022) présente des chiffres radicalement différents, avec un **CA consolidé de 125,4 milliards FCFA** et un **résultat net de 12,8 milliards FCFA**, suggérant une croissance de 13,8%. Cette divergence majeure entre les rapports (27,88 Mds vs 125,4 Mds) est préoccupante et pourrait résulter d'un périmètre de consolidation différent (société mère vs consolidé) ou d'une erreur de données. Sur la base du rapport T1 2023 (daté du 31/12/2023), qui montrait une hausse de 16,5% du CA et de 37,9% du résultat net, on estime que l'exercice 2023 aurait dû être en croissance. Cependant, les résultats annuels publiés contredisent cette tendance, montrant une forte baisse. La société a été rachetée par Sonoco Products Company (finalisé en décembre 2024), ce qui pourrait expliquer une restructuration et des changements de périmètre. La recommandation fondamentale est **CONSERVER avec vigilance**, car la situation est confuse et les perspectives de rebond (objectif CA +18% en 2024) sont incertaines.</w:t>
      </w:r>
    </w:p>
    <w:p>
      <w:pPr>
        <w:spacing w:after="120" w:line="276" w:lineRule="auto"/>
      </w:pPr>
      <w:r>
        <w:t>---</w:t>
      </w:r>
    </w:p>
    <w:p>
      <w:pPr>
        <w:spacing w:after="120" w:line="276" w:lineRule="auto"/>
      </w:pPr>
      <w:r>
        <w:t>### **PARTIE 4 : CONCLUSION D'INVESTISSEMENT**</w:t>
      </w:r>
    </w:p>
    <w:p>
      <w:pPr>
        <w:spacing w:after="120" w:line="276" w:lineRule="auto"/>
      </w:pPr>
      <w:r>
        <w:t>La valorisation de SEMC est impossible à déterminer avec précision faute de ratios fiables, mais la capitalisation boursière de 37,5 Mds FCFA semble faible au vu des chiffres d'affaires historiques, suggérant une possible sous-évaluation si les résultats consolidés de 125 Mds FCFA sont exacts. Le comportement du cours est préoccupant avec une tendance baissière marquée (-24,56%) et une volatilité extrêmement élevée (51,2%), indiquant un risque majeur. Les signaux techniques sont mitigés, avec une tendance de fond baissière mais des signes de stabilisation à court terme (MACD). Les fondamentaux sont très incertains, avec des rapports financiers contradictoires et une rentabilité en chute libre en 2023. Les prédictions IA pour les 10 prochains jours (1450 à 1399 FCFA) confirment la poursuite de la tendance baissière, contredisant les signaux techniques de retournement. En synthèse, la convergence des signaux est négative : la tendance du cours, les prédictions IA et les fondamentaux récents (baisse du CA et du résultat) pointent vers une faiblesse persistante. La recommandation finale est **VENTE**, avec un niveau de confiance **Moyen** et un risque global **Élevé**. L'horizon d'investissement optimal est le **court terme (&lt;3 mois)** pour les investisseurs cherchant à limiter leurs pertes, en attendant une clarification de la situation financière et stratégique de l'entreprise sous l'égide de son nouveau propriétaire.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4,508 titres</w:t>
            </w:r>
          </w:p>
        </w:tc>
        <w:tc>
          <w:tcPr>
            <w:tcW w:type="dxa" w:w="2268"/>
            <w:shd w:fill="FFF2CC" w:val="clear"/>
          </w:tcPr>
          <w:p>
            <w:r>
              <w:rPr>
                <w:b/>
                <w:color w:val="503200"/>
                <w:sz w:val="16"/>
              </w:rPr>
              <w:t xml:space="preserve">Cours actuel : </w:t>
            </w:r>
            <w:r>
              <w:rPr>
                <w:color w:val="000000"/>
                <w:sz w:val="17"/>
              </w:rPr>
              <w:t>39,000 FCFA</w:t>
            </w:r>
          </w:p>
          <w:p>
            <w:r>
              <w:rPr>
                <w:b/>
                <w:color w:val="503200"/>
                <w:sz w:val="16"/>
              </w:rPr>
              <w:t xml:space="preserve">Var. 100 jours : </w:t>
            </w:r>
            <w:r>
              <w:rPr>
                <w:b/>
                <w:color w:val="007800"/>
                <w:sz w:val="17"/>
              </w:rPr>
              <w:t>+8.33%</w:t>
            </w:r>
          </w:p>
          <w:p>
            <w:r>
              <w:rPr>
                <w:b/>
                <w:color w:val="503200"/>
                <w:sz w:val="16"/>
              </w:rPr>
              <w:t xml:space="preserve">Plus haut 100j : </w:t>
            </w:r>
            <w:r>
              <w:rPr>
                <w:color w:val="000000"/>
                <w:sz w:val="17"/>
              </w:rPr>
              <w:t>39,200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23.1%</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5.70% (Moyenne) — μ=36,690 FCFA, σ=2,093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β=0.5969 (Défensif) — Cov=0.000022, Var(idx)=0.000036, ρ=0.247,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4,508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σ_j=1.45%/j (Stable) — Vol. annualisée≈23.1%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37,601</w:t>
            </w:r>
          </w:p>
        </w:tc>
        <w:tc>
          <w:tcPr>
            <w:tcW w:type="dxa" w:w="1440"/>
            <w:shd w:fill="FAFAFA" w:val="clear"/>
          </w:tcPr>
          <w:p>
            <w:r>
              <w:rPr>
                <w:b/>
                <w:sz w:val="17"/>
              </w:rPr>
              <w:t>38,475</w:t>
            </w:r>
          </w:p>
        </w:tc>
        <w:tc>
          <w:tcPr>
            <w:tcW w:type="dxa" w:w="1440"/>
            <w:shd w:fill="FAFAFA" w:val="clear"/>
          </w:tcPr>
          <w:p>
            <w:r>
              <w:rPr>
                <w:sz w:val="17"/>
              </w:rPr>
              <w:t>39,349</w:t>
            </w:r>
          </w:p>
        </w:tc>
        <w:tc>
          <w:tcPr>
            <w:tcW w:type="dxa" w:w="1440"/>
            <w:shd w:fill="FAFAFA" w:val="clear"/>
          </w:tcPr>
          <w:p>
            <w:r>
              <w:rPr>
                <w:b/>
                <w:color w:val="C00000"/>
                <w:sz w:val="17"/>
              </w:rPr>
              <w:t>-1.3%</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37,146</w:t>
            </w:r>
          </w:p>
        </w:tc>
        <w:tc>
          <w:tcPr>
            <w:tcW w:type="dxa" w:w="1440"/>
            <w:shd w:fill="FAFAFA" w:val="clear"/>
          </w:tcPr>
          <w:p>
            <w:r>
              <w:rPr>
                <w:b/>
                <w:sz w:val="17"/>
              </w:rPr>
              <w:t>38,379</w:t>
            </w:r>
          </w:p>
        </w:tc>
        <w:tc>
          <w:tcPr>
            <w:tcW w:type="dxa" w:w="1440"/>
            <w:shd w:fill="FAFAFA" w:val="clear"/>
          </w:tcPr>
          <w:p>
            <w:r>
              <w:rPr>
                <w:sz w:val="17"/>
              </w:rPr>
              <w:t>39,612</w:t>
            </w:r>
          </w:p>
        </w:tc>
        <w:tc>
          <w:tcPr>
            <w:tcW w:type="dxa" w:w="1440"/>
            <w:shd w:fill="FAFAFA" w:val="clear"/>
          </w:tcPr>
          <w:p>
            <w:r>
              <w:rPr>
                <w:b/>
                <w:color w:val="C00000"/>
                <w:sz w:val="17"/>
              </w:rPr>
              <w:t>-1.6%</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36,768</w:t>
            </w:r>
          </w:p>
        </w:tc>
        <w:tc>
          <w:tcPr>
            <w:tcW w:type="dxa" w:w="1440"/>
            <w:shd w:fill="FAFAFA" w:val="clear"/>
          </w:tcPr>
          <w:p>
            <w:r>
              <w:rPr>
                <w:b/>
                <w:sz w:val="17"/>
              </w:rPr>
              <w:t>38,274</w:t>
            </w:r>
          </w:p>
        </w:tc>
        <w:tc>
          <w:tcPr>
            <w:tcW w:type="dxa" w:w="1440"/>
            <w:shd w:fill="FAFAFA" w:val="clear"/>
          </w:tcPr>
          <w:p>
            <w:r>
              <w:rPr>
                <w:sz w:val="17"/>
              </w:rPr>
              <w:t>39,780</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36,441</w:t>
            </w:r>
          </w:p>
        </w:tc>
        <w:tc>
          <w:tcPr>
            <w:tcW w:type="dxa" w:w="1440"/>
            <w:shd w:fill="FFDCE0" w:val="clear"/>
          </w:tcPr>
          <w:p>
            <w:r>
              <w:rPr>
                <w:b/>
                <w:sz w:val="17"/>
              </w:rPr>
              <w:t>38,176</w:t>
            </w:r>
          </w:p>
        </w:tc>
        <w:tc>
          <w:tcPr>
            <w:tcW w:type="dxa" w:w="1440"/>
            <w:shd w:fill="FFDCE0" w:val="clear"/>
          </w:tcPr>
          <w:p>
            <w:r>
              <w:rPr>
                <w:sz w:val="17"/>
              </w:rPr>
              <w:t>39,910</w:t>
            </w:r>
          </w:p>
        </w:tc>
        <w:tc>
          <w:tcPr>
            <w:tcW w:type="dxa" w:w="1440"/>
            <w:shd w:fill="FFDCE0" w:val="clear"/>
          </w:tcPr>
          <w:p>
            <w:r>
              <w:rPr>
                <w:b/>
                <w:color w:val="C00000"/>
                <w:sz w:val="17"/>
              </w:rPr>
              <w:t>-2.1%</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36,150</w:t>
            </w:r>
          </w:p>
        </w:tc>
        <w:tc>
          <w:tcPr>
            <w:tcW w:type="dxa" w:w="1440"/>
            <w:shd w:fill="FFDCE0" w:val="clear"/>
          </w:tcPr>
          <w:p>
            <w:r>
              <w:rPr>
                <w:b/>
                <w:sz w:val="17"/>
              </w:rPr>
              <w:t>38,084</w:t>
            </w:r>
          </w:p>
        </w:tc>
        <w:tc>
          <w:tcPr>
            <w:tcW w:type="dxa" w:w="1440"/>
            <w:shd w:fill="FFDCE0" w:val="clear"/>
          </w:tcPr>
          <w:p>
            <w:r>
              <w:rPr>
                <w:sz w:val="17"/>
              </w:rPr>
              <w:t>40,019</w:t>
            </w:r>
          </w:p>
        </w:tc>
        <w:tc>
          <w:tcPr>
            <w:tcW w:type="dxa" w:w="1440"/>
            <w:shd w:fill="FFDCE0" w:val="clear"/>
          </w:tcPr>
          <w:p>
            <w:r>
              <w:rPr>
                <w:b/>
                <w:color w:val="C00000"/>
                <w:sz w:val="17"/>
              </w:rPr>
              <w:t>-2.3%</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35,883</w:t>
            </w:r>
          </w:p>
        </w:tc>
        <w:tc>
          <w:tcPr>
            <w:tcW w:type="dxa" w:w="1440"/>
            <w:shd w:fill="FFDCE0" w:val="clear"/>
          </w:tcPr>
          <w:p>
            <w:r>
              <w:rPr>
                <w:b/>
                <w:sz w:val="17"/>
              </w:rPr>
              <w:t>37,998</w:t>
            </w:r>
          </w:p>
        </w:tc>
        <w:tc>
          <w:tcPr>
            <w:tcW w:type="dxa" w:w="1440"/>
            <w:shd w:fill="FFDCE0" w:val="clear"/>
          </w:tcPr>
          <w:p>
            <w:r>
              <w:rPr>
                <w:sz w:val="17"/>
              </w:rPr>
              <w:t>40,112</w:t>
            </w:r>
          </w:p>
        </w:tc>
        <w:tc>
          <w:tcPr>
            <w:tcW w:type="dxa" w:w="1440"/>
            <w:shd w:fill="FFDCE0" w:val="clear"/>
          </w:tcPr>
          <w:p>
            <w:r>
              <w:rPr>
                <w:b/>
                <w:color w:val="C00000"/>
                <w:sz w:val="17"/>
              </w:rPr>
              <w:t>-2.6%</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35,635</w:t>
            </w:r>
          </w:p>
        </w:tc>
        <w:tc>
          <w:tcPr>
            <w:tcW w:type="dxa" w:w="1440"/>
            <w:shd w:fill="FFDCE0" w:val="clear"/>
          </w:tcPr>
          <w:p>
            <w:r>
              <w:rPr>
                <w:b/>
                <w:sz w:val="17"/>
              </w:rPr>
              <w:t>37,914</w:t>
            </w:r>
          </w:p>
        </w:tc>
        <w:tc>
          <w:tcPr>
            <w:tcW w:type="dxa" w:w="1440"/>
            <w:shd w:fill="FFDCE0" w:val="clear"/>
          </w:tcPr>
          <w:p>
            <w:r>
              <w:rPr>
                <w:sz w:val="17"/>
              </w:rPr>
              <w:t>40,193</w:t>
            </w:r>
          </w:p>
        </w:tc>
        <w:tc>
          <w:tcPr>
            <w:tcW w:type="dxa" w:w="1440"/>
            <w:shd w:fill="FFDCE0" w:val="clear"/>
          </w:tcPr>
          <w:p>
            <w:r>
              <w:rPr>
                <w:b/>
                <w:color w:val="C00000"/>
                <w:sz w:val="17"/>
              </w:rPr>
              <w:t>-2.8%</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35,402</w:t>
            </w:r>
          </w:p>
        </w:tc>
        <w:tc>
          <w:tcPr>
            <w:tcW w:type="dxa" w:w="1440"/>
            <w:shd w:fill="FFDCE0" w:val="clear"/>
          </w:tcPr>
          <w:p>
            <w:r>
              <w:rPr>
                <w:b/>
                <w:sz w:val="17"/>
              </w:rPr>
              <w:t>37,833</w:t>
            </w:r>
          </w:p>
        </w:tc>
        <w:tc>
          <w:tcPr>
            <w:tcW w:type="dxa" w:w="1440"/>
            <w:shd w:fill="FFDCE0" w:val="clear"/>
          </w:tcPr>
          <w:p>
            <w:r>
              <w:rPr>
                <w:sz w:val="17"/>
              </w:rPr>
              <w:t>40,263</w:t>
            </w:r>
          </w:p>
        </w:tc>
        <w:tc>
          <w:tcPr>
            <w:tcW w:type="dxa" w:w="1440"/>
            <w:shd w:fill="FFDCE0" w:val="clear"/>
          </w:tcPr>
          <w:p>
            <w:r>
              <w:rPr>
                <w:b/>
                <w:color w:val="C00000"/>
                <w:sz w:val="17"/>
              </w:rPr>
              <w:t>-3.0%</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35,180</w:t>
            </w:r>
          </w:p>
        </w:tc>
        <w:tc>
          <w:tcPr>
            <w:tcW w:type="dxa" w:w="1440"/>
            <w:shd w:fill="FFDCE0" w:val="clear"/>
          </w:tcPr>
          <w:p>
            <w:r>
              <w:rPr>
                <w:b/>
                <w:sz w:val="17"/>
              </w:rPr>
              <w:t>37,753</w:t>
            </w:r>
          </w:p>
        </w:tc>
        <w:tc>
          <w:tcPr>
            <w:tcW w:type="dxa" w:w="1440"/>
            <w:shd w:fill="FFDCE0" w:val="clear"/>
          </w:tcPr>
          <w:p>
            <w:r>
              <w:rPr>
                <w:sz w:val="17"/>
              </w:rPr>
              <w:t>40,326</w:t>
            </w:r>
          </w:p>
        </w:tc>
        <w:tc>
          <w:tcPr>
            <w:tcW w:type="dxa" w:w="1440"/>
            <w:shd w:fill="FFDCE0" w:val="clear"/>
          </w:tcPr>
          <w:p>
            <w:r>
              <w:rPr>
                <w:b/>
                <w:color w:val="C00000"/>
                <w:sz w:val="17"/>
              </w:rPr>
              <w:t>-3.2%</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34,969</w:t>
            </w:r>
          </w:p>
        </w:tc>
        <w:tc>
          <w:tcPr>
            <w:tcW w:type="dxa" w:w="1440"/>
            <w:shd w:fill="FFDCE0" w:val="clear"/>
          </w:tcPr>
          <w:p>
            <w:r>
              <w:rPr>
                <w:b/>
                <w:sz w:val="17"/>
              </w:rPr>
              <w:t>37,676</w:t>
            </w:r>
          </w:p>
        </w:tc>
        <w:tc>
          <w:tcPr>
            <w:tcW w:type="dxa" w:w="1440"/>
            <w:shd w:fill="FFDCE0" w:val="clear"/>
          </w:tcPr>
          <w:p>
            <w:r>
              <w:rPr>
                <w:sz w:val="17"/>
              </w:rPr>
              <w:t>40,382</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**Date de l'analyse : 14 août 2026**</w:t>
        <w:br/>
        <w:t>**Cours de référence : 39 000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SGBC s'établit à 1 213,33 milliards FCFA, un niveau qui en fait l'une des toutes premières capitalisations de la BRVM, représentant un poids considérable dans l'indice composite. Avec un BPA de 3 258 FCFA, le titre se négocie à un PER de 12,0x, ce qui est légèrement supérieur à la moyenne historique du marché (~8-12x), indiquant que les investisseurs acceptent de payer une prime raisonnable pour la qualité de l'actif. Le P/B de 2,45x confirme cette prime, le marché valorisant la banque à près de 2,5 fois sa valeur comptable, ce qui témoigne d'une forte confiance dans sa capacité à générer de la croissance. En revanche, l'EV/EBITDA de 24,7x est très exigeant, suggérant que la valeur totale de l'entreprise (dette incluse) est élevée par rapport à sa capacité opérationnelle brute, un point de vigilance pour les investisseurs à long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SGBC affiche une progression solide de +8,33%, bien que la dernière séance ait clôturé en léger repli de -0,51% à 39 000 FCFA. Le titre a évolué dans une fourchette de 32 800 FCFA (plus bas) à 39 200 FCFA (plus haut), démontrant une tendance haussière soutenue sur la période. La moyenne du cours (36 690 FCFA) est inférieure à la médiane (37 300 FCFA), ce qui, combiné à un skewness négatif (-0,380), indique une distribution légèrement asymétrique avec des épisodes de baisse plus marqués que les hausses, bien que la tendance globale reste positive. L'écart-type de 2 103 FCFA (CV = 5,7%) révèle une dispersion modérée des prix autour de la moyenne. Le kurtosis négatif (-1,328) signale une distribution platykurtique, c'est-à-dire une faible concentration des extrêmes, réduisant le risque de mouvements violents. Enfin, la volatilité annualisée de 23,1% classe le titre dans une zone de volatilité modérée (15-30%), offrant un équilibre entre potentiel de rendement et stabilité relative.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(39 000 FCFA) se positionne au-dessus de la MM20 (38 231,75 FCFA) mais en dessous de la MM50 (38 539,3 FCFA). Cette configuration, où le prix est inférieur à la MM50, génère un signal de vente, indiquant que la tendance de fond pourrait perdre de la vigueur malgré le rebond récent. La proximité du cours avec ces moyennes suggère une phase de consolidation.</w:t>
      </w:r>
    </w:p>
    <w:p>
      <w:pPr>
        <w:spacing w:after="120" w:line="276" w:lineRule="auto"/>
      </w:pPr>
      <w:r>
        <w:t>**Bandes de Bollinger** : Le prix se situe près de la borne supérieure (39 106,24 FCFA) et nettement au-dessus de la borne inférieure (37 357,26 FCFA). La position du cours en haut des bandes reflète une pression acheteuse récente, mais la décision est neutre, car le titre n'a pas encore franchi la borne supérieure, ce qui pourrait indiquer une résistance à ce niveau.</w:t>
      </w:r>
    </w:p>
    <w:p>
      <w:pPr>
        <w:spacing w:after="120" w:line="276" w:lineRule="auto"/>
      </w:pPr>
      <w:r>
        <w:t>**MACD** : La valeur du MACD (176,872) est nettement supérieure à sa ligne de signal (60,59), ce qui constitue un signal d'achat fort. Cette divergence positive indique un momentum haussier en cours, suggérant que la dynamique de prix pourrait se poursuivre à court terme.</w:t>
      </w:r>
    </w:p>
    <w:p>
      <w:pPr>
        <w:spacing w:after="120" w:line="276" w:lineRule="auto"/>
      </w:pPr>
      <w:r>
        <w:t>**RSI** : Avec une valeur de 67,182, le RSI se situe en zone neutre, mais proche du seuil de surachat (70). Cela indique que le titre est fortement sollicité par les acheteurs, mais qu'il n'est pas encore en situation de surachat extrême. La décision est neutre, mais une attention particulière est requise pour un éventuel retournement.</w:t>
      </w:r>
    </w:p>
    <w:p>
      <w:pPr>
        <w:spacing w:after="120" w:line="276" w:lineRule="auto"/>
      </w:pPr>
      <w:r>
        <w:t>**Stochastique** : Le %K (84,556) est supérieur au %D (79,479), mais les deux sont en zone de surachat (&gt;80). Cette configuration génère un signal de vente, suggérant que le titre pourrait être temporairement surévalué à court terme et qu'une correction technique est possible.</w:t>
      </w:r>
    </w:p>
    <w:p>
      <w:pPr>
        <w:spacing w:after="120" w:line="276" w:lineRule="auto"/>
      </w:pPr>
      <w:r>
        <w:t>**Conclusion technique** : Les indicateurs sont mitigés. Le MACD et la position du cours par rapport aux bandes de Bollinger soutiennent une dynamique haussière, tandis que les moyennes mobiles et le stochastique en zone de surachat suggèrent une possible consolidation ou correction. Le RSI neutre ne tranche pas clairement. Globalement, le titre semble en phase de test de résistance, avec un biais haussier à court terme mais des risques de repli technique.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la SGBC affiche un Produit Net Bancaire (PNB) de 276,048 milliards FCFA, en croissance de +4,88%, et un résultat net de 101,352 milliards FCFA. La banque démontre une excellente efficacité opérationnelle avec un coefficient d'exploitation de 38,75%, bien en dessous du seuil de 60% considéré comme sain. La rentabilité est remarquable : le ROE s'établit à 20,47% et le ROA à 2,69%, confirmant une gestion performante des fonds propres et des actifs. Le coût du risque, estimé à environ 7,8% des charges financières, reste contenu, témoignant d'une bonne qualité du portefeuille de crédits. Le bilan est solide avec des dépôts clients de 2 907,675 milliards FCFA contre des créances clients de 2 546,290 milliards FCFA, soit un ratio de transformation de 87,6%, indiquant une gestion prudente de la liquidité. Les rapports trimestriels 2025 confirment cette trajectoire : le T1 2025 (PNB de 66,3 Mds, +1,3%) et le S1 2025 (PNB de 132,0 Mds, +1,0%) montrent une croissance modérée du PNB, mais le résultat net progresse plus fortement (+2,2% au T1, +10,0% au S1) grâce à une maîtrise des coûts. Le cumul 9 mois 2025 (PNB de 201,0 Mds, +2,5% ; RN de 83,3 Mds, +11,7%) confirme cette tendance. Sur la base de ces données, on estime que l'exercice 2025 devrait clôturer avec un résultat net légèrement supérieur à 100 milliards FCFA, porté par une amélioration continue de l'efficience. La notation AAA (rehaussée en 2024) et un ratio de solvabilité de 17,7% (S1 2025) renforcent la solidité financière de l'établissement, bien que la hausse du taux de créances en souffrance (NPL à 7,8% au S1 2025) nécessite une surveillance.</w:t>
      </w:r>
    </w:p>
    <w:p>
      <w:pPr>
        <w:spacing w:after="120" w:line="276" w:lineRule="auto"/>
      </w:pPr>
      <w:r>
        <w:t>---</w:t>
      </w:r>
    </w:p>
    <w:p>
      <w:pPr>
        <w:spacing w:after="120" w:line="276" w:lineRule="auto"/>
      </w:pPr>
      <w:r>
        <w:t>### PARTIE 4 : CONCLUSION D'INVESTISSEMENT</w:t>
      </w:r>
    </w:p>
    <w:p>
      <w:pPr>
        <w:spacing w:after="120" w:line="276" w:lineRule="auto"/>
      </w:pPr>
      <w:r>
        <w:t>La valorisation de SGBC (PER de 12,0x, P/B de 2,45x) est légèrement exigeante mais justifiée par la qualité supérieure de l'actif, tandis que l'EV/EBITDA élevé (24,7x) appelle à la prudence. Le comportement du cours est favorable avec une tendance haussière de +8,33% sur 100 jours, une volatilité modérée (23,1%) et des statistiques (kurtosis platykurtique, skewness légèrement négatif) indiquant un profil de risque maîtrisé. Les signaux techniques sont mitigés : le MACD est haussier, mais les moyennes mobiles et le stochastique suggèrent une possible consolidation à court terme. Les fondamentaux sont excellents, avec un ROE de 20,47%, un coefficient d'exploitation de 38,75% et une croissance soutenue du résultat net (+11,7% sur 9 mois 2025). Les prédictions IA (J+1 à J+10) montrent une légère correction de 39 000 à 38 084 FCFA, contredisant le momentum haussier du MACD mais confirmant les signaux de surachat technique. En synthèse, la convergence entre des fondamentaux robustes et une valorisation raisonnable l'emporte sur les signaux techniques mitigés. **Recommandation : ACHAT** avec un niveau de confiance **Élevé** et un risque global **Faible**. L'horizon d'investissement optimal est le **moyen terme (3-12 mois)**, permettant de bénéficier de la croissance des bénéfices et du rendement du dividende, tout en absorbant les fluctuations techniques à court terme.</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138.60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4,206 titres</w:t>
            </w:r>
          </w:p>
        </w:tc>
        <w:tc>
          <w:tcPr>
            <w:tcW w:type="dxa" w:w="2268"/>
            <w:shd w:fill="FFF2CC" w:val="clear"/>
          </w:tcPr>
          <w:p>
            <w:r>
              <w:rPr>
                <w:b/>
                <w:color w:val="503200"/>
                <w:sz w:val="16"/>
              </w:rPr>
              <w:t xml:space="preserve">Cours actuel : </w:t>
            </w:r>
            <w:r>
              <w:rPr>
                <w:color w:val="000000"/>
                <w:sz w:val="17"/>
              </w:rPr>
              <w:t>2,200 FCFA</w:t>
            </w:r>
          </w:p>
          <w:p>
            <w:r>
              <w:rPr>
                <w:b/>
                <w:color w:val="503200"/>
                <w:sz w:val="16"/>
              </w:rPr>
              <w:t xml:space="preserve">Var. 100 jours : </w:t>
            </w:r>
            <w:r>
              <w:rPr>
                <w:b/>
                <w:color w:val="007800"/>
                <w:sz w:val="17"/>
              </w:rPr>
              <w:t>+0.46%</w:t>
            </w:r>
          </w:p>
          <w:p>
            <w:r>
              <w:rPr>
                <w:b/>
                <w:color w:val="503200"/>
                <w:sz w:val="16"/>
              </w:rPr>
              <w:t xml:space="preserve">Plus haut 100j : </w:t>
            </w:r>
            <w:r>
              <w:rPr>
                <w:color w:val="000000"/>
                <w:sz w:val="17"/>
              </w:rPr>
              <w:t>2,325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5.80% (Moyenne) — μ=2,103 FCFA, σ=122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β=0.8808 (Neutre (suit le marché)) — Cov=0.000032, Var(idx)=0.000036, ρ=0.249,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4,206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2,017</w:t>
            </w:r>
          </w:p>
        </w:tc>
        <w:tc>
          <w:tcPr>
            <w:tcW w:type="dxa" w:w="1440"/>
            <w:shd w:fill="FFDCE0" w:val="clear"/>
          </w:tcPr>
          <w:p>
            <w:r>
              <w:rPr>
                <w:b/>
                <w:sz w:val="17"/>
              </w:rPr>
              <w:t>2,087</w:t>
            </w:r>
          </w:p>
        </w:tc>
        <w:tc>
          <w:tcPr>
            <w:tcW w:type="dxa" w:w="1440"/>
            <w:shd w:fill="FFDCE0" w:val="clear"/>
          </w:tcPr>
          <w:p>
            <w:r>
              <w:rPr>
                <w:sz w:val="17"/>
              </w:rPr>
              <w:t>2,156</w:t>
            </w:r>
          </w:p>
        </w:tc>
        <w:tc>
          <w:tcPr>
            <w:tcW w:type="dxa" w:w="1440"/>
            <w:shd w:fill="FFDCE0" w:val="clear"/>
          </w:tcPr>
          <w:p>
            <w:r>
              <w:rPr>
                <w:b/>
                <w:color w:val="C00000"/>
                <w:sz w:val="17"/>
              </w:rPr>
              <w:t>-5.2%</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1,912</w:t>
            </w:r>
          </w:p>
        </w:tc>
        <w:tc>
          <w:tcPr>
            <w:tcW w:type="dxa" w:w="1440"/>
            <w:shd w:fill="FFDCE0" w:val="clear"/>
          </w:tcPr>
          <w:p>
            <w:r>
              <w:rPr>
                <w:b/>
                <w:sz w:val="17"/>
              </w:rPr>
              <w:t>2,007</w:t>
            </w:r>
          </w:p>
        </w:tc>
        <w:tc>
          <w:tcPr>
            <w:tcW w:type="dxa" w:w="1440"/>
            <w:shd w:fill="FFDCE0" w:val="clear"/>
          </w:tcPr>
          <w:p>
            <w:r>
              <w:rPr>
                <w:sz w:val="17"/>
              </w:rPr>
              <w:t>2,101</w:t>
            </w:r>
          </w:p>
        </w:tc>
        <w:tc>
          <w:tcPr>
            <w:tcW w:type="dxa" w:w="1440"/>
            <w:shd w:fill="FFDCE0" w:val="clear"/>
          </w:tcPr>
          <w:p>
            <w:r>
              <w:rPr>
                <w:b/>
                <w:color w:val="C00000"/>
                <w:sz w:val="17"/>
              </w:rPr>
              <w:t>-8.8%</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1,823</w:t>
            </w:r>
          </w:p>
        </w:tc>
        <w:tc>
          <w:tcPr>
            <w:tcW w:type="dxa" w:w="1440"/>
            <w:shd w:fill="FFDCE0" w:val="clear"/>
          </w:tcPr>
          <w:p>
            <w:r>
              <w:rPr>
                <w:b/>
                <w:sz w:val="17"/>
              </w:rPr>
              <w:t>1,934</w:t>
            </w:r>
          </w:p>
        </w:tc>
        <w:tc>
          <w:tcPr>
            <w:tcW w:type="dxa" w:w="1440"/>
            <w:shd w:fill="FFDCE0" w:val="clear"/>
          </w:tcPr>
          <w:p>
            <w:r>
              <w:rPr>
                <w:sz w:val="17"/>
              </w:rPr>
              <w:t>2,045</w:t>
            </w:r>
          </w:p>
        </w:tc>
        <w:tc>
          <w:tcPr>
            <w:tcW w:type="dxa" w:w="1440"/>
            <w:shd w:fill="FFDCE0" w:val="clear"/>
          </w:tcPr>
          <w:p>
            <w:r>
              <w:rPr>
                <w:b/>
                <w:color w:val="C00000"/>
                <w:sz w:val="17"/>
              </w:rPr>
              <w:t>-12.1%</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1,749</w:t>
            </w:r>
          </w:p>
        </w:tc>
        <w:tc>
          <w:tcPr>
            <w:tcW w:type="dxa" w:w="1440"/>
            <w:shd w:fill="FFDCE0" w:val="clear"/>
          </w:tcPr>
          <w:p>
            <w:r>
              <w:rPr>
                <w:b/>
                <w:sz w:val="17"/>
              </w:rPr>
              <w:t>1,873</w:t>
            </w:r>
          </w:p>
        </w:tc>
        <w:tc>
          <w:tcPr>
            <w:tcW w:type="dxa" w:w="1440"/>
            <w:shd w:fill="FFDCE0" w:val="clear"/>
          </w:tcPr>
          <w:p>
            <w:r>
              <w:rPr>
                <w:sz w:val="17"/>
              </w:rPr>
              <w:t>1,997</w:t>
            </w:r>
          </w:p>
        </w:tc>
        <w:tc>
          <w:tcPr>
            <w:tcW w:type="dxa" w:w="1440"/>
            <w:shd w:fill="FFDCE0" w:val="clear"/>
          </w:tcPr>
          <w:p>
            <w:r>
              <w:rPr>
                <w:b/>
                <w:color w:val="C00000"/>
                <w:sz w:val="17"/>
              </w:rPr>
              <w:t>-14.9%</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1,685</w:t>
            </w:r>
          </w:p>
        </w:tc>
        <w:tc>
          <w:tcPr>
            <w:tcW w:type="dxa" w:w="1440"/>
            <w:shd w:fill="FFDCE0" w:val="clear"/>
          </w:tcPr>
          <w:p>
            <w:r>
              <w:rPr>
                <w:b/>
                <w:sz w:val="17"/>
              </w:rPr>
              <w:t>1,820</w:t>
            </w:r>
          </w:p>
        </w:tc>
        <w:tc>
          <w:tcPr>
            <w:tcW w:type="dxa" w:w="1440"/>
            <w:shd w:fill="FFDCE0" w:val="clear"/>
          </w:tcPr>
          <w:p>
            <w:r>
              <w:rPr>
                <w:sz w:val="17"/>
              </w:rPr>
              <w:t>1,955</w:t>
            </w:r>
          </w:p>
        </w:tc>
        <w:tc>
          <w:tcPr>
            <w:tcW w:type="dxa" w:w="1440"/>
            <w:shd w:fill="FFDCE0" w:val="clear"/>
          </w:tcPr>
          <w:p>
            <w:r>
              <w:rPr>
                <w:b/>
                <w:color w:val="C00000"/>
                <w:sz w:val="17"/>
              </w:rPr>
              <w:t>-17.3%</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1,631</w:t>
            </w:r>
          </w:p>
        </w:tc>
        <w:tc>
          <w:tcPr>
            <w:tcW w:type="dxa" w:w="1440"/>
            <w:shd w:fill="FFDCE0" w:val="clear"/>
          </w:tcPr>
          <w:p>
            <w:r>
              <w:rPr>
                <w:b/>
                <w:sz w:val="17"/>
              </w:rPr>
              <w:t>1,775</w:t>
            </w:r>
          </w:p>
        </w:tc>
        <w:tc>
          <w:tcPr>
            <w:tcW w:type="dxa" w:w="1440"/>
            <w:shd w:fill="FFDCE0" w:val="clear"/>
          </w:tcPr>
          <w:p>
            <w:r>
              <w:rPr>
                <w:sz w:val="17"/>
              </w:rPr>
              <w:t>1,919</w:t>
            </w:r>
          </w:p>
        </w:tc>
        <w:tc>
          <w:tcPr>
            <w:tcW w:type="dxa" w:w="1440"/>
            <w:shd w:fill="FFDCE0" w:val="clear"/>
          </w:tcPr>
          <w:p>
            <w:r>
              <w:rPr>
                <w:b/>
                <w:color w:val="C00000"/>
                <w:sz w:val="17"/>
              </w:rPr>
              <w:t>-19.3%</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1,583</w:t>
            </w:r>
          </w:p>
        </w:tc>
        <w:tc>
          <w:tcPr>
            <w:tcW w:type="dxa" w:w="1440"/>
            <w:shd w:fill="FFDCE0" w:val="clear"/>
          </w:tcPr>
          <w:p>
            <w:r>
              <w:rPr>
                <w:b/>
                <w:sz w:val="17"/>
              </w:rPr>
              <w:t>1,735</w:t>
            </w:r>
          </w:p>
        </w:tc>
        <w:tc>
          <w:tcPr>
            <w:tcW w:type="dxa" w:w="1440"/>
            <w:shd w:fill="FFDCE0" w:val="clear"/>
          </w:tcPr>
          <w:p>
            <w:r>
              <w:rPr>
                <w:sz w:val="17"/>
              </w:rPr>
              <w:t>1,887</w:t>
            </w:r>
          </w:p>
        </w:tc>
        <w:tc>
          <w:tcPr>
            <w:tcW w:type="dxa" w:w="1440"/>
            <w:shd w:fill="FFDCE0" w:val="clear"/>
          </w:tcPr>
          <w:p>
            <w:r>
              <w:rPr>
                <w:b/>
                <w:color w:val="C00000"/>
                <w:sz w:val="17"/>
              </w:rPr>
              <w:t>-21.1%</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1,540</w:t>
            </w:r>
          </w:p>
        </w:tc>
        <w:tc>
          <w:tcPr>
            <w:tcW w:type="dxa" w:w="1440"/>
            <w:shd w:fill="FFDCE0" w:val="clear"/>
          </w:tcPr>
          <w:p>
            <w:r>
              <w:rPr>
                <w:b/>
                <w:sz w:val="17"/>
              </w:rPr>
              <w:t>1,699</w:t>
            </w:r>
          </w:p>
        </w:tc>
        <w:tc>
          <w:tcPr>
            <w:tcW w:type="dxa" w:w="1440"/>
            <w:shd w:fill="FFDCE0" w:val="clear"/>
          </w:tcPr>
          <w:p>
            <w:r>
              <w:rPr>
                <w:sz w:val="17"/>
              </w:rPr>
              <w:t>1,858</w:t>
            </w:r>
          </w:p>
        </w:tc>
        <w:tc>
          <w:tcPr>
            <w:tcW w:type="dxa" w:w="1440"/>
            <w:shd w:fill="FFDCE0" w:val="clear"/>
          </w:tcPr>
          <w:p>
            <w:r>
              <w:rPr>
                <w:b/>
                <w:color w:val="C00000"/>
                <w:sz w:val="17"/>
              </w:rPr>
              <w:t>-22.8%</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1,500</w:t>
            </w:r>
          </w:p>
        </w:tc>
        <w:tc>
          <w:tcPr>
            <w:tcW w:type="dxa" w:w="1440"/>
            <w:shd w:fill="FFDCE0" w:val="clear"/>
          </w:tcPr>
          <w:p>
            <w:r>
              <w:rPr>
                <w:b/>
                <w:sz w:val="17"/>
              </w:rPr>
              <w:t>1,666</w:t>
            </w:r>
          </w:p>
        </w:tc>
        <w:tc>
          <w:tcPr>
            <w:tcW w:type="dxa" w:w="1440"/>
            <w:shd w:fill="FFDCE0" w:val="clear"/>
          </w:tcPr>
          <w:p>
            <w:r>
              <w:rPr>
                <w:sz w:val="17"/>
              </w:rPr>
              <w:t>1,832</w:t>
            </w:r>
          </w:p>
        </w:tc>
        <w:tc>
          <w:tcPr>
            <w:tcW w:type="dxa" w:w="1440"/>
            <w:shd w:fill="FFDCE0" w:val="clear"/>
          </w:tcPr>
          <w:p>
            <w:r>
              <w:rPr>
                <w:b/>
                <w:color w:val="C00000"/>
                <w:sz w:val="17"/>
              </w:rPr>
              <w:t>-24.3%</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1,464</w:t>
            </w:r>
          </w:p>
        </w:tc>
        <w:tc>
          <w:tcPr>
            <w:tcW w:type="dxa" w:w="1440"/>
            <w:shd w:fill="FFDCE0" w:val="clear"/>
          </w:tcPr>
          <w:p>
            <w:r>
              <w:rPr>
                <w:b/>
                <w:sz w:val="17"/>
              </w:rPr>
              <w:t>1,636</w:t>
            </w:r>
          </w:p>
        </w:tc>
        <w:tc>
          <w:tcPr>
            <w:tcW w:type="dxa" w:w="1440"/>
            <w:shd w:fill="FFDCE0" w:val="clear"/>
          </w:tcPr>
          <w:p>
            <w:r>
              <w:rPr>
                <w:sz w:val="17"/>
              </w:rPr>
              <w:t>1,807</w:t>
            </w:r>
          </w:p>
        </w:tc>
        <w:tc>
          <w:tcPr>
            <w:tcW w:type="dxa" w:w="1440"/>
            <w:shd w:fill="FFDCE0" w:val="clear"/>
          </w:tcPr>
          <w:p>
            <w:r>
              <w:rPr>
                <w:b/>
                <w:color w:val="C00000"/>
                <w:sz w:val="17"/>
              </w:rPr>
              <w:t>-25.6%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138,60 milliards FCFA, un niveau significatif qui la positionne parmi les valeurs moyennes de la BRVM, dans un secteur de distribution pétrolière où les volumes sont importants mais les marges faibles. Le BPA de 96 FCFA par action génère un PER de 23,0x, nettement supérieur à la moyenne historique de la BRVM (8-12x), indiquant que le marché intègre une prime de croissance ou de rendement qui ne se matérialise pas encore pleinement dans les bénéfices. Le P/B de 5,10x confirme cette valorisation exigeante, le marché payant plus de 5 fois la valeur comptable des actifs, ce qui reflète une confiance dans la capacité de l'entreprise à générer de la valeur au-delà de son bilan. Enfin, l'EV/EBITDA de 12,6x, bien que dans la fourchette haute (10-15x), suggère que la valeur d'entreprise reste soutenable par rapport à la capacité opérationnelle de la société.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affiche une variation totale de +0,46%, avec un cours actuel de 2 200 FCFA et une stabilité absolue lors de la dernière séance (0,00%). Le titre a évolué dans un range de 485 FCFA, oscillant entre un plus bas de 1 840 FCFA et un plus haut de 2 325 FCFA, ce qui témoigne d'une amplitude de variation modérée. La moyenne de 2 103 FCFA est inférieure à la médiane de 2 155 FCFA, indiquant une distribution légèrement asymétrique avec des épisodes de faiblesse plus marqués que les pics haussiers. L'écart-type de 123 FCFA (CV=5,8%) révèle une dispersion relativement faible autour de la moyenne, tandis que le kurtosis négatif (-1,019) signale une distribution platykurtique, c'est-à-dire sans pics extrêmes ni queues épaisses, réduisant le risque de mouvements brutaux. Le skewness de -0,367, proche de zéro, confirme une distribution quasi symétrique. La volatilité annualisée de 33,9% classe le titre dans la catégorie élevée (&gt;30%), ce qui implique des fluctuations importantes pour un investisseur à court terme.</w:t>
      </w:r>
    </w:p>
    <w:p>
      <w:pPr>
        <w:spacing w:after="120" w:line="276" w:lineRule="auto" w:before="240"/>
      </w:pPr>
      <w:r>
        <w:rPr>
          <w:b/>
          <w:color w:val="003366"/>
          <w:sz w:val="24"/>
        </w:rPr>
        <w:t>**PARTIE 2 : ANALYSE TECHNIQUE DÉTAILLÉE**</w:t>
      </w:r>
    </w:p>
    <w:p>
      <w:pPr>
        <w:spacing w:after="120" w:line="276" w:lineRule="auto"/>
      </w:pPr>
      <w:r>
        <w:t>**Moyennes Mobiles** : Le cours actuel de 2 200 FCFA se positionne sous la MM20 (2 221,25 FCFA) mais au-dessus de la MM50 (2 176,3 FCFA), créant une configuration où la tendance de court terme s'essouffle tandis que la tendance intermédiaire reste positive. La décision d'achat émise par cet indicateur s'appuie sur la structure haussière de moyen terme, mais la proximité du cours avec la MM20 suggère une consolidation en cours.</w:t>
      </w:r>
    </w:p>
    <w:p>
      <w:pPr>
        <w:spacing w:after="120" w:line="276" w:lineRule="auto"/>
      </w:pPr>
      <w:r>
        <w:t>**Bandes de Bollinger** : Le prix évolue à l'intérieur des bandes, entre la borne supérieure de 2 349,43 FCFA et la borne inférieure de 2 093,07 FCFA, avec une position quasi centrale. Cette configuration indique une volatilité modérée et l'absence de pression directionnelle forte. La décision neutre reflète un équilibre entre acheteurs et vendeurs, sans signal de surachat ni de survente.</w:t>
      </w:r>
    </w:p>
    <w:p>
      <w:pPr>
        <w:spacing w:after="120" w:line="276" w:lineRule="auto"/>
      </w:pPr>
      <w:r>
        <w:t>**MACD** : La valeur du MACD (22,552) est inférieure à son signal (29,912), générant une décision de vente. Cette divergence négative, bien que modérée, indique un ralentissement du momentum haussier. Le croisement baissier récent suggère que la dynamique positive observée précédemment perd de la vigueur, ce qui pourrait précéder une phase de correction ou de consolidation.</w:t>
      </w:r>
    </w:p>
    <w:p>
      <w:pPr>
        <w:spacing w:after="120" w:line="276" w:lineRule="auto"/>
      </w:pPr>
      <w:r>
        <w:t>**RSI** : Avec une valeur de 50,588, le RSI se situe exactement dans la zone neutre (30-70), indiquant un équilibre parfait entre pressions acheteuses et vendeuses. Ce niveau ne signale ni surachat ni survente, laissant place à une évolution directionnelle sans contrainte technique majeure.</w:t>
      </w:r>
    </w:p>
    <w:p>
      <w:pPr>
        <w:spacing w:after="120" w:line="276" w:lineRule="auto"/>
      </w:pPr>
      <w:r>
        <w:t>**Stochastique** : Le %K (41,86) est inférieur au %D (49,612), avec les deux indicateurs sous la barre des 50, ce qui suggère une faiblesse relative du momentum à court terme. La décision neutre reflète l'absence de croisement décisif, mais la configuration actuelle penche légèrement vers un biais baissier.</w:t>
      </w:r>
    </w:p>
    <w:p>
      <w:pPr>
        <w:spacing w:after="120" w:line="276" w:lineRule="auto"/>
      </w:pPr>
      <w:r>
        <w:t>**Conclusion technique** : La convergence des indicateurs est mitigée, avec une tendance de fond haussière (MM50) mais des signaux de court terme neutres à légèrement baissiers (MACD, Stochastique). Le cours semble en phase de consolidation après une période de hausse, sans signal directionnel fort. La prudence est de mise, car l'absence de convergence claire entre les indicateurs limite la fiabilité des signaux techniques à court terme.</w:t>
      </w:r>
    </w:p>
    <w:p>
      <w:pPr>
        <w:spacing w:after="120" w:line="276" w:lineRule="auto" w:before="240"/>
      </w:pPr>
      <w:r>
        <w:rPr>
          <w:b/>
          <w:color w:val="003366"/>
          <w:sz w:val="24"/>
        </w:rPr>
        <w:t>**PARTIE 3 : ANALYSE FONDAMENTALE (SECTION CRITIQUE)**</w:t>
      </w:r>
    </w:p>
    <w:p>
      <w:pPr>
        <w:spacing w:after="120" w:line="276" w:lineRule="auto"/>
      </w:pPr>
      <w:r>
        <w:t>En 2025, SHEC (VIVO ENERGY CI) affiche un chiffre d'affaires de 604,978 milliards FCFA, en légère progression de +0,71% par rapport à 2024 (600,708 milliards FCFA), et un résultat net de 6,028 milliards FCFA, en hausse de +12,6% contre 5,354 milliards en 2024. La marge nette reste très faible à 0,99%, caractéristique du secteur de distribution pétrolière, mais le ROE de 22,20% démontre une excellente rentabilité des fonds propres, bien au-dessus du seuil de 15% considéré comme performant. Le ROA de 3,11% reflète une utilisation efficace des actifs, avec une rotation de 312,55%. La structure financière révèle une autonomie financière limitée à 14,03% (capitaux propres de 27,159 milliards pour un total bilan de 193,561 milliards), avec une dépendance financière de 85,97% et un ratio d'endettement de 43,95%. Le BFR de 15,315 milliards est positif, indiquant un besoin de financement, tandis que la trésorerie nette est fortement négative à -65,264 milliards, exposant la société à des tensions de liquidité. Les délais clients (23,27 jours) et fournisseurs (35,47 jours) montrent un décalage défavorable, mais la durée de stockage est maîtrisée à 7,47 jours. Sur la base du rapport T1 2026 (CA en baisse de 9% à 141,649 milliards FCFA mais résultat net stable à 1,295 milliard), on estime que l'exercice 2026 pourrait connaître une stagnation du chiffre d'affaires avec une stabilisation de la rentabilité, portée par la maîtrise des charges et la réduction des coûts financiers. Le rapport S1 2026 confirme cette tendance avec un CA de 305,038 milliards (-1%) mais un résultat d'exploitation en hausse de 17% à 6,133 milliards, soutenu par le segment butane. La politique de dividende est généreuse avec un dividende brut proposé de 6,09 milliards FCFA pour 2025, soit un taux de distribution de 101%, financé par le report à nouveau. Les risques majeurs identifiés sont la faiblesse de la trésorerie, l'endettement élevé et la volatilité des volumes sur les segments aviation et bitume.</w:t>
      </w:r>
    </w:p>
    <w:p>
      <w:pPr>
        <w:spacing w:after="120" w:line="276" w:lineRule="auto" w:before="240"/>
      </w:pPr>
      <w:r>
        <w:rPr>
          <w:b/>
          <w:color w:val="003366"/>
          <w:sz w:val="24"/>
        </w:rPr>
        <w:t>**PARTIE 4 : CONCLUSION D'INVESTISSEMENT**</w:t>
      </w:r>
    </w:p>
    <w:p>
      <w:pPr>
        <w:spacing w:after="120" w:line="276" w:lineRule="auto"/>
      </w:pPr>
      <w:r>
        <w:t>La valorisation de SHEC apparaît exigeante avec un PER de 23,0x et un P/B de 5,10x, nettement supérieurs aux moyennes du marché BRVM, ce qui suggère une surévaluation relative malgré un EV/EBITDA de 12,6x dans une fourchette acceptable. Le comportement du cours sur 100 jours montre une stabilité globale (+0,46%) avec une volatilité élevée (33,9%) et une distribution platykurtique qui réduit le risque de mouvements extrêmes, mais la tendance récente est hésitante. Les signaux techniques sont divergents : la MM50 soutient une tendance haussière de moyen terme, mais le MACD et le Stochastique indiquent un essoufflement du momentum, tandis que le RSI et les Bandes de Bollinger restent neutres. Les fondamentaux présentent un contraste frappant entre une rentabilité des capitaux propres excellente (ROE de 22,2%) et une structure financière fragile, avec une trésorerie nette négative de -65,264 milliards et un taux de distribution de 101% qui fragilise la capacité d'autofinancement. Les prédictions IA pour les 10 prochains jours ouvrables anticipent une baisse progressive du cours de 2 087 à 1 820 FCFA, soit une dépréciation potentielle de 17%, ce qui contredit la stabilité actuelle et suggère une correction à venir. La convergence entre la valorisation élevée, les signaux techniques mitigés et les prédictions baissières de l'IA conduit à une recommandation de **VENTE** avec un niveau de confiance **Moyen** et un risque global **Élevé**. L'horizon d'investissement optimal serait le court terme (&lt;3 mois) pour les investisseurs cherchant à éviter une correction potentielle, tandis que les investisseurs de long terme pourraient conserver le titre pour le rendement du dividende, mais avec une vigilance accrue sur la trésorerie.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917.50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8,686 titres</w:t>
            </w:r>
          </w:p>
        </w:tc>
        <w:tc>
          <w:tcPr>
            <w:tcW w:type="dxa" w:w="2268"/>
            <w:shd w:fill="FFF2CC" w:val="clear"/>
          </w:tcPr>
          <w:p>
            <w:r>
              <w:rPr>
                <w:b/>
                <w:color w:val="503200"/>
                <w:sz w:val="16"/>
              </w:rPr>
              <w:t xml:space="preserve">Cours actuel : </w:t>
            </w:r>
            <w:r>
              <w:rPr>
                <w:color w:val="000000"/>
                <w:sz w:val="17"/>
              </w:rPr>
              <w:t>9,175 FCFA</w:t>
            </w:r>
          </w:p>
          <w:p>
            <w:r>
              <w:rPr>
                <w:b/>
                <w:color w:val="503200"/>
                <w:sz w:val="16"/>
              </w:rPr>
              <w:t xml:space="preserve">Var. 100 jours : </w:t>
            </w:r>
            <w:r>
              <w:rPr>
                <w:b/>
                <w:color w:val="007800"/>
                <w:sz w:val="17"/>
              </w:rPr>
              <w:t>+31.07%</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11.16% (Moyenne) — μ=8,108 FCFA, σ=905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β=0.5807 (Défensif) — Cov=0.000021, Var(idx)=0.000036, ρ=0.195,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8,686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σ_j=1.79%/j (Stable) — Vol. annualisée≈28.4%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8,572</w:t>
            </w:r>
          </w:p>
        </w:tc>
        <w:tc>
          <w:tcPr>
            <w:tcW w:type="dxa" w:w="1440"/>
            <w:shd w:fill="FFDCE0" w:val="clear"/>
          </w:tcPr>
          <w:p>
            <w:r>
              <w:rPr>
                <w:b/>
                <w:sz w:val="17"/>
              </w:rPr>
              <w:t>8,851</w:t>
            </w:r>
          </w:p>
        </w:tc>
        <w:tc>
          <w:tcPr>
            <w:tcW w:type="dxa" w:w="1440"/>
            <w:shd w:fill="FFDCE0" w:val="clear"/>
          </w:tcPr>
          <w:p>
            <w:r>
              <w:rPr>
                <w:sz w:val="17"/>
              </w:rPr>
              <w:t>9,130</w:t>
            </w:r>
          </w:p>
        </w:tc>
        <w:tc>
          <w:tcPr>
            <w:tcW w:type="dxa" w:w="1440"/>
            <w:shd w:fill="FFDCE0" w:val="clear"/>
          </w:tcPr>
          <w:p>
            <w:r>
              <w:rPr>
                <w:b/>
                <w:color w:val="C00000"/>
                <w:sz w:val="17"/>
              </w:rPr>
              <w:t>-3.5%</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8,176</w:t>
            </w:r>
          </w:p>
        </w:tc>
        <w:tc>
          <w:tcPr>
            <w:tcW w:type="dxa" w:w="1440"/>
            <w:shd w:fill="FFDCE0" w:val="clear"/>
          </w:tcPr>
          <w:p>
            <w:r>
              <w:rPr>
                <w:b/>
                <w:sz w:val="17"/>
              </w:rPr>
              <w:t>8,557</w:t>
            </w:r>
          </w:p>
        </w:tc>
        <w:tc>
          <w:tcPr>
            <w:tcW w:type="dxa" w:w="1440"/>
            <w:shd w:fill="FFDCE0" w:val="clear"/>
          </w:tcPr>
          <w:p>
            <w:r>
              <w:rPr>
                <w:sz w:val="17"/>
              </w:rPr>
              <w:t>8,939</w:t>
            </w:r>
          </w:p>
        </w:tc>
        <w:tc>
          <w:tcPr>
            <w:tcW w:type="dxa" w:w="1440"/>
            <w:shd w:fill="FFDCE0" w:val="clear"/>
          </w:tcPr>
          <w:p>
            <w:r>
              <w:rPr>
                <w:b/>
                <w:color w:val="C00000"/>
                <w:sz w:val="17"/>
              </w:rPr>
              <w:t>-6.7%</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7,838</w:t>
            </w:r>
          </w:p>
        </w:tc>
        <w:tc>
          <w:tcPr>
            <w:tcW w:type="dxa" w:w="1440"/>
            <w:shd w:fill="FFDCE0" w:val="clear"/>
          </w:tcPr>
          <w:p>
            <w:r>
              <w:rPr>
                <w:b/>
                <w:sz w:val="17"/>
              </w:rPr>
              <w:t>8,291</w:t>
            </w:r>
          </w:p>
        </w:tc>
        <w:tc>
          <w:tcPr>
            <w:tcW w:type="dxa" w:w="1440"/>
            <w:shd w:fill="FFDCE0" w:val="clear"/>
          </w:tcPr>
          <w:p>
            <w:r>
              <w:rPr>
                <w:sz w:val="17"/>
              </w:rPr>
              <w:t>8,743</w:t>
            </w:r>
          </w:p>
        </w:tc>
        <w:tc>
          <w:tcPr>
            <w:tcW w:type="dxa" w:w="1440"/>
            <w:shd w:fill="FFDCE0" w:val="clear"/>
          </w:tcPr>
          <w:p>
            <w:r>
              <w:rPr>
                <w:b/>
                <w:color w:val="C00000"/>
                <w:sz w:val="17"/>
              </w:rPr>
              <w:t>-9.6%</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7,555</w:t>
            </w:r>
          </w:p>
        </w:tc>
        <w:tc>
          <w:tcPr>
            <w:tcW w:type="dxa" w:w="1440"/>
            <w:shd w:fill="FFDCE0" w:val="clear"/>
          </w:tcPr>
          <w:p>
            <w:r>
              <w:rPr>
                <w:b/>
                <w:sz w:val="17"/>
              </w:rPr>
              <w:t>8,063</w:t>
            </w:r>
          </w:p>
        </w:tc>
        <w:tc>
          <w:tcPr>
            <w:tcW w:type="dxa" w:w="1440"/>
            <w:shd w:fill="FFDCE0" w:val="clear"/>
          </w:tcPr>
          <w:p>
            <w:r>
              <w:rPr>
                <w:sz w:val="17"/>
              </w:rPr>
              <w:t>8,571</w:t>
            </w:r>
          </w:p>
        </w:tc>
        <w:tc>
          <w:tcPr>
            <w:tcW w:type="dxa" w:w="1440"/>
            <w:shd w:fill="FFDCE0" w:val="clear"/>
          </w:tcPr>
          <w:p>
            <w:r>
              <w:rPr>
                <w:b/>
                <w:color w:val="C00000"/>
                <w:sz w:val="17"/>
              </w:rPr>
              <w:t>-12.1%</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7,317</w:t>
            </w:r>
          </w:p>
        </w:tc>
        <w:tc>
          <w:tcPr>
            <w:tcW w:type="dxa" w:w="1440"/>
            <w:shd w:fill="FFDCE0" w:val="clear"/>
          </w:tcPr>
          <w:p>
            <w:r>
              <w:rPr>
                <w:b/>
                <w:sz w:val="17"/>
              </w:rPr>
              <w:t>7,871</w:t>
            </w:r>
          </w:p>
        </w:tc>
        <w:tc>
          <w:tcPr>
            <w:tcW w:type="dxa" w:w="1440"/>
            <w:shd w:fill="FFDCE0" w:val="clear"/>
          </w:tcPr>
          <w:p>
            <w:r>
              <w:rPr>
                <w:sz w:val="17"/>
              </w:rPr>
              <w:t>8,425</w:t>
            </w:r>
          </w:p>
        </w:tc>
        <w:tc>
          <w:tcPr>
            <w:tcW w:type="dxa" w:w="1440"/>
            <w:shd w:fill="FFDCE0" w:val="clear"/>
          </w:tcPr>
          <w:p>
            <w:r>
              <w:rPr>
                <w:b/>
                <w:color w:val="C00000"/>
                <w:sz w:val="17"/>
              </w:rPr>
              <w:t>-14.2%</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7,111</w:t>
            </w:r>
          </w:p>
        </w:tc>
        <w:tc>
          <w:tcPr>
            <w:tcW w:type="dxa" w:w="1440"/>
            <w:shd w:fill="FFDCE0" w:val="clear"/>
          </w:tcPr>
          <w:p>
            <w:r>
              <w:rPr>
                <w:b/>
                <w:sz w:val="17"/>
              </w:rPr>
              <w:t>7,706</w:t>
            </w:r>
          </w:p>
        </w:tc>
        <w:tc>
          <w:tcPr>
            <w:tcW w:type="dxa" w:w="1440"/>
            <w:shd w:fill="FFDCE0" w:val="clear"/>
          </w:tcPr>
          <w:p>
            <w:r>
              <w:rPr>
                <w:sz w:val="17"/>
              </w:rPr>
              <w:t>8,300</w:t>
            </w:r>
          </w:p>
        </w:tc>
        <w:tc>
          <w:tcPr>
            <w:tcW w:type="dxa" w:w="1440"/>
            <w:shd w:fill="FFDCE0" w:val="clear"/>
          </w:tcPr>
          <w:p>
            <w:r>
              <w:rPr>
                <w:b/>
                <w:color w:val="C00000"/>
                <w:sz w:val="17"/>
              </w:rPr>
              <w:t>-16.0%</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6,931</w:t>
            </w:r>
          </w:p>
        </w:tc>
        <w:tc>
          <w:tcPr>
            <w:tcW w:type="dxa" w:w="1440"/>
            <w:shd w:fill="FFDCE0" w:val="clear"/>
          </w:tcPr>
          <w:p>
            <w:r>
              <w:rPr>
                <w:b/>
                <w:sz w:val="17"/>
              </w:rPr>
              <w:t>7,561</w:t>
            </w:r>
          </w:p>
        </w:tc>
        <w:tc>
          <w:tcPr>
            <w:tcW w:type="dxa" w:w="1440"/>
            <w:shd w:fill="FFDCE0" w:val="clear"/>
          </w:tcPr>
          <w:p>
            <w:r>
              <w:rPr>
                <w:sz w:val="17"/>
              </w:rPr>
              <w:t>8,191</w:t>
            </w:r>
          </w:p>
        </w:tc>
        <w:tc>
          <w:tcPr>
            <w:tcW w:type="dxa" w:w="1440"/>
            <w:shd w:fill="FFDCE0" w:val="clear"/>
          </w:tcPr>
          <w:p>
            <w:r>
              <w:rPr>
                <w:b/>
                <w:color w:val="C00000"/>
                <w:sz w:val="17"/>
              </w:rPr>
              <w:t>-17.6%</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6,770</w:t>
            </w:r>
          </w:p>
        </w:tc>
        <w:tc>
          <w:tcPr>
            <w:tcW w:type="dxa" w:w="1440"/>
            <w:shd w:fill="FFDCE0" w:val="clear"/>
          </w:tcPr>
          <w:p>
            <w:r>
              <w:rPr>
                <w:b/>
                <w:sz w:val="17"/>
              </w:rPr>
              <w:t>7,432</w:t>
            </w:r>
          </w:p>
        </w:tc>
        <w:tc>
          <w:tcPr>
            <w:tcW w:type="dxa" w:w="1440"/>
            <w:shd w:fill="FFDCE0" w:val="clear"/>
          </w:tcPr>
          <w:p>
            <w:r>
              <w:rPr>
                <w:sz w:val="17"/>
              </w:rPr>
              <w:t>8,094</w:t>
            </w:r>
          </w:p>
        </w:tc>
        <w:tc>
          <w:tcPr>
            <w:tcW w:type="dxa" w:w="1440"/>
            <w:shd w:fill="FFDCE0" w:val="clear"/>
          </w:tcPr>
          <w:p>
            <w:r>
              <w:rPr>
                <w:b/>
                <w:color w:val="C00000"/>
                <w:sz w:val="17"/>
              </w:rPr>
              <w:t>-19.0%</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6,624</w:t>
            </w:r>
          </w:p>
        </w:tc>
        <w:tc>
          <w:tcPr>
            <w:tcW w:type="dxa" w:w="1440"/>
            <w:shd w:fill="FFDCE0" w:val="clear"/>
          </w:tcPr>
          <w:p>
            <w:r>
              <w:rPr>
                <w:b/>
                <w:sz w:val="17"/>
              </w:rPr>
              <w:t>7,316</w:t>
            </w:r>
          </w:p>
        </w:tc>
        <w:tc>
          <w:tcPr>
            <w:tcW w:type="dxa" w:w="1440"/>
            <w:shd w:fill="FFDCE0" w:val="clear"/>
          </w:tcPr>
          <w:p>
            <w:r>
              <w:rPr>
                <w:sz w:val="17"/>
              </w:rPr>
              <w:t>8,007</w:t>
            </w:r>
          </w:p>
        </w:tc>
        <w:tc>
          <w:tcPr>
            <w:tcW w:type="dxa" w:w="1440"/>
            <w:shd w:fill="FFDCE0" w:val="clear"/>
          </w:tcPr>
          <w:p>
            <w:r>
              <w:rPr>
                <w:b/>
                <w:color w:val="C00000"/>
                <w:sz w:val="17"/>
              </w:rPr>
              <w:t>-20.3%</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6,491</w:t>
            </w:r>
          </w:p>
        </w:tc>
        <w:tc>
          <w:tcPr>
            <w:tcW w:type="dxa" w:w="1440"/>
            <w:shd w:fill="FFDCE0" w:val="clear"/>
          </w:tcPr>
          <w:p>
            <w:r>
              <w:rPr>
                <w:b/>
                <w:sz w:val="17"/>
              </w:rPr>
              <w:t>7,209</w:t>
            </w:r>
          </w:p>
        </w:tc>
        <w:tc>
          <w:tcPr>
            <w:tcW w:type="dxa" w:w="1440"/>
            <w:shd w:fill="FFDCE0" w:val="clear"/>
          </w:tcPr>
          <w:p>
            <w:r>
              <w:rPr>
                <w:sz w:val="17"/>
              </w:rPr>
              <w:t>7,927</w:t>
            </w:r>
          </w:p>
        </w:tc>
        <w:tc>
          <w:tcPr>
            <w:tcW w:type="dxa" w:w="1440"/>
            <w:shd w:fill="FFDCE0" w:val="clear"/>
          </w:tcPr>
          <w:p>
            <w:r>
              <w:rPr>
                <w:b/>
                <w:color w:val="C00000"/>
                <w:sz w:val="17"/>
              </w:rPr>
              <w:t>-21.4%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**Date : 17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SIBC s'établit à 917,50 milliards FCFA, un niveau qui la positionne parmi les valeurs les plus significatives de la BRVM, reflétant son statut de banque systémique en Côte d'Ivoire. Avec un BPA de 556 FCFA, chaque action génère un bénéfice confortable, mais le PER de 16,5x indique que les investisseurs paient une prime substantielle par rapport à la moyenne historique de la BRVM (8-12x). Cette valorisation est d'autant plus exigeante que le P/B de 4,48x et l'EV/EBITDA de 15,3x confirment une décote nulle : le marché intègre déjà des perspectives de croissance soutenue et une qualité de bilan supérieure. En somme, l'action SIBC se négocie à des niveaux élevés, justifiés par ses fondamentaux solides mais laissant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SIBC a enregistré une progression spectaculaire de +31,07%, avec une dernière séance en hausse de +0,82% à 9 175 FCFA, démontrant une dynamique haussière soutenue. Le titre a évolué dans un range de trading de 6 805 FCFA (plus bas) à 9 500 FCFA (plus haut), soit une amplitude de près de 40%, indiquant une forte pression acheteuse. La moyenne du cours sur la période (8 108 FCFA) est inférieure à la médiane (8 650 FCFA), ce qui suggère une distribution légèrement asymétrique avec une concentration des prix vers le haut. L'écart-type de 909 FCFA (CV=11,2%) révèle une dispersion modérée, tandis que le kurtosis de -1,723 (distribution platykurtique) indique une absence de pics extrêmes, et le skewness de -0,222 confirme une symétrie relative. La volatilité annualisée de 28,4% classe le titre dans la catégorie modérée (15-30%), reflétant un risque mesuré pour un rendement substantiel.</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(9 175 FCFA) se positionne au-dessus de la MM20 (9 020,75 FCFA) et de la MM50 (8 917,4 FCFA), confirmant une tendance haussière solide. La configuration des MM, avec le cours au-dessus des deux moyennes, génère un signal d'achat clair, indiquant que la dynamique positive est soutenue par les opérateurs à moyen terme.</w:t>
      </w:r>
    </w:p>
    <w:p>
      <w:pPr>
        <w:spacing w:after="120" w:line="276" w:lineRule="auto"/>
      </w:pPr>
      <w:r>
        <w:t>**Bandes de Bollinger :** Le prix se situe à 9 175 FCFA, entre la borne supérieure (9 500,85 FCFA) et la borne inférieure (8 540,65 FCFA), proche de la partie haute de l'enveloppe. Cette position suggère une volatilité normale avec un biais haussier, mais sans surachat extrême. La décision "Neutre" est justifiée par l'absence de sortie de canal, bien que la proximité de la borne supérieure mérite une surveillance.</w:t>
      </w:r>
    </w:p>
    <w:p>
      <w:pPr>
        <w:spacing w:after="120" w:line="276" w:lineRule="auto"/>
      </w:pPr>
      <w:r>
        <w:t>**MACD :** Le MACD (117,84) est supérieur à son signal (112,51), avec un écart positif de 5,3 points, indiquant un momentum haussier en phase d'accélération. Cette configuration, classiquement interprétée comme un signal d'achat, confirme la vigueur de la tendance actuelle et suggère une poursuite du mouvement ascendant à court terme.</w:t>
      </w:r>
    </w:p>
    <w:p>
      <w:pPr>
        <w:spacing w:after="120" w:line="276" w:lineRule="auto"/>
      </w:pPr>
      <w:r>
        <w:t>**RSI :** Le RSI s'établit à 55,79, dans la zone neutre (30-70), ce qui indique un équilibre entre pression acheteuse et vendeuse. Cette valeur, loin des zones de surachat (&gt;70) ou de survente (&lt;30), laisse une marge de progression avant d'atteindre des niveaux extrêmes, justifiant une décision "Neutre" mais avec un potentiel haussier résiduel.</w:t>
      </w:r>
    </w:p>
    <w:p>
      <w:pPr>
        <w:spacing w:after="120" w:line="276" w:lineRule="auto"/>
      </w:pPr>
      <w:r>
        <w:t>**Stochastique :** Le %K (59,38) est supérieur au %D (54,89), avec un écart positif de 4,5 points, indiquant un croisement haussier en cours. Cette configuration, bien que non extrême, suggère une dynamique positive naissante, mais la décision "Neutre" reflète l'absence de confirmation forte au-delà des seuils critiques.</w:t>
      </w:r>
    </w:p>
    <w:p>
      <w:pPr>
        <w:spacing w:after="120" w:line="276" w:lineRule="auto"/>
      </w:pPr>
      <w:r>
        <w:t>**Conclusion technique :** La convergence des indicateurs (MM haussières, MACD positif, Stochastique en croisement haussier) confirme une tendance haussière solide, tempérée par un RSI neutre et des bandes de Bollinger non contraignantes. L'ensemble plaide pour un maintien des positions acheteuses, avec une vigilance sur les niveaux de surachat potentiel.</w:t>
      </w:r>
    </w:p>
    <w:p>
      <w:pPr>
        <w:spacing w:after="120" w:line="276" w:lineRule="auto"/>
      </w:pPr>
      <w:r>
        <w:t>---</w:t>
      </w:r>
    </w:p>
    <w:p>
      <w:pPr>
        <w:spacing w:after="120" w:line="276" w:lineRule="auto"/>
      </w:pPr>
      <w:r>
        <w:t>### PARTIE 3 : ANALYSE FONDAMENTALE (SECTION CRITIQUE)</w:t>
      </w:r>
    </w:p>
    <w:p>
      <w:pPr>
        <w:spacing w:after="120" w:line="276" w:lineRule="auto"/>
      </w:pPr>
      <w:r>
        <w:t>En 2025, la SIBC affiche des états financiers annuels robustes, avec un Produit Net Bancaire (PNB) de 108,66 milliards FCFA et un résultat net de 55,62 milliards FCFA, démontrant une marge nette exceptionnelle de 51,19%. Le ROE de 27,16% et le ROA de 2,96% confirment une rentabilité supérieure aux normes sectorielles (&gt;15% pour le ROE), soutenue par un coefficient d'exploitation de 38,59%, témoignant d'une efficacité opérationnelle remarquable (largement sous le seuil de 60%). Le coût du risque, bien que non détaillé, est maîtrisé grâce à des provisions prudentes (14,12 milliards FCFA), et le ratio de dépôts/crédits (1 503,44 Mds/1 226,72 Mds) indique une transformation saine. Les rapports trimestriels 2025 confirment cette trajectoire : le T1 2025 (PNB +12%, RN +10%), le S1 2025 (PNB +9%, RN +15%) et le T3 2025 (PNB +8%, RN +11%) montrent une croissance soutenue. Sur la base du rapport T1 2026 (PNB +4% à 27,7 Mds, RN +11% à 15,2 Mds), on estime que l'exercice 2026 devrait maintenir une croissance à deux chiffres du résultat net, portée par la dynamique des dépôts (+9%) et des crédits (+7%). La solidité financière est renforcée par des capitaux propres de 204,77 milliards FCFA et une solvabilité générale de 112,21%, positionnant la banque comme un pilier du secteur bancaire ivoirien, avec des perspectives favorables alignées sur le plan stratégique "IMPULSION 2028".</w:t>
      </w:r>
    </w:p>
    <w:p>
      <w:pPr>
        <w:spacing w:after="120" w:line="276" w:lineRule="auto"/>
      </w:pPr>
      <w:r>
        <w:t>---</w:t>
      </w:r>
    </w:p>
    <w:p>
      <w:pPr>
        <w:spacing w:after="120" w:line="276" w:lineRule="auto"/>
      </w:pPr>
      <w:r>
        <w:t>### PARTIE 4 : CONCLUSION D'INVESTISSEMENT</w:t>
      </w:r>
    </w:p>
    <w:p>
      <w:pPr>
        <w:spacing w:after="120" w:line="276" w:lineRule="auto"/>
      </w:pPr>
      <w:r>
        <w:t>La synthèse globale révèle une convergence positive entre les différentes dimensions de l'analyse. La valorisation (Partie 0) est exigeante (PER 16,5x, P/B 4,48x), mais justifiée par la qualité des fondamentaux et la croissance soutenue. Le comportement du cours (Partie 1) montre une tendance haussière robuste (+31,07% sur 100 jours) avec une volatilité modérée (28,4%), et des statistiques (kurtosis platykurtique, skewness symétrique) indiquant un profil de risque maîtrisé. Les signaux techniques (Partie 2) sont majoritairement haussiers (MM, MACD, Stochastique), avec un RSI neutre laissant une marge de progression. Les fondamentaux (Partie 3) sont excellents, avec un ROE de 27,16%, un coefficient d'exploitation de 38,59% et des perspectives de croissance à deux chiffres pour 2026. Cependant, les prédictions IA (J+1 à J+10) anticipent une correction significative, avec un cours projeté à 7 871 FCFA contre 9 175 FCFA actuellement, suggérant un repli de -14% à court terme. Cette divergence entre les signaux techniques/fondamentaux et la prédiction IA justifie une prudence accrue. **Recommandation finale : CONSERVER**, avec un niveau de confiance Moyen, un risque global Moyen, et un horizon d'investissement optimal à moyen terme (3-12 mois), en attendant une éventuelle correction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6.05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97 titres</w:t>
            </w:r>
          </w:p>
        </w:tc>
        <w:tc>
          <w:tcPr>
            <w:tcW w:type="dxa" w:w="2268"/>
            <w:shd w:fill="FFF2CC" w:val="clear"/>
          </w:tcPr>
          <w:p>
            <w:r>
              <w:rPr>
                <w:b/>
                <w:color w:val="503200"/>
                <w:sz w:val="16"/>
              </w:rPr>
              <w:t xml:space="preserve">Cours actuel : </w:t>
            </w:r>
            <w:r>
              <w:rPr>
                <w:color w:val="000000"/>
                <w:sz w:val="17"/>
              </w:rPr>
              <w:t>10,080 FCFA</w:t>
            </w:r>
          </w:p>
          <w:p>
            <w:r>
              <w:rPr>
                <w:b/>
                <w:color w:val="503200"/>
                <w:sz w:val="16"/>
              </w:rPr>
              <w:t xml:space="preserve">Var. 100 jours : </w:t>
            </w:r>
            <w:r>
              <w:rPr>
                <w:b/>
                <w:color w:val="007800"/>
                <w:sz w:val="17"/>
              </w:rPr>
              <w:t>+165.26%</w:t>
            </w:r>
          </w:p>
          <w:p>
            <w:r>
              <w:rPr>
                <w:b/>
                <w:color w:val="503200"/>
                <w:sz w:val="16"/>
              </w:rPr>
              <w:t xml:space="preserve">Plus haut 100j : </w:t>
            </w:r>
            <w:r>
              <w:rPr>
                <w:color w:val="000000"/>
                <w:sz w:val="17"/>
              </w:rPr>
              <w:t>10,080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57.1%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35.6/100 → Moyen</w:t>
      </w:r>
    </w:p>
    <w:p>
      <w:pPr>
        <w:spacing w:before="40" w:after="80"/>
      </w:pPr>
      <w:r>
        <w:rPr>
          <w:rFonts w:ascii="Courier New" w:hAnsi="Courier New"/>
          <w:color w:val="825A00"/>
          <w:sz w:val="18"/>
        </w:rPr>
        <w:t>███████░░░░░░░░░░░░░  35.6/100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23.89% (Élevée) — μ=4,869 FCFA, σ=1,163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β=0.0112 (Défensif) — Cov=0.000000, Var(idx)=0.000036, ρ=0.002,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97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9,165</w:t>
            </w:r>
          </w:p>
        </w:tc>
        <w:tc>
          <w:tcPr>
            <w:tcW w:type="dxa" w:w="1440"/>
            <w:shd w:fill="FFDCE0" w:val="clear"/>
          </w:tcPr>
          <w:p>
            <w:r>
              <w:rPr>
                <w:b/>
                <w:sz w:val="17"/>
              </w:rPr>
              <w:t>9,860</w:t>
            </w:r>
          </w:p>
        </w:tc>
        <w:tc>
          <w:tcPr>
            <w:tcW w:type="dxa" w:w="1440"/>
            <w:shd w:fill="FFDCE0" w:val="clear"/>
          </w:tcPr>
          <w:p>
            <w:r>
              <w:rPr>
                <w:sz w:val="17"/>
              </w:rPr>
              <w:t>10,555</w:t>
            </w:r>
          </w:p>
        </w:tc>
        <w:tc>
          <w:tcPr>
            <w:tcW w:type="dxa" w:w="1440"/>
            <w:shd w:fill="FFDCE0" w:val="clear"/>
          </w:tcPr>
          <w:p>
            <w:r>
              <w:rPr>
                <w:b/>
                <w:color w:val="C00000"/>
                <w:sz w:val="17"/>
              </w:rPr>
              <w:t>-2.2%</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8,895</w:t>
            </w:r>
          </w:p>
        </w:tc>
        <w:tc>
          <w:tcPr>
            <w:tcW w:type="dxa" w:w="1440"/>
            <w:shd w:fill="FAFAFA" w:val="clear"/>
          </w:tcPr>
          <w:p>
            <w:r>
              <w:rPr>
                <w:b/>
                <w:sz w:val="17"/>
              </w:rPr>
              <w:t>9,880</w:t>
            </w:r>
          </w:p>
        </w:tc>
        <w:tc>
          <w:tcPr>
            <w:tcW w:type="dxa" w:w="1440"/>
            <w:shd w:fill="FAFAFA" w:val="clear"/>
          </w:tcPr>
          <w:p>
            <w:r>
              <w:rPr>
                <w:sz w:val="17"/>
              </w:rPr>
              <w:t>10,865</w:t>
            </w:r>
          </w:p>
        </w:tc>
        <w:tc>
          <w:tcPr>
            <w:tcW w:type="dxa" w:w="1440"/>
            <w:shd w:fill="FAFAFA"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8,545</w:t>
            </w:r>
          </w:p>
        </w:tc>
        <w:tc>
          <w:tcPr>
            <w:tcW w:type="dxa" w:w="1440"/>
            <w:shd w:fill="FFDCE0" w:val="clear"/>
          </w:tcPr>
          <w:p>
            <w:r>
              <w:rPr>
                <w:b/>
                <w:sz w:val="17"/>
              </w:rPr>
              <w:t>9,733</w:t>
            </w:r>
          </w:p>
        </w:tc>
        <w:tc>
          <w:tcPr>
            <w:tcW w:type="dxa" w:w="1440"/>
            <w:shd w:fill="FFDCE0" w:val="clear"/>
          </w:tcPr>
          <w:p>
            <w:r>
              <w:rPr>
                <w:sz w:val="17"/>
              </w:rPr>
              <w:t>10,921</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8,191</w:t>
            </w:r>
          </w:p>
        </w:tc>
        <w:tc>
          <w:tcPr>
            <w:tcW w:type="dxa" w:w="1440"/>
            <w:shd w:fill="FFDCE0" w:val="clear"/>
          </w:tcPr>
          <w:p>
            <w:r>
              <w:rPr>
                <w:b/>
                <w:sz w:val="17"/>
              </w:rPr>
              <w:t>9,535</w:t>
            </w:r>
          </w:p>
        </w:tc>
        <w:tc>
          <w:tcPr>
            <w:tcW w:type="dxa" w:w="1440"/>
            <w:shd w:fill="FFDCE0" w:val="clear"/>
          </w:tcPr>
          <w:p>
            <w:r>
              <w:rPr>
                <w:sz w:val="17"/>
              </w:rPr>
              <w:t>10,879</w:t>
            </w:r>
          </w:p>
        </w:tc>
        <w:tc>
          <w:tcPr>
            <w:tcW w:type="dxa" w:w="1440"/>
            <w:shd w:fill="FFDCE0" w:val="clear"/>
          </w:tcPr>
          <w:p>
            <w:r>
              <w:rPr>
                <w:b/>
                <w:color w:val="C00000"/>
                <w:sz w:val="17"/>
              </w:rPr>
              <w:t>-5.4%</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7,845</w:t>
            </w:r>
          </w:p>
        </w:tc>
        <w:tc>
          <w:tcPr>
            <w:tcW w:type="dxa" w:w="1440"/>
            <w:shd w:fill="FFDCE0" w:val="clear"/>
          </w:tcPr>
          <w:p>
            <w:r>
              <w:rPr>
                <w:b/>
                <w:sz w:val="17"/>
              </w:rPr>
              <w:t>9,313</w:t>
            </w:r>
          </w:p>
        </w:tc>
        <w:tc>
          <w:tcPr>
            <w:tcW w:type="dxa" w:w="1440"/>
            <w:shd w:fill="FFDCE0" w:val="clear"/>
          </w:tcPr>
          <w:p>
            <w:r>
              <w:rPr>
                <w:sz w:val="17"/>
              </w:rPr>
              <w:t>10,780</w:t>
            </w:r>
          </w:p>
        </w:tc>
        <w:tc>
          <w:tcPr>
            <w:tcW w:type="dxa" w:w="1440"/>
            <w:shd w:fill="FFDCE0" w:val="clear"/>
          </w:tcPr>
          <w:p>
            <w:r>
              <w:rPr>
                <w:b/>
                <w:color w:val="C00000"/>
                <w:sz w:val="17"/>
              </w:rPr>
              <w:t>-7.6%</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7,510</w:t>
            </w:r>
          </w:p>
        </w:tc>
        <w:tc>
          <w:tcPr>
            <w:tcW w:type="dxa" w:w="1440"/>
            <w:shd w:fill="FFDCE0" w:val="clear"/>
          </w:tcPr>
          <w:p>
            <w:r>
              <w:rPr>
                <w:b/>
                <w:sz w:val="17"/>
              </w:rPr>
              <w:t>9,077</w:t>
            </w:r>
          </w:p>
        </w:tc>
        <w:tc>
          <w:tcPr>
            <w:tcW w:type="dxa" w:w="1440"/>
            <w:shd w:fill="FFDCE0" w:val="clear"/>
          </w:tcPr>
          <w:p>
            <w:r>
              <w:rPr>
                <w:sz w:val="17"/>
              </w:rPr>
              <w:t>10,645</w:t>
            </w:r>
          </w:p>
        </w:tc>
        <w:tc>
          <w:tcPr>
            <w:tcW w:type="dxa" w:w="1440"/>
            <w:shd w:fill="FFDCE0" w:val="clear"/>
          </w:tcPr>
          <w:p>
            <w:r>
              <w:rPr>
                <w:b/>
                <w:color w:val="C00000"/>
                <w:sz w:val="17"/>
              </w:rPr>
              <w:t>-9.9%</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7,190</w:t>
            </w:r>
          </w:p>
        </w:tc>
        <w:tc>
          <w:tcPr>
            <w:tcW w:type="dxa" w:w="1440"/>
            <w:shd w:fill="FFDCE0" w:val="clear"/>
          </w:tcPr>
          <w:p>
            <w:r>
              <w:rPr>
                <w:b/>
                <w:sz w:val="17"/>
              </w:rPr>
              <w:t>8,838</w:t>
            </w:r>
          </w:p>
        </w:tc>
        <w:tc>
          <w:tcPr>
            <w:tcW w:type="dxa" w:w="1440"/>
            <w:shd w:fill="FFDCE0" w:val="clear"/>
          </w:tcPr>
          <w:p>
            <w:r>
              <w:rPr>
                <w:sz w:val="17"/>
              </w:rPr>
              <w:t>10,486</w:t>
            </w:r>
          </w:p>
        </w:tc>
        <w:tc>
          <w:tcPr>
            <w:tcW w:type="dxa" w:w="1440"/>
            <w:shd w:fill="FFDCE0" w:val="clear"/>
          </w:tcPr>
          <w:p>
            <w:r>
              <w:rPr>
                <w:b/>
                <w:color w:val="C00000"/>
                <w:sz w:val="17"/>
              </w:rPr>
              <w:t>-12.3%</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6,887</w:t>
            </w:r>
          </w:p>
        </w:tc>
        <w:tc>
          <w:tcPr>
            <w:tcW w:type="dxa" w:w="1440"/>
            <w:shd w:fill="FFDCE0" w:val="clear"/>
          </w:tcPr>
          <w:p>
            <w:r>
              <w:rPr>
                <w:b/>
                <w:sz w:val="17"/>
              </w:rPr>
              <w:t>8,601</w:t>
            </w:r>
          </w:p>
        </w:tc>
        <w:tc>
          <w:tcPr>
            <w:tcW w:type="dxa" w:w="1440"/>
            <w:shd w:fill="FFDCE0" w:val="clear"/>
          </w:tcPr>
          <w:p>
            <w:r>
              <w:rPr>
                <w:sz w:val="17"/>
              </w:rPr>
              <w:t>10,316</w:t>
            </w:r>
          </w:p>
        </w:tc>
        <w:tc>
          <w:tcPr>
            <w:tcW w:type="dxa" w:w="1440"/>
            <w:shd w:fill="FFDCE0" w:val="clear"/>
          </w:tcPr>
          <w:p>
            <w:r>
              <w:rPr>
                <w:b/>
                <w:color w:val="C00000"/>
                <w:sz w:val="17"/>
              </w:rPr>
              <w:t>-14.7%</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6,601</w:t>
            </w:r>
          </w:p>
        </w:tc>
        <w:tc>
          <w:tcPr>
            <w:tcW w:type="dxa" w:w="1440"/>
            <w:shd w:fill="FFDCE0" w:val="clear"/>
          </w:tcPr>
          <w:p>
            <w:r>
              <w:rPr>
                <w:b/>
                <w:sz w:val="17"/>
              </w:rPr>
              <w:t>8,371</w:t>
            </w:r>
          </w:p>
        </w:tc>
        <w:tc>
          <w:tcPr>
            <w:tcW w:type="dxa" w:w="1440"/>
            <w:shd w:fill="FFDCE0" w:val="clear"/>
          </w:tcPr>
          <w:p>
            <w:r>
              <w:rPr>
                <w:sz w:val="17"/>
              </w:rPr>
              <w:t>10,141</w:t>
            </w:r>
          </w:p>
        </w:tc>
        <w:tc>
          <w:tcPr>
            <w:tcW w:type="dxa" w:w="1440"/>
            <w:shd w:fill="FFDCE0" w:val="clear"/>
          </w:tcPr>
          <w:p>
            <w:r>
              <w:rPr>
                <w:b/>
                <w:color w:val="C00000"/>
                <w:sz w:val="17"/>
              </w:rPr>
              <w:t>-17.0%</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6,334</w:t>
            </w:r>
          </w:p>
        </w:tc>
        <w:tc>
          <w:tcPr>
            <w:tcW w:type="dxa" w:w="1440"/>
            <w:shd w:fill="FFDCE0" w:val="clear"/>
          </w:tcPr>
          <w:p>
            <w:r>
              <w:rPr>
                <w:b/>
                <w:sz w:val="17"/>
              </w:rPr>
              <w:t>8,150</w:t>
            </w:r>
          </w:p>
        </w:tc>
        <w:tc>
          <w:tcPr>
            <w:tcW w:type="dxa" w:w="1440"/>
            <w:shd w:fill="FFDCE0" w:val="clear"/>
          </w:tcPr>
          <w:p>
            <w:r>
              <w:rPr>
                <w:sz w:val="17"/>
              </w:rPr>
              <w:t>9,967</w:t>
            </w:r>
          </w:p>
        </w:tc>
        <w:tc>
          <w:tcPr>
            <w:tcW w:type="dxa" w:w="1440"/>
            <w:shd w:fill="FFDCE0" w:val="clear"/>
          </w:tcPr>
          <w:p>
            <w:r>
              <w:rPr>
                <w:b/>
                <w:color w:val="C00000"/>
                <w:sz w:val="17"/>
              </w:rPr>
              <w:t>-19.1%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6,05 milliards FCFA, un niveau modeste qui la classe parmi les petites capitalisations de la BRVM, reflétant une liquidité limitée avec un volume moyen de seulement 97 titres par jour. Les ratios de valorisation traditionnels (BPA, PER, P/B, EV/EBITDA) ne sont pas calculables en raison de l'absence de données financières structurées récentes dans la base de données, ce qui constitue une limite importante pour évaluer si le marché valorise correctement la société. Néanmoins, sur la base des derniers résultats disponibles (bénéfice net de 19,25 millions FCFA en 2023), un BPA implicite d'environ 32 FCFA par action (pour 600 000 actions) suggère un PER implicite d'environ 315x, extrêmement élevé par rapport à la moyenne BRVM de 8-12x, indiquant une valorisation très spéculative. Cette situation s'explique par la forte appréciation récente du cours (+165% en 100 jours) sans amélioration proportionnelle des fondamentaux, créant un déséquilibre majeur entre le prix de marché et la valeur intrinsèque de l'entreprise.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L'action SICOR a connu une progression spectaculaire de +165,26% sur la période de 100 jours, avec une dernière séance en hausse de +7,46%, portant le cours à 10 080 FCFA, son plus haut niveau historique. Le range de trading s'étend de 3 765 FCFA (plus bas) à 10 080 FCFA (plus haut), illustrant une amplitude de variation de 168% qui témoigne d'un mouvement haussier extrêmement violent. La moyenne du cours sur la période (4 869 FCFA) est nettement supérieure à la médiane (4 455 FCFA), confirmant une distribution asymétrique positive (skewness de 2,385) où les journées sous la moyenne sont plus fréquentes mais compensées par des pics de hausse. L'écart-type de 1 169 FCFA (coefficient de variation de 24%) révèle une dispersion importante, tandis que le kurtosis excédentaire de 6,039 indique des queues de distribution épaisses, signe de mouvements extrêmes et de risque de retournement brutal. La volatilité annualisée de 57,1% classe le titre dans la catégorie très élevée (&gt;30%), confirmant un profil de risque spéculatif où les variations de prix peuvent être amplifiées dans les deux sens.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(10 080 FCFA) évolue nettement au-dessus de la MM20 (6 730,5 FCFA) et de la MM50 (5 538,5 FCFA), avec un écart de +50% par rapport à la MM20, traduisant une tendance haussière extrêmement forte mais potentiellement excessive. La configuration des moyennes mobiles (MM20 &gt; MM50) confirme la dynamique positive, mais l'écart important entre le prix et les moyennes suggère une possible correction technique à moyen terme.</w:t>
      </w:r>
    </w:p>
    <w:p>
      <w:pPr>
        <w:spacing w:after="120" w:line="276" w:lineRule="auto"/>
      </w:pPr>
      <w:r>
        <w:t>**Bandes de Bollinger** : Le prix se situe au-dessus de la borne supérieure (9 572,8 FCFA), indiquant une condition de surachat extrême. La largeur des bandes (de 3 888 à 9 573 FCFA) reflète une volatilité très élevée, et le franchissement de la borne supérieure signale une extension excessive qui précède souvent un repli technique. La décision de vente est cohérente avec cette lecture.</w:t>
      </w:r>
    </w:p>
    <w:p>
      <w:pPr>
        <w:spacing w:after="120" w:line="276" w:lineRule="auto"/>
      </w:pPr>
      <w:r>
        <w:t>**MACD** : Le MACD (1 059,1) reste nettement au-dessus de sa ligne de signal (710,9), confirmant un momentum haussier toujours actif. Cependant, l'écart important entre les deux lignes suggère une possible saturation du mouvement, et un éventuel croisement baissier pourrait signaler un retournement. La décision d'achat reflète la persistance du momentum mais avec un risque croissant de correction.</w:t>
      </w:r>
    </w:p>
    <w:p>
      <w:pPr>
        <w:spacing w:after="120" w:line="276" w:lineRule="auto"/>
      </w:pPr>
      <w:r>
        <w:t>**RSI** : Le RSI à 93,2 est extrêmement suracheté, bien au-delà du seuil de 70 qui indique déjà une condition de surachat. Cette valeur extrême témoigne d'un mouvement haussier sans précédent et signale un risque élevé de retournement technique. La décision de vente est justifiée par cette lecture, car les niveaux de surachat aussi élevés sont rarement soutenables sur la durée.</w:t>
      </w:r>
    </w:p>
    <w:p>
      <w:pPr>
        <w:spacing w:after="120" w:line="276" w:lineRule="auto"/>
      </w:pPr>
      <w:r>
        <w:t>**Stochastique** : Le %K et le %D sont tous deux à 100, indiquant une condition de surachat maximal. Cette configuration extrême suggère que le marché a poussé le prix à son niveau maximum dans la période récente, et un croisement baissier du %K sous le %D pourrait déclencher une correction significative. La décision de vente est cohérente avec cette analyse.</w:t>
      </w:r>
    </w:p>
    <w:p>
      <w:pPr>
        <w:spacing w:after="120" w:line="276" w:lineRule="auto"/>
      </w:pPr>
      <w:r>
        <w:t>**Conclusion technique** : La convergence des indicateurs (RSI, Stochastique, Bandes de Bollinger) vers des zones de surachat extrême, malgré un momentum positif (MACD, MM), crée un signal contradictoire. Le marché semble avoir anticipé une amélioration fondamentale qui n'est pas encore confirmée, et la probabilité d'une correction technique à court terme est élevée.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SICOR révèlent une trajectoire contrastée. En 2023 (rapport daté du 31/12/2024), le chiffre d'affaires s'établit à 701,09 millions FCFA, en forte baisse de 38,4% par rapport à 2022 (1 138,17 millions FCFA), mais le résultat net redevient positif à +19,25 millions FCFA contre -39,95 millions en 2022, grâce à une réduction drastique des charges (-43,68%). La marge nette de 2,75% reste faible comparée au secteur agro-industriel (5-10%), et les pertes cumulées s'élèvent à 689,86 millions FCFA, interdisant toute distribution de dividende conformément à l'Acte Uniforme OHADA. En 2022, le CA était déjà en baisse de 17,58% par rapport à 2021 (1 380,99 millions FCFA), avec une perte nette de -39,95 millions FCFA, illustrant une tendance baissière de l'activité sur plusieurs exercices. Le rapport de 2021 montrait un bénéfice de 119,2 millions FCFA mais de qualité discutable, soutenu par des reprises de provisions non récurrentes (+66 millions). Les rapports historiques (2015-2019) confirment une rentabilité volatile avec des marges nettes oscillant entre 0,13% et 15,7%. Les risques identifiés incluent les vols de noix de coco, la dépendance aux cours mondiaux du coprah, et une trésorerie tendue avec des découverts bancaires multipliés par 14 en 2023. La convocation à l'AGO du 22 mai 2026 pour approuver les comptes 2024 suggère une continuité d'exploitation, mais sans données 2024-2025 disponibles, les perspectives restent incertaines. La recommandation fondamentale est CONSERVER avec vigilance, car le retour à la profitabilité est fragile et dépend de la maîtrise des coûts et de la reprise des volumes.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révèle une divergence majeure entre la valorisation boursière, les signaux techniques et les fondamentaux. La valorisation implicite (PER estimé à 315x) est extrêmement surévaluée par rapport à la moyenne BRVM, tandis que le comportement du cours (+165% en 100 jours, volatilité de 57,1%, kurtosis de 6,04) témoigne d'un mouvement spéculatif intense avec un risque élevé de retournement. Les signaux techniques sont contradictoires : momentum positif (MACD, MM) mais surachat extrême (RSI 93,2, Stochastique 100, prix au-dessus des bandes de Bollinger), suggérant une correction technique imminente. Les fondamentaux montrent une entreprise fragile avec un CA en baisse, des marges faibles, des pertes cumulées importantes et aucun dividende depuis 2017. Les prédictions IA (9 860 à 9 313 FCFA sur J+1 à J+10) confirment cette analyse en projetant un repli progressif du cours, cohérent avec les signaux de surachat. La recommandation finale est **VENTE** avec un niveau de confiance **Élevé** et un risque global **Élevé**. Le niveau de risque est amplifié par la faible liquidité du titre (97 titres/jour) qui peut exacerber les mouvements de prix. L'horizon d'investissement optimal serait le court terme (&lt;3 mois) pour les investisseurs cherchant à capitaliser sur un éventuel rebond technique, mais la prudence est absolument requise pour les positions long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"Activité en croissance mais rentabilité nette quasi nulle, plombée par les charges financières et un report à nouveau lourdement négatif. Structure fragile, à conserver avec prudence."}</w:t>
      </w:r>
    </w:p>
    <w:p>
      <w:pPr>
        <w:spacing w:before="40"/>
        <w:ind w:left="400"/>
      </w:pPr>
      <w:r>
        <w:rPr>
          <w:sz w:val="18"/>
        </w:rPr>
        <w:t>SICOR (Société Ivoirienne de Coco Râpé) clôture l'exercice 2019 sur un bénéfice net symbolique de 2,35 M FCFA, en très net repli par rapport aux 989 M de 2018 (année dopée par un résultat hors activités ordinaires exceptionnel de +946 M). L'activité progresse pourtant : chiffre d'affaires de 1,86 Md (+33 %) et EBE de 239 M. Le bénéfice est laminé par un résultat financier négatif (-73,7 M) et un résultat HAO négatif (-87 M). Le report à nouveau reste lourdement déficitaire (-881 M) et la trésorerie nette est négative (-62 M). Structure financière fragile malgré des capitaux propres de 2,90 Md.</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'149 millions FCFA', 'resultat_exploitation': '163 millions FCFA', 'excedent_brut_exploitation': '239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0,13 %</w:t>
            </w:r>
          </w:p>
        </w:tc>
        <w:tc>
          <w:tcPr>
            <w:tcW w:type="dxa" w:w="2160"/>
          </w:tcPr>
          <w:p>
            <w:pPr>
              <w:ind w:left="100"/>
            </w:pPr>
            <w:r/>
            <w:r>
              <w:rPr>
                <w:b/>
                <w:sz w:val="16"/>
              </w:rPr>
              <w:t>total_actif</w:t>
              <w:br/>
            </w:r>
            <w:r>
              <w:rPr>
                <w:sz w:val="18"/>
              </w:rPr>
              <w:t>3,93 milliards FCFA</w:t>
            </w:r>
          </w:p>
        </w:tc>
      </w:tr>
      <w:tr>
        <w:tc>
          <w:tcPr>
            <w:tcW w:type="dxa" w:w="2160"/>
          </w:tcPr>
          <w:p>
            <w:r/>
            <w:r>
              <w:rPr>
                <w:b/>
                <w:sz w:val="16"/>
              </w:rPr>
              <w:t>resultat_net</w:t>
              <w:br/>
            </w:r>
            <w:r>
              <w:rPr>
                <w:sz w:val="18"/>
              </w:rPr>
              <w:t>2,35 millions FCFA (bénéfice)</w:t>
            </w:r>
          </w:p>
        </w:tc>
        <w:tc>
          <w:tcPr>
            <w:tcW w:type="dxa" w:w="2160"/>
          </w:tcPr>
          <w:p>
            <w:r/>
            <w:r>
              <w:rPr>
                <w:b/>
                <w:sz w:val="16"/>
              </w:rPr>
              <w:t>capitaux_propres</w:t>
              <w:br/>
            </w:r>
            <w:r>
              <w:rPr>
                <w:sz w:val="18"/>
              </w:rPr>
              <w:t>2,90 milliards FCFA</w:t>
            </w:r>
          </w:p>
        </w:tc>
        <w:tc>
          <w:tcPr>
            <w:tcW w:type="dxa" w:w="2160"/>
          </w:tcPr>
          <w:p>
            <w:r/>
            <w:r>
              <w:rPr>
                <w:b/>
                <w:sz w:val="16"/>
              </w:rPr>
              <w:t>chiffre_affaires</w:t>
              <w:br/>
            </w:r>
            <w:r>
              <w:rPr>
                <w:sz w:val="18"/>
              </w:rPr>
              <w:t>1,86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1,86 Md FCFA, en hausse de 33 %</w:t>
      </w:r>
    </w:p>
    <w:p>
      <w:pPr>
        <w:pStyle w:val="ListBullet"/>
        <w:spacing w:before="20" w:after="20"/>
        <w:ind w:left="700"/>
      </w:pPr>
      <w:r>
        <w:rPr>
          <w:sz w:val="18"/>
        </w:rPr>
        <w:t>EBE 239 M FCFA, résultat d'exploitation 163 M</w:t>
      </w:r>
    </w:p>
    <w:p>
      <w:pPr>
        <w:pStyle w:val="ListBullet"/>
        <w:spacing w:before="20" w:after="20"/>
        <w:ind w:left="700"/>
      </w:pPr>
      <w:r>
        <w:rPr>
          <w:sz w:val="18"/>
        </w:rPr>
        <w:t>Bénéfice net symbolique : 2,35 M FCFA (contre 989 M en 2018, année exceptionnelle)</w:t>
      </w:r>
    </w:p>
    <w:p>
      <w:pPr>
        <w:pStyle w:val="ListBullet"/>
        <w:spacing w:before="20" w:after="20"/>
        <w:ind w:left="700"/>
      </w:pPr>
      <w:r>
        <w:rPr>
          <w:sz w:val="18"/>
        </w:rPr>
        <w:t>Résultat financier négatif (-73,7 M) et HAO négatif (-87 M) érodent le résultat</w:t>
      </w:r>
    </w:p>
    <w:p>
      <w:pPr>
        <w:pStyle w:val="ListBullet"/>
        <w:spacing w:before="20" w:after="20"/>
        <w:ind w:left="700"/>
      </w:pPr>
      <w:r>
        <w:rPr>
          <w:sz w:val="18"/>
        </w:rPr>
        <w:t>Report à nouveau déficitaire : -881 M FCFA</w:t>
      </w:r>
    </w:p>
    <w:p>
      <w:pPr>
        <w:pStyle w:val="ListBullet"/>
        <w:spacing w:before="20" w:after="20"/>
        <w:ind w:left="700"/>
      </w:pPr>
      <w:r>
        <w:rPr>
          <w:sz w:val="18"/>
        </w:rPr>
        <w:t>Trésorerie nette négative : -62 M FCFA</w:t>
      </w:r>
    </w:p>
    <w:p>
      <w:pPr>
        <w:spacing w:before="40"/>
        <w:ind w:left="400"/>
      </w:pPr>
      <w:r>
        <w:rPr>
          <w:b/>
          <w:color w:val="C05000"/>
          <w:sz w:val="18"/>
        </w:rPr>
        <w:t xml:space="preserve">⚠️ Risques : </w:t>
      </w:r>
      <w:r>
        <w:rPr>
          <w:sz w:val="18"/>
        </w:rPr>
        <w:t>["Report à nouveau lourdement négatif (-881 M) interdisant toute distribution", "Résultat financier structurellement négatif (-73,7 M)", "Trésorerie nette négative (-62 M), dépendance aux découverts bancaires", "Bénéfice net très faible, dépendant d'éléments non opérationnels"]</w:t>
      </w:r>
    </w:p>
    <w:p>
      <w:pPr>
        <w:spacing w:before="40"/>
        <w:ind w:left="400"/>
      </w:pPr>
      <w:r>
        <w:rPr>
          <w:b/>
          <w:color w:val="0064A0"/>
          <w:sz w:val="18"/>
        </w:rPr>
        <w:t xml:space="preserve">🔮 Perspectives : </w:t>
      </w:r>
      <w:r>
        <w:rPr>
          <w:sz w:val="18"/>
        </w:rPr>
        <w:t>L'amélioration du chiffre d'affaires et un EBE solide montrent une base d'exploitation saine, mais le redressement passe par la réduction des charges financières et l'apurement du report à nouveau. La rentabilité nette reste trop mince pour reconstituer les fonds propres rapidement.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21.22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5,629 titres</w:t>
            </w:r>
          </w:p>
        </w:tc>
        <w:tc>
          <w:tcPr>
            <w:tcW w:type="dxa" w:w="2268"/>
            <w:shd w:fill="FFF2CC" w:val="clear"/>
          </w:tcPr>
          <w:p>
            <w:r>
              <w:rPr>
                <w:b/>
                <w:color w:val="503200"/>
                <w:sz w:val="16"/>
              </w:rPr>
              <w:t xml:space="preserve">Cours actuel : </w:t>
            </w:r>
            <w:r>
              <w:rPr>
                <w:color w:val="000000"/>
                <w:sz w:val="17"/>
              </w:rPr>
              <w:t>2,430 FCFA</w:t>
            </w:r>
          </w:p>
          <w:p>
            <w:r>
              <w:rPr>
                <w:b/>
                <w:color w:val="503200"/>
                <w:sz w:val="16"/>
              </w:rPr>
              <w:t xml:space="preserve">Var. 100 jours : </w:t>
            </w:r>
            <w:r>
              <w:rPr>
                <w:b/>
                <w:color w:val="B40000"/>
                <w:sz w:val="17"/>
              </w:rPr>
              <w:t>-9.67%</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11.05% (Moyenne) — μ=2,638 FCFA, σ=292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β=0.4314 (Défensif) — Cov=0.000016, Var(idx)=0.000036, ρ=0.079,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5,629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σ_j=3.30%/j (Modérée) — Vol. annualisée≈52.4%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2,082</w:t>
            </w:r>
          </w:p>
        </w:tc>
        <w:tc>
          <w:tcPr>
            <w:tcW w:type="dxa" w:w="1440"/>
            <w:shd w:fill="FFDCE0" w:val="clear"/>
          </w:tcPr>
          <w:p>
            <w:r>
              <w:rPr>
                <w:b/>
                <w:sz w:val="17"/>
              </w:rPr>
              <w:t>2,248</w:t>
            </w:r>
          </w:p>
        </w:tc>
        <w:tc>
          <w:tcPr>
            <w:tcW w:type="dxa" w:w="1440"/>
            <w:shd w:fill="FFDCE0" w:val="clear"/>
          </w:tcPr>
          <w:p>
            <w:r>
              <w:rPr>
                <w:sz w:val="17"/>
              </w:rPr>
              <w:t>2,415</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1,986</w:t>
            </w:r>
          </w:p>
        </w:tc>
        <w:tc>
          <w:tcPr>
            <w:tcW w:type="dxa" w:w="1440"/>
            <w:shd w:fill="FFDCE0" w:val="clear"/>
          </w:tcPr>
          <w:p>
            <w:r>
              <w:rPr>
                <w:b/>
                <w:sz w:val="17"/>
              </w:rPr>
              <w:t>2,217</w:t>
            </w:r>
          </w:p>
        </w:tc>
        <w:tc>
          <w:tcPr>
            <w:tcW w:type="dxa" w:w="1440"/>
            <w:shd w:fill="FFDCE0" w:val="clear"/>
          </w:tcPr>
          <w:p>
            <w:r>
              <w:rPr>
                <w:sz w:val="17"/>
              </w:rPr>
              <w:t>2,449</w:t>
            </w:r>
          </w:p>
        </w:tc>
        <w:tc>
          <w:tcPr>
            <w:tcW w:type="dxa" w:w="1440"/>
            <w:shd w:fill="FFDCE0" w:val="clear"/>
          </w:tcPr>
          <w:p>
            <w:r>
              <w:rPr>
                <w:b/>
                <w:color w:val="C00000"/>
                <w:sz w:val="17"/>
              </w:rPr>
              <w:t>-8.8%</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1,893</w:t>
            </w:r>
          </w:p>
        </w:tc>
        <w:tc>
          <w:tcPr>
            <w:tcW w:type="dxa" w:w="1440"/>
            <w:shd w:fill="FFDCE0" w:val="clear"/>
          </w:tcPr>
          <w:p>
            <w:r>
              <w:rPr>
                <w:b/>
                <w:sz w:val="17"/>
              </w:rPr>
              <w:t>2,171</w:t>
            </w:r>
          </w:p>
        </w:tc>
        <w:tc>
          <w:tcPr>
            <w:tcW w:type="dxa" w:w="1440"/>
            <w:shd w:fill="FFDCE0" w:val="clear"/>
          </w:tcPr>
          <w:p>
            <w:r>
              <w:rPr>
                <w:sz w:val="17"/>
              </w:rPr>
              <w:t>2,448</w:t>
            </w:r>
          </w:p>
        </w:tc>
        <w:tc>
          <w:tcPr>
            <w:tcW w:type="dxa" w:w="1440"/>
            <w:shd w:fill="FFDCE0" w:val="clear"/>
          </w:tcPr>
          <w:p>
            <w:r>
              <w:rPr>
                <w:b/>
                <w:color w:val="C00000"/>
                <w:sz w:val="17"/>
              </w:rPr>
              <w:t>-10.7%</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1,808</w:t>
            </w:r>
          </w:p>
        </w:tc>
        <w:tc>
          <w:tcPr>
            <w:tcW w:type="dxa" w:w="1440"/>
            <w:shd w:fill="FFDCE0" w:val="clear"/>
          </w:tcPr>
          <w:p>
            <w:r>
              <w:rPr>
                <w:b/>
                <w:sz w:val="17"/>
              </w:rPr>
              <w:t>2,121</w:t>
            </w:r>
          </w:p>
        </w:tc>
        <w:tc>
          <w:tcPr>
            <w:tcW w:type="dxa" w:w="1440"/>
            <w:shd w:fill="FFDCE0" w:val="clear"/>
          </w:tcPr>
          <w:p>
            <w:r>
              <w:rPr>
                <w:sz w:val="17"/>
              </w:rPr>
              <w:t>2,435</w:t>
            </w:r>
          </w:p>
        </w:tc>
        <w:tc>
          <w:tcPr>
            <w:tcW w:type="dxa" w:w="1440"/>
            <w:shd w:fill="FFDCE0" w:val="clear"/>
          </w:tcPr>
          <w:p>
            <w:r>
              <w:rPr>
                <w:b/>
                <w:color w:val="C00000"/>
                <w:sz w:val="17"/>
              </w:rPr>
              <w:t>-12.7%</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1,731</w:t>
            </w:r>
          </w:p>
        </w:tc>
        <w:tc>
          <w:tcPr>
            <w:tcW w:type="dxa" w:w="1440"/>
            <w:shd w:fill="FFDCE0" w:val="clear"/>
          </w:tcPr>
          <w:p>
            <w:r>
              <w:rPr>
                <w:b/>
                <w:sz w:val="17"/>
              </w:rPr>
              <w:t>2,073</w:t>
            </w:r>
          </w:p>
        </w:tc>
        <w:tc>
          <w:tcPr>
            <w:tcW w:type="dxa" w:w="1440"/>
            <w:shd w:fill="FFDCE0" w:val="clear"/>
          </w:tcPr>
          <w:p>
            <w:r>
              <w:rPr>
                <w:sz w:val="17"/>
              </w:rPr>
              <w:t>2,415</w:t>
            </w:r>
          </w:p>
        </w:tc>
        <w:tc>
          <w:tcPr>
            <w:tcW w:type="dxa" w:w="1440"/>
            <w:shd w:fill="FFDCE0" w:val="clear"/>
          </w:tcPr>
          <w:p>
            <w:r>
              <w:rPr>
                <w:b/>
                <w:color w:val="C00000"/>
                <w:sz w:val="17"/>
              </w:rPr>
              <w:t>-14.7%</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1,659</w:t>
            </w:r>
          </w:p>
        </w:tc>
        <w:tc>
          <w:tcPr>
            <w:tcW w:type="dxa" w:w="1440"/>
            <w:shd w:fill="FFDCE0" w:val="clear"/>
          </w:tcPr>
          <w:p>
            <w:r>
              <w:rPr>
                <w:b/>
                <w:sz w:val="17"/>
              </w:rPr>
              <w:t>2,026</w:t>
            </w:r>
          </w:p>
        </w:tc>
        <w:tc>
          <w:tcPr>
            <w:tcW w:type="dxa" w:w="1440"/>
            <w:shd w:fill="FFDCE0" w:val="clear"/>
          </w:tcPr>
          <w:p>
            <w:r>
              <w:rPr>
                <w:sz w:val="17"/>
              </w:rPr>
              <w:t>2,392</w:t>
            </w:r>
          </w:p>
        </w:tc>
        <w:tc>
          <w:tcPr>
            <w:tcW w:type="dxa" w:w="1440"/>
            <w:shd w:fill="FFDCE0" w:val="clear"/>
          </w:tcPr>
          <w:p>
            <w:r>
              <w:rPr>
                <w:b/>
                <w:color w:val="C00000"/>
                <w:sz w:val="17"/>
              </w:rPr>
              <w:t>-16.6%</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1,593</w:t>
            </w:r>
          </w:p>
        </w:tc>
        <w:tc>
          <w:tcPr>
            <w:tcW w:type="dxa" w:w="1440"/>
            <w:shd w:fill="FFDCE0" w:val="clear"/>
          </w:tcPr>
          <w:p>
            <w:r>
              <w:rPr>
                <w:b/>
                <w:sz w:val="17"/>
              </w:rPr>
              <w:t>1,980</w:t>
            </w:r>
          </w:p>
        </w:tc>
        <w:tc>
          <w:tcPr>
            <w:tcW w:type="dxa" w:w="1440"/>
            <w:shd w:fill="FFDCE0" w:val="clear"/>
          </w:tcPr>
          <w:p>
            <w:r>
              <w:rPr>
                <w:sz w:val="17"/>
              </w:rPr>
              <w:t>2,367</w:t>
            </w:r>
          </w:p>
        </w:tc>
        <w:tc>
          <w:tcPr>
            <w:tcW w:type="dxa" w:w="1440"/>
            <w:shd w:fill="FFDCE0" w:val="clear"/>
          </w:tcPr>
          <w:p>
            <w:r>
              <w:rPr>
                <w:b/>
                <w:color w:val="C00000"/>
                <w:sz w:val="17"/>
              </w:rPr>
              <w:t>-18.5%</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1,532</w:t>
            </w:r>
          </w:p>
        </w:tc>
        <w:tc>
          <w:tcPr>
            <w:tcW w:type="dxa" w:w="1440"/>
            <w:shd w:fill="FFDCE0" w:val="clear"/>
          </w:tcPr>
          <w:p>
            <w:r>
              <w:rPr>
                <w:b/>
                <w:sz w:val="17"/>
              </w:rPr>
              <w:t>1,936</w:t>
            </w:r>
          </w:p>
        </w:tc>
        <w:tc>
          <w:tcPr>
            <w:tcW w:type="dxa" w:w="1440"/>
            <w:shd w:fill="FFDCE0" w:val="clear"/>
          </w:tcPr>
          <w:p>
            <w:r>
              <w:rPr>
                <w:sz w:val="17"/>
              </w:rPr>
              <w:t>2,341</w:t>
            </w:r>
          </w:p>
        </w:tc>
        <w:tc>
          <w:tcPr>
            <w:tcW w:type="dxa" w:w="1440"/>
            <w:shd w:fill="FFDCE0" w:val="clear"/>
          </w:tcPr>
          <w:p>
            <w:r>
              <w:rPr>
                <w:b/>
                <w:color w:val="C00000"/>
                <w:sz w:val="17"/>
              </w:rPr>
              <w:t>-20.3%</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1,474</w:t>
            </w:r>
          </w:p>
        </w:tc>
        <w:tc>
          <w:tcPr>
            <w:tcW w:type="dxa" w:w="1440"/>
            <w:shd w:fill="FFDCE0" w:val="clear"/>
          </w:tcPr>
          <w:p>
            <w:r>
              <w:rPr>
                <w:b/>
                <w:sz w:val="17"/>
              </w:rPr>
              <w:t>1,894</w:t>
            </w:r>
          </w:p>
        </w:tc>
        <w:tc>
          <w:tcPr>
            <w:tcW w:type="dxa" w:w="1440"/>
            <w:shd w:fill="FFDCE0" w:val="clear"/>
          </w:tcPr>
          <w:p>
            <w:r>
              <w:rPr>
                <w:sz w:val="17"/>
              </w:rPr>
              <w:t>2,313</w:t>
            </w:r>
          </w:p>
        </w:tc>
        <w:tc>
          <w:tcPr>
            <w:tcW w:type="dxa" w:w="1440"/>
            <w:shd w:fill="FFDCE0" w:val="clear"/>
          </w:tcPr>
          <w:p>
            <w:r>
              <w:rPr>
                <w:b/>
                <w:color w:val="C00000"/>
                <w:sz w:val="17"/>
              </w:rPr>
              <w:t>-22.1%</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1,420</w:t>
            </w:r>
          </w:p>
        </w:tc>
        <w:tc>
          <w:tcPr>
            <w:tcW w:type="dxa" w:w="1440"/>
            <w:shd w:fill="FFDCE0" w:val="clear"/>
          </w:tcPr>
          <w:p>
            <w:r>
              <w:rPr>
                <w:b/>
                <w:sz w:val="17"/>
              </w:rPr>
              <w:t>1,853</w:t>
            </w:r>
          </w:p>
        </w:tc>
        <w:tc>
          <w:tcPr>
            <w:tcW w:type="dxa" w:w="1440"/>
            <w:shd w:fill="FFDCE0" w:val="clear"/>
          </w:tcPr>
          <w:p>
            <w:r>
              <w:rPr>
                <w:sz w:val="17"/>
              </w:rPr>
              <w:t>2,285</w:t>
            </w:r>
          </w:p>
        </w:tc>
        <w:tc>
          <w:tcPr>
            <w:tcW w:type="dxa" w:w="1440"/>
            <w:shd w:fill="FFDCE0" w:val="clear"/>
          </w:tcPr>
          <w:p>
            <w:r>
              <w:rPr>
                <w:b/>
                <w:color w:val="C00000"/>
                <w:sz w:val="17"/>
              </w:rPr>
              <w:t>-23.8%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COTE D'IVOIRE (BRVM)**</w:t>
      </w:r>
    </w:p>
    <w:p>
      <w:pPr>
        <w:spacing w:after="120" w:line="276" w:lineRule="auto" w:before="240"/>
      </w:pPr>
      <w:r>
        <w:rPr>
          <w:b/>
          <w:color w:val="003366"/>
          <w:sz w:val="24"/>
        </w:rPr>
        <w:t>**PARTIE 0 : INDICATEURS DE VALORISATION BOURSIÈRE**</w:t>
      </w:r>
    </w:p>
    <w:p>
      <w:pPr>
        <w:spacing w:after="120" w:line="276" w:lineRule="auto"/>
      </w:pPr>
      <w:r>
        <w:t>La capitalisation boursière de SIVC s'établit à 21,22 milliards FCFA, un niveau modeste qui la classe parmi les valeurs moyennes de la cote BRVM. Le BPA de 43 FCFA par action est relativement faible, ce qui explique un PER de 56,3x, très largement supérieur à la moyenne du marché régional (8-12x). Les investisseurs paient donc un prix extrêmement élevé pour chaque franc de bénéfice généré, signe d'une valorisation très exigeante. Le P/B de 6,49x confirme cette surévaluation, le marché valorisant la société à plus de six fois sa valeur comptable. Enfin, l'EV/EBITDA de 17,6x, bien au-dessus du seuil de 15x jugé exigeant, indique que la valeur totale de l'entreprise (capitalisation plus dette nette) est très élevée par rapport à sa capacité opérationnelle. L'ensemble de ces ratios suggère une valorisation boursière nettement en avance sur les fondamentaux actuels de la société.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SIVC a enregistré une baisse significative de -9,67%, malgré un léger rebond de +0,83% lors de la dernière séance. Le cours a évolué dans une fourchette large de 1 920 FCFA (plus bas) à 3 215 FCFA (plus haut), illustrant une forte amplitude de trading. La moyenne du cours sur la période est de 2 638 FCFA, tandis que la médiane s'établit à 2 762 FCFA ; cet écart, couplé à un skewness négatif de -0,595, indique une distribution asymétrique avec davantage de journées au-dessus de la moyenne, mais des baisses plus prononcées. L'écart-type de 293 FCFA (CV = 11,1%) révèle une dispersion modérée des prix autour de la moyenne. Le kurtosis de -0,728 (mésokurtique) suggère une distribution proche de la normale, sans risque de pics extrêmes. La volatilité annualisée de 52,4% classe le titre dans la catégorie des valeurs à très forte volatilité (&gt;30%), ce qui implique un risque élevé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2 430 FCFA se situe au-dessus de la MM20 (2 256,5 FCFA) mais en dessous de la MM50 (2 426,0 FCFA). Cette configuration, avec un cours sous la moyenne à long terme, génère un signal de vente. La MM20 qui passe sous la MM50 confirmerait une tendance baissière à moyen terme.</w:t>
      </w:r>
    </w:p>
    <w:p>
      <w:pPr>
        <w:spacing w:after="120" w:line="276" w:lineRule="auto"/>
      </w:pPr>
      <w:r>
        <w:t>**Bandes de Bollinger** : Le prix évolue près de la borne supérieure (2 470,3 FCFA) après un rebond depuis la borne inférieure (2 042,7 FCFA). La largeur des bandes reflète la volatilité élevée du titre. La position actuelle du cours, dans la moitié supérieure des bandes, suggère un momentum positif à court terme, d'où une décision neutre.</w:t>
      </w:r>
    </w:p>
    <w:p>
      <w:pPr>
        <w:spacing w:after="120" w:line="276" w:lineRule="auto"/>
      </w:pPr>
      <w:r>
        <w:t>**MACD** : La valeur MACD (-5,234) est nettement supérieure à sa ligne de signal (-48,537), indiquant un croisement haussier récent. Cette divergence positive suggère un retournement du momentum à la hausse, justifiant une décision d'achat. Cependant, les valeurs restent négatives, ce qui signifie que la dynamique baissière de fond n'est pas totalement inversée.</w:t>
      </w:r>
    </w:p>
    <w:p>
      <w:pPr>
        <w:spacing w:after="120" w:line="276" w:lineRule="auto"/>
      </w:pPr>
      <w:r>
        <w:t>**RSI** : À 64,286, le RSI se situe dans la zone neutre (30-70), sans signal de surachat ni de survente. Cette valeur indique une pression acheteuse modérée, sans excès. La décision est neutre, le RSI n'étant pas encore en zone de surachat (&gt;70) qui pourrait déclencher un retournement.</w:t>
      </w:r>
    </w:p>
    <w:p>
      <w:pPr>
        <w:spacing w:after="120" w:line="276" w:lineRule="auto"/>
      </w:pPr>
      <w:r>
        <w:t>**Stochastique** : Le %K (100,0) et le %D (95,305) sont tous deux en zone de surachat extrême (&gt;80), avec un %K au maximum. Cette configuration signale un épuisement probable du mouvement haussier à court terme, justifiant une décision de vente. Un croisement baissier du %K sous le %D serait un signal de retournement.</w:t>
      </w:r>
    </w:p>
    <w:p>
      <w:pPr>
        <w:spacing w:after="120" w:line="276" w:lineRule="auto"/>
      </w:pPr>
      <w:r>
        <w:t>**Conclusion technique** : Les indicateurs sont mitigés avec une divergence nette entre le MACD (achat) et le Stochastique (vente). Les moyennes mobiles restent baissières tandis que le RSI est neutre. Cette configuration suggère une phase de consolidation avec un biais haussier à très court terme, mais une tendance de fond toujours baissière. La prudence est de mise.</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classent SIVC dans le secteur bancaire, avec un PNB de 9,283 milliards FCFA et un résultat net de 376,96 millions FCFA, soit une marge nette de 4,06%. Le ROE s'établit à 11,52% et le ROA à 2,69%, des niveaux corrects mais perfectibles. Le coefficient d'exploitation de 95,83% est très préoccupant pour une banque, la norme d'efficacité étant fixée sous 60%. Le coût du risque de 3,10% est élevé, signalant un risque de crédit significatif. Les dépôts clientèle (1,125 milliard FCFA) sont inférieurs aux créances clients (1,550 milliard FCFA), indiquant une transformation bancaire déséquilibrée. Selon le rapport annuel 2025 (analyse DeepSeek du 29 juin 2026), le chiffre d'affaires a progressé de +8,53% à 10,07 milliards FCFA, mais le résultat net a chuté de -52,4% à 179,29 millions FCFA, avec une marge nette réduite à 1,78%. Le rapport du 3ème trimestre 2025 (date inconnue) fait état d'un résultat net cumulé de 832,5 millions FCFA (+58%), avec une marge nette de 11%, laissant présager une amélioration significative pour l'exercice 2025. Le rapport du S1 2025 certifié confirme cette tendance avec un résultat net de 512,9 millions FCFA (+4,6%). La société a changé de dénomination pour devenir ERIUM COTE D'IVOIRE suite à la cession de la participation d'Air Liquide International à ERIUM LTD.</w:t>
      </w:r>
    </w:p>
    <w:p>
      <w:pPr>
        <w:spacing w:after="120" w:line="276" w:lineRule="auto" w:before="240"/>
      </w:pPr>
      <w:r>
        <w:rPr>
          <w:b/>
          <w:color w:val="003366"/>
          <w:sz w:val="24"/>
        </w:rPr>
        <w:t>**PARTIE 4 : CONCLUSION D'INVESTISSEMENT**</w:t>
      </w:r>
    </w:p>
    <w:p>
      <w:pPr>
        <w:spacing w:after="120" w:line="276" w:lineRule="auto"/>
      </w:pPr>
      <w:r>
        <w:t>La synthèse globale fait ressortir une situation contrastée. La valorisation (Partie 0) est extrêmement exigeante avec un PER de 56,3x et un P/B de 6,49x, indiquant une nette surévaluation. Le comportement du cours (Partie 1) montre une tendance baissière de -9,67% sur 100 jours avec une volatilité très élevée de 52,4%, signe d'instabilité. Les signaux techniques (Partie 2) sont divergents : le MACD est acheteur mais le Stochastique est suracheté et les moyennes mobiles baissières. Les fondamentaux (Partie 3) révèlent une amélioration trimestrielle encourageante en 2025, mais une dégradation annuelle de la rentabilité. Les prédictions IA (J+1 à J+10) anticipent une poursuite de la baisse vers 2 073 FCFA, contredisant le signal MACD. Cette convergence de signaux négatifs (valorisation excessive, tendance baissière, prédictions défavorables) malgré des fondamentaux en amélioration justifie une recommandation de **VENTE**. Le niveau de confiance est **Moyen**, le risque global **Élevé**, et l'horizon d'investissement optimal serait le **court terme (&lt;3 mois)** pour tout investisseur cherchant à réduire son exposition avant une possible correction plus profonde.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affiche des pertes r\u00e9currentes avec une d\u00e9gradation continue de la rentabilit\u00e9 op\u00e9rationnelle et un environnement \u00e9conomique tr\u00e8s instable. Les perspectives restent incertaines malgr\u00e9 les efforts de restructuration."}</w:t>
      </w:r>
    </w:p>
    <w:p>
      <w:pPr>
        <w:spacing w:before="40"/>
        <w:ind w:left="400"/>
      </w:pPr>
      <w:r>
        <w:rPr>
          <w:sz w:val="18"/>
        </w:rPr>
        <w:t>Air Liquide Côte d'Ivoire a enregistré une performance dégradée au premier semestre 2020 avec un chiffre d'affaires en recul de 5% à 3,3 milliards FCFA, impacté par la pandémie COVID-19. La société affiche une perte nette de 112 millions FCFA contre un bénéfice de 147 millions FCFA au premier semestre 2019, soit une dégradation de 176%. Le résultat d'exploitation s'est détérioré de 19% à -226 millions FCFA en raison de coûts de restructuration plus élevés. Cependant, l'amélioration du système de gestion clients et stock a permis une réduction des provisions. Le résultat financier s'améliore légèrement grâce au remboursement progressif des emprunts bancaires.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'resultat_financier': '-87 657 K.FCFA', 'resultat_exploitation': '-226 184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-112 006 K.FCFA (S1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3 303 060 K.FCFA (S1 2020)</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 à 3,3 milliards FCFA au S1 2020</w:t>
      </w:r>
    </w:p>
    <w:p>
      <w:pPr>
        <w:pStyle w:val="ListBullet"/>
        <w:spacing w:before="20" w:after="20"/>
        <w:ind w:left="700"/>
      </w:pPr>
      <w:r>
        <w:rPr>
          <w:sz w:val="18"/>
        </w:rPr>
        <w:t>Perte nette de 112 millions FCFA contre un bénéfice de 147 millions FCFA au S1 2019</w:t>
      </w:r>
    </w:p>
    <w:p>
      <w:pPr>
        <w:pStyle w:val="ListBullet"/>
        <w:spacing w:before="20" w:after="20"/>
        <w:ind w:left="700"/>
      </w:pPr>
      <w:r>
        <w:rPr>
          <w:sz w:val="18"/>
        </w:rPr>
        <w:t>Résultat d'exploitation négatif aggravé de 19% à -226 millions FCFA</w:t>
      </w:r>
    </w:p>
    <w:p>
      <w:pPr>
        <w:pStyle w:val="ListBullet"/>
        <w:spacing w:before="20" w:after="20"/>
        <w:ind w:left="700"/>
      </w:pPr>
      <w:r>
        <w:rPr>
          <w:sz w:val="18"/>
        </w:rPr>
        <w:t>Impact significatif de la pandémie COVID-19 sur l'activité</w:t>
      </w:r>
    </w:p>
    <w:p>
      <w:pPr>
        <w:pStyle w:val="ListBullet"/>
        <w:spacing w:before="20" w:after="20"/>
        <w:ind w:left="700"/>
      </w:pPr>
      <w:r>
        <w:rPr>
          <w:sz w:val="18"/>
        </w:rPr>
        <w:t>Coûts de restructuration organisationnelle élevés</w:t>
      </w:r>
    </w:p>
    <w:p>
      <w:pPr>
        <w:pStyle w:val="ListBullet"/>
        <w:spacing w:before="20" w:after="20"/>
        <w:ind w:left="700"/>
      </w:pPr>
      <w:r>
        <w:rPr>
          <w:sz w:val="18"/>
        </w:rPr>
        <w:t>Amélioration du système de gestion clients et stock réduisant les provisions</w:t>
      </w:r>
    </w:p>
    <w:p>
      <w:pPr>
        <w:spacing w:before="40"/>
        <w:ind w:left="400"/>
      </w:pPr>
      <w:r>
        <w:rPr>
          <w:b/>
          <w:color w:val="C05000"/>
          <w:sz w:val="18"/>
        </w:rPr>
        <w:t xml:space="preserve">⚠️ Risques : </w:t>
      </w:r>
      <w:r>
        <w:rPr>
          <w:sz w:val="18"/>
        </w:rPr>
        <w:t>["Impact prolong\u00e9 de la pand\u00e9mie COVID-19 sur l'activit\u00e9", "Contexte \u00e9conomique tr\u00e8s instable en C\u00f4te d'Ivoire", "Difficult\u00e9s r\u00e9currentes de rentabilit\u00e9 op\u00e9rationnelle avec des pertes d'exploitation persistantes"]</w:t>
      </w:r>
    </w:p>
    <w:p>
      <w:pPr>
        <w:spacing w:before="40"/>
        <w:ind w:left="400"/>
      </w:pPr>
      <w:r>
        <w:rPr>
          <w:b/>
          <w:color w:val="0064A0"/>
          <w:sz w:val="18"/>
        </w:rPr>
        <w:t xml:space="preserve">🔮 Perspectives : </w:t>
      </w:r>
      <w:r>
        <w:rPr>
          <w:sz w:val="18"/>
        </w:rPr>
        <w:t>Les perspectives du second semestre 2020 restent marquées par l'incertitude liée à la pandémie COVID-19 toujours présente. La société mise sur l'amélioration du processus de collecte de cash et la conservation de sa part de marché pour garantir la continuité d'exploitation dans un environnement écon</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613.17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1,053 titres</w:t>
            </w:r>
          </w:p>
        </w:tc>
        <w:tc>
          <w:tcPr>
            <w:tcW w:type="dxa" w:w="2268"/>
            <w:shd w:fill="FFF2CC" w:val="clear"/>
          </w:tcPr>
          <w:p>
            <w:r>
              <w:rPr>
                <w:b/>
                <w:color w:val="503200"/>
                <w:sz w:val="16"/>
              </w:rPr>
              <w:t xml:space="preserve">Cours actuel : </w:t>
            </w:r>
            <w:r>
              <w:rPr>
                <w:color w:val="000000"/>
                <w:sz w:val="17"/>
              </w:rPr>
              <w:t>37,250 FCFA</w:t>
            </w:r>
          </w:p>
          <w:p>
            <w:r>
              <w:rPr>
                <w:b/>
                <w:color w:val="503200"/>
                <w:sz w:val="16"/>
              </w:rPr>
              <w:t xml:space="preserve">Var. 100 jours : </w:t>
            </w:r>
            <w:r>
              <w:rPr>
                <w:b/>
                <w:color w:val="B40000"/>
                <w:sz w:val="17"/>
              </w:rPr>
              <w:t>-4.49%</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2.44% (Faible) — μ=38,444 FCFA, σ=939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β=0.2271 (Défensif) — Cov=0.000008, Var(idx)=0.000036, ρ=0.075,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1,053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σ_j=1.83%/j (Stable) — Vol. annualisée≈29.0%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36,122</w:t>
            </w:r>
          </w:p>
        </w:tc>
        <w:tc>
          <w:tcPr>
            <w:tcW w:type="dxa" w:w="1440"/>
            <w:shd w:fill="FAFAFA" w:val="clear"/>
          </w:tcPr>
          <w:p>
            <w:r>
              <w:rPr>
                <w:b/>
                <w:sz w:val="17"/>
              </w:rPr>
              <w:t>37,473</w:t>
            </w:r>
          </w:p>
        </w:tc>
        <w:tc>
          <w:tcPr>
            <w:tcW w:type="dxa" w:w="1440"/>
            <w:shd w:fill="FAFAFA" w:val="clear"/>
          </w:tcPr>
          <w:p>
            <w:r>
              <w:rPr>
                <w:sz w:val="17"/>
              </w:rPr>
              <w:t>38,824</w:t>
            </w:r>
          </w:p>
        </w:tc>
        <w:tc>
          <w:tcPr>
            <w:tcW w:type="dxa" w:w="1440"/>
            <w:shd w:fill="FAFAFA" w:val="clear"/>
          </w:tcPr>
          <w:p>
            <w:r>
              <w:rPr>
                <w:b/>
                <w:color w:val="008000"/>
                <w:sz w:val="17"/>
              </w:rPr>
              <w:t>+0.6%</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35,518</w:t>
            </w:r>
          </w:p>
        </w:tc>
        <w:tc>
          <w:tcPr>
            <w:tcW w:type="dxa" w:w="1440"/>
            <w:shd w:fill="FAFAFA" w:val="clear"/>
          </w:tcPr>
          <w:p>
            <w:r>
              <w:rPr>
                <w:b/>
                <w:sz w:val="17"/>
              </w:rPr>
              <w:t>37,426</w:t>
            </w:r>
          </w:p>
        </w:tc>
        <w:tc>
          <w:tcPr>
            <w:tcW w:type="dxa" w:w="1440"/>
            <w:shd w:fill="FAFAFA" w:val="clear"/>
          </w:tcPr>
          <w:p>
            <w:r>
              <w:rPr>
                <w:sz w:val="17"/>
              </w:rPr>
              <w:t>39,334</w:t>
            </w:r>
          </w:p>
        </w:tc>
        <w:tc>
          <w:tcPr>
            <w:tcW w:type="dxa" w:w="1440"/>
            <w:shd w:fill="FAFAFA" w:val="clear"/>
          </w:tcPr>
          <w:p>
            <w:r>
              <w:rPr>
                <w:b/>
                <w:color w:val="008000"/>
                <w:sz w:val="17"/>
              </w:rPr>
              <w:t>+0.5%</w:t>
            </w:r>
          </w:p>
        </w:tc>
      </w:tr>
      <w:tr>
        <w:tc>
          <w:tcPr>
            <w:tcW w:type="dxa" w:w="1440"/>
            <w:shd w:fill="FAFAFA" w:val="clear"/>
          </w:tcPr>
          <w:p>
            <w:r>
              <w:rPr>
                <w:sz w:val="17"/>
              </w:rPr>
              <w:t>J+3  Moyenne</w:t>
            </w:r>
          </w:p>
        </w:tc>
        <w:tc>
          <w:tcPr>
            <w:tcW w:type="dxa" w:w="1440"/>
            <w:shd w:fill="FAFAFA" w:val="clear"/>
          </w:tcPr>
          <w:p>
            <w:r>
              <w:rPr>
                <w:sz w:val="17"/>
              </w:rPr>
              <w:t>2026-08-19</w:t>
            </w:r>
          </w:p>
        </w:tc>
        <w:tc>
          <w:tcPr>
            <w:tcW w:type="dxa" w:w="1440"/>
            <w:shd w:fill="FAFAFA" w:val="clear"/>
          </w:tcPr>
          <w:p>
            <w:r>
              <w:rPr>
                <w:sz w:val="17"/>
              </w:rPr>
              <w:t>35,052</w:t>
            </w:r>
          </w:p>
        </w:tc>
        <w:tc>
          <w:tcPr>
            <w:tcW w:type="dxa" w:w="1440"/>
            <w:shd w:fill="FAFAFA" w:val="clear"/>
          </w:tcPr>
          <w:p>
            <w:r>
              <w:rPr>
                <w:b/>
                <w:sz w:val="17"/>
              </w:rPr>
              <w:t>37,387</w:t>
            </w:r>
          </w:p>
        </w:tc>
        <w:tc>
          <w:tcPr>
            <w:tcW w:type="dxa" w:w="1440"/>
            <w:shd w:fill="FAFAFA" w:val="clear"/>
          </w:tcPr>
          <w:p>
            <w:r>
              <w:rPr>
                <w:sz w:val="17"/>
              </w:rPr>
              <w:t>39,721</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34,657</w:t>
            </w:r>
          </w:p>
        </w:tc>
        <w:tc>
          <w:tcPr>
            <w:tcW w:type="dxa" w:w="1440"/>
            <w:shd w:fill="FAFAFA" w:val="clear"/>
          </w:tcPr>
          <w:p>
            <w:r>
              <w:rPr>
                <w:b/>
                <w:sz w:val="17"/>
              </w:rPr>
              <w:t>37,350</w:t>
            </w:r>
          </w:p>
        </w:tc>
        <w:tc>
          <w:tcPr>
            <w:tcW w:type="dxa" w:w="1440"/>
            <w:shd w:fill="FAFAFA" w:val="clear"/>
          </w:tcPr>
          <w:p>
            <w:r>
              <w:rPr>
                <w:sz w:val="17"/>
              </w:rPr>
              <w:t>40,043</w:t>
            </w:r>
          </w:p>
        </w:tc>
        <w:tc>
          <w:tcPr>
            <w:tcW w:type="dxa" w:w="1440"/>
            <w:shd w:fill="FAFAFA" w:val="clear"/>
          </w:tcPr>
          <w:p>
            <w:r>
              <w:rPr>
                <w:b/>
                <w:color w:val="008000"/>
                <w:sz w:val="17"/>
              </w:rPr>
              <w:t>+0.3%</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34,307</w:t>
            </w:r>
          </w:p>
        </w:tc>
        <w:tc>
          <w:tcPr>
            <w:tcW w:type="dxa" w:w="1440"/>
            <w:shd w:fill="FAFAFA" w:val="clear"/>
          </w:tcPr>
          <w:p>
            <w:r>
              <w:rPr>
                <w:b/>
                <w:sz w:val="17"/>
              </w:rPr>
              <w:t>37,315</w:t>
            </w:r>
          </w:p>
        </w:tc>
        <w:tc>
          <w:tcPr>
            <w:tcW w:type="dxa" w:w="1440"/>
            <w:shd w:fill="FAFAFA" w:val="clear"/>
          </w:tcPr>
          <w:p>
            <w:r>
              <w:rPr>
                <w:sz w:val="17"/>
              </w:rPr>
              <w:t>40,323</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2026-08-24</w:t>
            </w:r>
          </w:p>
        </w:tc>
        <w:tc>
          <w:tcPr>
            <w:tcW w:type="dxa" w:w="1440"/>
            <w:shd w:fill="FAFAFA" w:val="clear"/>
          </w:tcPr>
          <w:p>
            <w:r>
              <w:rPr>
                <w:sz w:val="17"/>
              </w:rPr>
              <w:t>33,988</w:t>
            </w:r>
          </w:p>
        </w:tc>
        <w:tc>
          <w:tcPr>
            <w:tcW w:type="dxa" w:w="1440"/>
            <w:shd w:fill="FAFAFA" w:val="clear"/>
          </w:tcPr>
          <w:p>
            <w:r>
              <w:rPr>
                <w:b/>
                <w:sz w:val="17"/>
              </w:rPr>
              <w:t>37,281</w:t>
            </w:r>
          </w:p>
        </w:tc>
        <w:tc>
          <w:tcPr>
            <w:tcW w:type="dxa" w:w="1440"/>
            <w:shd w:fill="FAFAFA" w:val="clear"/>
          </w:tcPr>
          <w:p>
            <w:r>
              <w:rPr>
                <w:sz w:val="17"/>
              </w:rPr>
              <w:t>40,573</w:t>
            </w:r>
          </w:p>
        </w:tc>
        <w:tc>
          <w:tcPr>
            <w:tcW w:type="dxa" w:w="1440"/>
            <w:shd w:fill="FAFAFA" w:val="clear"/>
          </w:tcPr>
          <w:p>
            <w:r>
              <w:rPr>
                <w:b/>
                <w:color w:val="008000"/>
                <w:sz w:val="17"/>
              </w:rPr>
              <w:t>+0.1%</w:t>
            </w:r>
          </w:p>
        </w:tc>
      </w:tr>
      <w:tr>
        <w:tc>
          <w:tcPr>
            <w:tcW w:type="dxa" w:w="1440"/>
            <w:shd w:fill="FAFAFA" w:val="clear"/>
          </w:tcPr>
          <w:p>
            <w:r>
              <w:rPr>
                <w:sz w:val="17"/>
              </w:rPr>
              <w:t>J+7  ⭐</w:t>
            </w:r>
          </w:p>
        </w:tc>
        <w:tc>
          <w:tcPr>
            <w:tcW w:type="dxa" w:w="1440"/>
            <w:shd w:fill="FAFAFA" w:val="clear"/>
          </w:tcPr>
          <w:p>
            <w:r>
              <w:rPr>
                <w:sz w:val="17"/>
              </w:rPr>
              <w:t>2026-08-25</w:t>
            </w:r>
          </w:p>
        </w:tc>
        <w:tc>
          <w:tcPr>
            <w:tcW w:type="dxa" w:w="1440"/>
            <w:shd w:fill="FAFAFA" w:val="clear"/>
          </w:tcPr>
          <w:p>
            <w:r>
              <w:rPr>
                <w:sz w:val="17"/>
              </w:rPr>
              <w:t>33,694</w:t>
            </w:r>
          </w:p>
        </w:tc>
        <w:tc>
          <w:tcPr>
            <w:tcW w:type="dxa" w:w="1440"/>
            <w:shd w:fill="FAFAFA" w:val="clear"/>
          </w:tcPr>
          <w:p>
            <w:r>
              <w:rPr>
                <w:b/>
                <w:sz w:val="17"/>
              </w:rPr>
              <w:t>37,247</w:t>
            </w:r>
          </w:p>
        </w:tc>
        <w:tc>
          <w:tcPr>
            <w:tcW w:type="dxa" w:w="1440"/>
            <w:shd w:fill="FAFAFA" w:val="clear"/>
          </w:tcPr>
          <w:p>
            <w:r>
              <w:rPr>
                <w:sz w:val="17"/>
              </w:rPr>
              <w:t>40,799</w:t>
            </w:r>
          </w:p>
        </w:tc>
        <w:tc>
          <w:tcPr>
            <w:tcW w:type="dxa" w:w="1440"/>
            <w:shd w:fill="FAFAFA" w:val="clear"/>
          </w:tcPr>
          <w:p>
            <w:r>
              <w:rPr>
                <w:b/>
                <w:color w:val="C00000"/>
                <w:sz w:val="17"/>
              </w:rPr>
              <w:t>-0.0%</w:t>
            </w:r>
          </w:p>
        </w:tc>
      </w:tr>
      <w:tr>
        <w:tc>
          <w:tcPr>
            <w:tcW w:type="dxa" w:w="1440"/>
            <w:shd w:fill="FAFAFA" w:val="clear"/>
          </w:tcPr>
          <w:p>
            <w:r>
              <w:rPr>
                <w:sz w:val="17"/>
              </w:rPr>
              <w:t>J+8  ⭐</w:t>
            </w:r>
          </w:p>
        </w:tc>
        <w:tc>
          <w:tcPr>
            <w:tcW w:type="dxa" w:w="1440"/>
            <w:shd w:fill="FAFAFA" w:val="clear"/>
          </w:tcPr>
          <w:p>
            <w:r>
              <w:rPr>
                <w:sz w:val="17"/>
              </w:rPr>
              <w:t>2026-08-27</w:t>
            </w:r>
          </w:p>
        </w:tc>
        <w:tc>
          <w:tcPr>
            <w:tcW w:type="dxa" w:w="1440"/>
            <w:shd w:fill="FAFAFA" w:val="clear"/>
          </w:tcPr>
          <w:p>
            <w:r>
              <w:rPr>
                <w:sz w:val="17"/>
              </w:rPr>
              <w:t>33,419</w:t>
            </w:r>
          </w:p>
        </w:tc>
        <w:tc>
          <w:tcPr>
            <w:tcW w:type="dxa" w:w="1440"/>
            <w:shd w:fill="FAFAFA" w:val="clear"/>
          </w:tcPr>
          <w:p>
            <w:r>
              <w:rPr>
                <w:b/>
                <w:sz w:val="17"/>
              </w:rPr>
              <w:t>37,213</w:t>
            </w:r>
          </w:p>
        </w:tc>
        <w:tc>
          <w:tcPr>
            <w:tcW w:type="dxa" w:w="1440"/>
            <w:shd w:fill="FAFAFA" w:val="clear"/>
          </w:tcPr>
          <w:p>
            <w:r>
              <w:rPr>
                <w:sz w:val="17"/>
              </w:rPr>
              <w:t>41,008</w:t>
            </w:r>
          </w:p>
        </w:tc>
        <w:tc>
          <w:tcPr>
            <w:tcW w:type="dxa" w:w="1440"/>
            <w:shd w:fill="FAFAFA" w:val="clear"/>
          </w:tcPr>
          <w:p>
            <w:r>
              <w:rPr>
                <w:b/>
                <w:color w:val="C00000"/>
                <w:sz w:val="17"/>
              </w:rPr>
              <w:t>-0.1%</w:t>
            </w:r>
          </w:p>
        </w:tc>
      </w:tr>
      <w:tr>
        <w:tc>
          <w:tcPr>
            <w:tcW w:type="dxa" w:w="1440"/>
            <w:shd w:fill="FAFAFA" w:val="clear"/>
          </w:tcPr>
          <w:p>
            <w:r>
              <w:rPr>
                <w:sz w:val="17"/>
              </w:rPr>
              <w:t>J+9  ⭐</w:t>
            </w:r>
          </w:p>
        </w:tc>
        <w:tc>
          <w:tcPr>
            <w:tcW w:type="dxa" w:w="1440"/>
            <w:shd w:fill="FAFAFA" w:val="clear"/>
          </w:tcPr>
          <w:p>
            <w:r>
              <w:rPr>
                <w:sz w:val="17"/>
              </w:rPr>
              <w:t>2026-08-28</w:t>
            </w:r>
          </w:p>
        </w:tc>
        <w:tc>
          <w:tcPr>
            <w:tcW w:type="dxa" w:w="1440"/>
            <w:shd w:fill="FAFAFA" w:val="clear"/>
          </w:tcPr>
          <w:p>
            <w:r>
              <w:rPr>
                <w:sz w:val="17"/>
              </w:rPr>
              <w:t>33,159</w:t>
            </w:r>
          </w:p>
        </w:tc>
        <w:tc>
          <w:tcPr>
            <w:tcW w:type="dxa" w:w="1440"/>
            <w:shd w:fill="FAFAFA" w:val="clear"/>
          </w:tcPr>
          <w:p>
            <w:r>
              <w:rPr>
                <w:b/>
                <w:sz w:val="17"/>
              </w:rPr>
              <w:t>37,180</w:t>
            </w:r>
          </w:p>
        </w:tc>
        <w:tc>
          <w:tcPr>
            <w:tcW w:type="dxa" w:w="1440"/>
            <w:shd w:fill="FAFAFA" w:val="clear"/>
          </w:tcPr>
          <w:p>
            <w:r>
              <w:rPr>
                <w:sz w:val="17"/>
              </w:rPr>
              <w:t>41,201</w:t>
            </w:r>
          </w:p>
        </w:tc>
        <w:tc>
          <w:tcPr>
            <w:tcW w:type="dxa" w:w="1440"/>
            <w:shd w:fill="FAFAFA" w:val="clear"/>
          </w:tcPr>
          <w:p>
            <w:r>
              <w:rPr>
                <w:b/>
                <w:color w:val="C00000"/>
                <w:sz w:val="17"/>
              </w:rPr>
              <w:t>-0.2%</w:t>
            </w:r>
          </w:p>
        </w:tc>
      </w:tr>
      <w:tr>
        <w:tc>
          <w:tcPr>
            <w:tcW w:type="dxa" w:w="1440"/>
            <w:shd w:fill="FAFAFA" w:val="clear"/>
          </w:tcPr>
          <w:p>
            <w:r>
              <w:rPr>
                <w:sz w:val="17"/>
              </w:rPr>
              <w:t>J+10  ⭐</w:t>
            </w:r>
          </w:p>
        </w:tc>
        <w:tc>
          <w:tcPr>
            <w:tcW w:type="dxa" w:w="1440"/>
            <w:shd w:fill="FAFAFA" w:val="clear"/>
          </w:tcPr>
          <w:p>
            <w:r>
              <w:rPr>
                <w:sz w:val="17"/>
              </w:rPr>
              <w:t>2026-08-31</w:t>
            </w:r>
          </w:p>
        </w:tc>
        <w:tc>
          <w:tcPr>
            <w:tcW w:type="dxa" w:w="1440"/>
            <w:shd w:fill="FAFAFA" w:val="clear"/>
          </w:tcPr>
          <w:p>
            <w:r>
              <w:rPr>
                <w:sz w:val="17"/>
              </w:rPr>
              <w:t>32,912</w:t>
            </w:r>
          </w:p>
        </w:tc>
        <w:tc>
          <w:tcPr>
            <w:tcW w:type="dxa" w:w="1440"/>
            <w:shd w:fill="FAFAFA" w:val="clear"/>
          </w:tcPr>
          <w:p>
            <w:r>
              <w:rPr>
                <w:b/>
                <w:sz w:val="17"/>
              </w:rPr>
              <w:t>37,147</w:t>
            </w:r>
          </w:p>
        </w:tc>
        <w:tc>
          <w:tcPr>
            <w:tcW w:type="dxa" w:w="1440"/>
            <w:shd w:fill="FAFAFA" w:val="clear"/>
          </w:tcPr>
          <w:p>
            <w:r>
              <w:rPr>
                <w:sz w:val="17"/>
              </w:rPr>
              <w:t>41,382</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SLBC s'établit à 613,17 milliards FCFA, ce qui en fait l'une des valeurs les plus significatives de la BRVM, reflétant la position dominante de SOLIBRA dans le secteur des boissons en Afrique de l'Ouest. Le BPA de 2 781 FCFA indique que chaque action génère un bénéfice substantiel, justifiant un PER de 13,4x, légèrement supérieur à la moyenne historique de la BRVM (8-12x), ce qui traduit une prime de croissance accordée par le marché aux excellentes performances récentes de la société. Le P/B de 3,14x confirme cette prime, le marché valorisant la société à plus de trois fois sa valeur comptable, signe de confiance dans la création de valeur future. Enfin, l'EV/EBITDA de 7,3x se situe dans une fourchette raisonnable (5-10x), indiquant que la valorisation globale de l'entreprise, rapportée à sa capacité opérationnelle, reste attractive malgré la prime apparente sur le PER.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SLBC a enregistré une variation totale de -4,49%, avec une baisse plus marquée de -1,97% lors de la dernière séance, s'établissant à 37 250 FCFA. Le titre a évolué dans une fourchette de 35 540 FCFA (plus bas) à 41 500 FCFA (plus haut), démontrant une amplitude de variation d'environ 16,8%. La moyenne du cours sur la période est de 38 444 FCFA, très proche de la médiane de 38 500 FCFA, et le mode de 39 000 FCFA, indiquant une distribution quasi symétrique confirmée par un skewness de 0,009. L'écart-type de 943 FCFA, avec un coefficient de variation de seulement 2,5%, révèle une dispersion très faible du cours autour de la moyenne, tandis que le kurtosis de 0,353 (mésokurtique) suggère une distribution proche de la normale, sans risque de pics extrêmes. La volatilité annualisée de 29,0% positionne le titre dans une zone de volatilité modérée à élevée (15-30%), ce qui est cohérent avec les mouvements observés sur la période.</w:t>
      </w:r>
    </w:p>
    <w:p>
      <w:pPr>
        <w:spacing w:after="120" w:line="276" w:lineRule="auto" w:before="240"/>
      </w:pPr>
      <w:r>
        <w:rPr>
          <w:b/>
          <w:color w:val="003366"/>
          <w:sz w:val="24"/>
        </w:rPr>
        <w:t>**PARTIE 2 : ANALYSE TECHNIQUE DÉTAILLÉE**</w:t>
      </w:r>
    </w:p>
    <w:p>
      <w:pPr>
        <w:spacing w:after="120" w:line="276" w:lineRule="auto"/>
      </w:pPr>
      <w:r>
        <w:t>**Moyennes Mobiles** : Les MM20 (38 201,75 FCFA) et MM50 (38 669,8 FCFA) se situent toutes deux au-dessus du cours actuel de 37 250 FCFA, avec une MM50 supérieure à la MM20, configuration typique d'une tendance baissière à court et moyen terme. La décision de Vente est justifiée par cette structure baissière où le prix évolue sous ses moyennes mobiles, indiquant une pression vendeuse persistante.</w:t>
      </w:r>
    </w:p>
    <w:p>
      <w:pPr>
        <w:spacing w:after="120" w:line="276" w:lineRule="auto"/>
      </w:pPr>
      <w:r>
        <w:t>**Bandes de Bollinger** : Le cours se positionne à 37 250 FCFA, plus près de la borne inférieure (36 145,59 FCFA) que de la borne supérieure (40 257,91 FCFA), suggérant une faiblesse relative. La décision Neutre s'explique par le fait que le prix n'a pas encore atteint la borne inférieure, laissant une marge de manœuvre avant une éventuelle zone de survente, bien que la tendance baissière se confirme.</w:t>
      </w:r>
    </w:p>
    <w:p>
      <w:pPr>
        <w:spacing w:after="120" w:line="276" w:lineRule="auto"/>
      </w:pPr>
      <w:r>
        <w:t>**MACD** : Le MACD (-470,331) est inférieur à son signal (-393,53), avec les deux valeurs négatives, confirmant un momentum baissier prononcé. La décision de Vente est justifiée par cette divergence négative qui indique que la dynamique des prix reste orientée à la baisse, sans signe de retournement imminent.</w:t>
      </w:r>
    </w:p>
    <w:p>
      <w:pPr>
        <w:spacing w:after="120" w:line="276" w:lineRule="auto"/>
      </w:pPr>
      <w:r>
        <w:t>**RSI** : Le RSI à 37,493 se situe dans la zone neutre (30-70), mais proche de la zone de survente (&lt;30). La décision Neutre reflète cette position intermédiaire où le titre n'est pas encore survendu, mais où la pression vendeuse reste dominante, laissant entrevoir un possible retournement si le seuil de 30 est atteint.</w:t>
      </w:r>
    </w:p>
    <w:p>
      <w:pPr>
        <w:spacing w:after="120" w:line="276" w:lineRule="auto"/>
      </w:pPr>
      <w:r>
        <w:t>**Stochastique** : Le %K (12,545) est nettement inférieur au %D (20,555), avec les deux valeurs en zone de survente (&lt;20). La décision d'Achat est justifiée par cette configuration extrême qui suggère un épuisement de la pression vendeuse et un potentiel rebond technique à court terme.</w:t>
      </w:r>
    </w:p>
    <w:p>
      <w:pPr>
        <w:spacing w:after="120" w:line="276" w:lineRule="auto"/>
      </w:pPr>
      <w:r>
        <w:t>**Conclusion technique** : Les indicateurs sont globalement baissiers (MM, MACD) mais commencent à montrer des signes de survente (RSI proche de 30, Stochastique en zone extrême). Cette divergence entre les indicateurs de tendance et les oscillateurs suggère une possible stabilisation à court terme, mais la tendance de fond reste négative tant que le cours n'aura pas repris ses moyennes mobiles.</w:t>
      </w:r>
    </w:p>
    <w:p>
      <w:pPr>
        <w:spacing w:after="120" w:line="276" w:lineRule="auto" w:before="240"/>
      </w:pPr>
      <w:r>
        <w:rPr>
          <w:b/>
          <w:color w:val="003366"/>
          <w:sz w:val="24"/>
        </w:rPr>
        <w:t>**PARTIE 3 : ANALYSE FONDAMENTALE (SECTION CRITIQUE)**</w:t>
      </w:r>
    </w:p>
    <w:p>
      <w:pPr>
        <w:spacing w:after="120" w:line="276" w:lineRule="auto"/>
      </w:pPr>
      <w:r>
        <w:t>En 2025, SLBC affiche des performances exceptionnelles avec un chiffre d'affaires de 378,123 milliards FCFA, en croissance de 22,1% par rapport à 2024 (309,722 milliards FCFA), et un résultat net de 45,781 milliards FCFA, soit une progression spectaculaire de 113% (contre 21,472 milliards en 2024). La marge nette s'améliore de 6,9% à 12,1%, tandis que le ROE atteint 23,46% et le ROA 13,48%, des niveaux excellents témoignant d'une gestion efficace des capitaux propres et des actifs. La structure financière est saine avec une autonomie financière de 57,48%, une capacité de remboursement de seulement 0,67 an, et une couverture des intérêts de 3 374,68%. Le BFR de 61,587 milliards FCFA, avec un délai clients de 64,27 jours et un délai fournisseurs de 76,82 jours, montre une gestion correcte du cycle d'exploitation, bien que la durée de stockage de 117,32 jours mérite une attention particulière. Le rapport du S1 2025 (daté de 2025) confirme cette dynamique avec un CA de 165,8 milliards FCFA (+12,3%) et un résultat net de 28 milliards FCFA (+175,1%). Sur la base du rapport T1 2026 (daté de 2026) montrant un CA de 93,46 milliards FCFA (+7,6%) et un résultat net de 16,26 milliards FCFA (+4,8%), on estime que l'exercice 2026 devrait poursuivre cette croissance, avec un CA annuel potentiel autour de 400 milliards FCFA et un résultat net dépassant 48 milliards FCFA, confirmant la solidité et la pérennité du modèle économique de SOLIBRA.</w:t>
      </w:r>
    </w:p>
    <w:p>
      <w:pPr>
        <w:spacing w:after="120" w:line="276" w:lineRule="auto" w:before="240"/>
      </w:pPr>
      <w:r>
        <w:rPr>
          <w:b/>
          <w:color w:val="003366"/>
          <w:sz w:val="24"/>
        </w:rPr>
        <w:t>**PARTIE 4 : CONCLUSION D'INVESTISSEMENT**</w:t>
      </w:r>
    </w:p>
    <w:p>
      <w:pPr>
        <w:spacing w:after="120" w:line="276" w:lineRule="auto"/>
      </w:pPr>
      <w:r>
        <w:t>La valorisation de SLBC (PER 13,4x, P/B 3,14x, EV/EBITDA 7,3x) indique une prime de croissance justifiée par des fondamentaux exceptionnels, bien que le PER soit légèrement supérieur à la moyenne BRVM. Le comportement du cours sur 100 jours montre une tendance baissière (-4,49%) avec une volatilité modérée (29,0%) et une distribution symétrique, mais les statistiques révèlent une stabilité relative du titre. Les signaux techniques sont mitigés : les indicateurs de tendance (MM, MACD) restent vendeurs, tandis que les oscillateurs (RSI, Stochastique) suggèrent une possible survente et un rebond technique imminent. Les fondamentaux sont extrêmement solides avec une croissance à deux chiffres, une rentabilité exceptionnelle (ROE 23,46%) et une politique de dividende généreuse (2 127 FCFA par action proposé pour 2025). Les prédictions IA (37 473 à 37 315 FCFA sur J+1 à J+10) indiquent une stabilisation proche des niveaux actuels, confirmant la fin probable de la phase baissière. La convergence entre la solidité fondamentale, la valorisation raisonnable et les signaux de survente technique justifie une recommandation **ACHAT** avec un niveau de confiance **Moyen** et un risque global **Moyen**. L'horizon d'investissement optimal se situe à **moyen terme (3-12 mois)**, en anticipant un rebond technique à court terme et une appréciation progressive portée par la poursuite de la croissance des résultats en 2026.</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127.49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1,247 titres</w:t>
            </w:r>
          </w:p>
        </w:tc>
        <w:tc>
          <w:tcPr>
            <w:tcW w:type="dxa" w:w="2268"/>
            <w:shd w:fill="FFF2CC" w:val="clear"/>
          </w:tcPr>
          <w:p>
            <w:r>
              <w:rPr>
                <w:b/>
                <w:color w:val="503200"/>
                <w:sz w:val="16"/>
              </w:rPr>
              <w:t xml:space="preserve">Cours actuel : </w:t>
            </w:r>
            <w:r>
              <w:rPr>
                <w:color w:val="000000"/>
                <w:sz w:val="17"/>
              </w:rPr>
              <w:t>16,355 FCFA</w:t>
            </w:r>
          </w:p>
          <w:p>
            <w:r>
              <w:rPr>
                <w:b/>
                <w:color w:val="503200"/>
                <w:sz w:val="16"/>
              </w:rPr>
              <w:t xml:space="preserve">Var. 100 jours : </w:t>
            </w:r>
            <w:r>
              <w:rPr>
                <w:b/>
                <w:color w:val="007800"/>
                <w:sz w:val="17"/>
              </w:rPr>
              <w:t>+23.43%</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14.94% (Moyenne) — μ=14,297 FCFA, σ=2,136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β=-0.6366 (Contre-cyclique) — Cov=-0.000023, Var(idx)=0.000036, ρ=-0.158,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1,247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15,673</w:t>
            </w:r>
          </w:p>
        </w:tc>
        <w:tc>
          <w:tcPr>
            <w:tcW w:type="dxa" w:w="1440"/>
            <w:shd w:fill="FAFAFA" w:val="clear"/>
          </w:tcPr>
          <w:p>
            <w:r>
              <w:rPr>
                <w:b/>
                <w:sz w:val="17"/>
              </w:rPr>
              <w:t>16,294</w:t>
            </w:r>
          </w:p>
        </w:tc>
        <w:tc>
          <w:tcPr>
            <w:tcW w:type="dxa" w:w="1440"/>
            <w:shd w:fill="FAFAFA" w:val="clear"/>
          </w:tcPr>
          <w:p>
            <w:r>
              <w:rPr>
                <w:sz w:val="17"/>
              </w:rPr>
              <w:t>16,915</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15,359</w:t>
            </w:r>
          </w:p>
        </w:tc>
        <w:tc>
          <w:tcPr>
            <w:tcW w:type="dxa" w:w="1440"/>
            <w:shd w:fill="FAFAFA" w:val="clear"/>
          </w:tcPr>
          <w:p>
            <w:r>
              <w:rPr>
                <w:b/>
                <w:sz w:val="17"/>
              </w:rPr>
              <w:t>16,234</w:t>
            </w:r>
          </w:p>
        </w:tc>
        <w:tc>
          <w:tcPr>
            <w:tcW w:type="dxa" w:w="1440"/>
            <w:shd w:fill="FAFAFA" w:val="clear"/>
          </w:tcPr>
          <w:p>
            <w:r>
              <w:rPr>
                <w:sz w:val="17"/>
              </w:rPr>
              <w:t>17,110</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2026-08-19</w:t>
            </w:r>
          </w:p>
        </w:tc>
        <w:tc>
          <w:tcPr>
            <w:tcW w:type="dxa" w:w="1440"/>
            <w:shd w:fill="FAFAFA" w:val="clear"/>
          </w:tcPr>
          <w:p>
            <w:r>
              <w:rPr>
                <w:sz w:val="17"/>
              </w:rPr>
              <w:t>15,108</w:t>
            </w:r>
          </w:p>
        </w:tc>
        <w:tc>
          <w:tcPr>
            <w:tcW w:type="dxa" w:w="1440"/>
            <w:shd w:fill="FAFAFA" w:val="clear"/>
          </w:tcPr>
          <w:p>
            <w:r>
              <w:rPr>
                <w:b/>
                <w:sz w:val="17"/>
              </w:rPr>
              <w:t>16,177</w:t>
            </w:r>
          </w:p>
        </w:tc>
        <w:tc>
          <w:tcPr>
            <w:tcW w:type="dxa" w:w="1440"/>
            <w:shd w:fill="FAFAFA" w:val="clear"/>
          </w:tcPr>
          <w:p>
            <w:r>
              <w:rPr>
                <w:sz w:val="17"/>
              </w:rPr>
              <w:t>17,245</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14,891</w:t>
            </w:r>
          </w:p>
        </w:tc>
        <w:tc>
          <w:tcPr>
            <w:tcW w:type="dxa" w:w="1440"/>
            <w:shd w:fill="FAFAFA" w:val="clear"/>
          </w:tcPr>
          <w:p>
            <w:r>
              <w:rPr>
                <w:b/>
                <w:sz w:val="17"/>
              </w:rPr>
              <w:t>16,121</w:t>
            </w:r>
          </w:p>
        </w:tc>
        <w:tc>
          <w:tcPr>
            <w:tcW w:type="dxa" w:w="1440"/>
            <w:shd w:fill="FAFAFA" w:val="clear"/>
          </w:tcPr>
          <w:p>
            <w:r>
              <w:rPr>
                <w:sz w:val="17"/>
              </w:rPr>
              <w:t>17,350</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14,696</w:t>
            </w:r>
          </w:p>
        </w:tc>
        <w:tc>
          <w:tcPr>
            <w:tcW w:type="dxa" w:w="1440"/>
            <w:shd w:fill="FAFAFA" w:val="clear"/>
          </w:tcPr>
          <w:p>
            <w:r>
              <w:rPr>
                <w:b/>
                <w:sz w:val="17"/>
              </w:rPr>
              <w:t>16,066</w:t>
            </w:r>
          </w:p>
        </w:tc>
        <w:tc>
          <w:tcPr>
            <w:tcW w:type="dxa" w:w="1440"/>
            <w:shd w:fill="FAFAFA" w:val="clear"/>
          </w:tcPr>
          <w:p>
            <w:r>
              <w:rPr>
                <w:sz w:val="17"/>
              </w:rPr>
              <w:t>17,436</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14,516</w:t>
            </w:r>
          </w:p>
        </w:tc>
        <w:tc>
          <w:tcPr>
            <w:tcW w:type="dxa" w:w="1440"/>
            <w:shd w:fill="FFDCE0" w:val="clear"/>
          </w:tcPr>
          <w:p>
            <w:r>
              <w:rPr>
                <w:b/>
                <w:sz w:val="17"/>
              </w:rPr>
              <w:t>16,012</w:t>
            </w:r>
          </w:p>
        </w:tc>
        <w:tc>
          <w:tcPr>
            <w:tcW w:type="dxa" w:w="1440"/>
            <w:shd w:fill="FFDCE0" w:val="clear"/>
          </w:tcPr>
          <w:p>
            <w:r>
              <w:rPr>
                <w:sz w:val="17"/>
              </w:rPr>
              <w:t>17,507</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14,348</w:t>
            </w:r>
          </w:p>
        </w:tc>
        <w:tc>
          <w:tcPr>
            <w:tcW w:type="dxa" w:w="1440"/>
            <w:shd w:fill="FFDCE0" w:val="clear"/>
          </w:tcPr>
          <w:p>
            <w:r>
              <w:rPr>
                <w:b/>
                <w:sz w:val="17"/>
              </w:rPr>
              <w:t>15,958</w:t>
            </w:r>
          </w:p>
        </w:tc>
        <w:tc>
          <w:tcPr>
            <w:tcW w:type="dxa" w:w="1440"/>
            <w:shd w:fill="FFDCE0" w:val="clear"/>
          </w:tcPr>
          <w:p>
            <w:r>
              <w:rPr>
                <w:sz w:val="17"/>
              </w:rPr>
              <w:t>17,568</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14,190</w:t>
            </w:r>
          </w:p>
        </w:tc>
        <w:tc>
          <w:tcPr>
            <w:tcW w:type="dxa" w:w="1440"/>
            <w:shd w:fill="FFDCE0" w:val="clear"/>
          </w:tcPr>
          <w:p>
            <w:r>
              <w:rPr>
                <w:b/>
                <w:sz w:val="17"/>
              </w:rPr>
              <w:t>15,905</w:t>
            </w:r>
          </w:p>
        </w:tc>
        <w:tc>
          <w:tcPr>
            <w:tcW w:type="dxa" w:w="1440"/>
            <w:shd w:fill="FFDCE0" w:val="clear"/>
          </w:tcPr>
          <w:p>
            <w:r>
              <w:rPr>
                <w:sz w:val="17"/>
              </w:rPr>
              <w:t>17,621</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14,040</w:t>
            </w:r>
          </w:p>
        </w:tc>
        <w:tc>
          <w:tcPr>
            <w:tcW w:type="dxa" w:w="1440"/>
            <w:shd w:fill="FFDCE0" w:val="clear"/>
          </w:tcPr>
          <w:p>
            <w:r>
              <w:rPr>
                <w:b/>
                <w:sz w:val="17"/>
              </w:rPr>
              <w:t>15,853</w:t>
            </w:r>
          </w:p>
        </w:tc>
        <w:tc>
          <w:tcPr>
            <w:tcW w:type="dxa" w:w="1440"/>
            <w:shd w:fill="FFDCE0" w:val="clear"/>
          </w:tcPr>
          <w:p>
            <w:r>
              <w:rPr>
                <w:sz w:val="17"/>
              </w:rPr>
              <w:t>17,667</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13,896</w:t>
            </w:r>
          </w:p>
        </w:tc>
        <w:tc>
          <w:tcPr>
            <w:tcW w:type="dxa" w:w="1440"/>
            <w:shd w:fill="FFDCE0" w:val="clear"/>
          </w:tcPr>
          <w:p>
            <w:r>
              <w:rPr>
                <w:b/>
                <w:sz w:val="17"/>
              </w:rPr>
              <w:t>15,802</w:t>
            </w:r>
          </w:p>
        </w:tc>
        <w:tc>
          <w:tcPr>
            <w:tcW w:type="dxa" w:w="1440"/>
            <w:shd w:fill="FFDCE0" w:val="clear"/>
          </w:tcPr>
          <w:p>
            <w:r>
              <w:rPr>
                <w:sz w:val="17"/>
              </w:rPr>
              <w:t>17,707</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**Date de l'analyse : 14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SMBC s'établit à 127,49 milliards FCFA, un niveau qui la positionne parmi les valeurs moyennes de la cote BRVM, dans un secteur industriel stratégique. Le BPA de 1 677 FCFA indique que chaque action génère un bénéfice substantiel. Avec un PER de 9,8x, le titre se négocie dans la fourchette basse du marché (référence BRVM : 8-12x), suggérant une sous-évaluation relative par rapport à son potentiel de bénéfices. Le P/B de 2,97x, bien que supérieur à 1, reflète une prime de croissance accordée par le marché pour une rentabilité des fonds propres exceptionnelle de 30,5%. Enfin, l'EV/EBITDA de 6,1x est raisonnable, indiquant que la valeur totale de l'entreprise reste modérée par rapport à sa capacité opérationnelle, ce qui renforce l'attrait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SMBC affiche une performance remarquable de +23,43%, malgré un léger repli de -0,58% lors de la dernière séance. Le cours a évolué dans une fourchette large, oscillant entre un plus bas de 11 450 FCFA et un plus haut de 17 735 FCFA, démontrant une dynamique haussière soutenue. La moyenne du cours (14 297 FCFA) est supérieure à la médiane (13 595 FCFA), indiquant une asymétrie positive avec des périodes de forte hausse. L'écart-type de 2 146 FCFA (CV de 15%) révèle une dispersion modérée des prix. Le kurtosis négatif (-1,602) signale une distribution platykurtique, avec peu de variations extrêmes, tandis que le skewness proche de zéro (0,055) confirme une distribution symétrique. La volatilité annualisée de 38,6% classe le titre comme très volatil, offrant un potentiel de rendement élevé mais avec un risque accru.</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(16 355 FCFA) est supérieur à la MM20 (16 084,5 FCFA) mais inférieur à la MM50 (16 292,8 FCFA), créant une configuration hésitante. La décision de "Vente" suggère que la tendance de fond n'est pas encore pleinement confirmée, malgré la récente progression. Cette divergence entre les moyennes indique une possible consolidation avant une nouvelle impulsion.</w:t>
      </w:r>
    </w:p>
    <w:p>
      <w:pPr>
        <w:spacing w:after="120" w:line="276" w:lineRule="auto"/>
      </w:pPr>
      <w:r>
        <w:t>**Bandes de Bollinger :** Le prix se situe entre la borne inférieure (15 217 FCFA) et la borne supérieure (16 952 FCFA), proche de la moyenne. La décision "Neutre" reflète une volatilité modérée, avec le cours évoluant dans une zone d'équilibre. Une cassure au-dessus de la borne supérieure pourrait signaler une accélération haussière.</w:t>
      </w:r>
    </w:p>
    <w:p>
      <w:pPr>
        <w:spacing w:after="120" w:line="276" w:lineRule="auto"/>
      </w:pPr>
      <w:r>
        <w:t>**MACD :** Le MACD (83,3) est nettement supérieur à son signal (44,7), générant une décision "Achat". Cette configuration positive indique un momentum haussier en consolidation, avec une dynamique qui pourrait soutenir une poursuite de la hausse à court terme.</w:t>
      </w:r>
    </w:p>
    <w:p>
      <w:pPr>
        <w:spacing w:after="120" w:line="276" w:lineRule="auto"/>
      </w:pPr>
      <w:r>
        <w:t>**RSI :** À 59,3, le RSI se situe en zone neutre, sans signal de surachat ni de survente. La décision "Neutre" suggère que le titre dispose d'une marge de progression avant d'atteindre des niveaux extrêmes, laissant place à une potentielle appréciation.</w:t>
      </w:r>
    </w:p>
    <w:p>
      <w:pPr>
        <w:spacing w:after="120" w:line="276" w:lineRule="auto"/>
      </w:pPr>
      <w:r>
        <w:t>**Stochastique :** Le %K (77,8) et le %D (85,1) sont proches, avec une décision "Neutre". Cette configuration indique que le titre est dans une zone de surachat modéré, mais sans croisement baissier, ce qui pourrait précéder une consolidation ou une poursuite de la tendance.</w:t>
      </w:r>
    </w:p>
    <w:p>
      <w:pPr>
        <w:spacing w:after="120" w:line="276" w:lineRule="auto"/>
      </w:pPr>
      <w:r>
        <w:t>**Conclusion technique :** Les indicateurs sont globalement mitigés, avec un MACD positif et un RSI neutre, mais des moyennes mobiles et des bandes de Bollinger hésitantes. Cette divergence suggère une phase de consolidation après la forte hausse, avec un potentiel haussier à moyen terme si le cours parvient à dépasser la MM50.</w:t>
      </w:r>
    </w:p>
    <w:p>
      <w:pPr>
        <w:spacing w:after="120" w:line="276" w:lineRule="auto"/>
      </w:pPr>
      <w:r>
        <w:t>---</w:t>
      </w:r>
    </w:p>
    <w:p>
      <w:pPr>
        <w:spacing w:after="120" w:line="276" w:lineRule="auto"/>
      </w:pPr>
      <w:r>
        <w:t>### PARTIE 3 : ANALYSE FONDAMENTALE (SECTION CRITIQUE)</w:t>
      </w:r>
    </w:p>
    <w:p>
      <w:pPr>
        <w:spacing w:after="120" w:line="276" w:lineRule="auto"/>
      </w:pPr>
      <w:r>
        <w:t>En 2025, SMBC a réalisé un chiffre d'affaires de 206,740 milliards FCFA, en baisse de -9,7% par rapport à 2024, mais avec un résultat net en forte progression de +50,3% à 13,075 milliards FCFA. La marge nette s'est améliorée à 6,3%, et le ROE atteint un niveau excellent de 30,5%, avec un ROA de 7,3%. La structure financière s'est renforcée avec des capitaux propres de 42,913 milliards FCFA (+21,6%) et une trésorerie nette positive de 23,988 milliards FCFA. Le BFR est légèrement positif (1,693 milliard FCFA), mais les délais clients (193,75 jours) et fournisseurs (207,07 jours) sont élevés, indiquant un risque de trésorerie à surveiller. Les rapports trimestriels 2025 (T1, S1, 9M) montrent une baisse du CA mais une amélioration des marges, avec un résultat net en hausse de +6% au 9M 2025. Sur cette base, on estime que la tendance de rentabilité devrait se maintenir en 2026, avec un CA potentiellement stable et une marge nette autour de 6%. La recommandation fondamentale est positive, avec une solidité financière accrue et des perspectives de croissance soutenues par les projets d'infrastructures régionaux.</w:t>
      </w:r>
    </w:p>
    <w:p>
      <w:pPr>
        <w:spacing w:after="120" w:line="276" w:lineRule="auto"/>
      </w:pPr>
      <w:r>
        <w:t>---</w:t>
      </w:r>
    </w:p>
    <w:p>
      <w:pPr>
        <w:spacing w:after="120" w:line="276" w:lineRule="auto"/>
      </w:pPr>
      <w:r>
        <w:t>### PARTIE 4 : CONCLUSION D'INVESTISSEMENT</w:t>
      </w:r>
    </w:p>
    <w:p>
      <w:pPr>
        <w:spacing w:after="120" w:line="276" w:lineRule="auto"/>
      </w:pPr>
      <w:r>
        <w:t>La valorisation de SMBC est attractive, avec un PER de 9,8x et un EV/EBITDA de 6,1x, indiquant une sous-évaluation relative malgré une prime sur le P/B justifiée par un ROE exceptionnel. Le comportement du cours est haussier (+23,43% sur 100 jours) mais avec une volatilité élevée (38,6%), et des statistiques (kurtosis platykurtique, skewness symétrique) suggérant une stabilité relative. Les signaux techniques sont mitigés, avec un MACD positif mais des moyennes mobiles hésitantes, indiquant une consolidation potentielle. Les fondamentaux sont solides, avec une amélioration spectaculaire de la rentabilité et une trésorerie renforcée. Les prédictions IA (16 294 à 16 066 FCFA) suggèrent une légère baisse à court terme, mais sans remettre en cause la tendance de fond. En synthèse, la convergence entre la sous-évaluation, la solidité financière et les perspectives de croissance soutient une recommandation **ACHAT**, avec un niveau de confiance **Élevé** et un risque global **Moyen**. L'horizon d'investissement optimal est le **moyen terme (3-12 mois)**, en attendant une confirmation technique au-dessus de la MM50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3190.00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9,254 titres</w:t>
            </w:r>
          </w:p>
        </w:tc>
        <w:tc>
          <w:tcPr>
            <w:tcW w:type="dxa" w:w="2268"/>
            <w:shd w:fill="FFF2CC" w:val="clear"/>
          </w:tcPr>
          <w:p>
            <w:r>
              <w:rPr>
                <w:b/>
                <w:color w:val="503200"/>
                <w:sz w:val="16"/>
              </w:rPr>
              <w:t xml:space="preserve">Cours actuel : </w:t>
            </w:r>
            <w:r>
              <w:rPr>
                <w:color w:val="000000"/>
                <w:sz w:val="17"/>
              </w:rPr>
              <w:t>31,900 FCFA</w:t>
            </w:r>
          </w:p>
          <w:p>
            <w:r>
              <w:rPr>
                <w:b/>
                <w:color w:val="503200"/>
                <w:sz w:val="16"/>
              </w:rPr>
              <w:t xml:space="preserve">Var. 100 jours : </w:t>
            </w:r>
            <w:r>
              <w:rPr>
                <w:b/>
                <w:color w:val="007800"/>
                <w:sz w:val="17"/>
              </w:rPr>
              <w:t>+10.02%</w:t>
            </w:r>
          </w:p>
          <w:p>
            <w:r>
              <w:rPr>
                <w:b/>
                <w:color w:val="503200"/>
                <w:sz w:val="16"/>
              </w:rPr>
              <w:t xml:space="preserve">Plus haut 100j : </w:t>
            </w:r>
            <w:r>
              <w:rPr>
                <w:color w:val="000000"/>
                <w:sz w:val="17"/>
              </w:rPr>
              <w:t>32,500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4.52% (Faible) — μ=29,394 FCFA, σ=1,329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β=1.2555 (Agressif) — Cov=0.000046, Var(idx)=0.000036, ρ=0.468,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9,254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σ_j=1.62%/j (Stable) — Vol. annualisée≈25.7%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30,904</w:t>
            </w:r>
          </w:p>
        </w:tc>
        <w:tc>
          <w:tcPr>
            <w:tcW w:type="dxa" w:w="1440"/>
            <w:shd w:fill="FAFAFA" w:val="clear"/>
          </w:tcPr>
          <w:p>
            <w:r>
              <w:rPr>
                <w:b/>
                <w:sz w:val="17"/>
              </w:rPr>
              <w:t>31,702</w:t>
            </w:r>
          </w:p>
        </w:tc>
        <w:tc>
          <w:tcPr>
            <w:tcW w:type="dxa" w:w="1440"/>
            <w:shd w:fill="FAFAFA" w:val="clear"/>
          </w:tcPr>
          <w:p>
            <w:r>
              <w:rPr>
                <w:sz w:val="17"/>
              </w:rPr>
              <w:t>32,500</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30,536</w:t>
            </w:r>
          </w:p>
        </w:tc>
        <w:tc>
          <w:tcPr>
            <w:tcW w:type="dxa" w:w="1440"/>
            <w:shd w:fill="FAFAFA" w:val="clear"/>
          </w:tcPr>
          <w:p>
            <w:r>
              <w:rPr>
                <w:b/>
                <w:sz w:val="17"/>
              </w:rPr>
              <w:t>31,664</w:t>
            </w:r>
          </w:p>
        </w:tc>
        <w:tc>
          <w:tcPr>
            <w:tcW w:type="dxa" w:w="1440"/>
            <w:shd w:fill="FAFAFA" w:val="clear"/>
          </w:tcPr>
          <w:p>
            <w:r>
              <w:rPr>
                <w:sz w:val="17"/>
              </w:rPr>
              <w:t>32,791</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30,236</w:t>
            </w:r>
          </w:p>
        </w:tc>
        <w:tc>
          <w:tcPr>
            <w:tcW w:type="dxa" w:w="1440"/>
            <w:shd w:fill="FAFAFA" w:val="clear"/>
          </w:tcPr>
          <w:p>
            <w:r>
              <w:rPr>
                <w:b/>
                <w:sz w:val="17"/>
              </w:rPr>
              <w:t>31,615</w:t>
            </w:r>
          </w:p>
        </w:tc>
        <w:tc>
          <w:tcPr>
            <w:tcW w:type="dxa" w:w="1440"/>
            <w:shd w:fill="FAFAFA" w:val="clear"/>
          </w:tcPr>
          <w:p>
            <w:r>
              <w:rPr>
                <w:sz w:val="17"/>
              </w:rPr>
              <w:t>32,993</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29,981</w:t>
            </w:r>
          </w:p>
        </w:tc>
        <w:tc>
          <w:tcPr>
            <w:tcW w:type="dxa" w:w="1440"/>
            <w:shd w:fill="FAFAFA" w:val="clear"/>
          </w:tcPr>
          <w:p>
            <w:r>
              <w:rPr>
                <w:b/>
                <w:sz w:val="17"/>
              </w:rPr>
              <w:t>31,571</w:t>
            </w:r>
          </w:p>
        </w:tc>
        <w:tc>
          <w:tcPr>
            <w:tcW w:type="dxa" w:w="1440"/>
            <w:shd w:fill="FAFAFA" w:val="clear"/>
          </w:tcPr>
          <w:p>
            <w:r>
              <w:rPr>
                <w:sz w:val="17"/>
              </w:rPr>
              <w:t>33,160</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29,756</w:t>
            </w:r>
          </w:p>
        </w:tc>
        <w:tc>
          <w:tcPr>
            <w:tcW w:type="dxa" w:w="1440"/>
            <w:shd w:fill="FAFAFA" w:val="clear"/>
          </w:tcPr>
          <w:p>
            <w:r>
              <w:rPr>
                <w:b/>
                <w:sz w:val="17"/>
              </w:rPr>
              <w:t>31,531</w:t>
            </w:r>
          </w:p>
        </w:tc>
        <w:tc>
          <w:tcPr>
            <w:tcW w:type="dxa" w:w="1440"/>
            <w:shd w:fill="FAFAFA" w:val="clear"/>
          </w:tcPr>
          <w:p>
            <w:r>
              <w:rPr>
                <w:sz w:val="17"/>
              </w:rPr>
              <w:t>33,306</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2026-08-24</w:t>
            </w:r>
          </w:p>
        </w:tc>
        <w:tc>
          <w:tcPr>
            <w:tcW w:type="dxa" w:w="1440"/>
            <w:shd w:fill="FAFAFA" w:val="clear"/>
          </w:tcPr>
          <w:p>
            <w:r>
              <w:rPr>
                <w:sz w:val="17"/>
              </w:rPr>
              <w:t>29,551</w:t>
            </w:r>
          </w:p>
        </w:tc>
        <w:tc>
          <w:tcPr>
            <w:tcW w:type="dxa" w:w="1440"/>
            <w:shd w:fill="FAFAFA" w:val="clear"/>
          </w:tcPr>
          <w:p>
            <w:r>
              <w:rPr>
                <w:b/>
                <w:sz w:val="17"/>
              </w:rPr>
              <w:t>31,493</w:t>
            </w:r>
          </w:p>
        </w:tc>
        <w:tc>
          <w:tcPr>
            <w:tcW w:type="dxa" w:w="1440"/>
            <w:shd w:fill="FAFAFA" w:val="clear"/>
          </w:tcPr>
          <w:p>
            <w:r>
              <w:rPr>
                <w:sz w:val="17"/>
              </w:rPr>
              <w:t>33,435</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2026-08-25</w:t>
            </w:r>
          </w:p>
        </w:tc>
        <w:tc>
          <w:tcPr>
            <w:tcW w:type="dxa" w:w="1440"/>
            <w:shd w:fill="FAFAFA" w:val="clear"/>
          </w:tcPr>
          <w:p>
            <w:r>
              <w:rPr>
                <w:sz w:val="17"/>
              </w:rPr>
              <w:t>29,362</w:t>
            </w:r>
          </w:p>
        </w:tc>
        <w:tc>
          <w:tcPr>
            <w:tcW w:type="dxa" w:w="1440"/>
            <w:shd w:fill="FAFAFA" w:val="clear"/>
          </w:tcPr>
          <w:p>
            <w:r>
              <w:rPr>
                <w:b/>
                <w:sz w:val="17"/>
              </w:rPr>
              <w:t>31,457</w:t>
            </w:r>
          </w:p>
        </w:tc>
        <w:tc>
          <w:tcPr>
            <w:tcW w:type="dxa" w:w="1440"/>
            <w:shd w:fill="FAFAFA" w:val="clear"/>
          </w:tcPr>
          <w:p>
            <w:r>
              <w:rPr>
                <w:sz w:val="17"/>
              </w:rPr>
              <w:t>33,552</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2026-08-27</w:t>
            </w:r>
          </w:p>
        </w:tc>
        <w:tc>
          <w:tcPr>
            <w:tcW w:type="dxa" w:w="1440"/>
            <w:shd w:fill="FAFAFA" w:val="clear"/>
          </w:tcPr>
          <w:p>
            <w:r>
              <w:rPr>
                <w:sz w:val="17"/>
              </w:rPr>
              <w:t>29,184</w:t>
            </w:r>
          </w:p>
        </w:tc>
        <w:tc>
          <w:tcPr>
            <w:tcW w:type="dxa" w:w="1440"/>
            <w:shd w:fill="FAFAFA" w:val="clear"/>
          </w:tcPr>
          <w:p>
            <w:r>
              <w:rPr>
                <w:b/>
                <w:sz w:val="17"/>
              </w:rPr>
              <w:t>31,422</w:t>
            </w:r>
          </w:p>
        </w:tc>
        <w:tc>
          <w:tcPr>
            <w:tcW w:type="dxa" w:w="1440"/>
            <w:shd w:fill="FAFAFA" w:val="clear"/>
          </w:tcPr>
          <w:p>
            <w:r>
              <w:rPr>
                <w:sz w:val="17"/>
              </w:rPr>
              <w:t>33,659</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2026-08-28</w:t>
            </w:r>
          </w:p>
        </w:tc>
        <w:tc>
          <w:tcPr>
            <w:tcW w:type="dxa" w:w="1440"/>
            <w:shd w:fill="FAFAFA" w:val="clear"/>
          </w:tcPr>
          <w:p>
            <w:r>
              <w:rPr>
                <w:sz w:val="17"/>
              </w:rPr>
              <w:t>29,016</w:t>
            </w:r>
          </w:p>
        </w:tc>
        <w:tc>
          <w:tcPr>
            <w:tcW w:type="dxa" w:w="1440"/>
            <w:shd w:fill="FAFAFA" w:val="clear"/>
          </w:tcPr>
          <w:p>
            <w:r>
              <w:rPr>
                <w:b/>
                <w:sz w:val="17"/>
              </w:rPr>
              <w:t>31,387</w:t>
            </w:r>
          </w:p>
        </w:tc>
        <w:tc>
          <w:tcPr>
            <w:tcW w:type="dxa" w:w="1440"/>
            <w:shd w:fill="FAFAFA" w:val="clear"/>
          </w:tcPr>
          <w:p>
            <w:r>
              <w:rPr>
                <w:sz w:val="17"/>
              </w:rPr>
              <w:t>33,757</w:t>
            </w:r>
          </w:p>
        </w:tc>
        <w:tc>
          <w:tcPr>
            <w:tcW w:type="dxa" w:w="1440"/>
            <w:shd w:fill="FAFAFA" w:val="clear"/>
          </w:tcPr>
          <w:p>
            <w:r>
              <w:rPr>
                <w:b/>
                <w:color w:val="C00000"/>
                <w:sz w:val="17"/>
              </w:rPr>
              <w:t>-1.6%</w:t>
            </w:r>
          </w:p>
        </w:tc>
      </w:tr>
      <w:tr>
        <w:tc>
          <w:tcPr>
            <w:tcW w:type="dxa" w:w="1440"/>
            <w:shd w:fill="FAFAFA" w:val="clear"/>
          </w:tcPr>
          <w:p>
            <w:r>
              <w:rPr>
                <w:sz w:val="17"/>
              </w:rPr>
              <w:t>J+10  ⭐</w:t>
            </w:r>
          </w:p>
        </w:tc>
        <w:tc>
          <w:tcPr>
            <w:tcW w:type="dxa" w:w="1440"/>
            <w:shd w:fill="FAFAFA" w:val="clear"/>
          </w:tcPr>
          <w:p>
            <w:r>
              <w:rPr>
                <w:sz w:val="17"/>
              </w:rPr>
              <w:t>2026-08-31</w:t>
            </w:r>
          </w:p>
        </w:tc>
        <w:tc>
          <w:tcPr>
            <w:tcW w:type="dxa" w:w="1440"/>
            <w:shd w:fill="FAFAFA" w:val="clear"/>
          </w:tcPr>
          <w:p>
            <w:r>
              <w:rPr>
                <w:sz w:val="17"/>
              </w:rPr>
              <w:t>28,856</w:t>
            </w:r>
          </w:p>
        </w:tc>
        <w:tc>
          <w:tcPr>
            <w:tcW w:type="dxa" w:w="1440"/>
            <w:shd w:fill="FAFAFA" w:val="clear"/>
          </w:tcPr>
          <w:p>
            <w:r>
              <w:rPr>
                <w:b/>
                <w:sz w:val="17"/>
              </w:rPr>
              <w:t>31,352</w:t>
            </w:r>
          </w:p>
        </w:tc>
        <w:tc>
          <w:tcPr>
            <w:tcW w:type="dxa" w:w="1440"/>
            <w:shd w:fill="FAFAFA" w:val="clear"/>
          </w:tcPr>
          <w:p>
            <w:r>
              <w:rPr>
                <w:sz w:val="17"/>
              </w:rPr>
              <w:t>33,848</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SNTS s'établit à 3 190 milliards FCFA, ce qui en fait l'une des plus importantes valeurs de la cote BRVM, représentant un poids considérable dans l'indice. Avec un BPA de 4 136 FCFA, le titre se négocie à un PER de 7,7x, ce qui est inférieur à la moyenne historique de la place (~8-12x), suggérant une sous-évaluation relative du titre par rapport à ses bénéfices. Le P/B de 2,28x indique que le marché valorise la société à plus du double de sa valeur comptable, une prime de croissance qui reste raisonnable pour un acteur dominant. Enfin, un EV/EBITDA de 3,3x est particulièrement attractif, signalant que la valeur d'entreprise est très faible par rapport à sa capacité opérationnelle de génération de cash. L'ensemble de ces ratios confère au titre un profil de valorisation solide et potentiellement sous-évalué.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SNTS a enregistré une progression de +10,02%, avec un léger repli de -0,30% lors de la dernière séance, s'établissant à 31 900 FCFA. Le titre a évolué dans une fourchette de 27 160 FCFA (plus bas) à 32 500 FCFA (plus haut), démontrant une dynamique haussière soutenue sur la période. La moyenne du cours (29 394 FCFA) est inférieure à la médiane (28 875 FCFA), et le skewness positif de 0,886 indique une asymétrie avec des journées de clôture majoritairement sous la moyenne, mais des épisodes de forte hausse. L'écart-type de 1 336 FCFA (CV=4,5%) témoigne d'une dispersion modérée, tandis que le kurtosis de -0,620 (mésokurtique) suggère l'absence de risques de pics extrêmes. La volatilité annualisée de 25,7% classe le titre dans une zone de risque modéré, cohérente avec un marché émergent comme la BRVM.</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(31 900 FCFA) se situe au-dessus de la MM20 (31 440 FCFA) et de la MM50 (30 152 FCFA), confirmant une tendance haussière de court et moyen terme. La configuration des MM, avec le cours au-dessus des deux moyennes, génère un signal d'achat, indiquant que la dynamique positive reste intacte.</w:t>
      </w:r>
    </w:p>
    <w:p>
      <w:pPr>
        <w:spacing w:after="120" w:line="276" w:lineRule="auto"/>
      </w:pPr>
      <w:r>
        <w:t>**Bandes de Bollinger** : Le prix évolue dans la partie supérieure du canal, proche de la borne haute (32 477 FCFA) mais sans la toucher, ce qui suggère une pression acheteuse modérée sans surachat extrême. La décision est neutre, le titre n'ayant pas encore atteint les niveaux extrêmes qui précèdent généralement une correction.</w:t>
      </w:r>
    </w:p>
    <w:p>
      <w:pPr>
        <w:spacing w:after="120" w:line="276" w:lineRule="auto"/>
      </w:pPr>
      <w:r>
        <w:t>**MACD** : La ligne MACD (405,4) est légèrement au-dessus de sa ligne de signal (396,7), indiquant un momentum positif persistant. Cette configuration, bien que peu prononcée, soutient la poursuite de la tendance haussière et justifie une décision d'achat.</w:t>
      </w:r>
    </w:p>
    <w:p>
      <w:pPr>
        <w:spacing w:after="120" w:line="276" w:lineRule="auto"/>
      </w:pPr>
      <w:r>
        <w:t>**RSI** : Avec une valeur de 55,1, le RSI se situe en zone neutre, entre 30 et 70. Il n'y a pas de signal de surachat ni de survente, ce qui laisse de la marge pour une appréciation supplémentaire du cours sans pression vendeuse immédiate.</w:t>
      </w:r>
    </w:p>
    <w:p>
      <w:pPr>
        <w:spacing w:after="120" w:line="276" w:lineRule="auto"/>
      </w:pPr>
      <w:r>
        <w:t>**Stochastique** : Les valeurs de %K (94,4) et %D (98,1) sont très élevées, signalant une zone de surachat technique. La décision de vente associée à cet indicateur suggère qu'un repli technique est possible à court terme, même si la tendance de fond reste haussière.</w:t>
      </w:r>
    </w:p>
    <w:p>
      <w:pPr>
        <w:spacing w:after="120" w:line="276" w:lineRule="auto"/>
      </w:pPr>
      <w:r>
        <w:t>**Conclusion technique** : Les indicateurs de tendance (MM, MACD) sont positifs, tandis que les oscillateurs (Stochastique) montrent des signes de surachat. Cette divergence suggère une consolidation à court terme avant une probable poursuite de la hausse, mais le biais général reste constructif.</w:t>
      </w:r>
    </w:p>
    <w:p>
      <w:pPr>
        <w:spacing w:after="120" w:line="276" w:lineRule="auto"/>
      </w:pPr>
      <w:r>
        <w:t>---</w:t>
      </w:r>
    </w:p>
    <w:p>
      <w:pPr>
        <w:spacing w:after="120" w:line="276" w:lineRule="auto"/>
      </w:pPr>
      <w:r>
        <w:t>### PARTIE 3 : ANALYSE FONDAMENTALE (SECTION CRITIQUE)</w:t>
      </w:r>
    </w:p>
    <w:p>
      <w:pPr>
        <w:spacing w:after="120" w:line="276" w:lineRule="auto"/>
      </w:pPr>
      <w:r>
        <w:t>En 2025, le Groupe Sonatel a réalisé un chiffre d'affaires consolidé de 1 923,1 milliards FCFA, en hausse de +8,3% par rapport à 2024, et un résultat net de 413,6 milliards FCFA (+5,1%). La marge nette s'établit à 21,5%, avec un ROE exceptionnel de 29,6% et un ROA de 12,6%, démontrant une excellente rentabilité des capitaux propres et des actifs. La structure financière est saine avec une autonomie financière de 42,8% et une capacité de remboursement rapide (0,64 an). Le BFR négatif de -284,9 milliards FCFA est un signal très favorable, indiquant que l'entreprise finance son cycle d'exploitation par ses fournisseurs (délai fournisseurs de 201 jours contre 46 jours pour les clients). Les rapports trimestriels 2025 confirment cette dynamique : le T1 2025 affichait un résultat net de 108,4 milliards FCFA (+14,9%), et le S1 2025 un résultat de 208,1 milliards FCFA (+8,0%). Sur la base du rapport S1 2026 (publié en juillet 2026) qui fait état d'un CA de 1 049,8 milliards FCFA (+9,3%) et d'un résultat net de 230 milliards FCFA (+10,5%), on estime que l'exercice 2026 devrait dépasser les 2 100 milliards FCFA de CA et 450 milliards de résultat net, confirmant la solidité et la croissance durable du groupe.</w:t>
      </w:r>
    </w:p>
    <w:p>
      <w:pPr>
        <w:spacing w:after="120" w:line="276" w:lineRule="auto"/>
      </w:pPr>
      <w:r>
        <w:t>---</w:t>
      </w:r>
    </w:p>
    <w:p>
      <w:pPr>
        <w:spacing w:after="120" w:line="276" w:lineRule="auto"/>
      </w:pPr>
      <w:r>
        <w:t>### PARTIE 4 : CONCLUSION D'INVESTISSEMENT</w:t>
      </w:r>
    </w:p>
    <w:p>
      <w:pPr>
        <w:spacing w:after="120" w:line="276" w:lineRule="auto"/>
      </w:pPr>
      <w:r>
        <w:t>La valorisation de SNTS (PER 7,7x, EV/EBITDA 3,3x) indique une sous-évaluation relative, tandis que le comportement du cours sur 100 jours (+10%) et les statistiques (volatilité modérée, asymétrie positive) sont favorables. Les signaux techniques sont globalement positifs, avec une nuance de surachat à court terme (Stochastique), mais la tendance de fond portée par les moyennes mobiles et le MACD reste haussière. Les fondamentaux sont excellents, avec une croissance soutenue du CA et du résultat net, une rentabilité élevée (ROE 29,6%) et une structure financière saine. Les prédictions IA pour les 10 prochains jours (31 531 à 31 702 FCFA) suggèrent une légère consolidation, en ligne avec les signaux de surachat technique. La convergence entre la sous-évaluation, la solidité fondamentale et la tendance haussière justifie une recommandation **ACHAT**, avec un niveau de confiance **Élevé** et un risque global **Faible à Moyen**. L'horizon d'investissement optimal est le **moyen terme (3-12 mois)**, permettant de capter la croissance des résultats et l'appréciation du cours, avec un potentiel de rendement renforcé par le dividende de 1 740 FCFA net par action.</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169.57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5,774 titres</w:t>
            </w:r>
          </w:p>
        </w:tc>
        <w:tc>
          <w:tcPr>
            <w:tcW w:type="dxa" w:w="2268"/>
            <w:shd w:fill="FFF2CC" w:val="clear"/>
          </w:tcPr>
          <w:p>
            <w:r>
              <w:rPr>
                <w:b/>
                <w:color w:val="503200"/>
                <w:sz w:val="16"/>
              </w:rPr>
              <w:t xml:space="preserve">Cours actuel : </w:t>
            </w:r>
            <w:r>
              <w:rPr>
                <w:color w:val="000000"/>
                <w:sz w:val="17"/>
              </w:rPr>
              <w:t>7,850 FCFA</w:t>
            </w:r>
          </w:p>
          <w:p>
            <w:r>
              <w:rPr>
                <w:b/>
                <w:color w:val="503200"/>
                <w:sz w:val="16"/>
              </w:rPr>
              <w:t xml:space="preserve">Var. 100 jours : </w:t>
            </w:r>
            <w:r>
              <w:rPr>
                <w:b/>
                <w:color w:val="B40000"/>
                <w:sz w:val="17"/>
              </w:rPr>
              <w:t>-11.60%</w:t>
            </w:r>
          </w:p>
          <w:p>
            <w:r>
              <w:rPr>
                <w:b/>
                <w:color w:val="503200"/>
                <w:sz w:val="16"/>
              </w:rPr>
              <w:t xml:space="preserve">Plus haut 100j : </w:t>
            </w:r>
            <w:r>
              <w:rPr>
                <w:color w:val="000000"/>
                <w:sz w:val="17"/>
              </w:rPr>
              <w:t>8,880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39.5%</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4.96% (Faible) — μ=7,983 FCFA, σ=396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β=0.6258 (Défensif) — Cov=0.000023, Var(idx)=0.000036, ρ=0.151,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50/100  (Moyen)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7,397</w:t>
            </w:r>
          </w:p>
        </w:tc>
        <w:tc>
          <w:tcPr>
            <w:tcW w:type="dxa" w:w="1440"/>
            <w:shd w:fill="FAFAFA" w:val="clear"/>
          </w:tcPr>
          <w:p>
            <w:r>
              <w:rPr>
                <w:b/>
                <w:sz w:val="17"/>
              </w:rPr>
              <w:t>7,740</w:t>
            </w:r>
          </w:p>
        </w:tc>
        <w:tc>
          <w:tcPr>
            <w:tcW w:type="dxa" w:w="1440"/>
            <w:shd w:fill="FAFAFA" w:val="clear"/>
          </w:tcPr>
          <w:p>
            <w:r>
              <w:rPr>
                <w:sz w:val="17"/>
              </w:rPr>
              <w:t>8,082</w:t>
            </w:r>
          </w:p>
        </w:tc>
        <w:tc>
          <w:tcPr>
            <w:tcW w:type="dxa" w:w="1440"/>
            <w:shd w:fill="FAFAFA" w:val="clear"/>
          </w:tcPr>
          <w:p>
            <w:r>
              <w:rPr>
                <w:b/>
                <w:color w:val="C00000"/>
                <w:sz w:val="17"/>
              </w:rPr>
              <w:t>-1.4%</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7,281</w:t>
            </w:r>
          </w:p>
        </w:tc>
        <w:tc>
          <w:tcPr>
            <w:tcW w:type="dxa" w:w="1440"/>
            <w:shd w:fill="FAFAFA" w:val="clear"/>
          </w:tcPr>
          <w:p>
            <w:r>
              <w:rPr>
                <w:b/>
                <w:sz w:val="17"/>
              </w:rPr>
              <w:t>7,767</w:t>
            </w:r>
          </w:p>
        </w:tc>
        <w:tc>
          <w:tcPr>
            <w:tcW w:type="dxa" w:w="1440"/>
            <w:shd w:fill="FAFAFA" w:val="clear"/>
          </w:tcPr>
          <w:p>
            <w:r>
              <w:rPr>
                <w:sz w:val="17"/>
              </w:rPr>
              <w:t>8,253</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2026-08-19</w:t>
            </w:r>
          </w:p>
        </w:tc>
        <w:tc>
          <w:tcPr>
            <w:tcW w:type="dxa" w:w="1440"/>
            <w:shd w:fill="FAFAFA" w:val="clear"/>
          </w:tcPr>
          <w:p>
            <w:r>
              <w:rPr>
                <w:sz w:val="17"/>
              </w:rPr>
              <w:t>7,185</w:t>
            </w:r>
          </w:p>
        </w:tc>
        <w:tc>
          <w:tcPr>
            <w:tcW w:type="dxa" w:w="1440"/>
            <w:shd w:fill="FAFAFA" w:val="clear"/>
          </w:tcPr>
          <w:p>
            <w:r>
              <w:rPr>
                <w:b/>
                <w:sz w:val="17"/>
              </w:rPr>
              <w:t>7,781</w:t>
            </w:r>
          </w:p>
        </w:tc>
        <w:tc>
          <w:tcPr>
            <w:tcW w:type="dxa" w:w="1440"/>
            <w:shd w:fill="FAFAFA" w:val="clear"/>
          </w:tcPr>
          <w:p>
            <w:r>
              <w:rPr>
                <w:sz w:val="17"/>
              </w:rPr>
              <w:t>8,376</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7,105</w:t>
            </w:r>
          </w:p>
        </w:tc>
        <w:tc>
          <w:tcPr>
            <w:tcW w:type="dxa" w:w="1440"/>
            <w:shd w:fill="FAFAFA" w:val="clear"/>
          </w:tcPr>
          <w:p>
            <w:r>
              <w:rPr>
                <w:b/>
                <w:sz w:val="17"/>
              </w:rPr>
              <w:t>7,794</w:t>
            </w:r>
          </w:p>
        </w:tc>
        <w:tc>
          <w:tcPr>
            <w:tcW w:type="dxa" w:w="1440"/>
            <w:shd w:fill="FAFAFA" w:val="clear"/>
          </w:tcPr>
          <w:p>
            <w:r>
              <w:rPr>
                <w:sz w:val="17"/>
              </w:rPr>
              <w:t>8,483</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7,036</w:t>
            </w:r>
          </w:p>
        </w:tc>
        <w:tc>
          <w:tcPr>
            <w:tcW w:type="dxa" w:w="1440"/>
            <w:shd w:fill="FAFAFA" w:val="clear"/>
          </w:tcPr>
          <w:p>
            <w:r>
              <w:rPr>
                <w:b/>
                <w:sz w:val="17"/>
              </w:rPr>
              <w:t>7,808</w:t>
            </w:r>
          </w:p>
        </w:tc>
        <w:tc>
          <w:tcPr>
            <w:tcW w:type="dxa" w:w="1440"/>
            <w:shd w:fill="FAFAFA" w:val="clear"/>
          </w:tcPr>
          <w:p>
            <w:r>
              <w:rPr>
                <w:sz w:val="17"/>
              </w:rPr>
              <w:t>8,580</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2026-08-24</w:t>
            </w:r>
          </w:p>
        </w:tc>
        <w:tc>
          <w:tcPr>
            <w:tcW w:type="dxa" w:w="1440"/>
            <w:shd w:fill="FAFAFA" w:val="clear"/>
          </w:tcPr>
          <w:p>
            <w:r>
              <w:rPr>
                <w:sz w:val="17"/>
              </w:rPr>
              <w:t>6,975</w:t>
            </w:r>
          </w:p>
        </w:tc>
        <w:tc>
          <w:tcPr>
            <w:tcW w:type="dxa" w:w="1440"/>
            <w:shd w:fill="FAFAFA" w:val="clear"/>
          </w:tcPr>
          <w:p>
            <w:r>
              <w:rPr>
                <w:b/>
                <w:sz w:val="17"/>
              </w:rPr>
              <w:t>7,823</w:t>
            </w:r>
          </w:p>
        </w:tc>
        <w:tc>
          <w:tcPr>
            <w:tcW w:type="dxa" w:w="1440"/>
            <w:shd w:fill="FAFAFA" w:val="clear"/>
          </w:tcPr>
          <w:p>
            <w:r>
              <w:rPr>
                <w:sz w:val="17"/>
              </w:rPr>
              <w:t>8,670</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2026-08-25</w:t>
            </w:r>
          </w:p>
        </w:tc>
        <w:tc>
          <w:tcPr>
            <w:tcW w:type="dxa" w:w="1440"/>
            <w:shd w:fill="FAFAFA" w:val="clear"/>
          </w:tcPr>
          <w:p>
            <w:r>
              <w:rPr>
                <w:sz w:val="17"/>
              </w:rPr>
              <w:t>6,920</w:t>
            </w:r>
          </w:p>
        </w:tc>
        <w:tc>
          <w:tcPr>
            <w:tcW w:type="dxa" w:w="1440"/>
            <w:shd w:fill="FAFAFA" w:val="clear"/>
          </w:tcPr>
          <w:p>
            <w:r>
              <w:rPr>
                <w:b/>
                <w:sz w:val="17"/>
              </w:rPr>
              <w:t>7,837</w:t>
            </w:r>
          </w:p>
        </w:tc>
        <w:tc>
          <w:tcPr>
            <w:tcW w:type="dxa" w:w="1440"/>
            <w:shd w:fill="FAFAFA" w:val="clear"/>
          </w:tcPr>
          <w:p>
            <w:r>
              <w:rPr>
                <w:sz w:val="17"/>
              </w:rPr>
              <w:t>8,754</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2026-08-27</w:t>
            </w:r>
          </w:p>
        </w:tc>
        <w:tc>
          <w:tcPr>
            <w:tcW w:type="dxa" w:w="1440"/>
            <w:shd w:fill="FAFAFA" w:val="clear"/>
          </w:tcPr>
          <w:p>
            <w:r>
              <w:rPr>
                <w:sz w:val="17"/>
              </w:rPr>
              <w:t>6,869</w:t>
            </w:r>
          </w:p>
        </w:tc>
        <w:tc>
          <w:tcPr>
            <w:tcW w:type="dxa" w:w="1440"/>
            <w:shd w:fill="FAFAFA" w:val="clear"/>
          </w:tcPr>
          <w:p>
            <w:r>
              <w:rPr>
                <w:b/>
                <w:sz w:val="17"/>
              </w:rPr>
              <w:t>7,851</w:t>
            </w:r>
          </w:p>
        </w:tc>
        <w:tc>
          <w:tcPr>
            <w:tcW w:type="dxa" w:w="1440"/>
            <w:shd w:fill="FAFAFA" w:val="clear"/>
          </w:tcPr>
          <w:p>
            <w:r>
              <w:rPr>
                <w:sz w:val="17"/>
              </w:rPr>
              <w:t>8,833</w:t>
            </w:r>
          </w:p>
        </w:tc>
        <w:tc>
          <w:tcPr>
            <w:tcW w:type="dxa" w:w="1440"/>
            <w:shd w:fill="FAFAFA" w:val="clear"/>
          </w:tcPr>
          <w:p>
            <w:r>
              <w:rPr>
                <w:b/>
                <w:color w:val="008000"/>
                <w:sz w:val="17"/>
              </w:rPr>
              <w:t>+0.0%</w:t>
            </w:r>
          </w:p>
        </w:tc>
      </w:tr>
      <w:tr>
        <w:tc>
          <w:tcPr>
            <w:tcW w:type="dxa" w:w="1440"/>
            <w:shd w:fill="FAFAFA" w:val="clear"/>
          </w:tcPr>
          <w:p>
            <w:r>
              <w:rPr>
                <w:sz w:val="17"/>
              </w:rPr>
              <w:t>J+9  ⭐</w:t>
            </w:r>
          </w:p>
        </w:tc>
        <w:tc>
          <w:tcPr>
            <w:tcW w:type="dxa" w:w="1440"/>
            <w:shd w:fill="FAFAFA" w:val="clear"/>
          </w:tcPr>
          <w:p>
            <w:r>
              <w:rPr>
                <w:sz w:val="17"/>
              </w:rPr>
              <w:t>2026-08-28</w:t>
            </w:r>
          </w:p>
        </w:tc>
        <w:tc>
          <w:tcPr>
            <w:tcW w:type="dxa" w:w="1440"/>
            <w:shd w:fill="FAFAFA" w:val="clear"/>
          </w:tcPr>
          <w:p>
            <w:r>
              <w:rPr>
                <w:sz w:val="17"/>
              </w:rPr>
              <w:t>6,822</w:t>
            </w:r>
          </w:p>
        </w:tc>
        <w:tc>
          <w:tcPr>
            <w:tcW w:type="dxa" w:w="1440"/>
            <w:shd w:fill="FAFAFA" w:val="clear"/>
          </w:tcPr>
          <w:p>
            <w:r>
              <w:rPr>
                <w:b/>
                <w:sz w:val="17"/>
              </w:rPr>
              <w:t>7,865</w:t>
            </w:r>
          </w:p>
        </w:tc>
        <w:tc>
          <w:tcPr>
            <w:tcW w:type="dxa" w:w="1440"/>
            <w:shd w:fill="FAFAFA" w:val="clear"/>
          </w:tcPr>
          <w:p>
            <w:r>
              <w:rPr>
                <w:sz w:val="17"/>
              </w:rPr>
              <w:t>8,908</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2026-08-31</w:t>
            </w:r>
          </w:p>
        </w:tc>
        <w:tc>
          <w:tcPr>
            <w:tcW w:type="dxa" w:w="1440"/>
            <w:shd w:fill="FAFAFA" w:val="clear"/>
          </w:tcPr>
          <w:p>
            <w:r>
              <w:rPr>
                <w:sz w:val="17"/>
              </w:rPr>
              <w:t>6,777</w:t>
            </w:r>
          </w:p>
        </w:tc>
        <w:tc>
          <w:tcPr>
            <w:tcW w:type="dxa" w:w="1440"/>
            <w:shd w:fill="FAFAFA" w:val="clear"/>
          </w:tcPr>
          <w:p>
            <w:r>
              <w:rPr>
                <w:b/>
                <w:sz w:val="17"/>
              </w:rPr>
              <w:t>7,879</w:t>
            </w:r>
          </w:p>
        </w:tc>
        <w:tc>
          <w:tcPr>
            <w:tcW w:type="dxa" w:w="1440"/>
            <w:shd w:fill="FAFAFA" w:val="clear"/>
          </w:tcPr>
          <w:p>
            <w:r>
              <w:rPr>
                <w:sz w:val="17"/>
              </w:rPr>
              <w:t>8,981</w:t>
            </w:r>
          </w:p>
        </w:tc>
        <w:tc>
          <w:tcPr>
            <w:tcW w:type="dxa" w:w="1440"/>
            <w:shd w:fill="FAFAFA" w:val="clear"/>
          </w:tcPr>
          <w:p>
            <w:r>
              <w:rPr>
                <w:b/>
                <w:color w:val="008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SOGC s'établit à **169,57 milliards FCFA**, un niveau qui la positionne parmi les valeurs moyennes à grandes capitalisations de la BRVM, reflétant son importance dans le secteur agro-industriel. Avec un BPA de **578 FCFA**, chaque action génère un bénéfice substantiel. Le PER de **13,6x** est légèrement supérieur à la moyenne historique de la BRVM (8-12x), indiquant que le marché accorde une prime de valorisation, justifiée par la solidité des fondamentaux de l'entreprise. Le P/B de **2,48x** confirme cette prime, le marché valorisant la société à 2,5 fois ses capitaux propres, signe de confiance dans sa capacité à créer de la valeur. Enfin, un EV/EBITDA de **7,0x** reste dans une fourchette raisonnable, indiquant que la valeur totale de l'entreprise (dette incluse) reste cohérente avec sa capacité opérationnelle à générer des bénéfices avant intérêts, impôts et amortissements.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SOGC a enregistré une **baisse de 11,60%**, illustrant une tendance baissière marquée, malgré un rebond notable de **+7,31%** lors de la dernière séance. Le titre a évolué dans une fourchette large de **7 100 FCFA** (plus bas) à **8 880 FCFA** (plus haut), témoignant d'une volatilité significative. La moyenne du cours sur la période est de **7 983 FCFA**, très proche de la médiane (7 995 FCFA), ce qui indique une distribution relativement symétrique des prix, confirmée par un skewness légèrement négatif (-0.229). L'écart-type de **398 FCFA** (CV=5.0%) montre une dispersion modérée autour de la moyenne. Le kurtosis de -0.877, qualifié de mésokurtique, suggère l'absence de queues de distribution épaisses, donc un risque de variations extrêmes limité. La **volatilité annualisée de 39,5%** est élevée (&gt;30%), indiquant un titre sujet à des fluctuations de prix importantes, un facteur de risque à considérer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7 850 FCFA est inférieur à la MM20 (8 069 FCFA) et à la MM50 (8 242,6 FCFA). Cette configuration, où le prix évolue sous les deux moyennes clés, confirme une dynamique baissière à court et moyen terme. La décision de "Vente" est justifiée par cette structure baissière, le titre n'ayant pas réussi à se hisser au-dessus de ces niveaux de résistance dynamiques.</w:t>
      </w:r>
    </w:p>
    <w:p>
      <w:pPr>
        <w:spacing w:after="120" w:line="276" w:lineRule="auto"/>
      </w:pPr>
      <w:r>
        <w:t>**Bandes de Bollinger :** Le prix se situe à 7 850 FCFA, entre la borne inférieure (7 571,1 FCFA) et la borne supérieure (8 566,9 FCFA). La position proche de la borne inférieure suggère que le titre est dans la partie basse de son canal de volatilité, sans toutefois être en situation de survente extrême. La décision "Neutre" est cohérente, le prix n'ayant pas encore touché les bornes, indiquant une volatilité modérée sans signal directionnel fort.</w:t>
      </w:r>
    </w:p>
    <w:p>
      <w:pPr>
        <w:spacing w:after="120" w:line="276" w:lineRule="auto"/>
      </w:pPr>
      <w:r>
        <w:t>**MACD :** La valeur du MACD (-127,046) est inférieure à sa ligne de signal (-68,247), confirmant un momentum baissier. Cette divergence négative indique que la dynamique de prix reste sous pression, avec des ours (vendeurs) en contrôle. La décision de "Vente" est justifiée par cette configuration, qui suggère une poursuite potentielle de la baisse à court terme.</w:t>
      </w:r>
    </w:p>
    <w:p>
      <w:pPr>
        <w:spacing w:after="120" w:line="276" w:lineRule="auto"/>
      </w:pPr>
      <w:r>
        <w:t>**RSI :** Avec une valeur de **43,994**, le RSI se situe en zone neutre (entre 30 et 70), indiquant un équilibre relatif entre les forces acheteuses et vendeuses. Le titre n'est ni suracheté ni survendu, ce qui laisse place à une certaine indécision. La décision "Neutre" est appropriée, le momentum n'étant pas assez fort pour signaler un retournement ou une poursuite de tendance.</w:t>
      </w:r>
    </w:p>
    <w:p>
      <w:pPr>
        <w:spacing w:after="120" w:line="276" w:lineRule="auto"/>
      </w:pPr>
      <w:r>
        <w:t>**Stochastique :** Le %K (49,309) est nettement supérieur au %D (16,436), ce qui pourrait indiquer un croisement haussier potentiel. Cependant, les deux lignes restent en zone neutre, et cette divergence pourrait signaler un début de reprise technique. La décision "Neutre" est prudente, car le signal n'est pas encore confirmé par une sortie des zones de survente.</w:t>
      </w:r>
    </w:p>
    <w:p>
      <w:pPr>
        <w:spacing w:after="120" w:line="276" w:lineRule="auto"/>
      </w:pPr>
      <w:r>
        <w:t>**Conclusion technique :** La majorité des indicateurs techniques (MM, MACD) penchent en faveur d'une tendance baissière, tandis que le RSI et le Stochastique sont neutres, suggérant une possible stabilisation. Le rebond de +7,31% de la dernière séance pourrait être le signe d'un essai de retournement, mais la prudence reste de mise tant que le cours ne dépasse pas les moyennes mobiles. Le signal global est donc **vendeur à court terme**, mais avec des signes de faiblesse de la dynamique baissière.</w:t>
      </w:r>
    </w:p>
    <w:p>
      <w:pPr>
        <w:spacing w:after="120" w:line="276" w:lineRule="auto"/>
      </w:pPr>
      <w:r>
        <w:t>---</w:t>
      </w:r>
    </w:p>
    <w:p>
      <w:pPr>
        <w:spacing w:after="120" w:line="276" w:lineRule="auto"/>
      </w:pPr>
      <w:r>
        <w:t>### PARTIE 3 : ANALYSE FONDAMENTALE (SECTION CRITIQUE)</w:t>
      </w:r>
    </w:p>
    <w:p>
      <w:pPr>
        <w:spacing w:after="120" w:line="276" w:lineRule="auto"/>
      </w:pPr>
      <w:r>
        <w:t>En 2025, la SOGC a réalisé un **chiffre d'affaires de 98,979 milliards FCFA**, en hausse de 5,8% par rapport à 2024 (93,52 milliards FCFA), et un **résultat net de 12,493 milliards FCFA**, en légère baisse de 4,7% par rapport à 2024 (13,11 milliards FCFA). Cette performance s'accompagne d'une **marge nette de 12,62%** et d'un **ROE exceptionnel de 18,26%**, démontrant une excellente rentabilité des capitaux propres. Le ROA de 13,84% est également très solide. La structure financière est saine avec un ratio d'autonomie financière de 75,79% et une capacité de remboursement très rapide (0,04 an). Le BFR de 7,124 milliards FCFA est positif, mais les délais clients (29,6 jours) et fournisseurs (31,7 jours) sont bien gérés. Les rapports trimestriels de 2025 montrent une dynamique forte au S1 (CA +51,9%, résultat net +151,6%) mais un ralentissement au S2, avec un cumul 9M en hausse de 21,3% pour le CA et de 39,5% pour le résultat net. Sur la base de ces tendances, on estime que l'exercice 2026 pourrait voir un CA stable ou en légère hausse, mais avec une pression sur les marges en raison de la hausse des coûts des matières premières et de la concurrence accrue. La politique de dividende reste très généreuse, avec un dividende proposé de **570 FCFA par action** pour 2025, offrant un rendement élevé. La recommandation fondamentale est de **CONSERVER**, la société affichant des fondamentaux solides mais confrontée à un environnement de prix moins favorable.</w:t>
      </w:r>
    </w:p>
    <w:p>
      <w:pPr>
        <w:spacing w:after="120" w:line="276" w:lineRule="auto"/>
      </w:pPr>
      <w:r>
        <w:t>---</w:t>
      </w:r>
    </w:p>
    <w:p>
      <w:pPr>
        <w:spacing w:after="120" w:line="276" w:lineRule="auto"/>
      </w:pPr>
      <w:r>
        <w:t>### PARTIE 4 : CONCLUSION D'INVESTISSEMENT</w:t>
      </w:r>
    </w:p>
    <w:p>
      <w:pPr>
        <w:spacing w:after="120" w:line="276" w:lineRule="auto"/>
      </w:pPr>
      <w:r>
        <w:t>La valorisation de la SOGC (PER 13,6x, P/B 2,48x) est raisonnable, mais n'offre pas de décote significative. Le comportement du cours sur 100 jours est baissier (-11,6%), avec une volatilité élevée, mais les statistiques (kurtosis, skewness) suggèrent un risque de variations extrêmes limité. Les signaux techniques sont majoritairement vendeurs à court terme, bien que le rebond récent et les indicateurs neutres (RSI, Stochastique) laissent entrevoir une possible stabilisation. Les fondamentaux restent solides, avec un ROE de 18,26% et une génération de cash-flow robuste, mais la croissance du résultat net marque le pas. Les prédictions IA pour les 10 prochains jours (7 740 à 7 808 FCFA) indiquent une stabilisation du cours autour de 7 800 FCFA, confirmant la fin de la phase de baisse brutale. En synthèse, la convergence entre une valorisation correcte, des fondamentaux solides mais en ralentissement, et des signaux techniques neutres à baissiers, conduit à une recommandation de **CONSERVER**. Le niveau de confiance est **Moyen**, le risque global est **Moyen**. L'horizon d'investissement optimal est le **moyen terme (3-12 mois)**, en attendant une clarification sur l'évolution des prix des matières premières et la capacité de la société à maintenir ses marges.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204.59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4,609 titres</w:t>
            </w:r>
          </w:p>
        </w:tc>
        <w:tc>
          <w:tcPr>
            <w:tcW w:type="dxa" w:w="2268"/>
            <w:shd w:fill="FFF2CC" w:val="clear"/>
          </w:tcPr>
          <w:p>
            <w:r>
              <w:rPr>
                <w:b/>
                <w:color w:val="503200"/>
                <w:sz w:val="16"/>
              </w:rPr>
              <w:t xml:space="preserve">Cours actuel : </w:t>
            </w:r>
            <w:r>
              <w:rPr>
                <w:color w:val="000000"/>
                <w:sz w:val="17"/>
              </w:rPr>
              <w:t>8,005 FCFA</w:t>
            </w:r>
          </w:p>
          <w:p>
            <w:r>
              <w:rPr>
                <w:b/>
                <w:color w:val="503200"/>
                <w:sz w:val="16"/>
              </w:rPr>
              <w:t xml:space="preserve">Var. 100 jours : </w:t>
            </w:r>
            <w:r>
              <w:rPr>
                <w:b/>
                <w:color w:val="B40000"/>
                <w:sz w:val="17"/>
              </w:rPr>
              <w:t>-4.13%</w:t>
            </w:r>
          </w:p>
          <w:p>
            <w:r>
              <w:rPr>
                <w:b/>
                <w:color w:val="503200"/>
                <w:sz w:val="16"/>
              </w:rPr>
              <w:t xml:space="preserve">Plus haut 100j : </w:t>
            </w:r>
            <w:r>
              <w:rPr>
                <w:color w:val="000000"/>
                <w:sz w:val="17"/>
              </w:rPr>
              <w:t>8,350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4.44% (Faible) — μ=7,392 FCFA, σ=328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β=1.5489 (Agressif) — Cov=0.000056, Var(idx)=0.000036, ρ=0.361,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4,609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σ_j=2.58%/j (Stable) — Vol. annualisée≈41.0%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7,648</w:t>
            </w:r>
          </w:p>
        </w:tc>
        <w:tc>
          <w:tcPr>
            <w:tcW w:type="dxa" w:w="1440"/>
            <w:shd w:fill="FAFAFA" w:val="clear"/>
          </w:tcPr>
          <w:p>
            <w:r>
              <w:rPr>
                <w:b/>
                <w:sz w:val="17"/>
              </w:rPr>
              <w:t>7,925</w:t>
            </w:r>
          </w:p>
        </w:tc>
        <w:tc>
          <w:tcPr>
            <w:tcW w:type="dxa" w:w="1440"/>
            <w:shd w:fill="FAFAFA" w:val="clear"/>
          </w:tcPr>
          <w:p>
            <w:r>
              <w:rPr>
                <w:sz w:val="17"/>
              </w:rPr>
              <w:t>8,202</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7,521</w:t>
            </w:r>
          </w:p>
        </w:tc>
        <w:tc>
          <w:tcPr>
            <w:tcW w:type="dxa" w:w="1440"/>
            <w:shd w:fill="FAFAFA" w:val="clear"/>
          </w:tcPr>
          <w:p>
            <w:r>
              <w:rPr>
                <w:b/>
                <w:sz w:val="17"/>
              </w:rPr>
              <w:t>7,912</w:t>
            </w:r>
          </w:p>
        </w:tc>
        <w:tc>
          <w:tcPr>
            <w:tcW w:type="dxa" w:w="1440"/>
            <w:shd w:fill="FAFAFA" w:val="clear"/>
          </w:tcPr>
          <w:p>
            <w:r>
              <w:rPr>
                <w:sz w:val="17"/>
              </w:rPr>
              <w:t>8,303</w:t>
            </w:r>
          </w:p>
        </w:tc>
        <w:tc>
          <w:tcPr>
            <w:tcW w:type="dxa" w:w="1440"/>
            <w:shd w:fill="FAFAFA" w:val="clear"/>
          </w:tcPr>
          <w:p>
            <w:r>
              <w:rPr>
                <w:b/>
                <w:color w:val="C00000"/>
                <w:sz w:val="17"/>
              </w:rPr>
              <w:t>-1.2%</w:t>
            </w:r>
          </w:p>
        </w:tc>
      </w:tr>
      <w:tr>
        <w:tc>
          <w:tcPr>
            <w:tcW w:type="dxa" w:w="1440"/>
            <w:shd w:fill="FAFAFA" w:val="clear"/>
          </w:tcPr>
          <w:p>
            <w:r>
              <w:rPr>
                <w:sz w:val="17"/>
              </w:rPr>
              <w:t>J+3  Moyenne</w:t>
            </w:r>
          </w:p>
        </w:tc>
        <w:tc>
          <w:tcPr>
            <w:tcW w:type="dxa" w:w="1440"/>
            <w:shd w:fill="FAFAFA" w:val="clear"/>
          </w:tcPr>
          <w:p>
            <w:r>
              <w:rPr>
                <w:sz w:val="17"/>
              </w:rPr>
              <w:t>2026-08-19</w:t>
            </w:r>
          </w:p>
        </w:tc>
        <w:tc>
          <w:tcPr>
            <w:tcW w:type="dxa" w:w="1440"/>
            <w:shd w:fill="FAFAFA" w:val="clear"/>
          </w:tcPr>
          <w:p>
            <w:r>
              <w:rPr>
                <w:sz w:val="17"/>
              </w:rPr>
              <w:t>7,416</w:t>
            </w:r>
          </w:p>
        </w:tc>
        <w:tc>
          <w:tcPr>
            <w:tcW w:type="dxa" w:w="1440"/>
            <w:shd w:fill="FAFAFA" w:val="clear"/>
          </w:tcPr>
          <w:p>
            <w:r>
              <w:rPr>
                <w:b/>
                <w:sz w:val="17"/>
              </w:rPr>
              <w:t>7,894</w:t>
            </w:r>
          </w:p>
        </w:tc>
        <w:tc>
          <w:tcPr>
            <w:tcW w:type="dxa" w:w="1440"/>
            <w:shd w:fill="FAFAFA" w:val="clear"/>
          </w:tcPr>
          <w:p>
            <w:r>
              <w:rPr>
                <w:sz w:val="17"/>
              </w:rPr>
              <w:t>8,372</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7,326</w:t>
            </w:r>
          </w:p>
        </w:tc>
        <w:tc>
          <w:tcPr>
            <w:tcW w:type="dxa" w:w="1440"/>
            <w:shd w:fill="FAFAFA" w:val="clear"/>
          </w:tcPr>
          <w:p>
            <w:r>
              <w:rPr>
                <w:b/>
                <w:sz w:val="17"/>
              </w:rPr>
              <w:t>7,876</w:t>
            </w:r>
          </w:p>
        </w:tc>
        <w:tc>
          <w:tcPr>
            <w:tcW w:type="dxa" w:w="1440"/>
            <w:shd w:fill="FAFAFA" w:val="clear"/>
          </w:tcPr>
          <w:p>
            <w:r>
              <w:rPr>
                <w:sz w:val="17"/>
              </w:rPr>
              <w:t>8,427</w:t>
            </w:r>
          </w:p>
        </w:tc>
        <w:tc>
          <w:tcPr>
            <w:tcW w:type="dxa" w:w="1440"/>
            <w:shd w:fill="FAFAFA" w:val="clear"/>
          </w:tcPr>
          <w:p>
            <w:r>
              <w:rPr>
                <w:b/>
                <w:color w:val="C00000"/>
                <w:sz w:val="17"/>
              </w:rPr>
              <w:t>-1.6%</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7,245</w:t>
            </w:r>
          </w:p>
        </w:tc>
        <w:tc>
          <w:tcPr>
            <w:tcW w:type="dxa" w:w="1440"/>
            <w:shd w:fill="FAFAFA" w:val="clear"/>
          </w:tcPr>
          <w:p>
            <w:r>
              <w:rPr>
                <w:b/>
                <w:sz w:val="17"/>
              </w:rPr>
              <w:t>7,860</w:t>
            </w:r>
          </w:p>
        </w:tc>
        <w:tc>
          <w:tcPr>
            <w:tcW w:type="dxa" w:w="1440"/>
            <w:shd w:fill="FAFAFA" w:val="clear"/>
          </w:tcPr>
          <w:p>
            <w:r>
              <w:rPr>
                <w:sz w:val="17"/>
              </w:rPr>
              <w:t>8,474</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7,171</w:t>
            </w:r>
          </w:p>
        </w:tc>
        <w:tc>
          <w:tcPr>
            <w:tcW w:type="dxa" w:w="1440"/>
            <w:shd w:fill="FFDCE0" w:val="clear"/>
          </w:tcPr>
          <w:p>
            <w:r>
              <w:rPr>
                <w:b/>
                <w:sz w:val="17"/>
              </w:rPr>
              <w:t>7,843</w:t>
            </w:r>
          </w:p>
        </w:tc>
        <w:tc>
          <w:tcPr>
            <w:tcW w:type="dxa" w:w="1440"/>
            <w:shd w:fill="FFDCE0" w:val="clear"/>
          </w:tcPr>
          <w:p>
            <w:r>
              <w:rPr>
                <w:sz w:val="17"/>
              </w:rPr>
              <w:t>8,514</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7,102</w:t>
            </w:r>
          </w:p>
        </w:tc>
        <w:tc>
          <w:tcPr>
            <w:tcW w:type="dxa" w:w="1440"/>
            <w:shd w:fill="FFDCE0" w:val="clear"/>
          </w:tcPr>
          <w:p>
            <w:r>
              <w:rPr>
                <w:b/>
                <w:sz w:val="17"/>
              </w:rPr>
              <w:t>7,826</w:t>
            </w:r>
          </w:p>
        </w:tc>
        <w:tc>
          <w:tcPr>
            <w:tcW w:type="dxa" w:w="1440"/>
            <w:shd w:fill="FFDCE0" w:val="clear"/>
          </w:tcPr>
          <w:p>
            <w:r>
              <w:rPr>
                <w:sz w:val="17"/>
              </w:rPr>
              <w:t>8,550</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7,037</w:t>
            </w:r>
          </w:p>
        </w:tc>
        <w:tc>
          <w:tcPr>
            <w:tcW w:type="dxa" w:w="1440"/>
            <w:shd w:fill="FFDCE0" w:val="clear"/>
          </w:tcPr>
          <w:p>
            <w:r>
              <w:rPr>
                <w:b/>
                <w:sz w:val="17"/>
              </w:rPr>
              <w:t>7,809</w:t>
            </w:r>
          </w:p>
        </w:tc>
        <w:tc>
          <w:tcPr>
            <w:tcW w:type="dxa" w:w="1440"/>
            <w:shd w:fill="FFDCE0" w:val="clear"/>
          </w:tcPr>
          <w:p>
            <w:r>
              <w:rPr>
                <w:sz w:val="17"/>
              </w:rPr>
              <w:t>8,581</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6,975</w:t>
            </w:r>
          </w:p>
        </w:tc>
        <w:tc>
          <w:tcPr>
            <w:tcW w:type="dxa" w:w="1440"/>
            <w:shd w:fill="FFDCE0" w:val="clear"/>
          </w:tcPr>
          <w:p>
            <w:r>
              <w:rPr>
                <w:b/>
                <w:sz w:val="17"/>
              </w:rPr>
              <w:t>7,792</w:t>
            </w:r>
          </w:p>
        </w:tc>
        <w:tc>
          <w:tcPr>
            <w:tcW w:type="dxa" w:w="1440"/>
            <w:shd w:fill="FFDCE0" w:val="clear"/>
          </w:tcPr>
          <w:p>
            <w:r>
              <w:rPr>
                <w:sz w:val="17"/>
              </w:rPr>
              <w:t>8,609</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6,916</w:t>
            </w:r>
          </w:p>
        </w:tc>
        <w:tc>
          <w:tcPr>
            <w:tcW w:type="dxa" w:w="1440"/>
            <w:shd w:fill="FFDCE0" w:val="clear"/>
          </w:tcPr>
          <w:p>
            <w:r>
              <w:rPr>
                <w:b/>
                <w:sz w:val="17"/>
              </w:rPr>
              <w:t>7,776</w:t>
            </w:r>
          </w:p>
        </w:tc>
        <w:tc>
          <w:tcPr>
            <w:tcW w:type="dxa" w:w="1440"/>
            <w:shd w:fill="FFDCE0" w:val="clear"/>
          </w:tcPr>
          <w:p>
            <w:r>
              <w:rPr>
                <w:sz w:val="17"/>
              </w:rPr>
              <w:t>8,635</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SPHC s'établit à 204,59 milliards FCFA, un niveau qui la positionne parmi les valeurs moyennes du marché BRVM, lui conférant une liquidité potentiellement correcte. Avec un BPA de 977 FCFA, chaque action génère un bénéfice substantiel, justifiant un PER de 8,2x. Ce ratio est inférieur à la moyenne historique du marché BRVM (8-12x), ce qui suggère que le marché ne paie pas cher pour les bénéfices de l'entreprise et indique une possible sous-évaluation. Le P/B de 1,48x est également raisonnable, le marché valorisant la société à environ 1,5 fois ses capitaux propres, ce qui est sain pour une entreprise industrielle. Enfin, un EV/EBITDA de 5,1x est attractif, car il signifie que la valeur totale de l'entreprise (dette incluse) représente seulement 5,1 fois son résultat opérationnel brut, signalant une capacité de génération de cash-flow solide par rapport à sa valorisation globale.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SPHC a enregistré une variation totale de -4,13%, avec une dernière séance en légère hausse de +0,06% à 8 005 FCFA. Le titre a évolué dans un range de 6 720 FCFA (plus bas) à 8 350 FCFA (plus haut), montrant une amplitude de trading significative. La moyenne du cours sur la période est de 7 392 FCFA, très proche de la médiane (7 400 FCFA), et le mode est de 7 600 FCFA. Cette proximité entre la moyenne et la médiane, couplée à un skewness de 0.089, indique une distribution quasi symétrique des prix. L'écart-type de 330 FCFA (CV=4,5%) révèle une dispersion modérée autour de la moyenne. Le kurtosis de -0.322 (mésokurtique) suggère l'absence de mouvements extrêmes ou de pics de volatilité inhabituels. La volatilité annualisée de 41,0% est élevée (&gt;30%), ce qui classe SPHC comme un actif à fort risque de fluctuation, typique des valeurs exposées aux matières premières.</w:t>
      </w:r>
    </w:p>
    <w:p>
      <w:pPr>
        <w:spacing w:after="120" w:line="276" w:lineRule="auto" w:before="240"/>
      </w:pPr>
      <w:r>
        <w:rPr>
          <w:b/>
          <w:color w:val="003366"/>
          <w:sz w:val="24"/>
        </w:rPr>
        <w:t>**PARTIE 2 : ANALYSE TECHNIQUE DÉTAILLÉE**</w:t>
      </w:r>
    </w:p>
    <w:p>
      <w:pPr>
        <w:spacing w:after="120" w:line="276" w:lineRule="auto"/>
      </w:pPr>
      <w:r>
        <w:t>**Moyennes Mobiles**: La MM20 (7 595,25 FCFA) et la MM50 (7 621,7 FCFA) sont toutes deux inférieures au cours actuel de 8 005 FCFA. Le prix est donc au-dessus de ses moyennes mobiles, ce qui est un signal haussier à court terme. Cependant, la décision globale est "Vente", probablement car le croisement des MM ou leur pente suggère un essoufflement de la dynamique après une hausse récente.</w:t>
      </w:r>
    </w:p>
    <w:p>
      <w:pPr>
        <w:spacing w:after="120" w:line="276" w:lineRule="auto"/>
      </w:pPr>
      <w:r>
        <w:t>**Bandes de Bollinger**: Le cours actuel (8 005 FCFA) se situe très près de la borne supérieure (8 033,43 FCFA), indiquant que le titre est en zone de surachat temporaire. La largeur des bandes (borne inférieure à 7 157,07 FCFA) reflète la volatilité élevée. La décision "Neutre" suggère que le marché attend une direction claire, mais la proximité de la borne supérieure pourrait précéder un repli technique.</w:t>
      </w:r>
    </w:p>
    <w:p>
      <w:pPr>
        <w:spacing w:after="120" w:line="276" w:lineRule="auto"/>
      </w:pPr>
      <w:r>
        <w:t>**MACD**: La valeur du MACD (105,45) est nettement supérieure à son signal (48,56), montrant une divergence positive. Cela indique un momentum haussier fort et récent, justifiant la décision "Achat". Cette configuration signale que la dynamique de prix est actuellement favorable aux acheteurs.</w:t>
      </w:r>
    </w:p>
    <w:p>
      <w:pPr>
        <w:spacing w:after="120" w:line="276" w:lineRule="auto"/>
      </w:pPr>
      <w:r>
        <w:t>**RSI**: Le RSI à 69,38 est en zone neutre-haute, juste en dessous du seuil de surachat (70). Cela indique une pression acheteuse soutenue mais pas encore extrême. La décision "Neutre" est cohérente, car le titre n'est pas encore en surachat, mais il est prudent de surveiller une possible entrée en zone de surachat.</w:t>
      </w:r>
    </w:p>
    <w:p>
      <w:pPr>
        <w:spacing w:after="120" w:line="276" w:lineRule="auto"/>
      </w:pPr>
      <w:r>
        <w:t>**Stochastique**: Avec %K à 100,0 et %D à 98,0, l'oscillateur stochastique est en zone de surachat extrême. Le croisement de ces valeurs à des niveaux aussi élevés signale un épuisement potentiel du mouvement haussier à très court terme, justifiant la décision "Vente".</w:t>
      </w:r>
    </w:p>
    <w:p>
      <w:pPr>
        <w:spacing w:after="120" w:line="276" w:lineRule="auto"/>
      </w:pPr>
      <w:r>
        <w:t>**Conclusion technique**: Les signaux techniques sont mitigés. Le MACD est haussier, mais le Stochastique est en surachat extrême et le prix touche la borne supérieure de Bollinger. Les moyennes mobiles sont dépassées, mais la décision globale de vente suggère un risque de correction. La prudence est de mise, car les indicateurs de momentum (RSI, Stochastique) montrent des signes de fatigue après la récente hausse.</w:t>
      </w:r>
    </w:p>
    <w:p>
      <w:pPr>
        <w:spacing w:after="120" w:line="276" w:lineRule="auto" w:before="240"/>
      </w:pPr>
      <w:r>
        <w:rPr>
          <w:b/>
          <w:color w:val="003366"/>
          <w:sz w:val="24"/>
        </w:rPr>
        <w:t>**PARTIE 3 : ANALYSE FONDAMENTALE (SECTION CRITIQUE)**</w:t>
      </w:r>
    </w:p>
    <w:p>
      <w:pPr>
        <w:spacing w:after="120" w:line="276" w:lineRule="auto"/>
      </w:pPr>
      <w:r>
        <w:t>En 2025, selon les données structurées, SPHC a réalisé un chiffre d'affaires de 340,83 milliards FCFA, en hausse de 22% par rapport à 2024 (279,44 Mds FCFA). Le résultat net s'établit à 24,97 milliards FCFA, contre 18,79 milliards en 2024, soit une progression de 32,9%. La rentabilité est excellente avec un ROE de 18,1% et un ROA de 11,1%. En tant qu'entreprise industrielle, le BFR est positif (65,39 Mds FCFA), mais le délai client de 35 jours et la durée de stockage de 72 jours sont maîtrisés. L'endettement est modéré (ratio d'endettement de 25,8%). Les rapports trimestriels 2025 confirment cette dynamique : le T1 2025 (rapport du 30/09/2025) montre un CA de 94,3 Mds (+72%) et un résultat net de 11,8 Mds (+949%). Le S1 2025 (rapport du 30/09/2025) affiche un CA de 171,4 Mds (+51%) et un résultat net de 18,1 Mds (+449%). Le cumul 9 mois (rapport du 30/09/2025) atteint 253,7 Mds de CA (+36%) et 23,15 Mds de résultat net (+131%). Sur la base de ces performances, on estime que l'exercice 2025 a été exceptionnel, porté par la hausse des cours du caoutchouc. Cependant, le rapport T1 2026 (daté de 2026) indique une forte baisse : CA de 71,8 Mds (-24%) et résultat net de 2,6 Mds (-78%), pénalisé par la chute des cours mondiaux. Cette contre-performance récente suggère une normalisation et un retour à des niveaux plus modestes pour 2026.</w:t>
      </w:r>
    </w:p>
    <w:p>
      <w:pPr>
        <w:spacing w:after="120" w:line="276" w:lineRule="auto" w:before="240"/>
      </w:pPr>
      <w:r>
        <w:rPr>
          <w:b/>
          <w:color w:val="003366"/>
          <w:sz w:val="24"/>
        </w:rPr>
        <w:t>**PARTIE 4 : CONCLUSION D'INVESTISSEMENT**</w:t>
      </w:r>
    </w:p>
    <w:p>
      <w:pPr>
        <w:spacing w:after="120" w:line="276" w:lineRule="auto"/>
      </w:pPr>
      <w:r>
        <w:t>La valorisation de SPHC est attractive avec un PER de 8,2x et un EV/EBITDA de 5,1x, indiquant une sous-évaluation relative sur le marché BRVM. Le comportement du cours sur 100 jours montre une légère baisse (-4,13%) avec une volatilité élevée (41%), mais une distribution symétrique des prix (skewness ~0) et l'absence de pics extrêmes (kurtosis mésokurtique) suggèrent une stabilité relative dans la fluctuation. Les signaux techniques sont mitigés : le MACD est haussier, mais le Stochastique en surachat et la position du prix sur la borne supérieure de Bollinger appellent à la prudence à court terme. Fondamentalement, l'année 2025 a été exceptionnelle, mais les estimations pour 2026, basées sur le T1 2026 (-78% de résultat net), sont préoccupantes. Les prédictions IA pour les 10 prochains jours (de 7 925 à 7 860 FCFA) confirment une légère tendance baissière, contredisant le signal d'achat du MACD. En synthèse, la convergence entre la sous-évaluation (fondamentaux passés solides) et les signaux de correction technique et de baisse des bénéfices futurs est complexe. Je recommande une position de **CONSERVER**, avec un niveau de confiance **Moyen**. Le risque global est **Élevé** en raison de la volatilité des cours du caoutchouc et de la chute récente des résultats. L'horizon d'investissement optimal serait le **moyen terme (3-12 mois)**, en attendant de voir si la baisse des résultats se stabilise et si le cours trouve un support solide.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35.41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6,151 titres</w:t>
            </w:r>
          </w:p>
        </w:tc>
        <w:tc>
          <w:tcPr>
            <w:tcW w:type="dxa" w:w="2268"/>
            <w:shd w:fill="FFF2CC" w:val="clear"/>
          </w:tcPr>
          <w:p>
            <w:r>
              <w:rPr>
                <w:b/>
                <w:color w:val="503200"/>
                <w:sz w:val="16"/>
              </w:rPr>
              <w:t xml:space="preserve">Cours actuel : </w:t>
            </w:r>
            <w:r>
              <w:rPr>
                <w:color w:val="000000"/>
                <w:sz w:val="17"/>
              </w:rPr>
              <w:t>2,635 FCFA</w:t>
            </w:r>
          </w:p>
          <w:p>
            <w:r>
              <w:rPr>
                <w:b/>
                <w:color w:val="503200"/>
                <w:sz w:val="16"/>
              </w:rPr>
              <w:t xml:space="preserve">Var. 100 jours : </w:t>
            </w:r>
            <w:r>
              <w:rPr>
                <w:b/>
                <w:color w:val="007800"/>
                <w:sz w:val="17"/>
              </w:rPr>
              <w:t>+15.32%</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2,285 FCFA</w:t>
            </w:r>
          </w:p>
          <w:p>
            <w:r>
              <w:rPr>
                <w:b/>
                <w:color w:val="503200"/>
                <w:sz w:val="16"/>
              </w:rPr>
              <w:t xml:space="preserve">Volatilité ann. : </w:t>
            </w:r>
            <w:r>
              <w:rPr>
                <w:color w:val="000000"/>
                <w:sz w:val="17"/>
              </w:rPr>
              <w:t>68.5%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11.65% (Moyenne) — μ=3,027 FCFA, σ=353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β=-1.1958 (Contre-cyclique) — Cov=-0.000043, Var(idx)=0.000036, ρ=-0.167,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σ_j=4.32%/j (Modérée) — Vol. annualisée≈68.5%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2,361</w:t>
            </w:r>
          </w:p>
        </w:tc>
        <w:tc>
          <w:tcPr>
            <w:tcW w:type="dxa" w:w="1440"/>
            <w:shd w:fill="FFDCE0" w:val="clear"/>
          </w:tcPr>
          <w:p>
            <w:r>
              <w:rPr>
                <w:b/>
                <w:sz w:val="17"/>
              </w:rPr>
              <w:t>2,485</w:t>
            </w:r>
          </w:p>
        </w:tc>
        <w:tc>
          <w:tcPr>
            <w:tcW w:type="dxa" w:w="1440"/>
            <w:shd w:fill="FFDCE0" w:val="clear"/>
          </w:tcPr>
          <w:p>
            <w:r>
              <w:rPr>
                <w:sz w:val="17"/>
              </w:rPr>
              <w:t>2,609</w:t>
            </w:r>
          </w:p>
        </w:tc>
        <w:tc>
          <w:tcPr>
            <w:tcW w:type="dxa" w:w="1440"/>
            <w:shd w:fill="FFDCE0" w:val="clear"/>
          </w:tcPr>
          <w:p>
            <w:r>
              <w:rPr>
                <w:b/>
                <w:color w:val="C00000"/>
                <w:sz w:val="17"/>
              </w:rPr>
              <w:t>-5.7%</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2,173</w:t>
            </w:r>
          </w:p>
        </w:tc>
        <w:tc>
          <w:tcPr>
            <w:tcW w:type="dxa" w:w="1440"/>
            <w:shd w:fill="FFDCE0" w:val="clear"/>
          </w:tcPr>
          <w:p>
            <w:r>
              <w:rPr>
                <w:b/>
                <w:sz w:val="17"/>
              </w:rPr>
              <w:t>2,338</w:t>
            </w:r>
          </w:p>
        </w:tc>
        <w:tc>
          <w:tcPr>
            <w:tcW w:type="dxa" w:w="1440"/>
            <w:shd w:fill="FFDCE0" w:val="clear"/>
          </w:tcPr>
          <w:p>
            <w:r>
              <w:rPr>
                <w:sz w:val="17"/>
              </w:rPr>
              <w:t>2,503</w:t>
            </w:r>
          </w:p>
        </w:tc>
        <w:tc>
          <w:tcPr>
            <w:tcW w:type="dxa" w:w="1440"/>
            <w:shd w:fill="FFDCE0" w:val="clear"/>
          </w:tcPr>
          <w:p>
            <w:r>
              <w:rPr>
                <w:b/>
                <w:color w:val="C00000"/>
                <w:sz w:val="17"/>
              </w:rPr>
              <w:t>-11.3%</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1,996</w:t>
            </w:r>
          </w:p>
        </w:tc>
        <w:tc>
          <w:tcPr>
            <w:tcW w:type="dxa" w:w="1440"/>
            <w:shd w:fill="FFDCE0" w:val="clear"/>
          </w:tcPr>
          <w:p>
            <w:r>
              <w:rPr>
                <w:b/>
                <w:sz w:val="17"/>
              </w:rPr>
              <w:t>2,184</w:t>
            </w:r>
          </w:p>
        </w:tc>
        <w:tc>
          <w:tcPr>
            <w:tcW w:type="dxa" w:w="1440"/>
            <w:shd w:fill="FFDCE0" w:val="clear"/>
          </w:tcPr>
          <w:p>
            <w:r>
              <w:rPr>
                <w:sz w:val="17"/>
              </w:rPr>
              <w:t>2,373</w:t>
            </w:r>
          </w:p>
        </w:tc>
        <w:tc>
          <w:tcPr>
            <w:tcW w:type="dxa" w:w="1440"/>
            <w:shd w:fill="FFDCE0" w:val="clear"/>
          </w:tcPr>
          <w:p>
            <w:r>
              <w:rPr>
                <w:b/>
                <w:color w:val="C00000"/>
                <w:sz w:val="17"/>
              </w:rPr>
              <w:t>-17.1%</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1,842</w:t>
            </w:r>
          </w:p>
        </w:tc>
        <w:tc>
          <w:tcPr>
            <w:tcW w:type="dxa" w:w="1440"/>
            <w:shd w:fill="FFDCE0" w:val="clear"/>
          </w:tcPr>
          <w:p>
            <w:r>
              <w:rPr>
                <w:b/>
                <w:sz w:val="17"/>
              </w:rPr>
              <w:t>2,046</w:t>
            </w:r>
          </w:p>
        </w:tc>
        <w:tc>
          <w:tcPr>
            <w:tcW w:type="dxa" w:w="1440"/>
            <w:shd w:fill="FFDCE0" w:val="clear"/>
          </w:tcPr>
          <w:p>
            <w:r>
              <w:rPr>
                <w:sz w:val="17"/>
              </w:rPr>
              <w:t>2,250</w:t>
            </w:r>
          </w:p>
        </w:tc>
        <w:tc>
          <w:tcPr>
            <w:tcW w:type="dxa" w:w="1440"/>
            <w:shd w:fill="FFDCE0" w:val="clear"/>
          </w:tcPr>
          <w:p>
            <w:r>
              <w:rPr>
                <w:b/>
                <w:color w:val="C00000"/>
                <w:sz w:val="17"/>
              </w:rPr>
              <w:t>-22.4%</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1,715</w:t>
            </w:r>
          </w:p>
        </w:tc>
        <w:tc>
          <w:tcPr>
            <w:tcW w:type="dxa" w:w="1440"/>
            <w:shd w:fill="FFDCE0" w:val="clear"/>
          </w:tcPr>
          <w:p>
            <w:r>
              <w:rPr>
                <w:b/>
                <w:sz w:val="17"/>
              </w:rPr>
              <w:t>1,930</w:t>
            </w:r>
          </w:p>
        </w:tc>
        <w:tc>
          <w:tcPr>
            <w:tcW w:type="dxa" w:w="1440"/>
            <w:shd w:fill="FFDCE0" w:val="clear"/>
          </w:tcPr>
          <w:p>
            <w:r>
              <w:rPr>
                <w:sz w:val="17"/>
              </w:rPr>
              <w:t>2,145</w:t>
            </w:r>
          </w:p>
        </w:tc>
        <w:tc>
          <w:tcPr>
            <w:tcW w:type="dxa" w:w="1440"/>
            <w:shd w:fill="FFDCE0" w:val="clear"/>
          </w:tcPr>
          <w:p>
            <w:r>
              <w:rPr>
                <w:b/>
                <w:color w:val="C00000"/>
                <w:sz w:val="17"/>
              </w:rPr>
              <w:t>-26.8%</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1,611</w:t>
            </w:r>
          </w:p>
        </w:tc>
        <w:tc>
          <w:tcPr>
            <w:tcW w:type="dxa" w:w="1440"/>
            <w:shd w:fill="FFDCE0" w:val="clear"/>
          </w:tcPr>
          <w:p>
            <w:r>
              <w:rPr>
                <w:b/>
                <w:sz w:val="17"/>
              </w:rPr>
              <w:t>1,835</w:t>
            </w:r>
          </w:p>
        </w:tc>
        <w:tc>
          <w:tcPr>
            <w:tcW w:type="dxa" w:w="1440"/>
            <w:shd w:fill="FFDCE0" w:val="clear"/>
          </w:tcPr>
          <w:p>
            <w:r>
              <w:rPr>
                <w:sz w:val="17"/>
              </w:rPr>
              <w:t>2,059</w:t>
            </w:r>
          </w:p>
        </w:tc>
        <w:tc>
          <w:tcPr>
            <w:tcW w:type="dxa" w:w="1440"/>
            <w:shd w:fill="FFDCE0" w:val="clear"/>
          </w:tcPr>
          <w:p>
            <w:r>
              <w:rPr>
                <w:b/>
                <w:color w:val="C00000"/>
                <w:sz w:val="17"/>
              </w:rPr>
              <w:t>-30.4%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1,527</w:t>
            </w:r>
          </w:p>
        </w:tc>
        <w:tc>
          <w:tcPr>
            <w:tcW w:type="dxa" w:w="1440"/>
            <w:shd w:fill="FFDCE0" w:val="clear"/>
          </w:tcPr>
          <w:p>
            <w:r>
              <w:rPr>
                <w:b/>
                <w:sz w:val="17"/>
              </w:rPr>
              <w:t>1,758</w:t>
            </w:r>
          </w:p>
        </w:tc>
        <w:tc>
          <w:tcPr>
            <w:tcW w:type="dxa" w:w="1440"/>
            <w:shd w:fill="FFDCE0" w:val="clear"/>
          </w:tcPr>
          <w:p>
            <w:r>
              <w:rPr>
                <w:sz w:val="17"/>
              </w:rPr>
              <w:t>1,990</w:t>
            </w:r>
          </w:p>
        </w:tc>
        <w:tc>
          <w:tcPr>
            <w:tcW w:type="dxa" w:w="1440"/>
            <w:shd w:fill="FFDCE0" w:val="clear"/>
          </w:tcPr>
          <w:p>
            <w:r>
              <w:rPr>
                <w:b/>
                <w:color w:val="C00000"/>
                <w:sz w:val="17"/>
              </w:rPr>
              <w:t>-33.3%</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1,457</w:t>
            </w:r>
          </w:p>
        </w:tc>
        <w:tc>
          <w:tcPr>
            <w:tcW w:type="dxa" w:w="1440"/>
            <w:shd w:fill="FFDCE0" w:val="clear"/>
          </w:tcPr>
          <w:p>
            <w:r>
              <w:rPr>
                <w:b/>
                <w:sz w:val="17"/>
              </w:rPr>
              <w:t>1,696</w:t>
            </w:r>
          </w:p>
        </w:tc>
        <w:tc>
          <w:tcPr>
            <w:tcW w:type="dxa" w:w="1440"/>
            <w:shd w:fill="FFDCE0" w:val="clear"/>
          </w:tcPr>
          <w:p>
            <w:r>
              <w:rPr>
                <w:sz w:val="17"/>
              </w:rPr>
              <w:t>1,935</w:t>
            </w:r>
          </w:p>
        </w:tc>
        <w:tc>
          <w:tcPr>
            <w:tcW w:type="dxa" w:w="1440"/>
            <w:shd w:fill="FFDCE0" w:val="clear"/>
          </w:tcPr>
          <w:p>
            <w:r>
              <w:rPr>
                <w:b/>
                <w:color w:val="C00000"/>
                <w:sz w:val="17"/>
              </w:rPr>
              <w:t>-35.6%</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1,398</w:t>
            </w:r>
          </w:p>
        </w:tc>
        <w:tc>
          <w:tcPr>
            <w:tcW w:type="dxa" w:w="1440"/>
            <w:shd w:fill="FFDCE0" w:val="clear"/>
          </w:tcPr>
          <w:p>
            <w:r>
              <w:rPr>
                <w:b/>
                <w:sz w:val="17"/>
              </w:rPr>
              <w:t>1,644</w:t>
            </w:r>
          </w:p>
        </w:tc>
        <w:tc>
          <w:tcPr>
            <w:tcW w:type="dxa" w:w="1440"/>
            <w:shd w:fill="FFDCE0" w:val="clear"/>
          </w:tcPr>
          <w:p>
            <w:r>
              <w:rPr>
                <w:sz w:val="17"/>
              </w:rPr>
              <w:t>1,890</w:t>
            </w:r>
          </w:p>
        </w:tc>
        <w:tc>
          <w:tcPr>
            <w:tcW w:type="dxa" w:w="1440"/>
            <w:shd w:fill="FFDCE0" w:val="clear"/>
          </w:tcPr>
          <w:p>
            <w:r>
              <w:rPr>
                <w:b/>
                <w:color w:val="C00000"/>
                <w:sz w:val="17"/>
              </w:rPr>
              <w:t>-37.6%</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1,347</w:t>
            </w:r>
          </w:p>
        </w:tc>
        <w:tc>
          <w:tcPr>
            <w:tcW w:type="dxa" w:w="1440"/>
            <w:shd w:fill="FFDCE0" w:val="clear"/>
          </w:tcPr>
          <w:p>
            <w:r>
              <w:rPr>
                <w:b/>
                <w:sz w:val="17"/>
              </w:rPr>
              <w:t>1,599</w:t>
            </w:r>
          </w:p>
        </w:tc>
        <w:tc>
          <w:tcPr>
            <w:tcW w:type="dxa" w:w="1440"/>
            <w:shd w:fill="FFDCE0" w:val="clear"/>
          </w:tcPr>
          <w:p>
            <w:r>
              <w:rPr>
                <w:sz w:val="17"/>
              </w:rPr>
              <w:t>1,851</w:t>
            </w:r>
          </w:p>
        </w:tc>
        <w:tc>
          <w:tcPr>
            <w:tcW w:type="dxa" w:w="1440"/>
            <w:shd w:fill="FFDCE0" w:val="clear"/>
          </w:tcPr>
          <w:p>
            <w:r>
              <w:rPr>
                <w:b/>
                <w:color w:val="C00000"/>
                <w:sz w:val="17"/>
              </w:rPr>
              <w:t>-39.3%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STAC s'établit à 35,41 milliards FCFA, un niveau modeste dans l'écosystème BRVM, reflétant une société de taille moyenne dans le secteur du BTP. Le BPA est négatif à -7 FCFA par action, ce qui traduit une perte nette par action et rend le PER non significatif à -366,8x, une situation typique des sociétés déficitaires où ce ratio perd sa pertinence analytique. Le P/B de 99,27x est extrêmement élevé, indiquant que le marché valorise l'actif net comptable à une prime considérable, ce qui est préoccupant compte tenu de la faiblesse des capitaux propres (356,75 millions FCFA). En l'absence de données sur l'EBITDA, le ratio EV/EBITDA ne peut être calculé, mais la combinaison d'un PER négatif et d'un P/B excessif suggère une valorisation boursière déconnectée des fondamentaux comptables actuels, probablement soutenue par des anticipations de redressement futur.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STAC affiche une variation totale positive de +15,32%, avec un cours actuel de 2 635 FCFA, mais une baisse de -0,75% lors de la dernière séance, signalant un essoufflement récent. Le titre a évolué dans une fourchette large de 2 285 à 3 895 FCFA, démontrant une volatilité importante et des mouvements directionnels marqués. La moyenne du cours sur la période est de 3 027 FCFA, légèrement supérieure à la médiane de 2 990 FCFA, avec un mode à 3 000 FCFA, indiquant une distribution relativement symétrique autour de ces valeurs. L'écart-type de 354 FCFA, avec un coefficient de variation de 11,7%, révèle une dispersion modérée des prix autour de la moyenne. Le kurtosis de -0,677 (mésokurtique) suggère une distribution proche de la normale, sans risque extrême de pics, tandis que le skewness de 0,188 confirme une symétrie acceptable. La volatilité annualisée de 68,5% est très élevée, positionnant STAC comme un titre à risque significatif,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**Moyennes Mobiles** : La MM20 à 2 821,75 FCFA et la MM50 à 3 145,5 FCFA se situent toutes deux au-dessus du cours actuel de 2 635 FCFA, avec une MM50 supérieure à la MM20, configuration typique d'une tendance baissière à moyen terme. Le croisement de ces moyennes mobiles et la position du prix en dessous de celles-ci justifient une décision de Vente, car la dynamique baissière semble s'installer malgré le rebond récent.</w:t>
      </w:r>
    </w:p>
    <w:p>
      <w:pPr>
        <w:spacing w:after="120" w:line="276" w:lineRule="auto"/>
      </w:pPr>
      <w:r>
        <w:t>**Bandes de Bollinger** : Le cours se positionne à 2 635 FCFA, proche de la borne inférieure à 2 449,923 FCFA et nettement sous la borne supérieure à 3 193,577 FCFA, indiquant une pression vendeuse persistante. L'écart entre les bornes reflète une volatilité soutenue, mais le prix proche de la borne inférieure suggère une possible zone de support à surveiller. La décision Neutre s'explique par l'absence de cassure franche de la borne inférieure, laissant place à un rebond technique potentiel.</w:t>
      </w:r>
    </w:p>
    <w:p>
      <w:pPr>
        <w:spacing w:after="120" w:line="276" w:lineRule="auto"/>
      </w:pPr>
      <w:r>
        <w:t>**MACD** : La valeur MACD de -142,5 est inférieure à son signal à -137,159, confirmant un momentum baissier en cours. Cette divergence négative indique que la dynamique des prix reste défavorable, avec une accélération potentielle de la baisse si l'écart se creuse. La décision de Vente est cohérente avec la poursuite de la tendance baissière à moyen terme.</w:t>
      </w:r>
    </w:p>
    <w:p>
      <w:pPr>
        <w:spacing w:after="120" w:line="276" w:lineRule="auto"/>
      </w:pPr>
      <w:r>
        <w:t>**RSI** : Le RSI à 35,484 se situe en zone neutre, proche du seuil de survente de 30, sans toutefois l'atteindre. Cette valeur suggère que le titre n'est pas encore survendu, mais que la pression vendeuse demeure présente. La décision Neutre reflète l'absence de signal extrême, laissant la possibilité d'une poursuite de la baisse ou d'un rebond technique.</w:t>
      </w:r>
    </w:p>
    <w:p>
      <w:pPr>
        <w:spacing w:after="120" w:line="276" w:lineRule="auto"/>
      </w:pPr>
      <w:r>
        <w:t>**Stochastique** : Le %K à 2,273 et le %D à 6,491 sont tous deux en zone de survente profonde, avec un %K nettement inférieur au %D, indiquant une faiblesse extrême du momentum à court terme. Cette configuration suggère un possible retournement haussier imminent, justifiant une décision d'Achat pour les traders à court terme.</w:t>
      </w:r>
    </w:p>
    <w:p>
      <w:pPr>
        <w:spacing w:after="120" w:line="276" w:lineRule="auto"/>
      </w:pPr>
      <w:r>
        <w:t>**Conclusion technique** : Les indicateurs sont globalement baissiers (MM, MACD) avec un RSI neutre, mais le stochastique en survente extrême et la position proche de la borne inférieure de Bollinger offrent des signaux contradictoires. La tendance dominante reste baissière, mais un rebond technique est possible à très court terme avant une éventuelle poursuite de la baisse.</w:t>
      </w:r>
    </w:p>
    <w:p>
      <w:pPr>
        <w:spacing w:after="120" w:line="276" w:lineRule="auto" w:before="240"/>
      </w:pPr>
      <w:r>
        <w:rPr>
          <w:b/>
          <w:color w:val="003366"/>
          <w:sz w:val="24"/>
        </w:rPr>
        <w:t>**PARTIE 3 : ANALYSE FONDAMENTALE (SECTION CRITIQUE)**</w:t>
      </w:r>
    </w:p>
    <w:p>
      <w:pPr>
        <w:spacing w:after="120" w:line="276" w:lineRule="auto"/>
      </w:pPr>
      <w:r>
        <w:t>En 2025, les données structurées révèlent une situation financière préoccupante pour STAC, avec un chiffre d'affaires de 3,878 milliards FCFA, en forte croissance de +116,26% par rapport à l'exercice précédent, mais un résultat net déficitaire de -96,56 millions FCFA, illustrant des marges nettes négatives à -2,49%. Le ROE est profondément négatif à -27,07%, tandis que le ROA s'établit à -1,77%, traduisant une incapacité à générer de la rentabilité sur les capitaux propres et les actifs. La structure financière est fragile avec une autonomie financière de seulement 6,55%, un ratio d'endettement de 93,45% et des capitaux propres de 356,75 millions FCFA, très inférieurs au capital souscrit de 672 millions FCFA. Le BFR négatif de -930,47 millions FCFA est un point positif, indiquant une gestion efficace du besoin en fonds de roulement, mais le flux opérationnel de -2,212 milliards FCFA révèle une consommation massive de trésorerie. Les rapports narratifs confirment cette trajectoire : le rapport du 1er semestre 2025 (date inconnue) montre un CA de 2 271 millions FCFA (+290%) mais une perte de -557 millions FCFA, tandis que le rapport du 3e trimestre 2025 (date inconnue) indique un CA cumulé de 3 456 millions FCFA (+176%) avec une perte réduite à -477 millions FCFA. Les états financiers 2024 (date inconnue) montrent un CA de 1 793 millions FCFA (-80,6%) et une perte de -348 millions FCFA, tandis que les rapports de 2020-2021 (date 2025) révélaient des performances bien meilleures avec un CA de 15,9 milliards FCFA et un résultat net de 2,32 milliards FCFA en 2020. On estime que l'exercice 2025 devrait atteindre le CA prévisionnel de 4 milliards FCFA, mais la rentabilité opérationnelle reste l'enjeu critique, avec une perte d'exploitation de -771,95 millions FCFA et un EBE négatif de -650,13 millions FCFA.</w:t>
      </w:r>
    </w:p>
    <w:p>
      <w:pPr>
        <w:spacing w:after="120" w:line="276" w:lineRule="auto" w:before="240"/>
      </w:pPr>
      <w:r>
        <w:rPr>
          <w:b/>
          <w:color w:val="003366"/>
          <w:sz w:val="24"/>
        </w:rPr>
        <w:t>**PARTIE 4 : CONCLUSION D'INVESTISSEMENT**</w:t>
      </w:r>
    </w:p>
    <w:p>
      <w:pPr>
        <w:spacing w:after="120" w:line="276" w:lineRule="auto"/>
      </w:pPr>
      <w:r>
        <w:t>La valorisation de STAC est extrêmement exigeante avec un P/B de 99,27x et un PER négatif, indiquant une surévaluation flagrante par rapport aux fondamentaux, malgré une capitalisation modeste de 35,41 milliards FCFA. Le comportement du cours montre une volatilité annualisée très élevée de 68,5% avec une distribution symétrique (skewness 0,188) et mésokurtique (kurtosis -0,677), reflétant un titre spéculatif sans risque de pics extrêmes mais avec une dispersion notable. Les signaux techniques sont majoritairement baissiers (MM, MACD) avec un stochastique en survente extrême, créant une divergence qui pourrait précéder un rebond technique, mais la tendance de fond reste négative. Les fondamentaux sont préoccupants avec des pertes récurrentes, un ROE de -27,07% et une structure financière fragile, malgré une croissance du CA de +116% en 2025 et un BFR négatif favorable. Les prédictions IA pour les 10 prochains jours (de 2 485 à 1 930 FCFA) confirment une trajectoire baissière, en cohérence avec les signaux techniques et fondamentaux. La recommandation finale est **VENTE FORTE**, avec un niveau de confiance Élevé, un risque global Élevé, et un horizon d'investissement optimal à court terme (&lt;3 mois) pour les positions existantes, car la convergence entre la surévaluation, la tendance technique baissière et les fondamentaux dégradés suggère une poursuite de la dépréciation du titre.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421.85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3,456 titres</w:t>
            </w:r>
          </w:p>
        </w:tc>
        <w:tc>
          <w:tcPr>
            <w:tcW w:type="dxa" w:w="2268"/>
            <w:shd w:fill="FFF2CC" w:val="clear"/>
          </w:tcPr>
          <w:p>
            <w:r>
              <w:rPr>
                <w:b/>
                <w:color w:val="503200"/>
                <w:sz w:val="16"/>
              </w:rPr>
              <w:t xml:space="preserve">Cours actuel : </w:t>
            </w:r>
            <w:r>
              <w:rPr>
                <w:color w:val="000000"/>
                <w:sz w:val="17"/>
              </w:rPr>
              <w:t>23,495 FCFA</w:t>
            </w:r>
          </w:p>
          <w:p>
            <w:r>
              <w:rPr>
                <w:b/>
                <w:color w:val="503200"/>
                <w:sz w:val="16"/>
              </w:rPr>
              <w:t xml:space="preserve">Var. 100 jours : </w:t>
            </w:r>
            <w:r>
              <w:rPr>
                <w:b/>
                <w:color w:val="007800"/>
                <w:sz w:val="17"/>
              </w:rPr>
              <w:t>+7.31%</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32.9%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6.17% (Moyenne) — μ=22,198 FCFA, σ=1,369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β=0.0373 (Défensif) — Cov=0.000001, Var(idx)=0.000036, ρ=0.011,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σ_j=2.07%/j (Stable) — Vol. annualisée≈32.9%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22,449</w:t>
            </w:r>
          </w:p>
        </w:tc>
        <w:tc>
          <w:tcPr>
            <w:tcW w:type="dxa" w:w="1440"/>
            <w:shd w:fill="FAFAFA" w:val="clear"/>
          </w:tcPr>
          <w:p>
            <w:r>
              <w:rPr>
                <w:b/>
                <w:sz w:val="17"/>
              </w:rPr>
              <w:t>23,544</w:t>
            </w:r>
          </w:p>
        </w:tc>
        <w:tc>
          <w:tcPr>
            <w:tcW w:type="dxa" w:w="1440"/>
            <w:shd w:fill="FAFAFA" w:val="clear"/>
          </w:tcPr>
          <w:p>
            <w:r>
              <w:rPr>
                <w:sz w:val="17"/>
              </w:rPr>
              <w:t>24,639</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22,159</w:t>
            </w:r>
          </w:p>
        </w:tc>
        <w:tc>
          <w:tcPr>
            <w:tcW w:type="dxa" w:w="1440"/>
            <w:shd w:fill="FAFAFA" w:val="clear"/>
          </w:tcPr>
          <w:p>
            <w:r>
              <w:rPr>
                <w:b/>
                <w:sz w:val="17"/>
              </w:rPr>
              <w:t>23,718</w:t>
            </w:r>
          </w:p>
        </w:tc>
        <w:tc>
          <w:tcPr>
            <w:tcW w:type="dxa" w:w="1440"/>
            <w:shd w:fill="FAFAFA" w:val="clear"/>
          </w:tcPr>
          <w:p>
            <w:r>
              <w:rPr>
                <w:sz w:val="17"/>
              </w:rPr>
              <w:t>25,278</w:t>
            </w:r>
          </w:p>
        </w:tc>
        <w:tc>
          <w:tcPr>
            <w:tcW w:type="dxa" w:w="1440"/>
            <w:shd w:fill="FAFAFA" w:val="clear"/>
          </w:tcPr>
          <w:p>
            <w:r>
              <w:rPr>
                <w:b/>
                <w:color w:val="008000"/>
                <w:sz w:val="17"/>
              </w:rPr>
              <w:t>+1.0%</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21,984</w:t>
            </w:r>
          </w:p>
        </w:tc>
        <w:tc>
          <w:tcPr>
            <w:tcW w:type="dxa" w:w="1440"/>
            <w:shd w:fill="FAFAFA" w:val="clear"/>
          </w:tcPr>
          <w:p>
            <w:r>
              <w:rPr>
                <w:b/>
                <w:sz w:val="17"/>
              </w:rPr>
              <w:t>23,910</w:t>
            </w:r>
          </w:p>
        </w:tc>
        <w:tc>
          <w:tcPr>
            <w:tcW w:type="dxa" w:w="1440"/>
            <w:shd w:fill="FAFAFA" w:val="clear"/>
          </w:tcPr>
          <w:p>
            <w:r>
              <w:rPr>
                <w:sz w:val="17"/>
              </w:rPr>
              <w:t>25,836</w:t>
            </w:r>
          </w:p>
        </w:tc>
        <w:tc>
          <w:tcPr>
            <w:tcW w:type="dxa" w:w="1440"/>
            <w:shd w:fill="FAFAFA" w:val="clear"/>
          </w:tcPr>
          <w:p>
            <w:r>
              <w:rPr>
                <w:b/>
                <w:color w:val="008000"/>
                <w:sz w:val="17"/>
              </w:rPr>
              <w:t>+1.8%</w:t>
            </w:r>
          </w:p>
        </w:tc>
      </w:tr>
      <w:tr>
        <w:tc>
          <w:tcPr>
            <w:tcW w:type="dxa" w:w="1440"/>
            <w:shd w:fill="C6EFCE" w:val="clear"/>
          </w:tcPr>
          <w:p>
            <w:r>
              <w:rPr>
                <w:sz w:val="17"/>
              </w:rPr>
              <w:t>J+4  ⭐</w:t>
            </w:r>
          </w:p>
        </w:tc>
        <w:tc>
          <w:tcPr>
            <w:tcW w:type="dxa" w:w="1440"/>
            <w:shd w:fill="C6EFCE" w:val="clear"/>
          </w:tcPr>
          <w:p>
            <w:r>
              <w:rPr>
                <w:sz w:val="17"/>
              </w:rPr>
              <w:t>2026-08-20</w:t>
            </w:r>
          </w:p>
        </w:tc>
        <w:tc>
          <w:tcPr>
            <w:tcW w:type="dxa" w:w="1440"/>
            <w:shd w:fill="C6EFCE" w:val="clear"/>
          </w:tcPr>
          <w:p>
            <w:r>
              <w:rPr>
                <w:sz w:val="17"/>
              </w:rPr>
              <w:t>21,868</w:t>
            </w:r>
          </w:p>
        </w:tc>
        <w:tc>
          <w:tcPr>
            <w:tcW w:type="dxa" w:w="1440"/>
            <w:shd w:fill="C6EFCE" w:val="clear"/>
          </w:tcPr>
          <w:p>
            <w:r>
              <w:rPr>
                <w:b/>
                <w:sz w:val="17"/>
              </w:rPr>
              <w:t>24,110</w:t>
            </w:r>
          </w:p>
        </w:tc>
        <w:tc>
          <w:tcPr>
            <w:tcW w:type="dxa" w:w="1440"/>
            <w:shd w:fill="C6EFCE" w:val="clear"/>
          </w:tcPr>
          <w:p>
            <w:r>
              <w:rPr>
                <w:sz w:val="17"/>
              </w:rPr>
              <w:t>26,353</w:t>
            </w:r>
          </w:p>
        </w:tc>
        <w:tc>
          <w:tcPr>
            <w:tcW w:type="dxa" w:w="1440"/>
            <w:shd w:fill="C6EFCE" w:val="clear"/>
          </w:tcPr>
          <w:p>
            <w:r>
              <w:rPr>
                <w:b/>
                <w:color w:val="008000"/>
                <w:sz w:val="17"/>
              </w:rPr>
              <w:t>+2.6%</w:t>
            </w:r>
          </w:p>
        </w:tc>
      </w:tr>
      <w:tr>
        <w:tc>
          <w:tcPr>
            <w:tcW w:type="dxa" w:w="1440"/>
            <w:shd w:fill="C6EFCE" w:val="clear"/>
          </w:tcPr>
          <w:p>
            <w:r>
              <w:rPr>
                <w:sz w:val="17"/>
              </w:rPr>
              <w:t>J+5  ⭐</w:t>
            </w:r>
          </w:p>
        </w:tc>
        <w:tc>
          <w:tcPr>
            <w:tcW w:type="dxa" w:w="1440"/>
            <w:shd w:fill="C6EFCE" w:val="clear"/>
          </w:tcPr>
          <w:p>
            <w:r>
              <w:rPr>
                <w:sz w:val="17"/>
              </w:rPr>
              <w:t>2026-08-21</w:t>
            </w:r>
          </w:p>
        </w:tc>
        <w:tc>
          <w:tcPr>
            <w:tcW w:type="dxa" w:w="1440"/>
            <w:shd w:fill="C6EFCE" w:val="clear"/>
          </w:tcPr>
          <w:p>
            <w:r>
              <w:rPr>
                <w:sz w:val="17"/>
              </w:rPr>
              <w:t>21,786</w:t>
            </w:r>
          </w:p>
        </w:tc>
        <w:tc>
          <w:tcPr>
            <w:tcW w:type="dxa" w:w="1440"/>
            <w:shd w:fill="C6EFCE" w:val="clear"/>
          </w:tcPr>
          <w:p>
            <w:r>
              <w:rPr>
                <w:b/>
                <w:sz w:val="17"/>
              </w:rPr>
              <w:t>24,314</w:t>
            </w:r>
          </w:p>
        </w:tc>
        <w:tc>
          <w:tcPr>
            <w:tcW w:type="dxa" w:w="1440"/>
            <w:shd w:fill="C6EFCE" w:val="clear"/>
          </w:tcPr>
          <w:p>
            <w:r>
              <w:rPr>
                <w:sz w:val="17"/>
              </w:rPr>
              <w:t>26,842</w:t>
            </w:r>
          </w:p>
        </w:tc>
        <w:tc>
          <w:tcPr>
            <w:tcW w:type="dxa" w:w="1440"/>
            <w:shd w:fill="C6EFCE" w:val="clear"/>
          </w:tcPr>
          <w:p>
            <w:r>
              <w:rPr>
                <w:b/>
                <w:color w:val="008000"/>
                <w:sz w:val="17"/>
              </w:rPr>
              <w:t>+3.5%</w:t>
            </w:r>
          </w:p>
        </w:tc>
      </w:tr>
      <w:tr>
        <w:tc>
          <w:tcPr>
            <w:tcW w:type="dxa" w:w="1440"/>
            <w:shd w:fill="C6EFCE" w:val="clear"/>
          </w:tcPr>
          <w:p>
            <w:r>
              <w:rPr>
                <w:sz w:val="17"/>
              </w:rPr>
              <w:t>J+6  ⭐</w:t>
            </w:r>
          </w:p>
        </w:tc>
        <w:tc>
          <w:tcPr>
            <w:tcW w:type="dxa" w:w="1440"/>
            <w:shd w:fill="C6EFCE" w:val="clear"/>
          </w:tcPr>
          <w:p>
            <w:r>
              <w:rPr>
                <w:sz w:val="17"/>
              </w:rPr>
              <w:t>2026-08-24</w:t>
            </w:r>
          </w:p>
        </w:tc>
        <w:tc>
          <w:tcPr>
            <w:tcW w:type="dxa" w:w="1440"/>
            <w:shd w:fill="C6EFCE" w:val="clear"/>
          </w:tcPr>
          <w:p>
            <w:r>
              <w:rPr>
                <w:sz w:val="17"/>
              </w:rPr>
              <w:t>21,738</w:t>
            </w:r>
          </w:p>
        </w:tc>
        <w:tc>
          <w:tcPr>
            <w:tcW w:type="dxa" w:w="1440"/>
            <w:shd w:fill="C6EFCE" w:val="clear"/>
          </w:tcPr>
          <w:p>
            <w:r>
              <w:rPr>
                <w:b/>
                <w:sz w:val="17"/>
              </w:rPr>
              <w:t>24,533</w:t>
            </w:r>
          </w:p>
        </w:tc>
        <w:tc>
          <w:tcPr>
            <w:tcW w:type="dxa" w:w="1440"/>
            <w:shd w:fill="C6EFCE" w:val="clear"/>
          </w:tcPr>
          <w:p>
            <w:r>
              <w:rPr>
                <w:sz w:val="17"/>
              </w:rPr>
              <w:t>27,327</w:t>
            </w:r>
          </w:p>
        </w:tc>
        <w:tc>
          <w:tcPr>
            <w:tcW w:type="dxa" w:w="1440"/>
            <w:shd w:fill="C6EFCE" w:val="clear"/>
          </w:tcPr>
          <w:p>
            <w:r>
              <w:rPr>
                <w:b/>
                <w:color w:val="008000"/>
                <w:sz w:val="17"/>
              </w:rPr>
              <w:t>+4.4%</w:t>
            </w:r>
          </w:p>
        </w:tc>
      </w:tr>
      <w:tr>
        <w:tc>
          <w:tcPr>
            <w:tcW w:type="dxa" w:w="1440"/>
            <w:shd w:fill="C6EFCE" w:val="clear"/>
          </w:tcPr>
          <w:p>
            <w:r>
              <w:rPr>
                <w:sz w:val="17"/>
              </w:rPr>
              <w:t>J+7  ⭐</w:t>
            </w:r>
          </w:p>
        </w:tc>
        <w:tc>
          <w:tcPr>
            <w:tcW w:type="dxa" w:w="1440"/>
            <w:shd w:fill="C6EFCE" w:val="clear"/>
          </w:tcPr>
          <w:p>
            <w:r>
              <w:rPr>
                <w:sz w:val="17"/>
              </w:rPr>
              <w:t>2026-08-25</w:t>
            </w:r>
          </w:p>
        </w:tc>
        <w:tc>
          <w:tcPr>
            <w:tcW w:type="dxa" w:w="1440"/>
            <w:shd w:fill="C6EFCE" w:val="clear"/>
          </w:tcPr>
          <w:p>
            <w:r>
              <w:rPr>
                <w:sz w:val="17"/>
              </w:rPr>
              <w:t>21,718</w:t>
            </w:r>
          </w:p>
        </w:tc>
        <w:tc>
          <w:tcPr>
            <w:tcW w:type="dxa" w:w="1440"/>
            <w:shd w:fill="C6EFCE" w:val="clear"/>
          </w:tcPr>
          <w:p>
            <w:r>
              <w:rPr>
                <w:b/>
                <w:sz w:val="17"/>
              </w:rPr>
              <w:t>24,764</w:t>
            </w:r>
          </w:p>
        </w:tc>
        <w:tc>
          <w:tcPr>
            <w:tcW w:type="dxa" w:w="1440"/>
            <w:shd w:fill="C6EFCE" w:val="clear"/>
          </w:tcPr>
          <w:p>
            <w:r>
              <w:rPr>
                <w:sz w:val="17"/>
              </w:rPr>
              <w:t>27,811</w:t>
            </w:r>
          </w:p>
        </w:tc>
        <w:tc>
          <w:tcPr>
            <w:tcW w:type="dxa" w:w="1440"/>
            <w:shd w:fill="C6EFCE" w:val="clear"/>
          </w:tcPr>
          <w:p>
            <w:r>
              <w:rPr>
                <w:b/>
                <w:color w:val="008000"/>
                <w:sz w:val="17"/>
              </w:rPr>
              <w:t>+5.4%</w:t>
            </w:r>
          </w:p>
        </w:tc>
      </w:tr>
      <w:tr>
        <w:tc>
          <w:tcPr>
            <w:tcW w:type="dxa" w:w="1440"/>
            <w:shd w:fill="C6EFCE" w:val="clear"/>
          </w:tcPr>
          <w:p>
            <w:r>
              <w:rPr>
                <w:sz w:val="17"/>
              </w:rPr>
              <w:t>J+8  ⭐</w:t>
            </w:r>
          </w:p>
        </w:tc>
        <w:tc>
          <w:tcPr>
            <w:tcW w:type="dxa" w:w="1440"/>
            <w:shd w:fill="C6EFCE" w:val="clear"/>
          </w:tcPr>
          <w:p>
            <w:r>
              <w:rPr>
                <w:sz w:val="17"/>
              </w:rPr>
              <w:t>2026-08-27</w:t>
            </w:r>
          </w:p>
        </w:tc>
        <w:tc>
          <w:tcPr>
            <w:tcW w:type="dxa" w:w="1440"/>
            <w:shd w:fill="C6EFCE" w:val="clear"/>
          </w:tcPr>
          <w:p>
            <w:r>
              <w:rPr>
                <w:sz w:val="17"/>
              </w:rPr>
              <w:t>21,713</w:t>
            </w:r>
          </w:p>
        </w:tc>
        <w:tc>
          <w:tcPr>
            <w:tcW w:type="dxa" w:w="1440"/>
            <w:shd w:fill="C6EFCE" w:val="clear"/>
          </w:tcPr>
          <w:p>
            <w:r>
              <w:rPr>
                <w:b/>
                <w:sz w:val="17"/>
              </w:rPr>
              <w:t>25,001</w:t>
            </w:r>
          </w:p>
        </w:tc>
        <w:tc>
          <w:tcPr>
            <w:tcW w:type="dxa" w:w="1440"/>
            <w:shd w:fill="C6EFCE" w:val="clear"/>
          </w:tcPr>
          <w:p>
            <w:r>
              <w:rPr>
                <w:sz w:val="17"/>
              </w:rPr>
              <w:t>28,289</w:t>
            </w:r>
          </w:p>
        </w:tc>
        <w:tc>
          <w:tcPr>
            <w:tcW w:type="dxa" w:w="1440"/>
            <w:shd w:fill="C6EFCE" w:val="clear"/>
          </w:tcPr>
          <w:p>
            <w:r>
              <w:rPr>
                <w:b/>
                <w:color w:val="008000"/>
                <w:sz w:val="17"/>
              </w:rPr>
              <w:t>+6.4%</w:t>
            </w:r>
          </w:p>
        </w:tc>
      </w:tr>
      <w:tr>
        <w:tc>
          <w:tcPr>
            <w:tcW w:type="dxa" w:w="1440"/>
            <w:shd w:fill="C6EFCE" w:val="clear"/>
          </w:tcPr>
          <w:p>
            <w:r>
              <w:rPr>
                <w:sz w:val="17"/>
              </w:rPr>
              <w:t>J+9  ⭐</w:t>
            </w:r>
          </w:p>
        </w:tc>
        <w:tc>
          <w:tcPr>
            <w:tcW w:type="dxa" w:w="1440"/>
            <w:shd w:fill="C6EFCE" w:val="clear"/>
          </w:tcPr>
          <w:p>
            <w:r>
              <w:rPr>
                <w:sz w:val="17"/>
              </w:rPr>
              <w:t>2026-08-28</w:t>
            </w:r>
          </w:p>
        </w:tc>
        <w:tc>
          <w:tcPr>
            <w:tcW w:type="dxa" w:w="1440"/>
            <w:shd w:fill="C6EFCE" w:val="clear"/>
          </w:tcPr>
          <w:p>
            <w:r>
              <w:rPr>
                <w:sz w:val="17"/>
              </w:rPr>
              <w:t>21,729</w:t>
            </w:r>
          </w:p>
        </w:tc>
        <w:tc>
          <w:tcPr>
            <w:tcW w:type="dxa" w:w="1440"/>
            <w:shd w:fill="C6EFCE" w:val="clear"/>
          </w:tcPr>
          <w:p>
            <w:r>
              <w:rPr>
                <w:b/>
                <w:sz w:val="17"/>
              </w:rPr>
              <w:t>25,251</w:t>
            </w:r>
          </w:p>
        </w:tc>
        <w:tc>
          <w:tcPr>
            <w:tcW w:type="dxa" w:w="1440"/>
            <w:shd w:fill="C6EFCE" w:val="clear"/>
          </w:tcPr>
          <w:p>
            <w:r>
              <w:rPr>
                <w:sz w:val="17"/>
              </w:rPr>
              <w:t>28,774</w:t>
            </w:r>
          </w:p>
        </w:tc>
        <w:tc>
          <w:tcPr>
            <w:tcW w:type="dxa" w:w="1440"/>
            <w:shd w:fill="C6EFCE" w:val="clear"/>
          </w:tcPr>
          <w:p>
            <w:r>
              <w:rPr>
                <w:b/>
                <w:color w:val="008000"/>
                <w:sz w:val="17"/>
              </w:rPr>
              <w:t>+7.5%</w:t>
            </w:r>
          </w:p>
        </w:tc>
      </w:tr>
      <w:tr>
        <w:tc>
          <w:tcPr>
            <w:tcW w:type="dxa" w:w="1440"/>
            <w:shd w:fill="C6EFCE" w:val="clear"/>
          </w:tcPr>
          <w:p>
            <w:r>
              <w:rPr>
                <w:sz w:val="17"/>
              </w:rPr>
              <w:t>J+10  ⭐</w:t>
            </w:r>
          </w:p>
        </w:tc>
        <w:tc>
          <w:tcPr>
            <w:tcW w:type="dxa" w:w="1440"/>
            <w:shd w:fill="C6EFCE" w:val="clear"/>
          </w:tcPr>
          <w:p>
            <w:r>
              <w:rPr>
                <w:sz w:val="17"/>
              </w:rPr>
              <w:t>2026-08-31</w:t>
            </w:r>
          </w:p>
        </w:tc>
        <w:tc>
          <w:tcPr>
            <w:tcW w:type="dxa" w:w="1440"/>
            <w:shd w:fill="C6EFCE" w:val="clear"/>
          </w:tcPr>
          <w:p>
            <w:r>
              <w:rPr>
                <w:sz w:val="17"/>
              </w:rPr>
              <w:t>21,761</w:t>
            </w:r>
          </w:p>
        </w:tc>
        <w:tc>
          <w:tcPr>
            <w:tcW w:type="dxa" w:w="1440"/>
            <w:shd w:fill="C6EFCE" w:val="clear"/>
          </w:tcPr>
          <w:p>
            <w:r>
              <w:rPr>
                <w:b/>
                <w:sz w:val="17"/>
              </w:rPr>
              <w:t>25,512</w:t>
            </w:r>
          </w:p>
        </w:tc>
        <w:tc>
          <w:tcPr>
            <w:tcW w:type="dxa" w:w="1440"/>
            <w:shd w:fill="C6EFCE" w:val="clear"/>
          </w:tcPr>
          <w:p>
            <w:r>
              <w:rPr>
                <w:sz w:val="17"/>
              </w:rPr>
              <w:t>29,264</w:t>
            </w:r>
          </w:p>
        </w:tc>
        <w:tc>
          <w:tcPr>
            <w:tcW w:type="dxa" w:w="1440"/>
            <w:shd w:fill="C6EFCE" w:val="clear"/>
          </w:tcPr>
          <w:p>
            <w:r>
              <w:rPr>
                <w:b/>
                <w:color w:val="008000"/>
                <w:sz w:val="17"/>
              </w:rPr>
              <w:t>+8.6%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STBC s'établit à 421,85 milliards FCFA, ce qui en fait une valeur de premier plan sur la BRVM, reflétant sa position dominante dans le secteur du tabac en Afrique de l'Ouest. Avec un BPA de 2 014 FCFA, chaque action génère un bénéfice substantiel, justifiant un PER de 11,7x, légèrement au-dessus de la moyenne historique de la BRVM (8-12x), ce qui indique une valorisation raisonnable mais non bradée. Le P/B de 9,30x est particulièrement élevé, signalant que le marché valorise fortement l'actif net de l'entreprise, probablement en raison de sa rentabilité exceptionnelle et de sa marque. Enfin, l'EV/EBITDA de 8,4x se situe dans une fourchette raisonnable, suggérant que la valeur d'entreprise reste cohérente avec sa capacité opérationnelle à générer des flux, malgré une prime comptable significative.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 enregistré une progression totale de +7,31%, avec une accélération notable lors de la dernière séance (+5,01%), portant le cours à 23 495 FCFA. Le titre a évolué dans une fourchette de 19 705 FCFA (plus bas) à 25 000 FCFA (plus haut), démontrant une amplitude de trading significative d'environ 27%. La moyenne du cours sur la période (22 198 FCFA) est légèrement supérieure à la médiane (21 900 FCFA), et l'écart entre ces deux valeurs, couplé à un skewness positif de 0,468, indique une distribution légèrement asymétrique avec des extrêmes haussiers plus prononcés. L'écart-type de 1 375 FCFA (CV de 6,2%) révèle une dispersion modérée des prix autour de la moyenne, tandis que le kurtosis de -0,858 (mésokurtique) suggère une distribution proche de la normale, sans risque de pics extrêmes. La volatilité annualisée de 32,9% classe le titre comme très volatil, ce qui implique des fluctuations de prix importantes et un risque accru pour les investisseurs à court terme.</w:t>
      </w:r>
    </w:p>
    <w:p>
      <w:pPr>
        <w:spacing w:after="120" w:line="276" w:lineRule="auto" w:before="240"/>
      </w:pPr>
      <w:r>
        <w:rPr>
          <w:b/>
          <w:color w:val="003366"/>
          <w:sz w:val="24"/>
        </w:rPr>
        <w:t>**PARTIE 2 : ANALYSE TECHNIQUE DÉTAILLÉE**</w:t>
      </w:r>
    </w:p>
    <w:p>
      <w:pPr>
        <w:spacing w:after="120" w:line="276" w:lineRule="auto"/>
      </w:pPr>
      <w:r>
        <w:t>Les Moyennes Mobiles (MM20 à 23 606 FCFA et MM50 à 23 309 FCFA) sont toutes deux inférieures au cours actuel de 23 495 FCFA, avec une MM20 au-dessus de la MM50, formant une configuration haussière classique. Cette structure indique une dynamique positive à court et moyen terme, justifiant la décision d'achat.</w:t>
      </w:r>
    </w:p>
    <w:p>
      <w:pPr>
        <w:spacing w:after="120" w:line="276" w:lineRule="auto"/>
      </w:pPr>
      <w:r>
        <w:t>Les Bandes de Bollinger présentent une borne supérieure à 25 024 FCFA et une borne inférieure à 22 189 FCFA, avec le prix actuel positionné dans la partie médiane-haute de l'enveloppe. Cette position suggère une volatilité normale sans condition de surachat ou de survente extrême, d'où la décision neutre.</w:t>
      </w:r>
    </w:p>
    <w:p>
      <w:pPr>
        <w:spacing w:after="120" w:line="276" w:lineRule="auto"/>
      </w:pPr>
      <w:r>
        <w:t>Le MACD affiche une valeur de 56,267, nettement inférieure à son signal à 162,963, indiquant un momentum baissier à court terme. Cette divergence négative suggère un essoufflement de la dynamique haussière, justifiant la décision de vente.</w:t>
      </w:r>
    </w:p>
    <w:p>
      <w:pPr>
        <w:spacing w:after="120" w:line="276" w:lineRule="auto"/>
      </w:pPr>
      <w:r>
        <w:t>Le RSI à 52,238 se situe en zone neutre (entre 30 et 70), indiquant un équilibre entre pression acheteuse et vendeuse. Cette valeur ne signale ni surachat ni survente, d'où la décision neutre.</w:t>
      </w:r>
    </w:p>
    <w:p>
      <w:pPr>
        <w:spacing w:after="120" w:line="276" w:lineRule="auto"/>
      </w:pPr>
      <w:r>
        <w:t>Le Stochastique avec %K à 42,667 et %D à 22,618 montre que %K est au-dessus de %D, suggérant un croisement haussier potentiel. Cependant, les deux valeurs restent en zone neutre, indiquant une absence de signal directionnel fort, justifiant la décision neutre.</w:t>
      </w:r>
    </w:p>
    <w:p>
      <w:pPr>
        <w:spacing w:after="120" w:line="276" w:lineRule="auto"/>
      </w:pPr>
      <w:r>
        <w:t>La convergence des indicateurs est mitigée : les moyennes mobiles sont haussières, tandis que le MACD est vendeur et les autres oscillateurs sont neutres. Cette divergence suggère une phase de consolidation avec un biais haussier à moyen terme, mais un risque de correction à court terme. La prudence est donc de mise avant d'envisager un renforcement de position.</w:t>
      </w:r>
    </w:p>
    <w:p>
      <w:pPr>
        <w:spacing w:after="120" w:line="276" w:lineRule="auto" w:before="240"/>
      </w:pPr>
      <w:r>
        <w:rPr>
          <w:b/>
          <w:color w:val="003366"/>
          <w:sz w:val="24"/>
        </w:rPr>
        <w:t>**PARTIE 3 : ANALYSE FONDAMENTALE (SECTION CRITIQUE)**</w:t>
      </w:r>
    </w:p>
    <w:p>
      <w:pPr>
        <w:spacing w:after="120" w:line="276" w:lineRule="auto"/>
      </w:pPr>
      <w:r>
        <w:t>En 2025, les données structurées officielles de STBC (entreprise non bancaire) révèlent un chiffre d'affaires de 268,537 milliards FCFA, en croissance de 25,3% par rapport à 2024, et un résultat net de 36,158 milliards FCFA, en baisse de 17,5% (contre 44,2 milliards en 2024). La rentabilité reste excellente avec un ROE de 79,75% et un ROA de 48,09%, bien au-dessus des seuils de référence (&gt;15%). La structure financière est saine avec une autonomie financière de 60,3%, une trésorerie nette de 30,763 milliards FCFA et un endettement quasi nul (1,4 million FCFA). Le BFR positif de 5,639 milliards FCFA et le délai clients de 42,57 jours indiquent une gestion correcte du cycle d'exploitation, bien que la durée de stockage de 5,73 jours soit faible pour une entreprise de distribution. Selon les rapports narratifs, notamment celui du 4e trimestre 2025 (daté de 2026), la baisse de rentabilité s'explique par la hausse des droits d'accise (de 49% à 70%) et un contrôle fiscal, tandis que le rapport T1 2026 (daté de 2026) montre un CA en hausse de 12% à 68,8 milliards FCFA, mais un résultat net stable à 9,3 milliards FCFA. Sur la base de ces données, on estime que l'exercice 2026 pourrait voir une stabilisation de la rentabilité, avec un CA projeté autour de 300 milliards FCFA et un résultat net de 36-38 milliards FCFA, si la maîtrise des coûts s'améliore. La recommandation fondamentale reste "Conserver" en raison de la solidité bilantielle, mais avec une vigilance sur la pression fiscale et la politique de dividende généreuse (1 940 FCFA/action proposé pour 2025).</w:t>
      </w:r>
    </w:p>
    <w:p>
      <w:pPr>
        <w:spacing w:after="120" w:line="276" w:lineRule="auto" w:before="240"/>
      </w:pPr>
      <w:r>
        <w:rPr>
          <w:b/>
          <w:color w:val="003366"/>
          <w:sz w:val="24"/>
        </w:rPr>
        <w:t>**PARTIE 4 : CONCLUSION D'INVESTISSEMENT**</w:t>
      </w:r>
    </w:p>
    <w:p>
      <w:pPr>
        <w:spacing w:after="120" w:line="276" w:lineRule="auto"/>
      </w:pPr>
      <w:r>
        <w:t>La valorisation de STBC (PER de 11,7x, P/B de 9,3x, EV/EBITDA de 8,4x) indique une prime de marché, mais justifiée par une rentabilité exceptionnelle (ROE de 79,75%) et une croissance du CA de 25,3% en 2025. Le comportement du cours sur 100 jours (+7,31%) montre une tendance haussière, mais avec une volatilité élevée (32,9%) et une distribution statistique relativement normale, sans signe de surchauffe. Les signaux techniques sont mitigés : les moyennes mobiles sont haussières, mais le MACD vendeur et les oscillateurs neutres suggèrent une consolidation à court terme. Les fondamentaux restent solides avec une trésorerie abondante (30,8 milliards FCFA), une absence de dette et une politique de dividende attractive, bien que la pression fiscale et la baisse des marges soient des risques à surveiller. Les prédictions IA pour les 10 prochains jours (23 544 à 24 314 FCFA) confirment une trajectoire haussière, en ligne avec la tendance des moyennes mobiles, mais contredisent légèrement le signal vendeur du MACD. En synthèse, la convergence entre la valorisation raisonnable, la solidité fondamentale et les prédictions IA positives l'emporte sur les signaux techniques mitigés. **Recommandation finale : ACHAT** avec un niveau de confiance **Moyen** et un risque global **Moyen**. L'horizon d'investissement optimal serait à **moyen terme (3-12 mois)**, en attendant une confirmation de la stabilisation des marges et une clarification de l'environnement fiscal.</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198.33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8,219 titres</w:t>
            </w:r>
          </w:p>
        </w:tc>
        <w:tc>
          <w:tcPr>
            <w:tcW w:type="dxa" w:w="2268"/>
            <w:shd w:fill="FFF2CC" w:val="clear"/>
          </w:tcPr>
          <w:p>
            <w:r>
              <w:rPr>
                <w:b/>
                <w:color w:val="503200"/>
                <w:sz w:val="16"/>
              </w:rPr>
              <w:t xml:space="preserve">Cours actuel : </w:t>
            </w:r>
            <w:r>
              <w:rPr>
                <w:color w:val="000000"/>
                <w:sz w:val="17"/>
              </w:rPr>
              <w:t>3,150 FCFA</w:t>
            </w:r>
          </w:p>
          <w:p>
            <w:r>
              <w:rPr>
                <w:b/>
                <w:color w:val="503200"/>
                <w:sz w:val="16"/>
              </w:rPr>
              <w:t xml:space="preserve">Var. 100 jours : </w:t>
            </w:r>
            <w:r>
              <w:rPr>
                <w:b/>
                <w:color w:val="007800"/>
                <w:sz w:val="17"/>
              </w:rPr>
              <w:t>+8.62%</w:t>
            </w:r>
          </w:p>
          <w:p>
            <w:r>
              <w:rPr>
                <w:b/>
                <w:color w:val="503200"/>
                <w:sz w:val="16"/>
              </w:rPr>
              <w:t xml:space="preserve">Plus haut 100j : </w:t>
            </w:r>
            <w:r>
              <w:rPr>
                <w:color w:val="000000"/>
                <w:sz w:val="17"/>
              </w:rPr>
              <w:t>3,150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16.1/100 → Faible</w:t>
      </w:r>
    </w:p>
    <w:p>
      <w:pPr>
        <w:spacing w:before="40" w:after="80"/>
      </w:pPr>
      <w:r>
        <w:rPr>
          <w:rFonts w:ascii="Courier New" w:hAnsi="Courier New"/>
          <w:color w:val="006400"/>
          <w:sz w:val="18"/>
        </w:rPr>
        <w:t>███░░░░░░░░░░░░░░░░░  16.1/100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3.49% (Faible) — μ=2,860 FCFA, σ=100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β=-0.0780 (Contre-cyclique) — Cov=-0.000003, Var(idx)=0.000036, ρ=-0.018,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8,219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2,950</w:t>
            </w:r>
          </w:p>
        </w:tc>
        <w:tc>
          <w:tcPr>
            <w:tcW w:type="dxa" w:w="1440"/>
            <w:shd w:fill="FAFAFA" w:val="clear"/>
          </w:tcPr>
          <w:p>
            <w:r>
              <w:rPr>
                <w:b/>
                <w:sz w:val="17"/>
              </w:rPr>
              <w:t>3,129</w:t>
            </w:r>
          </w:p>
        </w:tc>
        <w:tc>
          <w:tcPr>
            <w:tcW w:type="dxa" w:w="1440"/>
            <w:shd w:fill="FAFAFA" w:val="clear"/>
          </w:tcPr>
          <w:p>
            <w:r>
              <w:rPr>
                <w:sz w:val="17"/>
              </w:rPr>
              <w:t>3,307</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2,869</w:t>
            </w:r>
          </w:p>
        </w:tc>
        <w:tc>
          <w:tcPr>
            <w:tcW w:type="dxa" w:w="1440"/>
            <w:shd w:fill="FAFAFA" w:val="clear"/>
          </w:tcPr>
          <w:p>
            <w:r>
              <w:rPr>
                <w:b/>
                <w:sz w:val="17"/>
              </w:rPr>
              <w:t>3,121</w:t>
            </w:r>
          </w:p>
        </w:tc>
        <w:tc>
          <w:tcPr>
            <w:tcW w:type="dxa" w:w="1440"/>
            <w:shd w:fill="FAFAFA" w:val="clear"/>
          </w:tcPr>
          <w:p>
            <w:r>
              <w:rPr>
                <w:sz w:val="17"/>
              </w:rPr>
              <w:t>3,373</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2,799</w:t>
            </w:r>
          </w:p>
        </w:tc>
        <w:tc>
          <w:tcPr>
            <w:tcW w:type="dxa" w:w="1440"/>
            <w:shd w:fill="FAFAFA" w:val="clear"/>
          </w:tcPr>
          <w:p>
            <w:r>
              <w:rPr>
                <w:b/>
                <w:sz w:val="17"/>
              </w:rPr>
              <w:t>3,106</w:t>
            </w:r>
          </w:p>
        </w:tc>
        <w:tc>
          <w:tcPr>
            <w:tcW w:type="dxa" w:w="1440"/>
            <w:shd w:fill="FAFAFA" w:val="clear"/>
          </w:tcPr>
          <w:p>
            <w:r>
              <w:rPr>
                <w:sz w:val="17"/>
              </w:rPr>
              <w:t>3,413</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2,741</w:t>
            </w:r>
          </w:p>
        </w:tc>
        <w:tc>
          <w:tcPr>
            <w:tcW w:type="dxa" w:w="1440"/>
            <w:shd w:fill="FAFAFA" w:val="clear"/>
          </w:tcPr>
          <w:p>
            <w:r>
              <w:rPr>
                <w:b/>
                <w:sz w:val="17"/>
              </w:rPr>
              <w:t>3,095</w:t>
            </w:r>
          </w:p>
        </w:tc>
        <w:tc>
          <w:tcPr>
            <w:tcW w:type="dxa" w:w="1440"/>
            <w:shd w:fill="FAFAFA" w:val="clear"/>
          </w:tcPr>
          <w:p>
            <w:r>
              <w:rPr>
                <w:sz w:val="17"/>
              </w:rPr>
              <w:t>3,448</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2,691</w:t>
            </w:r>
          </w:p>
        </w:tc>
        <w:tc>
          <w:tcPr>
            <w:tcW w:type="dxa" w:w="1440"/>
            <w:shd w:fill="FFDCE0" w:val="clear"/>
          </w:tcPr>
          <w:p>
            <w:r>
              <w:rPr>
                <w:b/>
                <w:sz w:val="17"/>
              </w:rPr>
              <w:t>3,085</w:t>
            </w:r>
          </w:p>
        </w:tc>
        <w:tc>
          <w:tcPr>
            <w:tcW w:type="dxa" w:w="1440"/>
            <w:shd w:fill="FFDCE0" w:val="clear"/>
          </w:tcPr>
          <w:p>
            <w:r>
              <w:rPr>
                <w:sz w:val="17"/>
              </w:rPr>
              <w:t>3,479</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2,647</w:t>
            </w:r>
          </w:p>
        </w:tc>
        <w:tc>
          <w:tcPr>
            <w:tcW w:type="dxa" w:w="1440"/>
            <w:shd w:fill="FFDCE0" w:val="clear"/>
          </w:tcPr>
          <w:p>
            <w:r>
              <w:rPr>
                <w:b/>
                <w:sz w:val="17"/>
              </w:rPr>
              <w:t>3,077</w:t>
            </w:r>
          </w:p>
        </w:tc>
        <w:tc>
          <w:tcPr>
            <w:tcW w:type="dxa" w:w="1440"/>
            <w:shd w:fill="FFDCE0" w:val="clear"/>
          </w:tcPr>
          <w:p>
            <w:r>
              <w:rPr>
                <w:sz w:val="17"/>
              </w:rPr>
              <w:t>3,507</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2,605</w:t>
            </w:r>
          </w:p>
        </w:tc>
        <w:tc>
          <w:tcPr>
            <w:tcW w:type="dxa" w:w="1440"/>
            <w:shd w:fill="FFDCE0" w:val="clear"/>
          </w:tcPr>
          <w:p>
            <w:r>
              <w:rPr>
                <w:b/>
                <w:sz w:val="17"/>
              </w:rPr>
              <w:t>3,069</w:t>
            </w:r>
          </w:p>
        </w:tc>
        <w:tc>
          <w:tcPr>
            <w:tcW w:type="dxa" w:w="1440"/>
            <w:shd w:fill="FFDCE0" w:val="clear"/>
          </w:tcPr>
          <w:p>
            <w:r>
              <w:rPr>
                <w:sz w:val="17"/>
              </w:rPr>
              <w:t>3,532</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2,567</w:t>
            </w:r>
          </w:p>
        </w:tc>
        <w:tc>
          <w:tcPr>
            <w:tcW w:type="dxa" w:w="1440"/>
            <w:shd w:fill="FFDCE0" w:val="clear"/>
          </w:tcPr>
          <w:p>
            <w:r>
              <w:rPr>
                <w:b/>
                <w:sz w:val="17"/>
              </w:rPr>
              <w:t>3,061</w:t>
            </w:r>
          </w:p>
        </w:tc>
        <w:tc>
          <w:tcPr>
            <w:tcW w:type="dxa" w:w="1440"/>
            <w:shd w:fill="FFDCE0" w:val="clear"/>
          </w:tcPr>
          <w:p>
            <w:r>
              <w:rPr>
                <w:sz w:val="17"/>
              </w:rPr>
              <w:t>3,555</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2,531</w:t>
            </w:r>
          </w:p>
        </w:tc>
        <w:tc>
          <w:tcPr>
            <w:tcW w:type="dxa" w:w="1440"/>
            <w:shd w:fill="FFDCE0" w:val="clear"/>
          </w:tcPr>
          <w:p>
            <w:r>
              <w:rPr>
                <w:b/>
                <w:sz w:val="17"/>
              </w:rPr>
              <w:t>3,053</w:t>
            </w:r>
          </w:p>
        </w:tc>
        <w:tc>
          <w:tcPr>
            <w:tcW w:type="dxa" w:w="1440"/>
            <w:shd w:fill="FFDCE0" w:val="clear"/>
          </w:tcPr>
          <w:p>
            <w:r>
              <w:rPr>
                <w:sz w:val="17"/>
              </w:rPr>
              <w:t>3,576</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2,496</w:t>
            </w:r>
          </w:p>
        </w:tc>
        <w:tc>
          <w:tcPr>
            <w:tcW w:type="dxa" w:w="1440"/>
            <w:shd w:fill="FFDCE0" w:val="clear"/>
          </w:tcPr>
          <w:p>
            <w:r>
              <w:rPr>
                <w:b/>
                <w:sz w:val="17"/>
              </w:rPr>
              <w:t>3,046</w:t>
            </w:r>
          </w:p>
        </w:tc>
        <w:tc>
          <w:tcPr>
            <w:tcW w:type="dxa" w:w="1440"/>
            <w:shd w:fill="FFDCE0" w:val="clear"/>
          </w:tcPr>
          <w:p>
            <w:r>
              <w:rPr>
                <w:sz w:val="17"/>
              </w:rPr>
              <w:t>3,595</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TTLC s'établit à 198,33 milliards FCFA, ce qui positionne le titre parmi les valeurs moyennes à grandes capitalisations de la BRVM, lui conférant une liquidité et une visibilité notables. Avec un BPA de 144 FCFA, le PER de 21,8x est nettement supérieur à la moyenne historique du marché (8-12x), indiquant que les investisseurs paient une prime substantielle pour la croissance anticipée et la solidité de la marque. Le P/B de 5,48x confirme cette valorisation exigeante, le marché valorisant le titre plus de cinq fois sa valeur comptable, ce qui reflète une forte confiance dans la rentabilité future des capitaux propres. Enfin, l'EV/EBITDA de 11,3x, bien que dans la fourchette haute (10-15x), reste cohérent avec une entreprise générant des flux opérationnels solides, justifiant partiellement la prime de valorisation.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TTLC a enregistré une progression totale de +8,62%, avec une accélération marquée lors de la dernière séance (+5,00%), portant le cours à 3 150 FCFA, son plus haut niveau sur la période. Le titre a évolué dans une fourchette de 500 FCFA, entre un plus bas de 2 650 FCFA et ce plus haut historique récent, démontrant une dynamique haussière soutenue. Les statistiques descriptives révèlent une distribution remarquablement stable : la moyenne (2 860 FCFA) et la médiane (2 870 FCFA) sont quasi identiques, indiquant une distribution symétrique, confirmée par un skewness proche de zéro (-0,056). Le kurtosis de -0,310, qualifié de mésokurtique, suggère une absence de risques extrêmes de pics ou de krachs soudains. L'écart-type de 100 FCFA, soit un coefficient de variation de seulement 3,5%, témoigne d'une dispersion très faible autour de la moyenne, gage de stabilité. Cependant, la volatilité annualisée de 41,2% est élevée (&gt;30%), signalant que malgré une stabilité récente, le titre peut connaître des mouvements amples sur des périodes plus longues.</w:t>
      </w:r>
    </w:p>
    <w:p>
      <w:pPr>
        <w:spacing w:after="120" w:line="276" w:lineRule="auto" w:before="240"/>
      </w:pPr>
      <w:r>
        <w:rPr>
          <w:b/>
          <w:color w:val="003366"/>
          <w:sz w:val="24"/>
        </w:rPr>
        <w:t>**PARTIE 2 : ANALYSE TECHNIQUE DÉTAILLÉE**</w:t>
      </w:r>
    </w:p>
    <w:p>
      <w:pPr>
        <w:spacing w:after="120" w:line="276" w:lineRule="auto"/>
      </w:pPr>
      <w:r>
        <w:t>Les **Moyennes Mobiles** (MM20 à 2 955 FCFA et MM50 à 2 907 FCFA) sont toutes deux inférieures au cours actuel de 3 150 FCFA, avec une MM20 au-dessus de la MM50, configuration typique d'une tendance haussière. Le signal d'Achat est justifié par cette structure positive et l'écart croissant entre le cours et ses moyennes, indiquant un momentum haussier solide.</w:t>
      </w:r>
    </w:p>
    <w:p>
      <w:pPr>
        <w:spacing w:after="120" w:line="276" w:lineRule="auto"/>
      </w:pPr>
      <w:r>
        <w:t>Les **Bandes de Bollinger** montrent un cours (3 150 FCFA) qui a franchi la borne supérieure (3 118,64 FCFA), signalant une condition de surachat temporaire. Cette sortie de bande suggère une volatilité accrue et un mouvement potentiellement excessif à court terme, d'où le signal de Vente qui prévient d'un possible repli technique ou d'une consolidation.</w:t>
      </w:r>
    </w:p>
    <w:p>
      <w:pPr>
        <w:spacing w:after="120" w:line="276" w:lineRule="auto"/>
      </w:pPr>
      <w:r>
        <w:t>Le **MACD** affiche une valeur positive (33,40) nettement au-dessus de sa ligne de signal (19,27), avec un écart croissant. Cette configuration classique de croisement haussier confirme la vigueur du momentum et la poursuite probable de la tendance haussière, justifiant la décision d'Achat.</w:t>
      </w:r>
    </w:p>
    <w:p>
      <w:pPr>
        <w:spacing w:after="120" w:line="276" w:lineRule="auto"/>
      </w:pPr>
      <w:r>
        <w:t>Le **RSI** à 56,27 se situe en zone neutre (30-70), indiquant que le titre n'est ni suracheté ni survendu. Cette valeur reflète un équilibre entre pressions acheteuses et vendeuses, laissant une marge de progression avant d'atteindre des niveaux de surachat, d'où la décision Neutre.</w:t>
      </w:r>
    </w:p>
    <w:p>
      <w:pPr>
        <w:spacing w:after="120" w:line="276" w:lineRule="auto"/>
      </w:pPr>
      <w:r>
        <w:t>Le **Stochastique** est extrêmement élevé (%K=100, %D=99,28), en territoire de surachat très prononcé. Cette configuration signale que le cours a fortement dépassé sa fourchette de négociation récente, augmentant le risque d'un retournement ou d'une consolidation à très court terme, justifiant la décision de Vente.</w:t>
      </w:r>
    </w:p>
    <w:p>
      <w:pPr>
        <w:spacing w:after="120" w:line="276" w:lineRule="auto"/>
      </w:pPr>
      <w:r>
        <w:t>En **conclusion technique**, les indicateurs de tendance (MM, MACD) sont résolument haussiers, mais les oscillateurs de momentum (Bollinger, Stochastique) signalent des conditions de surachat extrême. Cette divergence suggère qu'une correction technique est probable à court terme avant la poursuite de la tendance haussière de fond.</w:t>
      </w:r>
    </w:p>
    <w:p>
      <w:pPr>
        <w:spacing w:after="120" w:line="276" w:lineRule="auto" w:before="240"/>
      </w:pPr>
      <w:r>
        <w:rPr>
          <w:b/>
          <w:color w:val="003366"/>
          <w:sz w:val="24"/>
        </w:rPr>
        <w:t>**PARTIE 3 : ANALYSE FONDAMENTALE (SECTION CRITIQUE)**</w:t>
      </w:r>
    </w:p>
    <w:p>
      <w:pPr>
        <w:spacing w:after="120" w:line="276" w:lineRule="auto"/>
      </w:pPr>
      <w:r>
        <w:t>En 2025, les états financiers annuels de TTLC font état d'un chiffre d'affaires de 588,709 milliards FCFA, en repli de 5,2% par rapport à 2024 (621,042 milliards FCFA), mais avec une amélioration notable de la rentabilité opérationnelle : le résultat d'exploitation progresse de 18% à 12,329 milliards FCFA et l'EBE de 12% à 22,347 milliards FCFA, démontrant une excellente maîtrise des marges. Le résultat net s'établit à 9,087 milliards FCFA (-3% vs 2024), avec un ROE de 25,1% (excellent, &gt;15%) et un ROA de 4,8%. En tant qu'entreprise de distribution, le BFR négatif de -9,662 milliards FCFA est un signal très favorable, indiquant que l'entreprise finance son exploitation grâce aux délais fournisseurs (49,7 jours) et une rotation rapide des stocks (13,8 jours). Le ratio d'endettement de 90,2% et la trésorerie nette négative de -21,926 milliards FCFA constituent des points de vigilance. Les rapports trimestriels 2025 confirment la tendance : le S1 2025 (rapport daté 2025) montre un CA de 296,8 milliards FCFA (-7,1%) et un résultat net de 4,79 milliards FCFA (-25,5%), tandis que le cumul au T3 2025 (rapport daté 2025) affiche un CA de 438,2 milliards FCFA (-5,7%) et un résultat net de 6,52 milliards FCFA (-30,2%), impacté par une charge fiscale anticipée. Cependant, le rapport T1 2026 (daté 2026) marque un net rebond : CA de 154,392 milliards FCFA (+4,3%) et résultat net de 2,329 milliards FCFA (+5,5%), laissant présager une année 2026 favorable. La politique de dividende reste généreuse avec 10 milliards FCFA distribués au titre de 2025, soit un taux de distribution supérieur à 100%.</w:t>
      </w:r>
    </w:p>
    <w:p>
      <w:pPr>
        <w:spacing w:after="120" w:line="276" w:lineRule="auto" w:before="240"/>
      </w:pPr>
      <w:r>
        <w:rPr>
          <w:b/>
          <w:color w:val="003366"/>
          <w:sz w:val="24"/>
        </w:rPr>
        <w:t>**PARTIE 4 : CONCLUSION D'INVESTISSEMENT**</w:t>
      </w:r>
    </w:p>
    <w:p>
      <w:pPr>
        <w:spacing w:after="120" w:line="276" w:lineRule="auto"/>
      </w:pPr>
      <w:r>
        <w:t>La synthèse globale fait ressortir une situation contrastée mais globalement positive pour TTLC. La valorisation (Partie 0) est exigeante avec un PER de 21,8x et un P/B de 5,48x, nettement au-dessus des moyennes BRVM, ce qui intègre déjà des attentes de croissance élevées. Le comportement du cours (Partie 1) est favorable avec une tendance haussière de +8,62% sur 100 jours, une distribution statistique stable et symétrique, mais une volatilité annualisée élevée de 41,2% qui appelle à la prudence. Les signaux techniques (Partie 2) sont mitigés : les indicateurs de tendance (MM, MACD) sont haussiers, mais les oscillateurs (Bollinger, Stochastique) signalent un surachat à court terme, suggérant une consolidation probable. Les fondamentaux (Partie 3) montrent une entreprise rentable (ROE de 25,1%), avec des marges opérationnelles en amélioration et un BFR négatif favorable, mais une trésorerie nette négative et un endettement élevé. Les prédictions IA (J+1 à J+10) anticipent un léger repli du cours de 3 150 à 3 085 FCFA, confirmant le scénario de consolidation technique. Au vu de ces éléments, la recommandation finale est **CONSERVER** : la solidité fondamentale et la tendance de fond justifient de maintenir les positions, mais la valorisation élevée et les signaux de surachat technique incitent à ne pas renforcer à ces niveaux. Le niveau de confiance est **Moyen**, le risque global est **Moyen**, et l'horizon d'investissement optimal se situe à **moyen terme (3-12 mois)**, en attendant une correction technique ou une confirmation de la croissance 2026 pour envisager un renforcement.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116.79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2,772 titres</w:t>
            </w:r>
          </w:p>
        </w:tc>
        <w:tc>
          <w:tcPr>
            <w:tcW w:type="dxa" w:w="2268"/>
            <w:shd w:fill="FFF2CC" w:val="clear"/>
          </w:tcPr>
          <w:p>
            <w:r>
              <w:rPr>
                <w:b/>
                <w:color w:val="503200"/>
                <w:sz w:val="16"/>
              </w:rPr>
              <w:t xml:space="preserve">Cours actuel : </w:t>
            </w:r>
            <w:r>
              <w:rPr>
                <w:color w:val="000000"/>
                <w:sz w:val="17"/>
              </w:rPr>
              <w:t>3,585 FCFA</w:t>
            </w:r>
          </w:p>
          <w:p>
            <w:r>
              <w:rPr>
                <w:b/>
                <w:color w:val="503200"/>
                <w:sz w:val="16"/>
              </w:rPr>
              <w:t xml:space="preserve">Var. 100 jours : </w:t>
            </w:r>
            <w:r>
              <w:rPr>
                <w:b/>
                <w:color w:val="007800"/>
                <w:sz w:val="17"/>
              </w:rPr>
              <w:t>+9.80%</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49.8%</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22.0/100 → Moyen</w:t>
      </w:r>
    </w:p>
    <w:p>
      <w:pPr>
        <w:spacing w:before="40" w:after="80"/>
      </w:pPr>
      <w:r>
        <w:rPr>
          <w:rFonts w:ascii="Courier New" w:hAnsi="Courier New"/>
          <w:color w:val="825A00"/>
          <w:sz w:val="18"/>
        </w:rPr>
        <w:t>████░░░░░░░░░░░░░░░░  22.0/100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10.63% (Moyenne) — μ=3,453 FCFA, σ=367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β=1.3966 (Agressif) — Cov=0.000051, Var(idx)=0.000036, ρ=0.268,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2,772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48/100  (Moyen)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3,290</w:t>
            </w:r>
          </w:p>
        </w:tc>
        <w:tc>
          <w:tcPr>
            <w:tcW w:type="dxa" w:w="1440"/>
            <w:shd w:fill="FFDCE0" w:val="clear"/>
          </w:tcPr>
          <w:p>
            <w:r>
              <w:rPr>
                <w:b/>
                <w:sz w:val="17"/>
              </w:rPr>
              <w:t>3,483</w:t>
            </w:r>
          </w:p>
        </w:tc>
        <w:tc>
          <w:tcPr>
            <w:tcW w:type="dxa" w:w="1440"/>
            <w:shd w:fill="FFDCE0" w:val="clear"/>
          </w:tcPr>
          <w:p>
            <w:r>
              <w:rPr>
                <w:sz w:val="17"/>
              </w:rPr>
              <w:t>3,676</w:t>
            </w:r>
          </w:p>
        </w:tc>
        <w:tc>
          <w:tcPr>
            <w:tcW w:type="dxa" w:w="1440"/>
            <w:shd w:fill="FFDCE0" w:val="clear"/>
          </w:tcPr>
          <w:p>
            <w:r>
              <w:rPr>
                <w:b/>
                <w:color w:val="C00000"/>
                <w:sz w:val="17"/>
              </w:rPr>
              <w:t>-2.9%</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3,164</w:t>
            </w:r>
          </w:p>
        </w:tc>
        <w:tc>
          <w:tcPr>
            <w:tcW w:type="dxa" w:w="1440"/>
            <w:shd w:fill="FFDCE0" w:val="clear"/>
          </w:tcPr>
          <w:p>
            <w:r>
              <w:rPr>
                <w:b/>
                <w:sz w:val="17"/>
              </w:rPr>
              <w:t>3,433</w:t>
            </w:r>
          </w:p>
        </w:tc>
        <w:tc>
          <w:tcPr>
            <w:tcW w:type="dxa" w:w="1440"/>
            <w:shd w:fill="FFDCE0" w:val="clear"/>
          </w:tcPr>
          <w:p>
            <w:r>
              <w:rPr>
                <w:sz w:val="17"/>
              </w:rPr>
              <w:t>3,702</w:t>
            </w:r>
          </w:p>
        </w:tc>
        <w:tc>
          <w:tcPr>
            <w:tcW w:type="dxa" w:w="1440"/>
            <w:shd w:fill="FFDCE0" w:val="clear"/>
          </w:tcPr>
          <w:p>
            <w:r>
              <w:rPr>
                <w:b/>
                <w:color w:val="C00000"/>
                <w:sz w:val="17"/>
              </w:rPr>
              <w:t>-4.2%</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3,064</w:t>
            </w:r>
          </w:p>
        </w:tc>
        <w:tc>
          <w:tcPr>
            <w:tcW w:type="dxa" w:w="1440"/>
            <w:shd w:fill="FFDCE0" w:val="clear"/>
          </w:tcPr>
          <w:p>
            <w:r>
              <w:rPr>
                <w:b/>
                <w:sz w:val="17"/>
              </w:rPr>
              <w:t>3,389</w:t>
            </w:r>
          </w:p>
        </w:tc>
        <w:tc>
          <w:tcPr>
            <w:tcW w:type="dxa" w:w="1440"/>
            <w:shd w:fill="FFDCE0" w:val="clear"/>
          </w:tcPr>
          <w:p>
            <w:r>
              <w:rPr>
                <w:sz w:val="17"/>
              </w:rPr>
              <w:t>3,714</w:t>
            </w:r>
          </w:p>
        </w:tc>
        <w:tc>
          <w:tcPr>
            <w:tcW w:type="dxa" w:w="1440"/>
            <w:shd w:fill="FFDCE0" w:val="clear"/>
          </w:tcPr>
          <w:p>
            <w:r>
              <w:rPr>
                <w:b/>
                <w:color w:val="C00000"/>
                <w:sz w:val="17"/>
              </w:rPr>
              <w:t>-5.5%</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2,980</w:t>
            </w:r>
          </w:p>
        </w:tc>
        <w:tc>
          <w:tcPr>
            <w:tcW w:type="dxa" w:w="1440"/>
            <w:shd w:fill="FFDCE0" w:val="clear"/>
          </w:tcPr>
          <w:p>
            <w:r>
              <w:rPr>
                <w:b/>
                <w:sz w:val="17"/>
              </w:rPr>
              <w:t>3,351</w:t>
            </w:r>
          </w:p>
        </w:tc>
        <w:tc>
          <w:tcPr>
            <w:tcW w:type="dxa" w:w="1440"/>
            <w:shd w:fill="FFDCE0" w:val="clear"/>
          </w:tcPr>
          <w:p>
            <w:r>
              <w:rPr>
                <w:sz w:val="17"/>
              </w:rPr>
              <w:t>3,722</w:t>
            </w:r>
          </w:p>
        </w:tc>
        <w:tc>
          <w:tcPr>
            <w:tcW w:type="dxa" w:w="1440"/>
            <w:shd w:fill="FFDCE0" w:val="clear"/>
          </w:tcPr>
          <w:p>
            <w:r>
              <w:rPr>
                <w:b/>
                <w:color w:val="C00000"/>
                <w:sz w:val="17"/>
              </w:rPr>
              <w:t>-6.5%</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2,905</w:t>
            </w:r>
          </w:p>
        </w:tc>
        <w:tc>
          <w:tcPr>
            <w:tcW w:type="dxa" w:w="1440"/>
            <w:shd w:fill="FFDCE0" w:val="clear"/>
          </w:tcPr>
          <w:p>
            <w:r>
              <w:rPr>
                <w:b/>
                <w:sz w:val="17"/>
              </w:rPr>
              <w:t>3,316</w:t>
            </w:r>
          </w:p>
        </w:tc>
        <w:tc>
          <w:tcPr>
            <w:tcW w:type="dxa" w:w="1440"/>
            <w:shd w:fill="FFDCE0" w:val="clear"/>
          </w:tcPr>
          <w:p>
            <w:r>
              <w:rPr>
                <w:sz w:val="17"/>
              </w:rPr>
              <w:t>3,727</w:t>
            </w:r>
          </w:p>
        </w:tc>
        <w:tc>
          <w:tcPr>
            <w:tcW w:type="dxa" w:w="1440"/>
            <w:shd w:fill="FFDCE0" w:val="clear"/>
          </w:tcPr>
          <w:p>
            <w:r>
              <w:rPr>
                <w:b/>
                <w:color w:val="C00000"/>
                <w:sz w:val="17"/>
              </w:rPr>
              <w:t>-7.5%</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2,838</w:t>
            </w:r>
          </w:p>
        </w:tc>
        <w:tc>
          <w:tcPr>
            <w:tcW w:type="dxa" w:w="1440"/>
            <w:shd w:fill="FFDCE0" w:val="clear"/>
          </w:tcPr>
          <w:p>
            <w:r>
              <w:rPr>
                <w:b/>
                <w:sz w:val="17"/>
              </w:rPr>
              <w:t>3,284</w:t>
            </w:r>
          </w:p>
        </w:tc>
        <w:tc>
          <w:tcPr>
            <w:tcW w:type="dxa" w:w="1440"/>
            <w:shd w:fill="FFDCE0" w:val="clear"/>
          </w:tcPr>
          <w:p>
            <w:r>
              <w:rPr>
                <w:sz w:val="17"/>
              </w:rPr>
              <w:t>3,729</w:t>
            </w:r>
          </w:p>
        </w:tc>
        <w:tc>
          <w:tcPr>
            <w:tcW w:type="dxa" w:w="1440"/>
            <w:shd w:fill="FFDCE0" w:val="clear"/>
          </w:tcPr>
          <w:p>
            <w:r>
              <w:rPr>
                <w:b/>
                <w:color w:val="C00000"/>
                <w:sz w:val="17"/>
              </w:rPr>
              <w:t>-8.4%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2,776</w:t>
            </w:r>
          </w:p>
        </w:tc>
        <w:tc>
          <w:tcPr>
            <w:tcW w:type="dxa" w:w="1440"/>
            <w:shd w:fill="FFDCE0" w:val="clear"/>
          </w:tcPr>
          <w:p>
            <w:r>
              <w:rPr>
                <w:b/>
                <w:sz w:val="17"/>
              </w:rPr>
              <w:t>3,253</w:t>
            </w:r>
          </w:p>
        </w:tc>
        <w:tc>
          <w:tcPr>
            <w:tcW w:type="dxa" w:w="1440"/>
            <w:shd w:fill="FFDCE0" w:val="clear"/>
          </w:tcPr>
          <w:p>
            <w:r>
              <w:rPr>
                <w:sz w:val="17"/>
              </w:rPr>
              <w:t>3,730</w:t>
            </w:r>
          </w:p>
        </w:tc>
        <w:tc>
          <w:tcPr>
            <w:tcW w:type="dxa" w:w="1440"/>
            <w:shd w:fill="FFDCE0" w:val="clear"/>
          </w:tcPr>
          <w:p>
            <w:r>
              <w:rPr>
                <w:b/>
                <w:color w:val="C00000"/>
                <w:sz w:val="17"/>
              </w:rPr>
              <w:t>-9.3%</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2,719</w:t>
            </w:r>
          </w:p>
        </w:tc>
        <w:tc>
          <w:tcPr>
            <w:tcW w:type="dxa" w:w="1440"/>
            <w:shd w:fill="FFDCE0" w:val="clear"/>
          </w:tcPr>
          <w:p>
            <w:r>
              <w:rPr>
                <w:b/>
                <w:sz w:val="17"/>
              </w:rPr>
              <w:t>3,224</w:t>
            </w:r>
          </w:p>
        </w:tc>
        <w:tc>
          <w:tcPr>
            <w:tcW w:type="dxa" w:w="1440"/>
            <w:shd w:fill="FFDCE0" w:val="clear"/>
          </w:tcPr>
          <w:p>
            <w:r>
              <w:rPr>
                <w:sz w:val="17"/>
              </w:rPr>
              <w:t>3,730</w:t>
            </w:r>
          </w:p>
        </w:tc>
        <w:tc>
          <w:tcPr>
            <w:tcW w:type="dxa" w:w="1440"/>
            <w:shd w:fill="FFDCE0" w:val="clear"/>
          </w:tcPr>
          <w:p>
            <w:r>
              <w:rPr>
                <w:b/>
                <w:color w:val="C00000"/>
                <w:sz w:val="17"/>
              </w:rPr>
              <w:t>-10.1%</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2,666</w:t>
            </w:r>
          </w:p>
        </w:tc>
        <w:tc>
          <w:tcPr>
            <w:tcW w:type="dxa" w:w="1440"/>
            <w:shd w:fill="FFDCE0" w:val="clear"/>
          </w:tcPr>
          <w:p>
            <w:r>
              <w:rPr>
                <w:b/>
                <w:sz w:val="17"/>
              </w:rPr>
              <w:t>3,197</w:t>
            </w:r>
          </w:p>
        </w:tc>
        <w:tc>
          <w:tcPr>
            <w:tcW w:type="dxa" w:w="1440"/>
            <w:shd w:fill="FFDCE0" w:val="clear"/>
          </w:tcPr>
          <w:p>
            <w:r>
              <w:rPr>
                <w:sz w:val="17"/>
              </w:rPr>
              <w:t>3,729</w:t>
            </w:r>
          </w:p>
        </w:tc>
        <w:tc>
          <w:tcPr>
            <w:tcW w:type="dxa" w:w="1440"/>
            <w:shd w:fill="FFDCE0" w:val="clear"/>
          </w:tcPr>
          <w:p>
            <w:r>
              <w:rPr>
                <w:b/>
                <w:color w:val="C00000"/>
                <w:sz w:val="17"/>
              </w:rPr>
              <w:t>-10.8%</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2,616</w:t>
            </w:r>
          </w:p>
        </w:tc>
        <w:tc>
          <w:tcPr>
            <w:tcW w:type="dxa" w:w="1440"/>
            <w:shd w:fill="FFDCE0" w:val="clear"/>
          </w:tcPr>
          <w:p>
            <w:r>
              <w:rPr>
                <w:b/>
                <w:sz w:val="17"/>
              </w:rPr>
              <w:t>3,172</w:t>
            </w:r>
          </w:p>
        </w:tc>
        <w:tc>
          <w:tcPr>
            <w:tcW w:type="dxa" w:w="1440"/>
            <w:shd w:fill="FFDCE0" w:val="clear"/>
          </w:tcPr>
          <w:p>
            <w:r>
              <w:rPr>
                <w:sz w:val="17"/>
              </w:rPr>
              <w:t>3,727</w:t>
            </w:r>
          </w:p>
        </w:tc>
        <w:tc>
          <w:tcPr>
            <w:tcW w:type="dxa" w:w="1440"/>
            <w:shd w:fill="FFDCE0" w:val="clear"/>
          </w:tcPr>
          <w:p>
            <w:r>
              <w:rPr>
                <w:b/>
                <w:color w:val="C00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116,79 milliards FCFA, ce qui positionne la société parmi les valeurs moyennes de la BRVM, avec un poids significatif dans le compartiment des entreprises industrielles et de distribution. Le BPA de 208 FCFA indique que chaque action génère un bénéfice de ce montant, justifiant un PER de 17,2x, nettement supérieur à la moyenne du marché BRVM (8-12x), ce qui traduit une prime de valorisation que les investisseurs acceptent de payer pour la qualité perçue du titre et son appartenance au groupe TotalEnergies. Le P/B de 4,14x confirme cette prime, le marché valorisant le titre à plus de quatre fois sa valeur comptable, ce qui est exigeant et reflète les attentes de rendement élevé sur les capitaux propres. Enfin, l'EV/EBITDA de 7,3x, dans la fourchette raisonnable de 5 à 10x, indique que la valeur totale de l'entreprise (capitalisation plus dette nette) reste cohérente avec sa capacité opérationnelle à générer des bénéfices avant intérêts, impôts et amortissements.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variation totale positive de +9,80%, avec une légère baisse de -0,42% lors de la dernière séance, reflétant une consolidation après une période de progression. Le cours a évolué dans une fourchette large de 2 845 FCFA (plus bas) à 4 500 FCFA (plus haut), avec un cours actuel de 3 585 FCFA, ce qui montre une volatilité intra-période importante. La moyenne du cours sur la période est de 3 453 FCFA, légèrement supérieure à la médiane de 3 392 FCFA, indiquant une distribution légèrement asymétrique positive (skewness de 0,842), avec plus de journées sous la moyenne mais quelques pics haussiers marqués. L'écart-type de 369 FCFA, soit un coefficient de variation de 10,7%, témoigne d'une dispersion modérée autour de la moyenne, tandis que le kurtosis de 0,295 (mésokurtique) suggère une distribution proche de la normale, sans risque de pics extrêmes. La volatilité annualisée de 49,8% est élevée, positionnant le titre comme une valeur à risque supérieur à la moyenne, ce qui est cohérent avec les variations de prix observées sur la période.</w:t>
      </w:r>
    </w:p>
    <w:p>
      <w:pPr>
        <w:spacing w:after="120" w:line="276" w:lineRule="auto" w:before="240"/>
      </w:pPr>
      <w:r>
        <w:rPr>
          <w:b/>
          <w:color w:val="003366"/>
          <w:sz w:val="24"/>
        </w:rPr>
        <w:t>**PARTIE 2 : ANALYSE TECHNIQUE DÉTAILLÉE**</w:t>
      </w:r>
    </w:p>
    <w:p>
      <w:pPr>
        <w:spacing w:after="120" w:line="276" w:lineRule="auto"/>
      </w:pPr>
      <w:r>
        <w:t>**Moyennes Mobiles** : Les moyennes mobiles sur 20 jours (3 667 FCFA) et sur 50 jours (3 731,6 FCFA) sont toutes deux supérieures au cours actuel de 3 585 FCFA, indiquant une tendance baissière à court et moyen terme. Le croisement de ces moyennes, avec la MM20 en dessous de la MM50, confirme une dynamique négative, justifiant la décision de vente.</w:t>
      </w:r>
    </w:p>
    <w:p>
      <w:pPr>
        <w:spacing w:after="120" w:line="276" w:lineRule="auto"/>
      </w:pPr>
      <w:r>
        <w:t>**Bandes de Bollinger** : Le cours actuel se situe entre la borne supérieure (3 892,98 FCFA) et la borne inférieure (3 441,02 FCFA), proche de la partie médiane-basse de la bande. Cette position suggère une volatilité modérée avec un prix qui n'est ni suracheté ni survendu, d'où une décision neutre, mais avec un biais baissier potentiel si le cours s'approche de la borne inférieure.</w:t>
      </w:r>
    </w:p>
    <w:p>
      <w:pPr>
        <w:spacing w:after="120" w:line="276" w:lineRule="auto"/>
      </w:pPr>
      <w:r>
        <w:t>**MACD** : La valeur du MACD (-63,37) est inférieure à sa ligne de signal (-50,29), confirmant un momentum baissier. Cette divergence négative indique que la dynamique des prix reste sous pression, justifiant la décision de vente, avec un potentiel de poursuite de la baisse si la tendance se maintient.</w:t>
      </w:r>
    </w:p>
    <w:p>
      <w:pPr>
        <w:spacing w:after="120" w:line="276" w:lineRule="auto"/>
      </w:pPr>
      <w:r>
        <w:t>**RSI** : Le RSI à 37,96 se situe dans la zone neutre (30-70), mais proche de la zone de survente (sous 30). Cela indique que le titre n'est pas encore survendu, mais que la pression vendeuse est présente, d'où une décision neutre avec un risque de poursuite de la baisse.</w:t>
      </w:r>
    </w:p>
    <w:p>
      <w:pPr>
        <w:spacing w:after="120" w:line="276" w:lineRule="auto"/>
      </w:pPr>
      <w:r>
        <w:t>**Stochastique** : Le %K (42,5) est supérieur au %D (38,61), indiquant un croisement haussier potentiel à court terme, mais les deux restent sous la barre des 50, ce qui reflète une faiblesse relative. La décision neutre suggère que le marché est indécis, avec un léger biais haussier à très court terme.</w:t>
      </w:r>
    </w:p>
    <w:p>
      <w:pPr>
        <w:spacing w:after="120" w:line="276" w:lineRule="auto"/>
      </w:pPr>
      <w:r>
        <w:t>**Conclusion technique** : La convergence des indicateurs techniques (MM, MACD) vers des signaux de vente, combinée à un RSI et un Stochastique neutres mais faibles, indique une tendance baissière dominante à court et moyen terme. Le titre semble en phase de correction après une période haussière, et les niveaux actuels ne montrent pas de signe de retournement majeur, suggérant une prudence pour les investisseurs à court terme.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TTLS montrent un chiffre d'affaires de 455,209 milliards FCFA, en baisse de 6,1% par rapport à 2024, avec un résultat net de 6,779 milliards FCFA, en recul de 5,1% (source : rapport annuel 2025, analysé par DeepSeek le 4 mai 2026). La marge nette s'établit à 1,49%, typique du secteur de distribution pétrolière, tandis que le ROE est excellent à 24,0%, démontrant une forte rentabilité des capitaux propres (28,239 milliards FCFA), et le ROA est de 3,95%. Le BFR est négatif à -36,899 milliards FCFA, ce qui est favorable pour l'entreprise, indiquant que les dettes fournisseurs (86,912 milliards FCFA) financent largement les créances clients (59,155 milliards FCFA) et les stocks (15,667 milliards FCFA). Les délais clients (47,43 jours) et fournisseurs (97,76 jours) montrent une gestion efficace de la trésorerie, avec un délai fournisseur nettement supérieur au délai client, ce qui améliore le besoin en fonds de roulement. Sur la base du rapport du T1 2026 (analysé par DeepSeek le 4 mai 2026), le chiffre d'affaires a baissé de 10% à 99,9 milliards FCFA, mais le résultat net a progressé de 5% à 1,585 milliard FCFA, grâce à une amélioration des marges sur les lubrifiants, ce qui laisse entrevoir une stabilisation de la rentabilité pour 2026. La société reste leader au Sénégal avec 140 stations-service, et les perspectives de croissance sont liées aux projets Sangomar et GNL, bien que la dépendance aux décisions réglementaires sur les prix reste un risque majeur. La recommandation fondamentale est de conserver le titre, compte tenu de la solidité opérationnelle et des perspectives de diversification énergétique.</w:t>
      </w:r>
    </w:p>
    <w:p>
      <w:pPr>
        <w:spacing w:after="120" w:line="276" w:lineRule="auto" w:before="240"/>
      </w:pPr>
      <w:r>
        <w:rPr>
          <w:b/>
          <w:color w:val="003366"/>
          <w:sz w:val="24"/>
        </w:rPr>
        <w:t>**PARTIE 4 : CONCLUSION D'INVESTISSEMENT**</w:t>
      </w:r>
    </w:p>
    <w:p>
      <w:pPr>
        <w:spacing w:after="120" w:line="276" w:lineRule="auto"/>
      </w:pPr>
      <w:r>
        <w:t>La valorisation de TTLS, avec un PER de 17,2x et un P/B de 4,14x, indique une prime de marché significative, mais justifiée par un ROE de 24% et une position dominante au Sénégal, bien que le niveau de prix soit exigeant par rapport à la moyenne BRVM. Le comportement du cours sur 100 jours montre une tendance haussière de +9,80%, mais avec une volatilité élevée (49,8%) et une distribution asymétrique positive, suggérant des risques de correction, confirmés par les signaux techniques baissiers (MM, MACD) et neutres (RSI, Stochastique). Les fondamentaux restent solides, avec un BFR négatif favorable, une trésorerie améliorée à 20,567 milliards FCFA, et une capacité à maintenir la rentabilité malgré la baisse du chiffre d'affaires, comme le montre le T1 2026. Les prédictions IA pour les 10 prochains jours (de 3 483 à 3 316 FCFA) confirment la tendance baissière technique, avec une poursuite de la baisse vers les 3 300 FCFA. En synthèse, la convergence entre les signaux techniques baissiers et les prédictions IA, contrastant avec des fondamentaux solides mais une valorisation exigeante, conduit à une recommandation de **CONSERVER** avec un niveau de confiance **Moyen** et un risque global **Élevé**. L'horizon d'investissement optimal serait à **moyen terme (3-12 mois)**, en attendant une stabilisation du cours et des clarifications sur la politique de dividende, pour les investisseurs cherchant une exposition défensive au secteur énergétique ouest-africain.</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532.64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29 titres</w:t>
            </w:r>
          </w:p>
        </w:tc>
        <w:tc>
          <w:tcPr>
            <w:tcW w:type="dxa" w:w="2268"/>
            <w:shd w:fill="FFF2CC" w:val="clear"/>
          </w:tcPr>
          <w:p>
            <w:r>
              <w:rPr>
                <w:b/>
                <w:color w:val="503200"/>
                <w:sz w:val="16"/>
              </w:rPr>
              <w:t xml:space="preserve">Cours actuel : </w:t>
            </w:r>
            <w:r>
              <w:rPr>
                <w:color w:val="000000"/>
                <w:sz w:val="17"/>
              </w:rPr>
              <w:t>58,000 FCFA</w:t>
            </w:r>
          </w:p>
          <w:p>
            <w:r>
              <w:rPr>
                <w:b/>
                <w:color w:val="503200"/>
                <w:sz w:val="16"/>
              </w:rPr>
              <w:t xml:space="preserve">Var. 100 jours : </w:t>
            </w:r>
            <w:r>
              <w:rPr>
                <w:b/>
                <w:color w:val="B40000"/>
                <w:sz w:val="17"/>
              </w:rPr>
              <w:t>-17.14%</w:t>
            </w:r>
          </w:p>
          <w:p>
            <w:r>
              <w:rPr>
                <w:b/>
                <w:color w:val="503200"/>
                <w:sz w:val="16"/>
              </w:rPr>
              <w:t xml:space="preserve">Plus haut 100j : </w:t>
            </w:r>
            <w:r>
              <w:rPr>
                <w:color w:val="000000"/>
                <w:sz w:val="17"/>
              </w:rPr>
              <w:t>70,000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68.4%</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6.76% (Moyenne) — μ=57,018 FCFA, σ=3,856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β=1.9581 (Très agressif) — Cov=0.000071, Var(idx)=0.000036, ρ=0.279,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29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σ_j=4.31%/j (Modérée) — Vol. annualisée≈68.4%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2026-08-17</w:t>
            </w:r>
          </w:p>
        </w:tc>
        <w:tc>
          <w:tcPr>
            <w:tcW w:type="dxa" w:w="1440"/>
            <w:shd w:fill="C6EFCE" w:val="clear"/>
          </w:tcPr>
          <w:p>
            <w:r>
              <w:rPr>
                <w:sz w:val="17"/>
              </w:rPr>
              <w:t>54,177</w:t>
            </w:r>
          </w:p>
        </w:tc>
        <w:tc>
          <w:tcPr>
            <w:tcW w:type="dxa" w:w="1440"/>
            <w:shd w:fill="C6EFCE" w:val="clear"/>
          </w:tcPr>
          <w:p>
            <w:r>
              <w:rPr>
                <w:b/>
                <w:sz w:val="17"/>
              </w:rPr>
              <w:t>59,335</w:t>
            </w:r>
          </w:p>
        </w:tc>
        <w:tc>
          <w:tcPr>
            <w:tcW w:type="dxa" w:w="1440"/>
            <w:shd w:fill="C6EFCE" w:val="clear"/>
          </w:tcPr>
          <w:p>
            <w:r>
              <w:rPr>
                <w:sz w:val="17"/>
              </w:rPr>
              <w:t>64,492</w:t>
            </w:r>
          </w:p>
        </w:tc>
        <w:tc>
          <w:tcPr>
            <w:tcW w:type="dxa" w:w="1440"/>
            <w:shd w:fill="C6EFCE" w:val="clear"/>
          </w:tcPr>
          <w:p>
            <w:r>
              <w:rPr>
                <w:b/>
                <w:color w:val="008000"/>
                <w:sz w:val="17"/>
              </w:rPr>
              <w:t>+2.3%</w:t>
            </w:r>
          </w:p>
        </w:tc>
      </w:tr>
      <w:tr>
        <w:tc>
          <w:tcPr>
            <w:tcW w:type="dxa" w:w="1440"/>
            <w:shd w:fill="C6EFCE" w:val="clear"/>
          </w:tcPr>
          <w:p>
            <w:r>
              <w:rPr>
                <w:sz w:val="17"/>
              </w:rPr>
              <w:t>J+2  ⭐</w:t>
            </w:r>
          </w:p>
        </w:tc>
        <w:tc>
          <w:tcPr>
            <w:tcW w:type="dxa" w:w="1440"/>
            <w:shd w:fill="C6EFCE" w:val="clear"/>
          </w:tcPr>
          <w:p>
            <w:r>
              <w:rPr>
                <w:sz w:val="17"/>
              </w:rPr>
              <w:t>2026-08-18</w:t>
            </w:r>
          </w:p>
        </w:tc>
        <w:tc>
          <w:tcPr>
            <w:tcW w:type="dxa" w:w="1440"/>
            <w:shd w:fill="C6EFCE" w:val="clear"/>
          </w:tcPr>
          <w:p>
            <w:r>
              <w:rPr>
                <w:sz w:val="17"/>
              </w:rPr>
              <w:t>53,621</w:t>
            </w:r>
          </w:p>
        </w:tc>
        <w:tc>
          <w:tcPr>
            <w:tcW w:type="dxa" w:w="1440"/>
            <w:shd w:fill="C6EFCE" w:val="clear"/>
          </w:tcPr>
          <w:p>
            <w:r>
              <w:rPr>
                <w:b/>
                <w:sz w:val="17"/>
              </w:rPr>
              <w:t>60,010</w:t>
            </w:r>
          </w:p>
        </w:tc>
        <w:tc>
          <w:tcPr>
            <w:tcW w:type="dxa" w:w="1440"/>
            <w:shd w:fill="C6EFCE" w:val="clear"/>
          </w:tcPr>
          <w:p>
            <w:r>
              <w:rPr>
                <w:sz w:val="17"/>
              </w:rPr>
              <w:t>66,398</w:t>
            </w:r>
          </w:p>
        </w:tc>
        <w:tc>
          <w:tcPr>
            <w:tcW w:type="dxa" w:w="1440"/>
            <w:shd w:fill="C6EFCE" w:val="clear"/>
          </w:tcPr>
          <w:p>
            <w:r>
              <w:rPr>
                <w:b/>
                <w:color w:val="008000"/>
                <w:sz w:val="17"/>
              </w:rPr>
              <w:t>+3.5%</w:t>
            </w:r>
          </w:p>
        </w:tc>
      </w:tr>
      <w:tr>
        <w:tc>
          <w:tcPr>
            <w:tcW w:type="dxa" w:w="1440"/>
            <w:shd w:fill="C6EFCE" w:val="clear"/>
          </w:tcPr>
          <w:p>
            <w:r>
              <w:rPr>
                <w:sz w:val="17"/>
              </w:rPr>
              <w:t>J+3  ⭐</w:t>
            </w:r>
          </w:p>
        </w:tc>
        <w:tc>
          <w:tcPr>
            <w:tcW w:type="dxa" w:w="1440"/>
            <w:shd w:fill="C6EFCE" w:val="clear"/>
          </w:tcPr>
          <w:p>
            <w:r>
              <w:rPr>
                <w:sz w:val="17"/>
              </w:rPr>
              <w:t>2026-08-19</w:t>
            </w:r>
          </w:p>
        </w:tc>
        <w:tc>
          <w:tcPr>
            <w:tcW w:type="dxa" w:w="1440"/>
            <w:shd w:fill="C6EFCE" w:val="clear"/>
          </w:tcPr>
          <w:p>
            <w:r>
              <w:rPr>
                <w:sz w:val="17"/>
              </w:rPr>
              <w:t>53,217</w:t>
            </w:r>
          </w:p>
        </w:tc>
        <w:tc>
          <w:tcPr>
            <w:tcW w:type="dxa" w:w="1440"/>
            <w:shd w:fill="C6EFCE" w:val="clear"/>
          </w:tcPr>
          <w:p>
            <w:r>
              <w:rPr>
                <w:b/>
                <w:sz w:val="17"/>
              </w:rPr>
              <w:t>60,675</w:t>
            </w:r>
          </w:p>
        </w:tc>
        <w:tc>
          <w:tcPr>
            <w:tcW w:type="dxa" w:w="1440"/>
            <w:shd w:fill="C6EFCE" w:val="clear"/>
          </w:tcPr>
          <w:p>
            <w:r>
              <w:rPr>
                <w:sz w:val="17"/>
              </w:rPr>
              <w:t>68,134</w:t>
            </w:r>
          </w:p>
        </w:tc>
        <w:tc>
          <w:tcPr>
            <w:tcW w:type="dxa" w:w="1440"/>
            <w:shd w:fill="C6EFCE" w:val="clear"/>
          </w:tcPr>
          <w:p>
            <w:r>
              <w:rPr>
                <w:b/>
                <w:color w:val="008000"/>
                <w:sz w:val="17"/>
              </w:rPr>
              <w:t>+4.6%</w:t>
            </w:r>
          </w:p>
        </w:tc>
      </w:tr>
      <w:tr>
        <w:tc>
          <w:tcPr>
            <w:tcW w:type="dxa" w:w="1440"/>
            <w:shd w:fill="C6EFCE" w:val="clear"/>
          </w:tcPr>
          <w:p>
            <w:r>
              <w:rPr>
                <w:sz w:val="17"/>
              </w:rPr>
              <w:t>J+4  ⭐</w:t>
            </w:r>
          </w:p>
        </w:tc>
        <w:tc>
          <w:tcPr>
            <w:tcW w:type="dxa" w:w="1440"/>
            <w:shd w:fill="C6EFCE" w:val="clear"/>
          </w:tcPr>
          <w:p>
            <w:r>
              <w:rPr>
                <w:sz w:val="17"/>
              </w:rPr>
              <w:t>2026-08-20</w:t>
            </w:r>
          </w:p>
        </w:tc>
        <w:tc>
          <w:tcPr>
            <w:tcW w:type="dxa" w:w="1440"/>
            <w:shd w:fill="C6EFCE" w:val="clear"/>
          </w:tcPr>
          <w:p>
            <w:r>
              <w:rPr>
                <w:sz w:val="17"/>
              </w:rPr>
              <w:t>52,908</w:t>
            </w:r>
          </w:p>
        </w:tc>
        <w:tc>
          <w:tcPr>
            <w:tcW w:type="dxa" w:w="1440"/>
            <w:shd w:fill="C6EFCE" w:val="clear"/>
          </w:tcPr>
          <w:p>
            <w:r>
              <w:rPr>
                <w:b/>
                <w:sz w:val="17"/>
              </w:rPr>
              <w:t>61,338</w:t>
            </w:r>
          </w:p>
        </w:tc>
        <w:tc>
          <w:tcPr>
            <w:tcW w:type="dxa" w:w="1440"/>
            <w:shd w:fill="C6EFCE" w:val="clear"/>
          </w:tcPr>
          <w:p>
            <w:r>
              <w:rPr>
                <w:sz w:val="17"/>
              </w:rPr>
              <w:t>69,768</w:t>
            </w:r>
          </w:p>
        </w:tc>
        <w:tc>
          <w:tcPr>
            <w:tcW w:type="dxa" w:w="1440"/>
            <w:shd w:fill="C6EFCE" w:val="clear"/>
          </w:tcPr>
          <w:p>
            <w:r>
              <w:rPr>
                <w:b/>
                <w:color w:val="008000"/>
                <w:sz w:val="17"/>
              </w:rPr>
              <w:t>+5.8%</w:t>
            </w:r>
          </w:p>
        </w:tc>
      </w:tr>
      <w:tr>
        <w:tc>
          <w:tcPr>
            <w:tcW w:type="dxa" w:w="1440"/>
            <w:shd w:fill="C6EFCE" w:val="clear"/>
          </w:tcPr>
          <w:p>
            <w:r>
              <w:rPr>
                <w:sz w:val="17"/>
              </w:rPr>
              <w:t>J+5  ⭐</w:t>
            </w:r>
          </w:p>
        </w:tc>
        <w:tc>
          <w:tcPr>
            <w:tcW w:type="dxa" w:w="1440"/>
            <w:shd w:fill="C6EFCE" w:val="clear"/>
          </w:tcPr>
          <w:p>
            <w:r>
              <w:rPr>
                <w:sz w:val="17"/>
              </w:rPr>
              <w:t>2026-08-21</w:t>
            </w:r>
          </w:p>
        </w:tc>
        <w:tc>
          <w:tcPr>
            <w:tcW w:type="dxa" w:w="1440"/>
            <w:shd w:fill="C6EFCE" w:val="clear"/>
          </w:tcPr>
          <w:p>
            <w:r>
              <w:rPr>
                <w:sz w:val="17"/>
              </w:rPr>
              <w:t>52,666</w:t>
            </w:r>
          </w:p>
        </w:tc>
        <w:tc>
          <w:tcPr>
            <w:tcW w:type="dxa" w:w="1440"/>
            <w:shd w:fill="C6EFCE" w:val="clear"/>
          </w:tcPr>
          <w:p>
            <w:r>
              <w:rPr>
                <w:b/>
                <w:sz w:val="17"/>
              </w:rPr>
              <w:t>62,000</w:t>
            </w:r>
          </w:p>
        </w:tc>
        <w:tc>
          <w:tcPr>
            <w:tcW w:type="dxa" w:w="1440"/>
            <w:shd w:fill="C6EFCE" w:val="clear"/>
          </w:tcPr>
          <w:p>
            <w:r>
              <w:rPr>
                <w:sz w:val="17"/>
              </w:rPr>
              <w:t>71,335</w:t>
            </w:r>
          </w:p>
        </w:tc>
        <w:tc>
          <w:tcPr>
            <w:tcW w:type="dxa" w:w="1440"/>
            <w:shd w:fill="C6EFCE" w:val="clear"/>
          </w:tcPr>
          <w:p>
            <w:r>
              <w:rPr>
                <w:b/>
                <w:color w:val="008000"/>
                <w:sz w:val="17"/>
              </w:rPr>
              <w:t>+6.9%</w:t>
            </w:r>
          </w:p>
        </w:tc>
      </w:tr>
      <w:tr>
        <w:tc>
          <w:tcPr>
            <w:tcW w:type="dxa" w:w="1440"/>
            <w:shd w:fill="C6EFCE" w:val="clear"/>
          </w:tcPr>
          <w:p>
            <w:r>
              <w:rPr>
                <w:sz w:val="17"/>
              </w:rPr>
              <w:t>J+6  ⭐</w:t>
            </w:r>
          </w:p>
        </w:tc>
        <w:tc>
          <w:tcPr>
            <w:tcW w:type="dxa" w:w="1440"/>
            <w:shd w:fill="C6EFCE" w:val="clear"/>
          </w:tcPr>
          <w:p>
            <w:r>
              <w:rPr>
                <w:sz w:val="17"/>
              </w:rPr>
              <w:t>2026-08-24</w:t>
            </w:r>
          </w:p>
        </w:tc>
        <w:tc>
          <w:tcPr>
            <w:tcW w:type="dxa" w:w="1440"/>
            <w:shd w:fill="C6EFCE" w:val="clear"/>
          </w:tcPr>
          <w:p>
            <w:r>
              <w:rPr>
                <w:sz w:val="17"/>
              </w:rPr>
              <w:t>52,472</w:t>
            </w:r>
          </w:p>
        </w:tc>
        <w:tc>
          <w:tcPr>
            <w:tcW w:type="dxa" w:w="1440"/>
            <w:shd w:fill="C6EFCE" w:val="clear"/>
          </w:tcPr>
          <w:p>
            <w:r>
              <w:rPr>
                <w:b/>
                <w:sz w:val="17"/>
              </w:rPr>
              <w:t>62,662</w:t>
            </w:r>
          </w:p>
        </w:tc>
        <w:tc>
          <w:tcPr>
            <w:tcW w:type="dxa" w:w="1440"/>
            <w:shd w:fill="C6EFCE" w:val="clear"/>
          </w:tcPr>
          <w:p>
            <w:r>
              <w:rPr>
                <w:sz w:val="17"/>
              </w:rPr>
              <w:t>72,852</w:t>
            </w:r>
          </w:p>
        </w:tc>
        <w:tc>
          <w:tcPr>
            <w:tcW w:type="dxa" w:w="1440"/>
            <w:shd w:fill="C6EFCE" w:val="clear"/>
          </w:tcPr>
          <w:p>
            <w:r>
              <w:rPr>
                <w:b/>
                <w:color w:val="008000"/>
                <w:sz w:val="17"/>
              </w:rPr>
              <w:t>+8.0%</w:t>
            </w:r>
          </w:p>
        </w:tc>
      </w:tr>
      <w:tr>
        <w:tc>
          <w:tcPr>
            <w:tcW w:type="dxa" w:w="1440"/>
            <w:shd w:fill="C6EFCE" w:val="clear"/>
          </w:tcPr>
          <w:p>
            <w:r>
              <w:rPr>
                <w:sz w:val="17"/>
              </w:rPr>
              <w:t>J+7  ⭐</w:t>
            </w:r>
          </w:p>
        </w:tc>
        <w:tc>
          <w:tcPr>
            <w:tcW w:type="dxa" w:w="1440"/>
            <w:shd w:fill="C6EFCE" w:val="clear"/>
          </w:tcPr>
          <w:p>
            <w:r>
              <w:rPr>
                <w:sz w:val="17"/>
              </w:rPr>
              <w:t>2026-08-25</w:t>
            </w:r>
          </w:p>
        </w:tc>
        <w:tc>
          <w:tcPr>
            <w:tcW w:type="dxa" w:w="1440"/>
            <w:shd w:fill="C6EFCE" w:val="clear"/>
          </w:tcPr>
          <w:p>
            <w:r>
              <w:rPr>
                <w:sz w:val="17"/>
              </w:rPr>
              <w:t>52,316</w:t>
            </w:r>
          </w:p>
        </w:tc>
        <w:tc>
          <w:tcPr>
            <w:tcW w:type="dxa" w:w="1440"/>
            <w:shd w:fill="C6EFCE" w:val="clear"/>
          </w:tcPr>
          <w:p>
            <w:r>
              <w:rPr>
                <w:b/>
                <w:sz w:val="17"/>
              </w:rPr>
              <w:t>63,324</w:t>
            </w:r>
          </w:p>
        </w:tc>
        <w:tc>
          <w:tcPr>
            <w:tcW w:type="dxa" w:w="1440"/>
            <w:shd w:fill="C6EFCE" w:val="clear"/>
          </w:tcPr>
          <w:p>
            <w:r>
              <w:rPr>
                <w:sz w:val="17"/>
              </w:rPr>
              <w:t>74,333</w:t>
            </w:r>
          </w:p>
        </w:tc>
        <w:tc>
          <w:tcPr>
            <w:tcW w:type="dxa" w:w="1440"/>
            <w:shd w:fill="C6EFCE" w:val="clear"/>
          </w:tcPr>
          <w:p>
            <w:r>
              <w:rPr>
                <w:b/>
                <w:color w:val="008000"/>
                <w:sz w:val="17"/>
              </w:rPr>
              <w:t>+9.2%</w:t>
            </w:r>
          </w:p>
        </w:tc>
      </w:tr>
      <w:tr>
        <w:tc>
          <w:tcPr>
            <w:tcW w:type="dxa" w:w="1440"/>
            <w:shd w:fill="C6EFCE" w:val="clear"/>
          </w:tcPr>
          <w:p>
            <w:r>
              <w:rPr>
                <w:sz w:val="17"/>
              </w:rPr>
              <w:t>J+8  ⭐</w:t>
            </w:r>
          </w:p>
        </w:tc>
        <w:tc>
          <w:tcPr>
            <w:tcW w:type="dxa" w:w="1440"/>
            <w:shd w:fill="C6EFCE" w:val="clear"/>
          </w:tcPr>
          <w:p>
            <w:r>
              <w:rPr>
                <w:sz w:val="17"/>
              </w:rPr>
              <w:t>2026-08-27</w:t>
            </w:r>
          </w:p>
        </w:tc>
        <w:tc>
          <w:tcPr>
            <w:tcW w:type="dxa" w:w="1440"/>
            <w:shd w:fill="C6EFCE" w:val="clear"/>
          </w:tcPr>
          <w:p>
            <w:r>
              <w:rPr>
                <w:sz w:val="17"/>
              </w:rPr>
              <w:t>52,188</w:t>
            </w:r>
          </w:p>
        </w:tc>
        <w:tc>
          <w:tcPr>
            <w:tcW w:type="dxa" w:w="1440"/>
            <w:shd w:fill="C6EFCE" w:val="clear"/>
          </w:tcPr>
          <w:p>
            <w:r>
              <w:rPr>
                <w:b/>
                <w:sz w:val="17"/>
              </w:rPr>
              <w:t>63,987</w:t>
            </w:r>
          </w:p>
        </w:tc>
        <w:tc>
          <w:tcPr>
            <w:tcW w:type="dxa" w:w="1440"/>
            <w:shd w:fill="C6EFCE" w:val="clear"/>
          </w:tcPr>
          <w:p>
            <w:r>
              <w:rPr>
                <w:sz w:val="17"/>
              </w:rPr>
              <w:t>75,785</w:t>
            </w:r>
          </w:p>
        </w:tc>
        <w:tc>
          <w:tcPr>
            <w:tcW w:type="dxa" w:w="1440"/>
            <w:shd w:fill="C6EFCE" w:val="clear"/>
          </w:tcPr>
          <w:p>
            <w:r>
              <w:rPr>
                <w:b/>
                <w:color w:val="008000"/>
                <w:sz w:val="17"/>
              </w:rPr>
              <w:t>+10.3%</w:t>
            </w:r>
          </w:p>
        </w:tc>
      </w:tr>
      <w:tr>
        <w:tc>
          <w:tcPr>
            <w:tcW w:type="dxa" w:w="1440"/>
            <w:shd w:fill="C6EFCE" w:val="clear"/>
          </w:tcPr>
          <w:p>
            <w:r>
              <w:rPr>
                <w:sz w:val="17"/>
              </w:rPr>
              <w:t>J+9  ⭐</w:t>
            </w:r>
          </w:p>
        </w:tc>
        <w:tc>
          <w:tcPr>
            <w:tcW w:type="dxa" w:w="1440"/>
            <w:shd w:fill="C6EFCE" w:val="clear"/>
          </w:tcPr>
          <w:p>
            <w:r>
              <w:rPr>
                <w:sz w:val="17"/>
              </w:rPr>
              <w:t>2026-08-28</w:t>
            </w:r>
          </w:p>
        </w:tc>
        <w:tc>
          <w:tcPr>
            <w:tcW w:type="dxa" w:w="1440"/>
            <w:shd w:fill="C6EFCE" w:val="clear"/>
          </w:tcPr>
          <w:p>
            <w:r>
              <w:rPr>
                <w:sz w:val="17"/>
              </w:rPr>
              <w:t>52,084</w:t>
            </w:r>
          </w:p>
        </w:tc>
        <w:tc>
          <w:tcPr>
            <w:tcW w:type="dxa" w:w="1440"/>
            <w:shd w:fill="C6EFCE" w:val="clear"/>
          </w:tcPr>
          <w:p>
            <w:r>
              <w:rPr>
                <w:b/>
                <w:sz w:val="17"/>
              </w:rPr>
              <w:t>64,649</w:t>
            </w:r>
          </w:p>
        </w:tc>
        <w:tc>
          <w:tcPr>
            <w:tcW w:type="dxa" w:w="1440"/>
            <w:shd w:fill="C6EFCE" w:val="clear"/>
          </w:tcPr>
          <w:p>
            <w:r>
              <w:rPr>
                <w:sz w:val="17"/>
              </w:rPr>
              <w:t>77,215</w:t>
            </w:r>
          </w:p>
        </w:tc>
        <w:tc>
          <w:tcPr>
            <w:tcW w:type="dxa" w:w="1440"/>
            <w:shd w:fill="C6EFCE" w:val="clear"/>
          </w:tcPr>
          <w:p>
            <w:r>
              <w:rPr>
                <w:b/>
                <w:color w:val="008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532,64 milliards FCFA, ce qui positionne la société parmi les valeurs moyennes à grandes capitalisations de la BRVM, lui conférant une liquidité théorique et une visibilité certaine. Cependant, les ratios de valorisation (BPA, PER, P/B, EV/EBITDA) ne sont pas calculables en raison de l'absence de données financières structurées récentes dans la base. Cette situation est principalement due à la publication tardive des états financiers et à la structure de bilan complexe de la société (capitaux propres négatifs historiquement). En l'absence de ces multiples, l'investisseur doit se tourner vers les données fondamentales historiques et l'analyse technique pour estimer la cherté relative du titre. Il est impératif de noter que le cours actuel de 58 000 FCFA, combiné à des capitaux propres négatifs, suggère que le marché valorise principalement l'actif de marque et le potentiel de redressement plutôt que la valeur comptable tangible.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variation totale de -17,14%, avec une dernière séance stable (+0,00%), illustrant une phase de consolidation après une période de forte correction. Le titre a évolué dans une fourchette de trading très large, oscillant entre un plus bas de 49 630 FCFA et un plus haut de 70 000 FCFA, ce qui témoigne d'une volatilité extrême et d'une incertitude majeure sur le marché. La moyenne (57 018 FCFA) et la médiane (57 000 FCFA) sont quasi identiques, indiquant une distribution symétrique des prix autour du point central, mais le skewness positif (0,674) révèle que les journées de baisse ont été plus fréquentes que les journées de hausse. L'écart-type de 3 876 FCFA (CV=6,8%) montre une dispersion modérée des prix, mais le kurtosis élevé (1,019) signale un risque de mouvements brusques et imprévus. La volatilité annualisée de 68,4% est extrêmement élevée, classant UNLC comme un actif à très haut risque,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Les moyennes mobiles (MM20 à 53 682,75 FCFA et MM50 à 54 897,6 FCFA) sont toutes deux inférieures au cours actuel de 58 000 FCFA, ce qui indique une tendance haussière à court et moyen terme. Cependant, la décision technique globale est un signal de "Vente", probablement en raison d'un croisement baissier antérieur ou d'une dynamique de prix jugée non durable. La configuration actuelle suggère que le prix a récemment rebondi au-dessus de ses moyennes, mais la prudence reste de mise.</w:t>
      </w:r>
    </w:p>
    <w:p>
      <w:pPr>
        <w:spacing w:after="120" w:line="276" w:lineRule="auto"/>
      </w:pPr>
      <w:r>
        <w:t>Le prix se situe à 58 000 FCFA, proche de la borne supérieure des Bandes de Bollinger (58 289,39 FCFA), indiquant que le titre est dans la zone supérieure de son canal de volatilité. La borne inférieure est à 49 076,11 FCFA, créant un canal très large qui reflète la forte volatilité du titre. La décision "Neutre" suggère que le marché n'a pas encore confirmé une cassure décisive, mais la proximité de la borne supérieure pourrait signaler une résistance imminente.</w:t>
      </w:r>
    </w:p>
    <w:p>
      <w:pPr>
        <w:spacing w:after="120" w:line="276" w:lineRule="auto"/>
      </w:pPr>
      <w:r>
        <w:t>Le MACD affiche une valeur positive de 643,24, nettement au-dessus de son signal (-82,55), ce qui génère un signal d'achat fort. Cette configuration indique un momentum haussier récent, avec une accélération de la dynamique positive. La divergence positive entre la ligne MACD et sa ligne de signal confirme que la pression acheteuse est actuellement dominante, malgré la tendance baissière de long terme.</w:t>
      </w:r>
    </w:p>
    <w:p>
      <w:pPr>
        <w:spacing w:after="120" w:line="276" w:lineRule="auto"/>
      </w:pPr>
      <w:r>
        <w:t>Le RSI s'établit à 66,70, se situant dans la zone neutre (30-70) mais proche de la zone de surachat (70). Cette valeur indique une pression acheteuse soutenue sans atteindre des niveaux extrêmes de surachat. La décision "Neutre" suggère que le titre n'est pas encore survendu, mais les acheteurs contrôlent actuellement le marché.</w:t>
      </w:r>
    </w:p>
    <w:p>
      <w:pPr>
        <w:spacing w:after="120" w:line="276" w:lineRule="auto"/>
      </w:pPr>
      <w:r>
        <w:t>Le Stochastique est extrêmement élevé, avec %K et %D à 100,0, indiquant une condition de surachat sévère. Cette configuration signale que le titre est dans une zone de surachat extrême, ce qui précède souvent un retournement baissier. La décision "Vente" est donc cohérente avec cette lecture, car le potentiel de hausse supplémentaire est limité à court terme.</w:t>
      </w:r>
    </w:p>
    <w:p>
      <w:pPr>
        <w:spacing w:after="120" w:line="276" w:lineRule="auto"/>
      </w:pPr>
      <w:r>
        <w:t>En synthèse, les indicateurs techniques sont mitigés : les moyennes mobiles et le MACD suggèrent une dynamique haussière, tandis que le Stochastique en surachat extrême et la position proche de la borne supérieure de Bollinger indiquent un risque de correction. Le RSI neutre ne fournit pas de signal clair. Cette divergence entre les indicateurs de tendance (MM, MACD) et les oscillateurs de momentum (Stochastique) suggère une prudence accrue, avec un risque de consolidation ou de repli à court terme.</w:t>
      </w:r>
    </w:p>
    <w:p>
      <w:pPr>
        <w:spacing w:after="120" w:line="276" w:lineRule="auto" w:before="240"/>
      </w:pPr>
      <w:r>
        <w:rPr>
          <w:b/>
          <w:color w:val="003366"/>
          <w:sz w:val="24"/>
        </w:rPr>
        <w:t>**PARTIE 3 : ANALYSE FONDAMENTALE (SECTION CRITIQUE)**</w:t>
      </w:r>
    </w:p>
    <w:p>
      <w:pPr>
        <w:spacing w:after="120" w:line="276" w:lineRule="auto"/>
      </w:pPr>
      <w:r>
        <w:t>Les données financières structurées récentes ne sont pas disponibles dans la base, mais les rapports annuels historiques fournissent des informations cruciales. Pour l'exercice clos le 31 décembre 2023, le chiffre d'affaires s'établit à 24 336 010 000 FCFA, stable par rapport à 2022, avec un résultat net de 640 334 855 FCFA, marquant un retour à la profitabilité après la perte massive de 6 908 362 002 FCFA en 2022. La marge nette de 2,63% en 2023 reste très inférieure à la moyenne sectorielle de 5-10%, et les capitaux propres demeurent négatifs à -10 658 millions FCFA, reflétant des pertes cumulées non absorbées. Le rapport de 2022 (publié en 2023) indique une perte nette de 6 382,6 millions FCFA, avec un CA de 36 174,6 millions FCFA, montrant une dégradation brutale par rapport à 2021 où le bénéfice était de 6 090 millions FCFA. L'analyse de l'exercice 2021 (rapport daté du 31/12/2022) révèle un CA de 24 336 millions FCFA et un bénéfice net de 6 090 millions FCFA, avec une marge nette exceptionnelle de 25%. Cette évolution temporelle montre une trajectoire chaotique : bénéfice en 2021, perte massive en 2022, puis retour à un bénéfice modeste en 2023. Le rapport de 2023 souligne une amélioration du résultat d'exploitation (+3 340 millions FCFA), mais la société reste confrontée à un endettement élevé (4 379 millions FCFA de dettes financières) et à une absence totale de dividende. Les perspectives de redressement dépendent de la capacité d'UNLC à stabiliser ses marges et à reconstituer ses capitaux propres, ce qui semble incertain à court terme.</w:t>
      </w:r>
    </w:p>
    <w:p>
      <w:pPr>
        <w:spacing w:after="120" w:line="276" w:lineRule="auto" w:before="240"/>
      </w:pPr>
      <w:r>
        <w:rPr>
          <w:b/>
          <w:color w:val="003366"/>
          <w:sz w:val="24"/>
        </w:rPr>
        <w:t>**PARTIE 4 : CONCLUSION D'INVESTISSEMENT**</w:t>
      </w:r>
    </w:p>
    <w:p>
      <w:pPr>
        <w:spacing w:after="120" w:line="276" w:lineRule="auto"/>
      </w:pPr>
      <w:r>
        <w:t>La valorisation boursière d'UNLC ne peut être évaluée par les ratios traditionnels (PER, P/B) en raison de données manquantes, mais la capitalisation de 532 milliards FCFA semble élevée au regard des fondamentaux historiques fragiles. Le comportement du cours sur 100 jours montre une tendance baissière (-17,14%) avec une volatilité extrême (68,4%), des statistiques révélant un risque de pics (kurtosis élevé) et une asymétrie positive indiquant des journées de baisse plus fréquentes. Les signaux techniques sont divergents : les moyennes mobiles et le MACD suggèrent un momentum haussier, mais le Stochastique en surachat extrême et la position proche de la borne supérieure de Bollinger signalent un risque de correction imminent. Les fondamentaux montrent un redressement fragile en 2023 (bénéfice de 640 millions FCFA) après une perte massive en 2022, mais les capitaux propres négatifs et l'absence de dividende limitent l'attractivité. Les prédictions IA (J+1 à J+10) prévoient une hausse progressive de 59 335 à 62 000 FCFA, contredisant les signaux techniques de surachat. Cette divergence entre les prédictions haussières et les fondamentaux précaires conduit à une recommandation de **CONSERVER** avec un niveau de confiance **Faible** et un risque global **Élevé**. L'horizon d'investissement optimal serait de **moyen terme (3-12 mois)** pour observer une stabilisation des capitaux propres et une confirmation de la reprise de rentabilité avant tout renforcement de position.</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41.50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12,207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2,095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21.6/100 → Moyen</w:t>
      </w:r>
    </w:p>
    <w:p>
      <w:pPr>
        <w:spacing w:before="40" w:after="80"/>
      </w:pPr>
      <w:r>
        <w:rPr>
          <w:rFonts w:ascii="Courier New" w:hAnsi="Courier New"/>
          <w:color w:val="825A00"/>
          <w:sz w:val="18"/>
        </w:rPr>
        <w:t>████░░░░░░░░░░░░░░░░  21.6/100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8.88% (Moyenne) — μ=1,864 FCFA, σ=165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β=-0.7960 (Contre-cyclique) — Cov=-0.000029, Var(idx)=0.000036, ρ=-0.156,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12,207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σ_j=3.07%/j (Modérée) — Vol. annualisée≈48.7%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1,810</w:t>
            </w:r>
          </w:p>
        </w:tc>
        <w:tc>
          <w:tcPr>
            <w:tcW w:type="dxa" w:w="1440"/>
            <w:shd w:fill="FFDCE0" w:val="clear"/>
          </w:tcPr>
          <w:p>
            <w:r>
              <w:rPr>
                <w:b/>
                <w:sz w:val="17"/>
              </w:rPr>
              <w:t>1,935</w:t>
            </w:r>
          </w:p>
        </w:tc>
        <w:tc>
          <w:tcPr>
            <w:tcW w:type="dxa" w:w="1440"/>
            <w:shd w:fill="FFDCE0" w:val="clear"/>
          </w:tcPr>
          <w:p>
            <w:r>
              <w:rPr>
                <w:sz w:val="17"/>
              </w:rPr>
              <w:t>2,061</w:t>
            </w:r>
          </w:p>
        </w:tc>
        <w:tc>
          <w:tcPr>
            <w:tcW w:type="dxa" w:w="1440"/>
            <w:shd w:fill="FFDCE0" w:val="clear"/>
          </w:tcPr>
          <w:p>
            <w:r>
              <w:rPr>
                <w:b/>
                <w:color w:val="C00000"/>
                <w:sz w:val="17"/>
              </w:rPr>
              <w:t>-3.2%</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1,754</w:t>
            </w:r>
          </w:p>
        </w:tc>
        <w:tc>
          <w:tcPr>
            <w:tcW w:type="dxa" w:w="1440"/>
            <w:shd w:fill="FFDCE0" w:val="clear"/>
          </w:tcPr>
          <w:p>
            <w:r>
              <w:rPr>
                <w:b/>
                <w:sz w:val="17"/>
              </w:rPr>
              <w:t>1,931</w:t>
            </w:r>
          </w:p>
        </w:tc>
        <w:tc>
          <w:tcPr>
            <w:tcW w:type="dxa" w:w="1440"/>
            <w:shd w:fill="FFDCE0" w:val="clear"/>
          </w:tcPr>
          <w:p>
            <w:r>
              <w:rPr>
                <w:sz w:val="17"/>
              </w:rPr>
              <w:t>2,109</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1,705</w:t>
            </w:r>
          </w:p>
        </w:tc>
        <w:tc>
          <w:tcPr>
            <w:tcW w:type="dxa" w:w="1440"/>
            <w:shd w:fill="FFDCE0" w:val="clear"/>
          </w:tcPr>
          <w:p>
            <w:r>
              <w:rPr>
                <w:b/>
                <w:sz w:val="17"/>
              </w:rPr>
              <w:t>1,921</w:t>
            </w:r>
          </w:p>
        </w:tc>
        <w:tc>
          <w:tcPr>
            <w:tcW w:type="dxa" w:w="1440"/>
            <w:shd w:fill="FFDCE0" w:val="clear"/>
          </w:tcPr>
          <w:p>
            <w:r>
              <w:rPr>
                <w:sz w:val="17"/>
              </w:rPr>
              <w:t>2,137</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1,662</w:t>
            </w:r>
          </w:p>
        </w:tc>
        <w:tc>
          <w:tcPr>
            <w:tcW w:type="dxa" w:w="1440"/>
            <w:shd w:fill="FFDCE0" w:val="clear"/>
          </w:tcPr>
          <w:p>
            <w:r>
              <w:rPr>
                <w:b/>
                <w:sz w:val="17"/>
              </w:rPr>
              <w:t>1,911</w:t>
            </w:r>
          </w:p>
        </w:tc>
        <w:tc>
          <w:tcPr>
            <w:tcW w:type="dxa" w:w="1440"/>
            <w:shd w:fill="FFDCE0" w:val="clear"/>
          </w:tcPr>
          <w:p>
            <w:r>
              <w:rPr>
                <w:sz w:val="17"/>
              </w:rPr>
              <w:t>2,159</w:t>
            </w:r>
          </w:p>
        </w:tc>
        <w:tc>
          <w:tcPr>
            <w:tcW w:type="dxa" w:w="1440"/>
            <w:shd w:fill="FFDCE0" w:val="clear"/>
          </w:tcPr>
          <w:p>
            <w:r>
              <w:rPr>
                <w:b/>
                <w:color w:val="C00000"/>
                <w:sz w:val="17"/>
              </w:rPr>
              <w:t>-4.5%</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1,624</w:t>
            </w:r>
          </w:p>
        </w:tc>
        <w:tc>
          <w:tcPr>
            <w:tcW w:type="dxa" w:w="1440"/>
            <w:shd w:fill="FFDCE0" w:val="clear"/>
          </w:tcPr>
          <w:p>
            <w:r>
              <w:rPr>
                <w:b/>
                <w:sz w:val="17"/>
              </w:rPr>
              <w:t>1,901</w:t>
            </w:r>
          </w:p>
        </w:tc>
        <w:tc>
          <w:tcPr>
            <w:tcW w:type="dxa" w:w="1440"/>
            <w:shd w:fill="FFDCE0" w:val="clear"/>
          </w:tcPr>
          <w:p>
            <w:r>
              <w:rPr>
                <w:sz w:val="17"/>
              </w:rPr>
              <w:t>2,177</w:t>
            </w:r>
          </w:p>
        </w:tc>
        <w:tc>
          <w:tcPr>
            <w:tcW w:type="dxa" w:w="1440"/>
            <w:shd w:fill="FFDCE0" w:val="clear"/>
          </w:tcPr>
          <w:p>
            <w:r>
              <w:rPr>
                <w:b/>
                <w:color w:val="C00000"/>
                <w:sz w:val="17"/>
              </w:rPr>
              <w:t>-5.0%</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1,590</w:t>
            </w:r>
          </w:p>
        </w:tc>
        <w:tc>
          <w:tcPr>
            <w:tcW w:type="dxa" w:w="1440"/>
            <w:shd w:fill="FFDCE0" w:val="clear"/>
          </w:tcPr>
          <w:p>
            <w:r>
              <w:rPr>
                <w:b/>
                <w:sz w:val="17"/>
              </w:rPr>
              <w:t>1,891</w:t>
            </w:r>
          </w:p>
        </w:tc>
        <w:tc>
          <w:tcPr>
            <w:tcW w:type="dxa" w:w="1440"/>
            <w:shd w:fill="FFDCE0" w:val="clear"/>
          </w:tcPr>
          <w:p>
            <w:r>
              <w:rPr>
                <w:sz w:val="17"/>
              </w:rPr>
              <w:t>2,192</w:t>
            </w:r>
          </w:p>
        </w:tc>
        <w:tc>
          <w:tcPr>
            <w:tcW w:type="dxa" w:w="1440"/>
            <w:shd w:fill="FFDCE0" w:val="clear"/>
          </w:tcPr>
          <w:p>
            <w:r>
              <w:rPr>
                <w:b/>
                <w:color w:val="C00000"/>
                <w:sz w:val="17"/>
              </w:rPr>
              <w:t>-5.4%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1,558</w:t>
            </w:r>
          </w:p>
        </w:tc>
        <w:tc>
          <w:tcPr>
            <w:tcW w:type="dxa" w:w="1440"/>
            <w:shd w:fill="FFDCE0" w:val="clear"/>
          </w:tcPr>
          <w:p>
            <w:r>
              <w:rPr>
                <w:b/>
                <w:sz w:val="17"/>
              </w:rPr>
              <w:t>1,882</w:t>
            </w:r>
          </w:p>
        </w:tc>
        <w:tc>
          <w:tcPr>
            <w:tcW w:type="dxa" w:w="1440"/>
            <w:shd w:fill="FFDCE0" w:val="clear"/>
          </w:tcPr>
          <w:p>
            <w:r>
              <w:rPr>
                <w:sz w:val="17"/>
              </w:rPr>
              <w:t>2,205</w:t>
            </w:r>
          </w:p>
        </w:tc>
        <w:tc>
          <w:tcPr>
            <w:tcW w:type="dxa" w:w="1440"/>
            <w:shd w:fill="FFDCE0" w:val="clear"/>
          </w:tcPr>
          <w:p>
            <w:r>
              <w:rPr>
                <w:b/>
                <w:color w:val="C00000"/>
                <w:sz w:val="17"/>
              </w:rPr>
              <w:t>-5.9%</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1,528</w:t>
            </w:r>
          </w:p>
        </w:tc>
        <w:tc>
          <w:tcPr>
            <w:tcW w:type="dxa" w:w="1440"/>
            <w:shd w:fill="FFDCE0" w:val="clear"/>
          </w:tcPr>
          <w:p>
            <w:r>
              <w:rPr>
                <w:b/>
                <w:sz w:val="17"/>
              </w:rPr>
              <w:t>1,872</w:t>
            </w:r>
          </w:p>
        </w:tc>
        <w:tc>
          <w:tcPr>
            <w:tcW w:type="dxa" w:w="1440"/>
            <w:shd w:fill="FFDCE0" w:val="clear"/>
          </w:tcPr>
          <w:p>
            <w:r>
              <w:rPr>
                <w:sz w:val="17"/>
              </w:rPr>
              <w:t>2,217</w:t>
            </w:r>
          </w:p>
        </w:tc>
        <w:tc>
          <w:tcPr>
            <w:tcW w:type="dxa" w:w="1440"/>
            <w:shd w:fill="FFDCE0" w:val="clear"/>
          </w:tcPr>
          <w:p>
            <w:r>
              <w:rPr>
                <w:b/>
                <w:color w:val="C00000"/>
                <w:sz w:val="17"/>
              </w:rPr>
              <w:t>-6.4%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1,500</w:t>
            </w:r>
          </w:p>
        </w:tc>
        <w:tc>
          <w:tcPr>
            <w:tcW w:type="dxa" w:w="1440"/>
            <w:shd w:fill="FFDCE0" w:val="clear"/>
          </w:tcPr>
          <w:p>
            <w:r>
              <w:rPr>
                <w:b/>
                <w:sz w:val="17"/>
              </w:rPr>
              <w:t>1,863</w:t>
            </w:r>
          </w:p>
        </w:tc>
        <w:tc>
          <w:tcPr>
            <w:tcW w:type="dxa" w:w="1440"/>
            <w:shd w:fill="FFDCE0" w:val="clear"/>
          </w:tcPr>
          <w:p>
            <w:r>
              <w:rPr>
                <w:sz w:val="17"/>
              </w:rPr>
              <w:t>2,226</w:t>
            </w:r>
          </w:p>
        </w:tc>
        <w:tc>
          <w:tcPr>
            <w:tcW w:type="dxa" w:w="1440"/>
            <w:shd w:fill="FFDCE0" w:val="clear"/>
          </w:tcPr>
          <w:p>
            <w:r>
              <w:rPr>
                <w:b/>
                <w:color w:val="C00000"/>
                <w:sz w:val="17"/>
              </w:rPr>
              <w:t>-6.8%</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1,473</w:t>
            </w:r>
          </w:p>
        </w:tc>
        <w:tc>
          <w:tcPr>
            <w:tcW w:type="dxa" w:w="1440"/>
            <w:shd w:fill="FFDCE0" w:val="clear"/>
          </w:tcPr>
          <w:p>
            <w:r>
              <w:rPr>
                <w:b/>
                <w:sz w:val="17"/>
              </w:rPr>
              <w:t>1,854</w:t>
            </w:r>
          </w:p>
        </w:tc>
        <w:tc>
          <w:tcPr>
            <w:tcW w:type="dxa" w:w="1440"/>
            <w:shd w:fill="FFDCE0" w:val="clear"/>
          </w:tcPr>
          <w:p>
            <w:r>
              <w:rPr>
                <w:sz w:val="17"/>
              </w:rPr>
              <w:t>2,235</w:t>
            </w:r>
          </w:p>
        </w:tc>
        <w:tc>
          <w:tcPr>
            <w:tcW w:type="dxa" w:w="1440"/>
            <w:shd w:fill="FFDCE0" w:val="clear"/>
          </w:tcPr>
          <w:p>
            <w:r>
              <w:rPr>
                <w:b/>
                <w:color w:val="C00000"/>
                <w:sz w:val="17"/>
              </w:rPr>
              <w:t>-7.3%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41,50 milliards FCFA, un niveau intermédiaire sur la BRVM qui reflète une entreprise de taille moyenne dans le tissu économique régional. Le BPA est négatif à -105 FCFA, ce qui traduit une perte nette pour l'exercice 2024 et rend le PER non significatif à -19,0x ; les investisseurs ne peuvent donc pas valoriser le titre sur la base de ses bénéfices actuels. Le P/B de 2,66x indique que le marché valorise l'actif net comptable avec une prime substantielle, signe que les investisseurs anticipent un redressement futur de la rentabilité. En l'absence de données sur l'EBITDA, le ratio EV/EBITDA ne peut être calculé, mais cette prime de valorisation suggère que le marché intègre déjà un scénario de retour à l'équilibre, ce qui rend le titre sensible aux résultats opérationnels à venir.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d'UNXC affiche une variation totale nulle (+0,00%), mais la dernière séance enregistre une hausse notable de +3,09%, portant le cours à 2 000 FCFA. Le titre a évolué dans une fourchette large de 1 250 à 2 095 FCFA, soit une amplitude de près de 68%, témoignant d'une forte nervosité sur la période. La moyenne (1 864 FCFA) est inférieure à la médiane (1 900 FCFA) et au mode (1 900 FCFA), indiquant une distribution asymétrique avec des épisodes de forte baisse. Le skewness de -1,801 confirme cette asymétrie négative : les journées de repli ont été plus marquées que les hausses, tandis que le kurtosis de 3,583 signale un risque de mouvements extrêmes. La volatilité annualisée de 48,7% est très élevée, classant UNXC parmi les titres les plus risqués de la cote, avec un écart-type de 166 FCFA (CV=8,9%) qui illustre une dispersion importante autour de la moyenne.</w:t>
      </w:r>
    </w:p>
    <w:p>
      <w:pPr>
        <w:spacing w:after="120" w:line="276" w:lineRule="auto" w:before="240"/>
      </w:pPr>
      <w:r>
        <w:rPr>
          <w:b/>
          <w:color w:val="003366"/>
          <w:sz w:val="24"/>
        </w:rPr>
        <w:t>**PARTIE 2 : ANALYSE TECHNIQUE DÉTAILLÉE**</w:t>
      </w:r>
    </w:p>
    <w:p>
      <w:pPr>
        <w:spacing w:after="120" w:line="276" w:lineRule="auto"/>
      </w:pPr>
      <w:r>
        <w:t>**Moyennes Mobiles** : La MM20 à 1 905,75 FCFA et la MM50 à 1 820,3 FCFA sont toutes deux inférieures au cours actuel de 2 000 FCFA, ce qui confirme une dynamique haussière de court et moyen terme. Le signal d'achat est justifié par cette configuration où le prix évolue au-dessus de ses moyennes mobiles, indiquant une tendance positive soutenue.</w:t>
      </w:r>
    </w:p>
    <w:p>
      <w:pPr>
        <w:spacing w:after="120" w:line="276" w:lineRule="auto"/>
      </w:pPr>
      <w:r>
        <w:t>**Bandes de Bollinger** : Le cours à 2 000 FCFA se situe au-dessus de la borne supérieure (1 990,87 FCFA), signalant une condition de surachat temporaire. La décision de vente est cohérente avec cette position extrême, suggérant un risque de repli à court terme vers la moyenne mobile ou la borne inférieure (1 820,63 FCFA).</w:t>
      </w:r>
    </w:p>
    <w:p>
      <w:pPr>
        <w:spacing w:after="120" w:line="276" w:lineRule="auto"/>
      </w:pPr>
      <w:r>
        <w:t>**MACD** : La valeur du MACD (52,743) est supérieure à son signal (47,014), avec un écart positif de 5,7 points, indiquant un momentum haussier en cours. La décision d'achat est justifiée par cette divergence positive qui suggère une poursuite de la tendance haussière à moyen terme.</w:t>
      </w:r>
    </w:p>
    <w:p>
      <w:pPr>
        <w:spacing w:after="120" w:line="276" w:lineRule="auto"/>
      </w:pPr>
      <w:r>
        <w:t>**RSI** : À 65,957, le RSI se situe en zone neutre-haute, proche du seuil de surachat de 70. La décision neutre reflète un équilibre entre pression acheteuse et risque de retournement, le titre n'étant pas encore en zone extrême.</w:t>
      </w:r>
    </w:p>
    <w:p>
      <w:pPr>
        <w:spacing w:after="120" w:line="276" w:lineRule="auto"/>
      </w:pPr>
      <w:r>
        <w:t>**Stochastique** : Le %K à 100,0 et le %D à 80,952 indiquent une condition de surachat extrême, avec %K nettement au-dessus de %D. La décision de vente est justifiée par ce niveau maximal qui précède souvent un retournement baissier à court terme.</w:t>
      </w:r>
    </w:p>
    <w:p>
      <w:pPr>
        <w:spacing w:after="120" w:line="276" w:lineRule="auto"/>
      </w:pPr>
      <w:r>
        <w:t>**Conclusion technique** : Les indicateurs sont partagés : les moyennes mobiles et le MACD soutiennent une tendance haussière, tandis que les bandes de Bollinger et le stochastique signalent un surachat imminent. Le RSI neutre ne tranche pas. Cette divergence suggère une consolidation probable à court terme avant une éventuelle poursuite de la hausse, le titre étant techniquement surchauffé après sa récente progression.</w:t>
      </w:r>
    </w:p>
    <w:p>
      <w:pPr>
        <w:spacing w:after="120" w:line="276" w:lineRule="auto" w:before="240"/>
      </w:pPr>
      <w:r>
        <w:rPr>
          <w:b/>
          <w:color w:val="003366"/>
          <w:sz w:val="24"/>
        </w:rPr>
        <w:t>**PARTIE 3 : ANALYSE FONDAMENTALE (SECTION CRITIQUE)**</w:t>
      </w:r>
    </w:p>
    <w:p>
      <w:pPr>
        <w:spacing w:after="120" w:line="276" w:lineRule="auto"/>
      </w:pPr>
      <w:r>
        <w:t>En 2024, les états financiers annuels d'UNXC révèlent une situation déficitaire : le chiffre d'affaires s'établit à 27,333 milliards FCFA, en croissance de 15,4% par rapport à 2023, mais le résultat net ressort à -2,189 milliards FCFA, avec un ROE de -14,04% et un ROA de -6,39%. La marge nette est négative à -8,01%, et le coefficient d'exploitation atteint 106,99%, indiquant que les charges dépassent les produits. Le BFR de 2,149 milliards FCFA est positif, signe d'un besoin de financement, avec un délai clients de 51 jours et un délai fournisseurs très favorable de 268 jours. Les rapports trimestriels 2025 montrent une amélioration spectaculaire du résultat net grâce à la cession-bail du terrain : le S1 2025 affiche un bénéfice de 8,217 milliards FCFA, mais exclusivement lié à cette opération exceptionnelle, le résultat des activités ordinaires restant déficitaire à -330 millions. Le rapport du 3ème trimestre 2025 (CA cumulé de 22,474 milliards, +13%) confirme cette tendance avec un bénéfice net de 8,143 milliards, toujours artificiel. Le rapport S1 2026 (daté 2026) marque un tournant décisif : le résultat d'exploitation redevient positif à 771 millions FCFA, contre -314 millions au S1 2025, et le résultat net atteint 771 millions FCFA, sans élément exceptionnel. Le rapport annuel 2025 (daté 2025) indique un CA de 29,03 milliards (+6,2%), un EBE positif à 1,13 milliard et une perte nette réduite à -624 millions. Sur la base de ces rapports, on estime que l'exercice 2026 devrait confirmer le retour à la rentabilité opérationnelle, avec un CA semestriel stable à 15,752 milliards et une amélioration de 345% du résultat d'exploitation, ouvrant la voie à un exercice 2026 potentiellement bénéficiaire sur le cœur de métier.</w:t>
      </w:r>
    </w:p>
    <w:p>
      <w:pPr>
        <w:spacing w:after="120" w:line="276" w:lineRule="auto" w:before="240"/>
      </w:pPr>
      <w:r>
        <w:rPr>
          <w:b/>
          <w:color w:val="003366"/>
          <w:sz w:val="24"/>
        </w:rPr>
        <w:t>**PARTIE 4 : CONCLUSION D'INVESTISSEMENT**</w:t>
      </w:r>
    </w:p>
    <w:p>
      <w:pPr>
        <w:spacing w:after="120" w:line="276" w:lineRule="auto"/>
      </w:pPr>
      <w:r>
        <w:t>La valorisation d'UNXC reste délicate : le PER négatif et le P/B de 2,66x indiquent une prime de croissance que les fondamentaux 2024 ne justifient pas encore, mais que les perspectives 2026 commencent à légitimer. Le comportement du cours montre une volatilité très élevée (48,7%) avec une asymétrie négative, mais la tendance récente est positive, portée par le retour du titre vers ses plus hauts. Les signaux techniques sont mitigés : la tendance de fond est haussière (MM, MACD), mais les indicateurs de surachat (Bollinger, Stochastique) suggèrent un repli à court terme. Les fondamentaux s'améliorent nettement : après une perte de 2,189 milliards en 2024, le S1 2026 affiche un bénéfice de 771 millions avec un résultat d'exploitation positif, confirmant le redressement engagé en 2025. Les prédictions IA prévoient une baisse progressive du cours de 2 000 à 1 901 FCFA sur 10 jours, ce qui contredit le momentum haussier et valide le scénario de consolidation technique. La convergence entre le surachat technique et la prédiction IA suggère une pause nécessaire avant la poursuite de la hausse. Recommandation finale : **CONSERVER** avec un niveau de confiance **Moyen**, un risque global **Élevé** (volatilité, dépendance aux marchés d'exportation), et un horizon d'investissement **moyen terme (3-12 mois)** pour capitaliser sur le redressement opérationnel confirmé au S1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