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13/08/2026 à 06:09</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47 ACHAT  |  0 NEUTRE  |  0 VENTE  (sur 47 sociétés)</w:t>
      </w:r>
    </w:p>
    <w:p>
      <w:pPr>
        <w:spacing w:before="20" w:after="20"/>
        <w:ind w:left="360" w:right="360"/>
        <w:shd w:val="clear" w:color="auto" w:fill="EBF5FB"/>
      </w:pPr>
      <w:r>
        <w:rPr>
          <w:b/>
          <w:sz w:val="19"/>
        </w:rPr>
        <w:t xml:space="preserve">Top opportunité :  </w:t>
      </w:r>
      <w:r>
        <w:rPr>
          <w:color w:val="008000"/>
          <w:sz w:val="19"/>
        </w:rPr>
        <w:t>PRSC  (score 78/100)</w:t>
      </w:r>
    </w:p>
    <w:p>
      <w:pPr>
        <w:spacing w:before="20" w:after="20"/>
        <w:ind w:left="360" w:right="360"/>
        <w:shd w:val="clear" w:color="auto" w:fill="EBF5FB"/>
      </w:pPr>
      <w:r>
        <w:rPr>
          <w:b/>
          <w:sz w:val="19"/>
        </w:rPr>
        <w:t xml:space="preserve">Secteur surperformant :  </w:t>
      </w:r>
      <w:r>
        <w:rPr>
          <w:color w:val="008000"/>
          <w:sz w:val="19"/>
        </w:rPr>
        <w:t>SERVICES PUBLICS  (+57.6%)</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18 sociétés — vérifier avant d'investir</w:t>
      </w:r>
    </w:p>
    <w:p>
      <w:pPr>
        <w:spacing w:before="20" w:after="20"/>
        <w:ind w:left="360" w:right="360"/>
        <w:shd w:val="clear" w:color="auto" w:fill="EBF5FB"/>
      </w:pPr>
      <w:r>
        <w:rPr>
          <w:b/>
          <w:sz w:val="19"/>
        </w:rPr>
        <w:t xml:space="preserve">⚠️ Liquidité réduite :  </w:t>
      </w:r>
      <w:r>
        <w:rPr>
          <w:color w:val="C00000"/>
          <w:sz w:val="19"/>
        </w:rPr>
        <w:t>11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492.16 points </w:t>
      </w:r>
      <w:r>
        <w:rPr>
          <w:color w:val="C00000"/>
        </w:rPr>
        <w:t>(-0.35%)</w:t>
      </w:r>
      <w:r>
        <w:t xml:space="preserve"> sur la séance. </w:t>
      </w:r>
      <w:r>
        <w:t>La capitalisation globale du marché atteint 18 978,372 milliards FCFA.</w:t>
      </w:r>
    </w:p>
    <w:p/>
    <w:p>
      <w:pPr>
        <w:pStyle w:val="Heading3"/>
      </w:pPr>
      <w:r>
        <w:t>📊 Évolution de l'indice BRVM Composite (100 derniers jours)</w:t>
      </w:r>
    </w:p>
    <w:p>
      <w:r>
        <w:rPr>
          <w:b/>
        </w:rPr>
        <w:t xml:space="preserve">BRVM Composite — </w:t>
      </w:r>
      <w:r>
        <w:t xml:space="preserve">Sur les 99 derniers jours de cotation (2026-03-17 au 2026-08-12), l'indice BRVM Composite a évolué de </w:t>
      </w:r>
      <w:r>
        <w:rPr>
          <w:b/>
          <w:color w:val="008000"/>
        </w:rPr>
        <w:t>+19.45%</w:t>
      </w:r>
      <w:r>
        <w:t>, passant de 412.02 pts à 492.16 pts. Le plus haut atteint est 493.90 pts et le plus bas 397.33 pts. Sur l'ensemble de la période, la moyenne de l'indice s'établit à 435.79 pts, la médiane à 435.38 pts et le mode à 403.36 pts</w:t>
      </w:r>
      <w:r>
        <w:t xml:space="preserve"> (asymétrie positive — plus de jours sous la moyenne). </w:t>
      </w:r>
      <w:r>
        <w:t xml:space="preserve">L'écart-type de 31.40 pts (CV=7.2%) traduit une modérée dispersion des cotations. Le kurtosis de -1.32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+19.47%</w:t>
      </w:r>
      <w:r>
        <w:t xml:space="preserve"> sur la période, passant de 15 885,659 Mds FCFA à 18 978,372 Mds FCFA. Le pic de capitalisation observé est de 19 045,410 Mds FCFA et le plancher de 15 319,235 Mds FCFA. La moyenne de la capitalisation sur la période s'établit à 16 794,990 Mds FCFA, la médiane à 16 777,801 Mds FCFA et le mode à 15 319,235 Mds FCFA</w:t>
      </w:r>
      <w:r>
        <w:t xml:space="preserve"> (asymétrie positive). </w:t>
      </w:r>
      <w:r>
        <w:t>L'écart-type de 1 204,887 Mds FCFA (CV=7.2%) reflète une modérée variabilité de la valorisation du marché. Le kurtosis de -1.31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NSBC - NSBC - NSIA BANQUE COTE D'IVOIRE</w:t>
      </w:r>
      <w:r>
        <w:t xml:space="preserve"> | Prix: 23590 FCFA | </w:t>
      </w:r>
      <w:r>
        <w:rPr>
          <w:b/>
          <w:color w:val="008000"/>
        </w:rPr>
        <w:t>ACHAT FORT</w:t>
      </w:r>
      <w:r>
        <w:t xml:space="preserve"> | Confiance: Élevée | Risque: Moyen</w:t>
      </w:r>
    </w:p>
    <w:p>
      <w:pPr>
        <w:pStyle w:val="ListNumber"/>
      </w:pPr>
      <w:r>
        <w:rPr>
          <w:b/>
        </w:rPr>
        <w:t>ONTBF - ONTBF - ONATEL BURKINA FASO</w:t>
      </w:r>
      <w:r>
        <w:t xml:space="preserve"> | Prix: 2900 FCFA | </w:t>
      </w:r>
      <w:r>
        <w:rPr>
          <w:b/>
          <w:color w:val="008000"/>
        </w:rPr>
        <w:t>ACHAT FORT</w:t>
      </w:r>
      <w:r>
        <w:t xml:space="preserve"> | Confiance: Élevée | Risque: Faible</w:t>
      </w:r>
    </w:p>
    <w:p>
      <w:pPr>
        <w:pStyle w:val="ListNumber"/>
      </w:pPr>
      <w:r>
        <w:rPr>
          <w:b/>
        </w:rPr>
        <w:t>SOGC - SOGC - Société des caoutchoucs de Grand-Béréby</w:t>
      </w:r>
      <w:r>
        <w:t xml:space="preserve"> | Prix: 7860 FCFA | </w:t>
      </w:r>
      <w:r>
        <w:rPr>
          <w:b/>
          <w:color w:val="008000"/>
        </w:rPr>
        <w:t>ACHAT FORT</w:t>
      </w:r>
      <w:r>
        <w:t xml:space="preserve"> | Confiance: Faible | Risque: Faible</w:t>
      </w:r>
    </w:p>
    <w:p>
      <w:pPr>
        <w:pStyle w:val="ListNumber"/>
      </w:pPr>
      <w:r>
        <w:rPr>
          <w:b/>
        </w:rPr>
        <w:t>ABJC - ABJC - SERVAIR ABIDJAN CI</w:t>
      </w:r>
      <w:r>
        <w:t xml:space="preserve"> | Prix: 3180 FCFA | </w:t>
      </w:r>
      <w:r>
        <w:rPr>
          <w:b/>
          <w:color w:val="008000"/>
        </w:rPr>
        <w:t>ACHAT</w:t>
      </w:r>
      <w:r>
        <w:t xml:space="preserve"> | Confiance: Faible | Risque: Moyen</w:t>
      </w:r>
    </w:p>
    <w:p>
      <w:pPr>
        <w:pStyle w:val="ListNumber"/>
      </w:pPr>
      <w:r>
        <w:rPr>
          <w:b/>
        </w:rPr>
        <w:t>BICB - BIIC BN - Banque internationale pour le commerce du benin</w:t>
      </w:r>
      <w:r>
        <w:t xml:space="preserve"> | Prix: 8095 FCFA | </w:t>
      </w:r>
      <w:r>
        <w:rPr>
          <w:b/>
          <w:color w:val="008000"/>
        </w:rPr>
        <w:t>ACHAT</w:t>
      </w:r>
      <w:r>
        <w:t xml:space="preserve"> | Confiance: Moyen | Risque: Faible</w:t>
      </w:r>
    </w:p>
    <w:p>
      <w:pPr>
        <w:pStyle w:val="ListNumber"/>
      </w:pPr>
      <w:r>
        <w:rPr>
          <w:b/>
        </w:rPr>
        <w:t>BICC - BICI CI - Banque internationale pour le commerce et l'industrie de la Côte d'Ivoire</w:t>
      </w:r>
      <w:r>
        <w:t xml:space="preserve"> | Prix: 29000 FCFA | </w:t>
      </w:r>
      <w:r>
        <w:rPr>
          <w:b/>
          <w:color w:val="008000"/>
        </w:rPr>
        <w:t>ACHAT</w:t>
      </w:r>
      <w:r>
        <w:t xml:space="preserve"> | Confiance: Faible | Risque: Moyen</w:t>
      </w:r>
    </w:p>
    <w:p>
      <w:pPr>
        <w:pStyle w:val="ListNumber"/>
      </w:pPr>
      <w:r>
        <w:rPr>
          <w:b/>
        </w:rPr>
        <w:t>BNBC - BNBC - BERNABE CI</w:t>
      </w:r>
      <w:r>
        <w:t xml:space="preserve"> | Prix: 1995 FCFA | </w:t>
      </w:r>
      <w:r>
        <w:rPr>
          <w:b/>
          <w:color w:val="008000"/>
        </w:rPr>
        <w:t>ACHAT</w:t>
      </w:r>
      <w:r>
        <w:t xml:space="preserve"> | Confiance: Élevée | Risque: Faible</w:t>
      </w:r>
    </w:p>
    <w:p>
      <w:pPr>
        <w:pStyle w:val="ListNumber"/>
      </w:pPr>
      <w:r>
        <w:rPr>
          <w:b/>
        </w:rPr>
        <w:t>BOAB - BANK OF AFRICA BENIN</w:t>
      </w:r>
      <w:r>
        <w:t xml:space="preserve"> | Prix: 8655 FCFA | </w:t>
      </w:r>
      <w:r>
        <w:rPr>
          <w:b/>
          <w:color w:val="008000"/>
        </w:rPr>
        <w:t>ACHAT</w:t>
      </w:r>
      <w:r>
        <w:t xml:space="preserve"> | Confiance: Moyen | Risque: Moyen</w:t>
      </w:r>
    </w:p>
    <w:p>
      <w:pPr>
        <w:pStyle w:val="ListNumber"/>
      </w:pPr>
      <w:r>
        <w:rPr>
          <w:b/>
        </w:rPr>
        <w:t>BOABF - BANK OF AFRICA BURKINA FASO</w:t>
      </w:r>
      <w:r>
        <w:t xml:space="preserve"> | Prix: 7100 FCFA | </w:t>
      </w:r>
      <w:r>
        <w:rPr>
          <w:b/>
          <w:color w:val="008000"/>
        </w:rPr>
        <w:t>ACHAT</w:t>
      </w:r>
      <w:r>
        <w:t xml:space="preserve"> | Confiance: Moyen | Risque: Faible</w:t>
      </w:r>
    </w:p>
    <w:p>
      <w:pPr>
        <w:pStyle w:val="ListNumber"/>
      </w:pPr>
      <w:r>
        <w:rPr>
          <w:b/>
        </w:rPr>
        <w:t>BOAC - BANK OF AFRICA COTE D'IVOIRE</w:t>
      </w:r>
      <w:r>
        <w:t xml:space="preserve"> | Prix: 12480 FCFA | </w:t>
      </w:r>
      <w:r>
        <w:rPr>
          <w:b/>
          <w:color w:val="008000"/>
        </w:rPr>
        <w:t>ACHAT</w:t>
      </w:r>
      <w:r>
        <w:t xml:space="preserve"> | Confiance: Moyen | Risque: Faible</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47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57.59%</w:t>
      </w:r>
      <w:r>
        <w:t xml:space="preserve">  |  </w:t>
      </w:r>
      <w:r>
        <w:rPr>
          <w:b/>
        </w:rPr>
        <w:t xml:space="preserve">vs BRVM Composite: </w:t>
      </w:r>
      <w:r>
        <w:rPr>
          <w:b/>
          <w:color w:val="008000"/>
        </w:rPr>
        <w:t>+38.14%  🟢 Surperformance</w:t>
      </w:r>
      <w:r>
        <w:br/>
      </w:r>
      <w:r>
        <w:rPr>
          <w:b/>
        </w:rPr>
        <w:t xml:space="preserve">Sentiment général: </w:t>
      </w:r>
      <w:r>
        <w:t xml:space="preserve">ACHAT  |  </w:t>
      </w:r>
      <w:r>
        <w:rPr>
          <w:b/>
        </w:rPr>
        <w:t xml:space="preserve">Risque moyen: </w:t>
      </w:r>
      <w:r>
        <w:t xml:space="preserve">Moyen  |  </w:t>
      </w:r>
      <w:r>
        <w:rPr>
          <w:b/>
        </w:rPr>
        <w:t xml:space="preserve">Prix moyen: </w:t>
      </w:r>
      <w:r>
        <w:t>8528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34.19%</w:t>
      </w:r>
      <w:r>
        <w:t xml:space="preserve">  |  </w:t>
      </w:r>
      <w:r>
        <w:rPr>
          <w:b/>
        </w:rPr>
        <w:t xml:space="preserve">vs BRVM Composite: </w:t>
      </w:r>
      <w:r>
        <w:rPr>
          <w:b/>
          <w:color w:val="008000"/>
        </w:rPr>
        <w:t>+14.74%  🟢 Surperformance</w:t>
      </w:r>
      <w:r>
        <w:br/>
      </w:r>
      <w:r>
        <w:rPr>
          <w:b/>
        </w:rPr>
        <w:t xml:space="preserve">Sentiment général: </w:t>
      </w:r>
      <w:r>
        <w:t xml:space="preserve">ACHAT  |  </w:t>
      </w:r>
      <w:r>
        <w:rPr>
          <w:b/>
        </w:rPr>
        <w:t xml:space="preserve">Risque moyen: </w:t>
      </w:r>
      <w:r>
        <w:t xml:space="preserve">Faible  |  </w:t>
      </w:r>
      <w:r>
        <w:rPr>
          <w:b/>
        </w:rPr>
        <w:t xml:space="preserve">Prix moyen: </w:t>
      </w:r>
      <w:r>
        <w:t>13026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28.15%</w:t>
      </w:r>
      <w:r>
        <w:t xml:space="preserve">  |  </w:t>
      </w:r>
      <w:r>
        <w:rPr>
          <w:b/>
        </w:rPr>
        <w:t xml:space="preserve">vs BRVM Composite: </w:t>
      </w:r>
      <w:r>
        <w:rPr>
          <w:b/>
          <w:color w:val="008000"/>
        </w:rPr>
        <w:t>+8.70%  🟢 Surperformance</w:t>
      </w:r>
      <w:r>
        <w:br/>
      </w:r>
      <w:r>
        <w:rPr>
          <w:b/>
        </w:rPr>
        <w:t xml:space="preserve">Sentiment général: </w:t>
      </w:r>
      <w:r>
        <w:t xml:space="preserve">ACHAT  |  </w:t>
      </w:r>
      <w:r>
        <w:rPr>
          <w:b/>
        </w:rPr>
        <w:t xml:space="preserve">Risque moyen: </w:t>
      </w:r>
      <w:r>
        <w:t xml:space="preserve">Faible  |  </w:t>
      </w:r>
      <w:r>
        <w:rPr>
          <w:b/>
        </w:rPr>
        <w:t xml:space="preserve">Prix moyen: </w:t>
      </w:r>
      <w:r>
        <w:t>19256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11.85%</w:t>
      </w:r>
      <w:r>
        <w:t xml:space="preserve">  |  </w:t>
      </w:r>
      <w:r>
        <w:rPr>
          <w:b/>
        </w:rPr>
        <w:t xml:space="preserve">vs BRVM Composite: </w:t>
      </w:r>
      <w:r>
        <w:rPr>
          <w:b/>
          <w:color w:val="C00000"/>
        </w:rPr>
        <w:t>-7.60%  🔴 Sous-performance</w:t>
      </w:r>
      <w:r>
        <w:br/>
      </w:r>
      <w:r>
        <w:rPr>
          <w:b/>
        </w:rPr>
        <w:t xml:space="preserve">Sentiment général: </w:t>
      </w:r>
      <w:r>
        <w:t xml:space="preserve">ACHAT  |  </w:t>
      </w:r>
      <w:r>
        <w:rPr>
          <w:b/>
        </w:rPr>
        <w:t xml:space="preserve">Risque moyen: </w:t>
      </w:r>
      <w:r>
        <w:t xml:space="preserve">Moyen  |  </w:t>
      </w:r>
      <w:r>
        <w:rPr>
          <w:b/>
        </w:rPr>
        <w:t xml:space="preserve">Prix moyen: </w:t>
      </w:r>
      <w:r>
        <w:t>6336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10.18%</w:t>
      </w:r>
      <w:r>
        <w:t xml:space="preserve">  |  </w:t>
      </w:r>
      <w:r>
        <w:rPr>
          <w:b/>
        </w:rPr>
        <w:t xml:space="preserve">vs BRVM Composite: </w:t>
      </w:r>
      <w:r>
        <w:rPr>
          <w:b/>
          <w:color w:val="C00000"/>
        </w:rPr>
        <w:t>-9.27%  🔴 Sous-performance</w:t>
      </w:r>
      <w:r>
        <w:br/>
      </w:r>
      <w:r>
        <w:rPr>
          <w:b/>
        </w:rPr>
        <w:t xml:space="preserve">Sentiment général: </w:t>
      </w:r>
      <w:r>
        <w:t xml:space="preserve">ACHAT  |  </w:t>
      </w:r>
      <w:r>
        <w:rPr>
          <w:b/>
        </w:rPr>
        <w:t xml:space="preserve">Risque moyen: </w:t>
      </w:r>
      <w:r>
        <w:t xml:space="preserve">Moyen  |  </w:t>
      </w:r>
      <w:r>
        <w:rPr>
          <w:b/>
        </w:rPr>
        <w:t xml:space="preserve">Prix moyen: </w:t>
      </w:r>
      <w:r>
        <w:t>2806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7.42%</w:t>
      </w:r>
      <w:r>
        <w:t xml:space="preserve">  |  </w:t>
      </w:r>
      <w:r>
        <w:rPr>
          <w:b/>
        </w:rPr>
        <w:t xml:space="preserve">vs BRVM Composite: </w:t>
      </w:r>
      <w:r>
        <w:rPr>
          <w:b/>
          <w:color w:val="C00000"/>
        </w:rPr>
        <w:t>-12.03%  🔴 Sous-performance</w:t>
      </w:r>
      <w:r>
        <w:br/>
      </w:r>
      <w:r>
        <w:rPr>
          <w:b/>
        </w:rPr>
        <w:t xml:space="preserve">Sentiment général: </w:t>
      </w:r>
      <w:r>
        <w:t xml:space="preserve">ACHAT  |  </w:t>
      </w:r>
      <w:r>
        <w:rPr>
          <w:b/>
        </w:rPr>
        <w:t xml:space="preserve">Risque moyen: </w:t>
      </w:r>
      <w:r>
        <w:t xml:space="preserve">Faible  |  </w:t>
      </w:r>
      <w:r>
        <w:rPr>
          <w:b/>
        </w:rPr>
        <w:t xml:space="preserve">Prix moyen: </w:t>
      </w:r>
      <w:r>
        <w:t>17385 FCFA</w:t>
        <w:br/>
      </w:r>
      <w:r>
        <w:rPr>
          <w:b/>
        </w:rPr>
        <w:br/>
        <w:t xml:space="preserve">Sociétés: </w:t>
      </w:r>
      <w:r>
        <w:t>ONTBF (ONTBF - ONATEL BURKINA FASO), ORAC (ORAC - ORANGE COTE D'IVOIRE), SNTS (SNTS - SONATEL SN)</w:t>
      </w:r>
    </w:p>
    <w:p/>
    <w:p>
      <w:pPr>
        <w:pStyle w:val="Heading3"/>
      </w:pPr>
      <w:r>
        <w:t>Secteur: INDUSTRIELS</w:t>
      </w:r>
    </w:p>
    <w:p>
      <w:r>
        <w:rPr>
          <w:b/>
        </w:rPr>
        <w:t xml:space="preserve">Nombre de sociétés: </w:t>
      </w:r>
      <w:r>
        <w:t xml:space="preserve">6  |  </w:t>
      </w:r>
      <w:r>
        <w:rPr>
          <w:b/>
        </w:rPr>
        <w:t xml:space="preserve">Performance moyenne (100j): </w:t>
      </w:r>
      <w:r>
        <w:rPr>
          <w:color w:val="008000"/>
        </w:rPr>
        <w:t>0.26%</w:t>
      </w:r>
      <w:r>
        <w:t xml:space="preserve">  |  </w:t>
      </w:r>
      <w:r>
        <w:rPr>
          <w:b/>
        </w:rPr>
        <w:t xml:space="preserve">vs BRVM Composite: </w:t>
      </w:r>
      <w:r>
        <w:rPr>
          <w:b/>
          <w:color w:val="C00000"/>
        </w:rPr>
        <w:t>-19.19%  🔴 Sous-performance</w:t>
      </w:r>
      <w:r>
        <w:br/>
      </w:r>
      <w:r>
        <w:rPr>
          <w:b/>
        </w:rPr>
        <w:t xml:space="preserve">Sentiment général: </w:t>
      </w:r>
      <w:r>
        <w:t xml:space="preserve">ACHAT  |  </w:t>
      </w:r>
      <w:r>
        <w:rPr>
          <w:b/>
        </w:rPr>
        <w:t xml:space="preserve">Risque moyen: </w:t>
      </w:r>
      <w:r>
        <w:t xml:space="preserve">Moyen  |  </w:t>
      </w:r>
      <w:r>
        <w:rPr>
          <w:b/>
        </w:rPr>
        <w:t xml:space="preserve">Prix moyen: </w:t>
      </w:r>
      <w:r>
        <w:t>2497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BNBC, BOAN, CIEC, ETIT, LNBB, ONTBF, PALC, PRSC, SHEC, SIBC, TTLC, UNXC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BICB, BOAB, BOABF, BOAC, BOAM, BOAS, CFAC, ECOC, NEIC, NSBC, ORAC, ORGT, SAFC, SCRC, SEMC, SGBC, STBC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ABJC, BICC, CABC, CBIBF, FTSC, NTLC, SDCC, SDSC, SICC, SIVC, SLBC, SMBC, SNTS, SOGC, SPHC, STAC, TTLS, UNLC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2422225</w:t>
            </w:r>
          </w:p>
        </w:tc>
        <w:tc>
          <w:tcPr>
            <w:tcW w:type="dxa" w:w="1728"/>
          </w:tcPr>
          <w:p>
            <w:r>
              <w:t>166946027 FCFA</w:t>
            </w:r>
          </w:p>
        </w:tc>
        <w:tc>
          <w:tcPr>
            <w:tcW w:type="dxa" w:w="1728"/>
          </w:tcPr>
          <w:p>
            <w:r>
              <w:t>103.12%</w:t>
            </w:r>
          </w:p>
        </w:tc>
        <w:tc>
          <w:tcPr>
            <w:tcW w:type="dxa" w:w="1728"/>
          </w:tcPr>
          <w:p>
            <w:r>
              <w:t>ACHAT</w:t>
            </w:r>
          </w:p>
        </w:tc>
      </w:tr>
      <w:tr>
        <w:tc>
          <w:tcPr>
            <w:tcW w:type="dxa" w:w="1728"/>
          </w:tcPr>
          <w:p>
            <w:r>
              <w:t>SDSC (SDSC - AFRICA GLOBAL LOGISTICS CI)</w:t>
            </w:r>
          </w:p>
        </w:tc>
        <w:tc>
          <w:tcPr>
            <w:tcW w:type="dxa" w:w="1728"/>
          </w:tcPr>
          <w:p>
            <w:r>
              <w:t>16301</w:t>
            </w:r>
          </w:p>
        </w:tc>
        <w:tc>
          <w:tcPr>
            <w:tcW w:type="dxa" w:w="1728"/>
          </w:tcPr>
          <w:p>
            <w:r>
              <w:t>41736124 FCFA</w:t>
            </w:r>
          </w:p>
        </w:tc>
        <w:tc>
          <w:tcPr>
            <w:tcW w:type="dxa" w:w="1728"/>
          </w:tcPr>
          <w:p>
            <w:r>
              <w:t>37.53%</w:t>
            </w:r>
          </w:p>
        </w:tc>
        <w:tc>
          <w:tcPr>
            <w:tcW w:type="dxa" w:w="1728"/>
          </w:tcPr>
          <w:p>
            <w:r>
              <w:t>ACHAT</w:t>
            </w:r>
          </w:p>
        </w:tc>
      </w:tr>
      <w:tr>
        <w:tc>
          <w:tcPr>
            <w:tcW w:type="dxa" w:w="1728"/>
          </w:tcPr>
          <w:p>
            <w:r>
              <w:t>SNTS (SNTS - SONATEL SN)</w:t>
            </w:r>
          </w:p>
        </w:tc>
        <w:tc>
          <w:tcPr>
            <w:tcW w:type="dxa" w:w="1728"/>
          </w:tcPr>
          <w:p>
            <w:r>
              <w:t>12946</w:t>
            </w:r>
          </w:p>
        </w:tc>
        <w:tc>
          <w:tcPr>
            <w:tcW w:type="dxa" w:w="1728"/>
          </w:tcPr>
          <w:p>
            <w:r>
              <w:t>403755246 FCFA</w:t>
            </w:r>
          </w:p>
        </w:tc>
        <w:tc>
          <w:tcPr>
            <w:tcW w:type="dxa" w:w="1728"/>
          </w:tcPr>
          <w:p>
            <w:r>
              <w:t>10.40%</w:t>
            </w:r>
          </w:p>
        </w:tc>
        <w:tc>
          <w:tcPr>
            <w:tcW w:type="dxa" w:w="1728"/>
          </w:tcPr>
          <w:p>
            <w:r>
              <w:t>ACHAT</w:t>
            </w:r>
          </w:p>
        </w:tc>
      </w:tr>
      <w:tr>
        <w:tc>
          <w:tcPr>
            <w:tcW w:type="dxa" w:w="1728"/>
          </w:tcPr>
          <w:p>
            <w:r>
              <w:t>UNXC (UNXC - UNIWAX COTE D'IVOIRE)</w:t>
            </w:r>
          </w:p>
        </w:tc>
        <w:tc>
          <w:tcPr>
            <w:tcW w:type="dxa" w:w="1728"/>
          </w:tcPr>
          <w:p>
            <w:r>
              <w:t>11043</w:t>
            </w:r>
          </w:p>
        </w:tc>
        <w:tc>
          <w:tcPr>
            <w:tcW w:type="dxa" w:w="1728"/>
          </w:tcPr>
          <w:p>
            <w:r>
              <w:t>20619806 FCFA</w:t>
            </w:r>
          </w:p>
        </w:tc>
        <w:tc>
          <w:tcPr>
            <w:tcW w:type="dxa" w:w="1728"/>
          </w:tcPr>
          <w:p>
            <w:r>
              <w:t>-2.78%</w:t>
            </w:r>
          </w:p>
        </w:tc>
        <w:tc>
          <w:tcPr>
            <w:tcW w:type="dxa" w:w="1728"/>
          </w:tcPr>
          <w:p>
            <w:r>
              <w:t>ACHAT</w:t>
            </w:r>
          </w:p>
        </w:tc>
      </w:tr>
      <w:tr>
        <w:tc>
          <w:tcPr>
            <w:tcW w:type="dxa" w:w="1728"/>
          </w:tcPr>
          <w:p>
            <w:r>
              <w:t>SIBC (SIBC - SOCIETE IVOIRIENNE DE BANQUE)</w:t>
            </w:r>
          </w:p>
        </w:tc>
        <w:tc>
          <w:tcPr>
            <w:tcW w:type="dxa" w:w="1728"/>
          </w:tcPr>
          <w:p>
            <w:r>
              <w:t>9283</w:t>
            </w:r>
          </w:p>
        </w:tc>
        <w:tc>
          <w:tcPr>
            <w:tcW w:type="dxa" w:w="1728"/>
          </w:tcPr>
          <w:p>
            <w:r>
              <w:t>83148263 FCFA</w:t>
            </w:r>
          </w:p>
        </w:tc>
        <w:tc>
          <w:tcPr>
            <w:tcW w:type="dxa" w:w="1728"/>
          </w:tcPr>
          <w:p>
            <w:r>
              <w:t>29.36%</w:t>
            </w:r>
          </w:p>
        </w:tc>
        <w:tc>
          <w:tcPr>
            <w:tcW w:type="dxa" w:w="1728"/>
          </w:tcPr>
          <w:p>
            <w:r>
              <w:t>ACHAT</w:t>
            </w:r>
          </w:p>
        </w:tc>
      </w:tr>
      <w:tr>
        <w:tc>
          <w:tcPr>
            <w:tcW w:type="dxa" w:w="1728"/>
          </w:tcPr>
          <w:p>
            <w:r>
              <w:t>ONTBF (ONTBF - ONATEL BURKINA FASO)</w:t>
            </w:r>
          </w:p>
        </w:tc>
        <w:tc>
          <w:tcPr>
            <w:tcW w:type="dxa" w:w="1728"/>
          </w:tcPr>
          <w:p>
            <w:r>
              <w:t>8055</w:t>
            </w:r>
          </w:p>
        </w:tc>
        <w:tc>
          <w:tcPr>
            <w:tcW w:type="dxa" w:w="1728"/>
          </w:tcPr>
          <w:p>
            <w:r>
              <w:t>22137464 FCFA</w:t>
            </w:r>
          </w:p>
        </w:tc>
        <w:tc>
          <w:tcPr>
            <w:tcW w:type="dxa" w:w="1728"/>
          </w:tcPr>
          <w:p>
            <w:r>
              <w:t>-3.17%</w:t>
            </w:r>
          </w:p>
        </w:tc>
        <w:tc>
          <w:tcPr>
            <w:tcW w:type="dxa" w:w="1728"/>
          </w:tcPr>
          <w:p>
            <w:r>
              <w:t>ACHAT FORT</w:t>
            </w:r>
          </w:p>
        </w:tc>
      </w:tr>
      <w:tr>
        <w:tc>
          <w:tcPr>
            <w:tcW w:type="dxa" w:w="1728"/>
          </w:tcPr>
          <w:p>
            <w:r>
              <w:t>BICB (BIIC BN - Banque internationale pour le commerce du benin)</w:t>
            </w:r>
          </w:p>
        </w:tc>
        <w:tc>
          <w:tcPr>
            <w:tcW w:type="dxa" w:w="1728"/>
          </w:tcPr>
          <w:p>
            <w:r>
              <w:t>7950</w:t>
            </w:r>
          </w:p>
        </w:tc>
        <w:tc>
          <w:tcPr>
            <w:tcW w:type="dxa" w:w="1728"/>
          </w:tcPr>
          <w:p>
            <w:r>
              <w:t>58725206 FCFA</w:t>
            </w:r>
          </w:p>
        </w:tc>
        <w:tc>
          <w:tcPr>
            <w:tcW w:type="dxa" w:w="1728"/>
          </w:tcPr>
          <w:p>
            <w:r>
              <w:t>55.08%</w:t>
            </w:r>
          </w:p>
        </w:tc>
        <w:tc>
          <w:tcPr>
            <w:tcW w:type="dxa" w:w="1728"/>
          </w:tcPr>
          <w:p>
            <w:r>
              <w:t>ACHAT</w:t>
            </w:r>
          </w:p>
        </w:tc>
      </w:tr>
      <w:tr>
        <w:tc>
          <w:tcPr>
            <w:tcW w:type="dxa" w:w="1728"/>
          </w:tcPr>
          <w:p>
            <w:r>
              <w:t>BOAS (BANK OF AFRICA SENEGAL)</w:t>
            </w:r>
          </w:p>
        </w:tc>
        <w:tc>
          <w:tcPr>
            <w:tcW w:type="dxa" w:w="1728"/>
          </w:tcPr>
          <w:p>
            <w:r>
              <w:t>7548</w:t>
            </w:r>
          </w:p>
        </w:tc>
        <w:tc>
          <w:tcPr>
            <w:tcW w:type="dxa" w:w="1728"/>
          </w:tcPr>
          <w:p>
            <w:r>
              <w:t>57032751 FCFA</w:t>
            </w:r>
          </w:p>
        </w:tc>
        <w:tc>
          <w:tcPr>
            <w:tcW w:type="dxa" w:w="1728"/>
          </w:tcPr>
          <w:p>
            <w:r>
              <w:t>11.61%</w:t>
            </w:r>
          </w:p>
        </w:tc>
        <w:tc>
          <w:tcPr>
            <w:tcW w:type="dxa" w:w="1728"/>
          </w:tcPr>
          <w:p>
            <w:r>
              <w:t>ACHAT</w:t>
            </w:r>
          </w:p>
        </w:tc>
      </w:tr>
      <w:tr>
        <w:tc>
          <w:tcPr>
            <w:tcW w:type="dxa" w:w="1728"/>
          </w:tcPr>
          <w:p>
            <w:r>
              <w:t>BOAC (BANK OF AFRICA COTE D'IVOIRE)</w:t>
            </w:r>
          </w:p>
        </w:tc>
        <w:tc>
          <w:tcPr>
            <w:tcW w:type="dxa" w:w="1728"/>
          </w:tcPr>
          <w:p>
            <w:r>
              <w:t>7497</w:t>
            </w:r>
          </w:p>
        </w:tc>
        <w:tc>
          <w:tcPr>
            <w:tcW w:type="dxa" w:w="1728"/>
          </w:tcPr>
          <w:p>
            <w:r>
              <w:t>79848851 FCFA</w:t>
            </w:r>
          </w:p>
        </w:tc>
        <w:tc>
          <w:tcPr>
            <w:tcW w:type="dxa" w:w="1728"/>
          </w:tcPr>
          <w:p>
            <w:r>
              <w:t>38.74%</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CFAC (CFAC - CFAO MOTORS CI)</w:t>
            </w:r>
          </w:p>
        </w:tc>
        <w:tc>
          <w:tcPr>
            <w:tcW w:type="dxa" w:w="1728"/>
          </w:tcPr>
          <w:p>
            <w:r>
              <w:t>3566</w:t>
            </w:r>
          </w:p>
        </w:tc>
        <w:tc>
          <w:tcPr>
            <w:tcW w:type="dxa" w:w="1728"/>
          </w:tcPr>
          <w:p>
            <w:r>
              <w:t>5859119 FCFA</w:t>
            </w:r>
          </w:p>
        </w:tc>
        <w:tc>
          <w:tcPr>
            <w:tcW w:type="dxa" w:w="1728"/>
          </w:tcPr>
          <w:p>
            <w:r>
              <w:t>-0.61%</w:t>
            </w:r>
          </w:p>
        </w:tc>
        <w:tc>
          <w:tcPr>
            <w:tcW w:type="dxa" w:w="1728"/>
          </w:tcPr>
          <w:p>
            <w:r>
              <w:t>ACHAT</w:t>
            </w:r>
          </w:p>
        </w:tc>
      </w:tr>
      <w:tr>
        <w:tc>
          <w:tcPr>
            <w:tcW w:type="dxa" w:w="1728"/>
          </w:tcPr>
          <w:p>
            <w:r>
              <w:t>ECOC (ECOC - ECOBANK COTE D'IVOIRE)</w:t>
            </w:r>
          </w:p>
        </w:tc>
        <w:tc>
          <w:tcPr>
            <w:tcW w:type="dxa" w:w="1728"/>
          </w:tcPr>
          <w:p>
            <w:r>
              <w:t>3244</w:t>
            </w:r>
          </w:p>
        </w:tc>
        <w:tc>
          <w:tcPr>
            <w:tcW w:type="dxa" w:w="1728"/>
          </w:tcPr>
          <w:p>
            <w:r>
              <w:t>51780345 FCFA</w:t>
            </w:r>
          </w:p>
        </w:tc>
        <w:tc>
          <w:tcPr>
            <w:tcW w:type="dxa" w:w="1728"/>
          </w:tcPr>
          <w:p>
            <w:r>
              <w:t>-1.33%</w:t>
            </w:r>
          </w:p>
        </w:tc>
        <w:tc>
          <w:tcPr>
            <w:tcW w:type="dxa" w:w="1728"/>
          </w:tcPr>
          <w:p>
            <w:r>
              <w:t>ACHAT</w:t>
            </w:r>
          </w:p>
        </w:tc>
      </w:tr>
      <w:tr>
        <w:tc>
          <w:tcPr>
            <w:tcW w:type="dxa" w:w="1728"/>
          </w:tcPr>
          <w:p>
            <w:r>
              <w:t>CABC (CABC - SICABLE COTE D'IVOIRE)</w:t>
            </w:r>
          </w:p>
        </w:tc>
        <w:tc>
          <w:tcPr>
            <w:tcW w:type="dxa" w:w="1728"/>
          </w:tcPr>
          <w:p>
            <w:r>
              <w:t>3223</w:t>
            </w:r>
          </w:p>
        </w:tc>
        <w:tc>
          <w:tcPr>
            <w:tcW w:type="dxa" w:w="1728"/>
          </w:tcPr>
          <w:p>
            <w:r>
              <w:t>11654781 FCFA</w:t>
            </w:r>
          </w:p>
        </w:tc>
        <w:tc>
          <w:tcPr>
            <w:tcW w:type="dxa" w:w="1728"/>
          </w:tcPr>
          <w:p>
            <w:r>
              <w:t>6.38%</w:t>
            </w:r>
          </w:p>
        </w:tc>
        <w:tc>
          <w:tcPr>
            <w:tcW w:type="dxa" w:w="1728"/>
          </w:tcPr>
          <w:p>
            <w:r>
              <w:t>ACHAT</w:t>
            </w:r>
          </w:p>
        </w:tc>
      </w:tr>
      <w:tr>
        <w:tc>
          <w:tcPr>
            <w:tcW w:type="dxa" w:w="1728"/>
          </w:tcPr>
          <w:p>
            <w:r>
              <w:t>TTLS (TTLS - TOTAL ENERGIES MARKETING SENEGAL)</w:t>
            </w:r>
          </w:p>
        </w:tc>
        <w:tc>
          <w:tcPr>
            <w:tcW w:type="dxa" w:w="1728"/>
          </w:tcPr>
          <w:p>
            <w:r>
              <w:t>3217</w:t>
            </w:r>
          </w:p>
        </w:tc>
        <w:tc>
          <w:tcPr>
            <w:tcW w:type="dxa" w:w="1728"/>
          </w:tcPr>
          <w:p>
            <w:r>
              <w:t>11969885 FCFA</w:t>
            </w:r>
          </w:p>
        </w:tc>
        <w:tc>
          <w:tcPr>
            <w:tcW w:type="dxa" w:w="1728"/>
          </w:tcPr>
          <w:p>
            <w:r>
              <w:t>12.68%</w:t>
            </w:r>
          </w:p>
        </w:tc>
        <w:tc>
          <w:tcPr>
            <w:tcW w:type="dxa" w:w="1728"/>
          </w:tcPr>
          <w:p>
            <w:r>
              <w:t>ACHAT</w:t>
            </w:r>
          </w:p>
        </w:tc>
      </w:tr>
      <w:tr>
        <w:tc>
          <w:tcPr>
            <w:tcW w:type="dxa" w:w="1728"/>
          </w:tcPr>
          <w:p>
            <w:r>
              <w:t>SOGC (SOGC - Société des caoutchoucs de Grand-Béréby)</w:t>
            </w:r>
          </w:p>
        </w:tc>
        <w:tc>
          <w:tcPr>
            <w:tcW w:type="dxa" w:w="1728"/>
          </w:tcPr>
          <w:p>
            <w:r>
              <w:t>3010</w:t>
            </w:r>
          </w:p>
        </w:tc>
        <w:tc>
          <w:tcPr>
            <w:tcW w:type="dxa" w:w="1728"/>
          </w:tcPr>
          <w:p>
            <w:r>
              <w:t>24483355 FCFA</w:t>
            </w:r>
          </w:p>
        </w:tc>
        <w:tc>
          <w:tcPr>
            <w:tcW w:type="dxa" w:w="1728"/>
          </w:tcPr>
          <w:p>
            <w:r>
              <w:t>-12.52%</w:t>
            </w:r>
          </w:p>
        </w:tc>
        <w:tc>
          <w:tcPr>
            <w:tcW w:type="dxa" w:w="1728"/>
          </w:tcPr>
          <w:p>
            <w:r>
              <w:t>ACHAT FORT</w:t>
            </w:r>
          </w:p>
        </w:tc>
      </w:tr>
      <w:tr>
        <w:tc>
          <w:tcPr>
            <w:tcW w:type="dxa" w:w="1728"/>
          </w:tcPr>
          <w:p>
            <w:r>
              <w:t>PALC (PALC - PALM COTE D'IVOIRE)</w:t>
            </w:r>
          </w:p>
        </w:tc>
        <w:tc>
          <w:tcPr>
            <w:tcW w:type="dxa" w:w="1728"/>
          </w:tcPr>
          <w:p>
            <w:r>
              <w:t>2627</w:t>
            </w:r>
          </w:p>
        </w:tc>
        <w:tc>
          <w:tcPr>
            <w:tcW w:type="dxa" w:w="1728"/>
          </w:tcPr>
          <w:p>
            <w:r>
              <w:t>23107870 FCFA</w:t>
            </w:r>
          </w:p>
        </w:tc>
        <w:tc>
          <w:tcPr>
            <w:tcW w:type="dxa" w:w="1728"/>
          </w:tcPr>
          <w:p>
            <w:r>
              <w:t>-3.70%</w:t>
            </w:r>
          </w:p>
        </w:tc>
        <w:tc>
          <w:tcPr>
            <w:tcW w:type="dxa" w:w="1728"/>
          </w:tcPr>
          <w:p>
            <w:r>
              <w:t>ACHAT</w:t>
            </w:r>
          </w:p>
        </w:tc>
      </w:tr>
      <w:tr>
        <w:tc>
          <w:tcPr>
            <w:tcW w:type="dxa" w:w="1728"/>
          </w:tcPr>
          <w:p>
            <w:r>
              <w:t>BNBC (BNBC - BERNABE CI)</w:t>
            </w:r>
          </w:p>
        </w:tc>
        <w:tc>
          <w:tcPr>
            <w:tcW w:type="dxa" w:w="1728"/>
          </w:tcPr>
          <w:p>
            <w:r>
              <w:t>2101</w:t>
            </w:r>
          </w:p>
        </w:tc>
        <w:tc>
          <w:tcPr>
            <w:tcW w:type="dxa" w:w="1728"/>
          </w:tcPr>
          <w:p>
            <w:r>
              <w:t>3988092 FCFA</w:t>
            </w:r>
          </w:p>
        </w:tc>
        <w:tc>
          <w:tcPr>
            <w:tcW w:type="dxa" w:w="1728"/>
          </w:tcPr>
          <w:p>
            <w:r>
              <w:t>22.77%</w:t>
            </w:r>
          </w:p>
        </w:tc>
        <w:tc>
          <w:tcPr>
            <w:tcW w:type="dxa" w:w="1728"/>
          </w:tcPr>
          <w:p>
            <w:r>
              <w:t>ACHAT</w:t>
            </w:r>
          </w:p>
        </w:tc>
      </w:tr>
      <w:tr>
        <w:tc>
          <w:tcPr>
            <w:tcW w:type="dxa" w:w="1728"/>
          </w:tcPr>
          <w:p>
            <w:r>
              <w:t>SLBC (SLBC - SOLIBRA COTE D'IVOIRE)</w:t>
            </w:r>
          </w:p>
        </w:tc>
        <w:tc>
          <w:tcPr>
            <w:tcW w:type="dxa" w:w="1728"/>
          </w:tcPr>
          <w:p>
            <w:r>
              <w:t>2092</w:t>
            </w:r>
          </w:p>
        </w:tc>
        <w:tc>
          <w:tcPr>
            <w:tcW w:type="dxa" w:w="1728"/>
          </w:tcPr>
          <w:p>
            <w:r>
              <w:t>80860415 FCFA</w:t>
            </w:r>
          </w:p>
        </w:tc>
        <w:tc>
          <w:tcPr>
            <w:tcW w:type="dxa" w:w="1728"/>
          </w:tcPr>
          <w:p>
            <w:r>
              <w:t>-5.85%</w:t>
            </w:r>
          </w:p>
        </w:tc>
        <w:tc>
          <w:tcPr>
            <w:tcW w:type="dxa" w:w="1728"/>
          </w:tcPr>
          <w:p>
            <w:r>
              <w:t>ACHAT</w:t>
            </w:r>
          </w:p>
        </w:tc>
      </w:tr>
      <w:tr>
        <w:tc>
          <w:tcPr>
            <w:tcW w:type="dxa" w:w="1728"/>
          </w:tcPr>
          <w:p>
            <w:r>
              <w:t>SMBC (SMBC - Société Multinationale de Bitumes COTE D'IVOIRE)</w:t>
            </w:r>
          </w:p>
        </w:tc>
        <w:tc>
          <w:tcPr>
            <w:tcW w:type="dxa" w:w="1728"/>
          </w:tcPr>
          <w:p>
            <w:r>
              <w:t>2037</w:t>
            </w:r>
          </w:p>
        </w:tc>
        <w:tc>
          <w:tcPr>
            <w:tcW w:type="dxa" w:w="1728"/>
          </w:tcPr>
          <w:p>
            <w:r>
              <w:t>32438742 FCFA</w:t>
            </w:r>
          </w:p>
        </w:tc>
        <w:tc>
          <w:tcPr>
            <w:tcW w:type="dxa" w:w="1728"/>
          </w:tcPr>
          <w:p>
            <w:r>
              <w:t>23.13%</w:t>
            </w:r>
          </w:p>
        </w:tc>
        <w:tc>
          <w:tcPr>
            <w:tcW w:type="dxa" w:w="1728"/>
          </w:tcPr>
          <w:p>
            <w:r>
              <w:t>ACHAT</w:t>
            </w:r>
          </w:p>
        </w:tc>
      </w:tr>
      <w:tr>
        <w:tc>
          <w:tcPr>
            <w:tcW w:type="dxa" w:w="1728"/>
          </w:tcPr>
          <w:p>
            <w:r>
              <w:t>SPHC (SPHC - Société Africaine de Plantation d'Hévéas de Côte d'Ivoire)</w:t>
            </w:r>
          </w:p>
        </w:tc>
        <w:tc>
          <w:tcPr>
            <w:tcW w:type="dxa" w:w="1728"/>
          </w:tcPr>
          <w:p>
            <w:r>
              <w:t>1839</w:t>
            </w:r>
          </w:p>
        </w:tc>
        <w:tc>
          <w:tcPr>
            <w:tcW w:type="dxa" w:w="1728"/>
          </w:tcPr>
          <w:p>
            <w:r>
              <w:t>13701925 FCFA</w:t>
            </w:r>
          </w:p>
        </w:tc>
        <w:tc>
          <w:tcPr>
            <w:tcW w:type="dxa" w:w="1728"/>
          </w:tcPr>
          <w:p>
            <w:r>
              <w:t>-6.70%</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CBIBF - CBIBF - CORIS BANK INTERNATIONAL BURKINA FASO</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2. FTSC - FTSC - FILTISAC COTE D'IVOIRE</w:t>
      </w:r>
    </w:p>
    <w:p>
      <w:r>
        <w:rPr>
          <w:b/>
        </w:rPr>
        <w:t xml:space="preserve">Score de divergence: </w:t>
      </w:r>
      <w:r>
        <w:t>5/8</w:t>
        <w:br/>
      </w:r>
      <w:r>
        <w:rPr>
          <w:b/>
        </w:rPr>
        <w:t xml:space="preserve">Description: </w:t>
      </w:r>
      <w:r>
        <w:t>Signaux d'achat: MACD | Signaux de vente: MM, Bollinger, Stochastique | Recommandation finale: ACHAT</w:t>
        <w:br/>
      </w:r>
    </w:p>
    <w:p/>
    <w:p>
      <w:pPr>
        <w:pStyle w:val="Heading3"/>
      </w:pPr>
      <w:r>
        <w:t>3. SDCC - SDCC - Société de Distribution d'Eau de Côte d'Ivoire</w:t>
      </w:r>
    </w:p>
    <w:p>
      <w:r>
        <w:rPr>
          <w:b/>
        </w:rPr>
        <w:t xml:space="preserve">Score de divergence: </w:t>
      </w:r>
      <w:r>
        <w:t>5/8</w:t>
        <w:br/>
      </w:r>
      <w:r>
        <w:rPr>
          <w:b/>
        </w:rPr>
        <w:t xml:space="preserve">Description: </w:t>
      </w:r>
      <w:r>
        <w:t>Signaux de vente: MM, MACD | Recommandation finale: ACHAT</w:t>
        <w:br/>
      </w:r>
    </w:p>
    <w:p/>
    <w:p>
      <w:pPr>
        <w:pStyle w:val="Heading3"/>
      </w:pPr>
      <w:r>
        <w:t>4. SPHC - SPHC - Société Africaine de Plantation d'Hévéas de Côte d'Ivoire</w:t>
      </w:r>
    </w:p>
    <w:p>
      <w:r>
        <w:rPr>
          <w:b/>
        </w:rPr>
        <w:t xml:space="preserve">Score de divergence: </w:t>
      </w:r>
      <w:r>
        <w:t>5/8</w:t>
        <w:br/>
      </w:r>
      <w:r>
        <w:rPr>
          <w:b/>
        </w:rPr>
        <w:t xml:space="preserve">Description: </w:t>
      </w:r>
      <w:r>
        <w:t>Signaux d'achat: MACD | Signaux de vente: MM, RSI, Stochastique | Recommandation finale: ACHAT</w:t>
        <w:br/>
      </w:r>
    </w:p>
    <w:p/>
    <w:p>
      <w:pPr>
        <w:pStyle w:val="Heading3"/>
      </w:pPr>
      <w:r>
        <w:t>5. TTLS - TTLS - TOTAL ENERGIES MARKETING SENEGAL</w:t>
      </w:r>
    </w:p>
    <w:p>
      <w:r>
        <w:rPr>
          <w:b/>
        </w:rPr>
        <w:t xml:space="preserve">Score de divergence: </w:t>
      </w:r>
      <w:r>
        <w:t>5/8</w:t>
        <w:br/>
      </w:r>
      <w:r>
        <w:rPr>
          <w:b/>
        </w:rPr>
        <w:t xml:space="preserve">Description: </w:t>
      </w:r>
      <w:r>
        <w:t>Signaux de vente: MM, MACD | Recommandation finale: ACHAT</w:t>
        <w:br/>
      </w:r>
    </w:p>
    <w:p/>
    <w:p>
      <w:pPr>
        <w:pStyle w:val="Heading3"/>
      </w:pPr>
      <w:r>
        <w:t>6. UNLC - UNLC - UNILEVER COTE D'IVOIRE</w:t>
      </w:r>
    </w:p>
    <w:p>
      <w:r>
        <w:rPr>
          <w:b/>
        </w:rPr>
        <w:t xml:space="preserve">Score de divergence: </w:t>
      </w:r>
      <w:r>
        <w:t>5/8</w:t>
        <w:br/>
      </w:r>
      <w:r>
        <w:rPr>
          <w:b/>
        </w:rPr>
        <w:t xml:space="preserve">Description: </w:t>
      </w:r>
      <w:r>
        <w:t>Signaux d'achat: MACD | Signaux de vente: MM, Bollinger, Stochastique | Recommandation finale: ACHAT</w:t>
        <w:br/>
      </w:r>
    </w:p>
    <w:p/>
    <w:p>
      <w:pPr>
        <w:pStyle w:val="Heading3"/>
      </w:pPr>
      <w:r>
        <w:t>7. ABJC - ABJC - SERVAIR ABIDJAN CI</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8. BICC - BICI CI - Banque internationale pour le commerce et l'industrie de la Côte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9. CABC - CABC - SICABLE COTE D'IVOIRE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10. NTLC - NTLC - NESTLE COTE D'IVOIRE</w:t>
      </w:r>
    </w:p>
    <w:p>
      <w:r>
        <w:rPr>
          <w:b/>
        </w:rPr>
        <w:t xml:space="preserve">Score de divergence: </w:t>
      </w:r>
      <w:r>
        <w:t>4/8</w:t>
        <w:br/>
      </w:r>
      <w:r>
        <w:rPr>
          <w:b/>
        </w:rPr>
        <w:t xml:space="preserve">Description: </w:t>
      </w:r>
      <w:r>
        <w:t>Signaux d'achat: MM, MACD | Signaux de vente: Bollinger, RSI,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24</w:t>
            </w:r>
          </w:p>
        </w:tc>
        <w:tc>
          <w:tcPr>
            <w:tcW w:type="dxa" w:w="2160"/>
          </w:tcPr>
          <w:p>
            <w:r>
              <w:t>0</w:t>
            </w:r>
          </w:p>
        </w:tc>
      </w:tr>
      <w:tr>
        <w:tc>
          <w:tcPr>
            <w:tcW w:type="dxa" w:w="2160"/>
          </w:tcPr>
          <w:p>
            <w:r>
              <w:t>Risque Moyen</w:t>
            </w:r>
          </w:p>
        </w:tc>
        <w:tc>
          <w:tcPr>
            <w:tcW w:type="dxa" w:w="2160"/>
          </w:tcPr>
          <w:p>
            <w:r>
              <w:t>0</w:t>
            </w:r>
          </w:p>
        </w:tc>
        <w:tc>
          <w:tcPr>
            <w:tcW w:type="dxa" w:w="2160"/>
          </w:tcPr>
          <w:p>
            <w:r>
              <w:t>23</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BICB (BIIC BN - Banque internationale pour le commerce du benin)</w:t>
      </w:r>
    </w:p>
    <w:p>
      <w:pPr>
        <w:pStyle w:val="ListBullet"/>
      </w:pPr>
      <w:r>
        <w:t>• BNBC (BNBC - BERNABE CI)</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ORAC (ORAC - ORANGE COTE D'IVOIRE)</w:t>
      </w:r>
    </w:p>
    <w:p>
      <w:pPr>
        <w:pStyle w:val="ListBullet"/>
      </w:pPr>
      <w:r>
        <w:t>• ORGT (ORGT - ORAGROUP TOGO)</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SNTS (SNTS - SONATEL SN)</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BICC (BICI CI - Banque internationale pour le commerce et l'industrie de la Côte d'Ivoire)</w:t>
      </w:r>
    </w:p>
    <w:p>
      <w:pPr>
        <w:pStyle w:val="ListBullet"/>
      </w:pPr>
      <w:r>
        <w:t>• BOAB (BANK OF AFRICA BENIN)</w:t>
      </w:r>
    </w:p>
    <w:p>
      <w:pPr>
        <w:pStyle w:val="ListBullet"/>
      </w:pPr>
      <w:r>
        <w:t>• BOAN (BANK OF AFRICA NIGER)</w:t>
      </w:r>
    </w:p>
    <w:p>
      <w:pPr>
        <w:pStyle w:val="ListBullet"/>
      </w:pPr>
      <w:r>
        <w:t>• CABC (CABC - SICABLE COTE D'IVOIRE)</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SICC (SICC - SICOR COTE D'IVOIRE)</w:t>
      </w:r>
    </w:p>
    <w:p>
      <w:pPr>
        <w:pStyle w:val="ListBullet"/>
      </w:pPr>
      <w:r>
        <w:t>• SMBC (SMBC - Société Multinationale de Bitumes COTE D'IVOIRE)</w:t>
      </w:r>
    </w:p>
    <w:p>
      <w:pPr>
        <w:pStyle w:val="ListBullet"/>
      </w:pPr>
      <w:r>
        <w:t>• STAC (STAC - SETAO COTE D'IVOIRE)</w:t>
      </w:r>
    </w:p>
    <w:p>
      <w:pPr>
        <w:pStyle w:val="ListBullet"/>
      </w:pPr>
      <w:r>
        <w:t>• TTLS (TTLS - TOTAL ENERGIES MARKETING SENEGAL)</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spacing w:before="20" w:after="40"/>
        <w:ind w:left="0"/>
      </w:pPr>
      <w:r>
        <w:rPr>
          <w:sz w:val="18"/>
        </w:rPr>
        <w:t>**RAPPORT D'ANALYSE MACRO FINANCIER – BRVM**</w:t>
      </w:r>
    </w:p>
    <w:p>
      <w:pPr>
        <w:spacing w:before="20" w:after="40"/>
        <w:ind w:left="0"/>
      </w:pPr>
      <w:r>
        <w:rPr>
          <w:sz w:val="18"/>
        </w:rPr>
        <w:t>**Date : 12 Août 2026**</w:t>
      </w:r>
    </w:p>
    <w:p>
      <w:pPr>
        <w:spacing w:before="20" w:after="40"/>
        <w:ind w:left="0"/>
      </w:pPr>
      <w:r>
        <w:rPr>
          <w:sz w:val="18"/>
        </w:rPr>
        <w:t>**Indice de référence : BRVM Composite (492,16 points)**</w:t>
      </w:r>
    </w:p>
    <w:p>
      <w:pPr>
        <w:spacing w:before="20" w:after="40"/>
        <w:ind w:left="0"/>
      </w:pPr>
      <w:r>
        <w:rPr>
          <w:sz w:val="18"/>
        </w:rPr>
        <w:t>---</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Les marchés mondiaux sont marqués par une volatilité accrue. On note une chute des prix du pétrole brut, tandis que les métaux précieux (argent) ont bondi de près de 10% la semaine dernière, signalant une recherche de valeurs refuges. Parallèlement, l'engouement pour les produits financiers hyperspéculatifs ("perps") inquiète les régulateurs, et les stratégies de protection d'actifs face à l'instabilité géopolitique deviennent une priorité pour les investisseurs internationaux.</w:t>
      </w:r>
    </w:p>
    <w:p>
      <w:pPr>
        <w:pStyle w:val="Heading3"/>
      </w:pPr>
      <w:r>
        <w:rPr>
          <w:color w:val="500050"/>
        </w:rPr>
        <w:t>⚡ Impact estimé sur la BRVM</w:t>
      </w:r>
    </w:p>
    <w:p>
      <w:pPr>
        <w:spacing w:before="20" w:after="40"/>
        <w:ind w:left="280"/>
      </w:pPr>
      <w:r>
        <w:rPr>
          <w:i/>
          <w:sz w:val="18"/>
        </w:rPr>
        <w:t>La baisse des prix du pétrole est une excellente nouvelle pour les compagnies aériennes et de transport, mais pèse sur le secteur ÉNERGIE (TTLC). La hausse de l'argent pourrait profiter aux industries utilisatrices de métaux, mais le contexte global de prudence pourrait limiter les flux entrants vers les actifs risqués comme les actions de la BRVM.</w:t>
      </w:r>
    </w:p>
    <w:p>
      <w:pPr>
        <w:pStyle w:val="Heading2"/>
      </w:pPr>
      <w:r>
        <w:rPr>
          <w:color w:val="006E32"/>
        </w:rPr>
        <w:t>🌍 Plan Africain</w:t>
      </w:r>
    </w:p>
    <w:p>
      <w:pPr>
        <w:spacing w:before="20" w:after="40"/>
        <w:ind w:left="0"/>
      </w:pPr>
      <w:r>
        <w:rPr>
          <w:sz w:val="18"/>
        </w:rPr>
        <w:t>L'Afrique met en avant des leviers de croissance non traditionnels. Le Sénégal et la Mauritanie, via l'OMS, promeuvent l'investissement dans "l'économie des soins" comme moteur de croissance stratégique. Par ailleurs, la Senelec (Sénégal) a réussi une levée de 108 milliards FCFA en dette verte sur la Bourse de Luxembourg, démontrant l'appétit des investisseurs internationaux pour les obligations vertes africaines.</w:t>
      </w:r>
    </w:p>
    <w:p>
      <w:pPr>
        <w:pStyle w:val="Heading3"/>
      </w:pPr>
      <w:r>
        <w:rPr>
          <w:color w:val="500050"/>
        </w:rPr>
        <w:t>⚡ Impact estimé sur la BRVM</w:t>
      </w:r>
    </w:p>
    <w:p>
      <w:pPr>
        <w:spacing w:before="20" w:after="40"/>
        <w:ind w:left="280"/>
      </w:pPr>
      <w:r>
        <w:rPr>
          <w:i/>
          <w:sz w:val="18"/>
        </w:rPr>
        <w:t>Cette dynamique positive sur la dette verte et les investissements structurels renforce l'attractivité de la zone. Les banques cotées (BOAC, BOAN, SGBC) pourraient bénéficier de retombées indirectes via le financement de ces projets, et les valeurs télécoms (ONTBF, ORAC) restent des vecteurs de croissance pour l'économie des soins (e-santé).</w:t>
      </w:r>
    </w:p>
    <w:p>
      <w:pPr>
        <w:pStyle w:val="Heading2"/>
      </w:pPr>
      <w:r>
        <w:rPr>
          <w:color w:val="145A28"/>
        </w:rPr>
        <w:t>🌍 Plan Afrique de l'Ouest</w:t>
      </w:r>
    </w:p>
    <w:p>
      <w:pPr>
        <w:spacing w:before="20" w:after="40"/>
        <w:ind w:left="0"/>
      </w:pPr>
      <w:r>
        <w:rPr>
          <w:sz w:val="18"/>
        </w:rPr>
        <w:t>La sous-région est au centre des discussions sur l'intégration monétaire. Le projet de monnaie unique de la CEDEAO est jugé ambitieux mais se heurte à des obstacles économiques et politiques majeurs, notamment la divergence des politiques budgétaires. La fin de mandat du président de la Commission de la CEDEAO marque une transition institutionnelle.</w:t>
      </w:r>
    </w:p>
    <w:p>
      <w:pPr>
        <w:pStyle w:val="Heading3"/>
      </w:pPr>
      <w:r>
        <w:rPr>
          <w:color w:val="500050"/>
        </w:rPr>
        <w:t>⚡ Impact estimé sur la BRVM</w:t>
      </w:r>
    </w:p>
    <w:p>
      <w:pPr>
        <w:spacing w:before="20" w:after="40"/>
        <w:ind w:left="280"/>
      </w:pPr>
      <w:r>
        <w:rPr>
          <w:i/>
          <w:sz w:val="18"/>
        </w:rPr>
        <w:t>L'incertitude autour de la monnaie unique maintient un statu quo monétaire (maintien du FCFA), ce qui est rassurant pour la stabilité des entreprises de la zone UEMOA. Les sociétés ayant une forte exposition régionale (ETIT, ORGT) surveilleront ces évolutions sans impact immédiat sur leurs opérations.</w:t>
      </w:r>
    </w:p>
    <w:p>
      <w:pPr>
        <w:pStyle w:val="Heading2"/>
      </w:pPr>
      <w:r>
        <w:rPr>
          <w:color w:val="8C4600"/>
        </w:rPr>
        <w:t>🏦 Plan UEMOA / Zone Franc</w:t>
      </w:r>
    </w:p>
    <w:p>
      <w:pPr>
        <w:spacing w:before="20" w:after="40"/>
        <w:ind w:left="0"/>
      </w:pPr>
      <w:r>
        <w:rPr>
          <w:sz w:val="18"/>
        </w:rPr>
        <w:t>Données insuffisantes concernant les décisions directes de la BCEAO ou l'inflation dans la zone. Cependant, le contexte global de baisse du pétrole est un facteur désinflationniste positif pour les économies importatrices de la zone. La liquidité bancaire reste stable, soutenue par les émissions de titres publics.</w:t>
      </w:r>
    </w:p>
    <w:p>
      <w:pPr>
        <w:pStyle w:val="Heading3"/>
      </w:pPr>
      <w:r>
        <w:rPr>
          <w:color w:val="500050"/>
        </w:rPr>
        <w:t>⚡ Impact estimé sur la BRVM</w:t>
      </w:r>
    </w:p>
    <w:p>
      <w:pPr>
        <w:spacing w:before="20" w:after="40"/>
        <w:ind w:left="280"/>
      </w:pPr>
      <w:r>
        <w:rPr>
          <w:i/>
          <w:sz w:val="18"/>
        </w:rPr>
        <w:t>L'environnement de taux stable et la maîtrise de l'inflation soutiennent le pouvoir d'achat, bénéficiant aux valeurs de CONSOMMATION (PRSC, UNXC, BNBC). Les banques (BICB, BNBC) voient leurs marges protégées par une politique monétaire accommodante.</w:t>
      </w:r>
    </w:p>
    <w:p>
      <w:pPr>
        <w:pStyle w:val="Heading2"/>
      </w:pPr>
      <w:r>
        <w:rPr>
          <w:color w:val="003366"/>
        </w:rPr>
        <w:t>📈 Plan BRVM</w:t>
      </w:r>
    </w:p>
    <w:p>
      <w:pPr>
        <w:spacing w:before="20" w:after="40"/>
        <w:ind w:left="0"/>
      </w:pPr>
      <w:r>
        <w:rPr>
          <w:sz w:val="18"/>
        </w:rPr>
        <w:t>La BRVM a enregistré une hausse hebdomadaire de 0,59%, soutenue par des mouvements clés. Les résultats encourageants des sociétés cotées ivoiriennes, publiés en juin, continuent de soutenir la confiance des investisseurs dans le marché régional.</w:t>
      </w:r>
    </w:p>
    <w:p>
      <w:pPr>
        <w:pStyle w:val="Heading3"/>
      </w:pPr>
      <w:r>
        <w:rPr>
          <w:color w:val="500050"/>
        </w:rPr>
        <w:t>⚡ Impact estimé sur la BRVM</w:t>
      </w:r>
    </w:p>
    <w:p>
      <w:pPr>
        <w:spacing w:before="20" w:after="40"/>
        <w:ind w:left="280"/>
      </w:pPr>
      <w:r>
        <w:rPr>
          <w:i/>
          <w:sz w:val="18"/>
        </w:rPr>
        <w:t>La tendance haussière se confirme. Recommandation : **Acheter** sur les valeurs financières solides (SGBC, BICB) et les leaders de la consommation (PRSC, UNXC). **Conserver** les titres télécoms (ONTBF) qui offrent un bon rendement. Surveiller la tenue du secteur de l'énergie (TTLC) face à la baisse du brut.</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L'instabilité géopolitique mondiale reste le principal facteur de risque. Les stratégies de protection d'actifs sont au cœur des préoccupations des investisseurs, qui cherchent à se couvrir contre les chocs exogènes. Les tensions commerciales et les conflits régionaux continuent de dicter l'appétit pour le risque.</w:t>
      </w:r>
    </w:p>
    <w:p>
      <w:pPr>
        <w:pStyle w:val="Heading3"/>
      </w:pPr>
      <w:r>
        <w:rPr>
          <w:color w:val="500050"/>
        </w:rPr>
        <w:t>⚡ Impact estimé sur la BRVM</w:t>
      </w:r>
    </w:p>
    <w:p>
      <w:pPr>
        <w:spacing w:before="20" w:after="40"/>
        <w:ind w:left="280"/>
      </w:pPr>
      <w:r>
        <w:rPr>
          <w:i/>
          <w:sz w:val="18"/>
        </w:rPr>
        <w:t>La BRVM, en tant que marché de petite capitalisation, est vulnérable aux fuites de capitaux en cas de choc mondial majeur. Cependant, sa faible corrélation avec les marchés développés peut en faire une valeur refuge relative pour les investisseurs panafricains cherchant à diversifier leurs risques.</w:t>
      </w:r>
    </w:p>
    <w:p>
      <w:pPr>
        <w:pStyle w:val="Heading2"/>
      </w:pPr>
      <w:r>
        <w:rPr>
          <w:color w:val="006E32"/>
        </w:rPr>
        <w:t>🌍 Plan Africain</w:t>
      </w:r>
    </w:p>
    <w:p>
      <w:pPr>
        <w:spacing w:before="20" w:after="40"/>
        <w:ind w:left="0"/>
      </w:pPr>
      <w:r>
        <w:rPr>
          <w:sz w:val="18"/>
        </w:rPr>
        <w:t>La stabilité politique reste inégale sur le continent. La réconciliation inattendue entre le Mali et l'Algérie est un signal diplomatique positif pour la région sahélo-saharienne, même si le trafic de cocaïne via le corridor Mali-Niger-Libye demeure une menace sécuritaire. Au Sénégal, le manque de déclaration de patrimoine de la moitié des hauts fonctionnaires soulève des questions de gouvernance.</w:t>
      </w:r>
    </w:p>
    <w:p>
      <w:pPr>
        <w:pStyle w:val="Heading3"/>
      </w:pPr>
      <w:r>
        <w:rPr>
          <w:color w:val="500050"/>
        </w:rPr>
        <w:t>⚡ Impact estimé sur la BRVM</w:t>
      </w:r>
    </w:p>
    <w:p>
      <w:pPr>
        <w:spacing w:before="20" w:after="40"/>
        <w:ind w:left="280"/>
      </w:pPr>
      <w:r>
        <w:rPr>
          <w:i/>
          <w:sz w:val="18"/>
        </w:rPr>
        <w:t>La stabilité relative des grands pays de la zone (Côte d'Ivoire, Sénégal) est un facteur de soutien. Les tensions sécuritaires au Sahel n'affectent pas directement les sociétés cotées, mais pourraient freiner les investissements directs étrangers dans la région, limitant ainsi le potentiel de croissance des valeurs comme ORGT ou ETIT.</w:t>
      </w:r>
    </w:p>
    <w:p>
      <w:pPr>
        <w:pStyle w:val="Heading2"/>
      </w:pPr>
      <w:r>
        <w:rPr>
          <w:color w:val="145A28"/>
        </w:rPr>
        <w:t>🌍 Plan Afrique de l'Ouest</w:t>
      </w:r>
    </w:p>
    <w:p>
      <w:pPr>
        <w:spacing w:before="20" w:after="40"/>
        <w:ind w:left="0"/>
      </w:pPr>
      <w:r>
        <w:rPr>
          <w:sz w:val="18"/>
        </w:rPr>
        <w:t>La fin de mandat du président de la CEDEAO et les discussions sur la monnaie unique dominent l'agenda politique. Les relations entre les pays membres de l'AES et la CEDEAO restent un point de vigilance, bien que la réconciliation Mali-Algérie puisse apaiser les tensions régionales.</w:t>
      </w:r>
    </w:p>
    <w:p>
      <w:pPr>
        <w:pStyle w:val="Heading3"/>
      </w:pPr>
      <w:r>
        <w:rPr>
          <w:color w:val="500050"/>
        </w:rPr>
        <w:t>⚡ Impact estimé sur la BRVM</w:t>
      </w:r>
    </w:p>
    <w:p>
      <w:pPr>
        <w:spacing w:before="20" w:after="40"/>
        <w:ind w:left="280"/>
      </w:pPr>
      <w:r>
        <w:rPr>
          <w:i/>
          <w:sz w:val="18"/>
        </w:rPr>
        <w:t>Les risques politiques sont contenus. Les sociétés cotées opérant dans plusieurs pays de la CEDEAO (comme les banques BOAM, BOAC) bénéficient d'un environnement institutionnel stable, malgré les incertitudes à long terme sur l'intégration monétaire.</w:t>
      </w:r>
    </w:p>
    <w:p>
      <w:pPr>
        <w:pStyle w:val="Heading2"/>
      </w:pPr>
      <w:r>
        <w:rPr>
          <w:color w:val="8C4600"/>
        </w:rPr>
        <w:t>🏦 Plan UEMOA / Zone Franc</w:t>
      </w:r>
    </w:p>
    <w:p>
      <w:pPr>
        <w:spacing w:before="20" w:after="40"/>
        <w:ind w:left="0"/>
      </w:pPr>
      <w:r>
        <w:rPr>
          <w:sz w:val="18"/>
        </w:rPr>
        <w:t>La situation politique dans les pays membres est globalement stable. Aucune réforme institutionnelle majeure n'est signalée dans les actualités fournies. La gouvernance reste un sujet de préoccupation, comme en témoigne la situation au Sénégal.</w:t>
      </w:r>
    </w:p>
    <w:p>
      <w:pPr>
        <w:pStyle w:val="Heading3"/>
      </w:pPr>
      <w:r>
        <w:rPr>
          <w:color w:val="500050"/>
        </w:rPr>
        <w:t>⚡ Impact estimé sur la BRVM</w:t>
      </w:r>
    </w:p>
    <w:p>
      <w:pPr>
        <w:spacing w:before="20" w:after="40"/>
        <w:ind w:left="280"/>
      </w:pPr>
      <w:r>
        <w:rPr>
          <w:i/>
          <w:sz w:val="18"/>
        </w:rPr>
        <w:t>L'absence de choc politique majeur dans la zone UEMOA est un facteur de soutien pour la confiance des investisseurs. Les risques réglementaires sont faibles, permettant aux sociétés de se concentrer sur leur performance opérationnelle.</w:t>
      </w:r>
    </w:p>
    <w:p>
      <w:pPr>
        <w:pStyle w:val="Heading2"/>
      </w:pPr>
      <w:r>
        <w:rPr>
          <w:color w:val="003366"/>
        </w:rPr>
        <w:t>📈 Plan BRVM</w:t>
      </w:r>
    </w:p>
    <w:p>
      <w:pPr>
        <w:spacing w:before="20" w:after="40"/>
        <w:ind w:left="0"/>
      </w:pPr>
      <w:r>
        <w:rPr>
          <w:sz w:val="18"/>
        </w:rPr>
        <w:t>Données insuffisantes concernant les décisions réglementaires du CREPMF ou de nouvelles cotations. Le marché est principalement influencé par les résultats d'entreprises et les tendances macroéconomiques.</w:t>
      </w:r>
    </w:p>
    <w:p>
      <w:pPr>
        <w:pStyle w:val="Heading3"/>
      </w:pPr>
      <w:r>
        <w:rPr>
          <w:color w:val="500050"/>
        </w:rPr>
        <w:t>⚡ Impact estimé sur la BRVM</w:t>
      </w:r>
    </w:p>
    <w:p>
      <w:pPr>
        <w:spacing w:before="20" w:after="40"/>
        <w:ind w:left="280"/>
      </w:pPr>
      <w:r>
        <w:rPr>
          <w:i/>
          <w:sz w:val="18"/>
        </w:rPr>
        <w:t>L'environnement réglementaire stable permet aux sociétés de maintenir leurs politiques de dividendes, un critère clé pour les investisseurs de la BRVM. Les valeurs à haut rendement (CFAC, SLBC) restent attractives.</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Les marchés financiers mondiaux sont perturbés par la chute du pétrole et la flambée de l'argent. La recherche de valeurs refuges et la prudence vis-à-vis des produits spéculatifs ("perps") indiquent un climat d'aversion au risque modéré sur les marchés développés.</w:t>
      </w:r>
    </w:p>
    <w:p>
      <w:pPr>
        <w:pStyle w:val="Heading3"/>
      </w:pPr>
      <w:r>
        <w:rPr>
          <w:color w:val="500050"/>
        </w:rPr>
        <w:t>⚡ Impact estimé sur la BRVM</w:t>
      </w:r>
    </w:p>
    <w:p>
      <w:pPr>
        <w:spacing w:before="20" w:after="40"/>
        <w:ind w:left="280"/>
      </w:pPr>
      <w:r>
        <w:rPr>
          <w:i/>
          <w:sz w:val="18"/>
        </w:rPr>
        <w:t>L'aversion au risque mondiale peut réduire les flux de capitaux vers les marchés émergents, y compris la BRVM. Cependant, les investisseurs institutionnels locaux et la diaspora continuent de soutenir le marché, limitant l'impact négatif.</w:t>
      </w:r>
    </w:p>
    <w:p>
      <w:pPr>
        <w:pStyle w:val="Heading2"/>
      </w:pPr>
      <w:r>
        <w:rPr>
          <w:color w:val="006E32"/>
        </w:rPr>
        <w:t>🌍 Plan Africain</w:t>
      </w:r>
    </w:p>
    <w:p>
      <w:pPr>
        <w:spacing w:before="20" w:after="40"/>
        <w:ind w:left="0"/>
      </w:pPr>
      <w:r>
        <w:rPr>
          <w:sz w:val="18"/>
        </w:rPr>
        <w:t>La réussite de l'émission de dette verte de la Senelec à Luxembourg est un signal fort pour les marchés obligataires africains. Elle démontre que les émetteurs africains peuvent accéder aux capitaux internationaux à des conditions attractives, hors eurobonds traditionnels.</w:t>
      </w:r>
    </w:p>
    <w:p>
      <w:pPr>
        <w:pStyle w:val="Heading3"/>
      </w:pPr>
      <w:r>
        <w:rPr>
          <w:color w:val="500050"/>
        </w:rPr>
        <w:t>⚡ Impact estimé sur la BRVM</w:t>
      </w:r>
    </w:p>
    <w:p>
      <w:pPr>
        <w:spacing w:before="20" w:after="40"/>
        <w:ind w:left="280"/>
      </w:pPr>
      <w:r>
        <w:rPr>
          <w:i/>
          <w:sz w:val="18"/>
        </w:rPr>
        <w:t>Cette dynamique obligataire pourrait détourner une partie des capitaux des actions BRVM vers les obligations vertes, mais elle renforce aussi la visibilité de la région. Les banques cotées pourraient jouer un rôle d'intermédiation dans ces opérations, générant des revenus de commissions.</w:t>
      </w:r>
    </w:p>
    <w:p>
      <w:pPr>
        <w:pStyle w:val="Heading2"/>
      </w:pPr>
      <w:r>
        <w:rPr>
          <w:color w:val="145A28"/>
        </w:rPr>
        <w:t>🌍 Plan Afrique de l'Ouest</w:t>
      </w:r>
    </w:p>
    <w:p>
      <w:pPr>
        <w:spacing w:before="20" w:after="40"/>
        <w:ind w:left="0"/>
      </w:pPr>
      <w:r>
        <w:rPr>
          <w:sz w:val="18"/>
        </w:rPr>
        <w:t>Données insuffisantes sur les bourses régionales concurrentes. La BRVM reste la principale place financière de la sous-région, avec un avantage de liquidité et de profondeur de marché.</w:t>
      </w:r>
    </w:p>
    <w:p>
      <w:pPr>
        <w:pStyle w:val="Heading3"/>
      </w:pPr>
      <w:r>
        <w:rPr>
          <w:color w:val="500050"/>
        </w:rPr>
        <w:t>⚡ Impact estimé sur la BRVM</w:t>
      </w:r>
    </w:p>
    <w:p>
      <w:pPr>
        <w:spacing w:before="20" w:after="40"/>
        <w:ind w:left="280"/>
      </w:pPr>
      <w:r>
        <w:rPr>
          <w:i/>
          <w:sz w:val="18"/>
        </w:rPr>
        <w:t>La BRVM conserve son statut de leader régional, attirant les capitaux des pays voisins sans bourse nationale. Les sociétés cotées bénéficient de cette position de carrefour financier.</w:t>
      </w:r>
    </w:p>
    <w:p>
      <w:pPr>
        <w:pStyle w:val="Heading2"/>
      </w:pPr>
      <w:r>
        <w:rPr>
          <w:color w:val="8C4600"/>
        </w:rPr>
        <w:t>🏦 Plan UEMOA / Zone Franc</w:t>
      </w:r>
    </w:p>
    <w:p>
      <w:pPr>
        <w:spacing w:before="20" w:after="40"/>
        <w:ind w:left="0"/>
      </w:pPr>
      <w:r>
        <w:rPr>
          <w:sz w:val="18"/>
        </w:rPr>
        <w:t>Le marché des titres publics de l'UEMOA reste le principal concurrent des actions BRVM pour les investisseurs locaux. Les taux interbancaires et la liquidité bancaire sont des facteurs déterminants pour l'arbitrage entre obligations et actions.</w:t>
      </w:r>
    </w:p>
    <w:p>
      <w:pPr>
        <w:pStyle w:val="Heading3"/>
      </w:pPr>
      <w:r>
        <w:rPr>
          <w:color w:val="500050"/>
        </w:rPr>
        <w:t>⚡ Impact estimé sur la BRVM</w:t>
      </w:r>
    </w:p>
    <w:p>
      <w:pPr>
        <w:spacing w:before="20" w:after="40"/>
        <w:ind w:left="280"/>
      </w:pPr>
      <w:r>
        <w:rPr>
          <w:i/>
          <w:sz w:val="18"/>
        </w:rPr>
        <w:t>Si les taux des titres publics restent élevés, les investisseurs pourraient délaisser les actions au profit des obligations sans risque. Un maintien de la liquidité bancaire est crucial pour soutenir les cours des actions BRVM.</w:t>
      </w:r>
    </w:p>
    <w:p>
      <w:pPr>
        <w:pStyle w:val="Heading2"/>
      </w:pPr>
      <w:r>
        <w:rPr>
          <w:color w:val="003366"/>
        </w:rPr>
        <w:t>📈 Plan BRVM</w:t>
      </w:r>
    </w:p>
    <w:p>
      <w:pPr>
        <w:spacing w:before="20" w:after="40"/>
        <w:ind w:left="0"/>
      </w:pPr>
      <w:r>
        <w:rPr>
          <w:sz w:val="18"/>
        </w:rPr>
        <w:t>L'indice BRVM Composite est en hausse hebdomadaire de 0,59%. Cette progression est soutenue par des résultats d'entreprises solides et une dynamique positive. Les volumes restent modérés, indiquant une participation stable mais pas euphorique.</w:t>
      </w:r>
    </w:p>
    <w:p>
      <w:pPr>
        <w:pStyle w:val="Heading3"/>
      </w:pPr>
      <w:r>
        <w:rPr>
          <w:color w:val="500050"/>
        </w:rPr>
        <w:t>⚡ Impact estimé sur la BRVM</w:t>
      </w:r>
    </w:p>
    <w:p>
      <w:pPr>
        <w:spacing w:before="20" w:after="40"/>
        <w:ind w:left="280"/>
      </w:pPr>
      <w:r>
        <w:rPr>
          <w:i/>
          <w:sz w:val="18"/>
        </w:rPr>
        <w:t>**Opportunités d'achat** : SGBC, BICB (solidité financière), PRSC, UNXC (croissance de la consommation).</w:t>
      </w:r>
    </w:p>
    <w:p>
      <w:pPr>
        <w:spacing w:before="20" w:after="40"/>
        <w:ind w:left="280"/>
      </w:pPr>
      <w:r>
        <w:rPr>
          <w:i/>
          <w:sz w:val="18"/>
        </w:rPr>
        <w:t>**Titres sous pression** : TTLC (baisse du pétrole).</w:t>
      </w:r>
    </w:p>
    <w:p>
      <w:pPr>
        <w:spacing w:before="20" w:after="40"/>
        <w:ind w:left="280"/>
      </w:pPr>
      <w:r>
        <w:rPr>
          <w:i/>
          <w:sz w:val="18"/>
        </w:rPr>
        <w:t>**Recommandations** : **Renforcer** les positions sur les valeurs bancaires et de consommation. **Surveiller** la résistance de l'indice au niveau des 500 points. **Conserver** ONTBF pour le rendement.</w:t>
      </w:r>
    </w:p>
    <w:p>
      <w:pPr>
        <w:spacing w:before="20" w:after="40"/>
        <w:ind w:left="280"/>
      </w:pPr>
      <w:r>
        <w:rPr>
          <w:i/>
          <w:sz w:val="18"/>
        </w:rPr>
        <w:t>---</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L'environnement macroéconomique et politique pour la BRVM est favorable. La baisse du pétrole, la stabilité politique dans la zone UEMOA et les résultats encourageants des sociétés cotées soutiennent la tendance haussière du marché. Les risques géopolitiques mondiaux et la concurrence des titres publics restent des facteurs de vigilance, mais ne remettent pas en cause la dynamique positive actuelle.</w:t>
      </w:r>
    </w:p>
    <w:p>
      <w:pPr>
        <w:spacing w:before="20" w:after="40"/>
        <w:ind w:left="0"/>
      </w:pPr>
      <w:r>
        <w:rPr>
          <w:sz w:val="18"/>
        </w:rPr>
        <w:t>**Recommandation concrète** : Profitez des niveaux actuels pour renforcer vos positions sur les valeurs financières (SGBC, BICB) et de consommation (PRSC, UNXC). Maintenez une exposition aux télécoms (ONTBF) pour le rendement, et restez à l'écart du secteur de l'énergie (TTLC) tant que la tendance baissière du pétrole n'est pas inversée.</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Protection des actifs dans un contexte d’instabilité géopolitique - Cy</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géopolitique mon</w:t>
            </w:r>
          </w:p>
        </w:tc>
      </w:tr>
      <w:tr>
        <w:tc>
          <w:tcPr>
            <w:tcW w:type="dxa" w:w="1728"/>
          </w:tcPr>
          <w:p>
            <w:r>
              <w:rPr>
                <w:sz w:val="14"/>
              </w:rPr>
              <w:t>2026-08-11</w:t>
            </w:r>
          </w:p>
        </w:tc>
        <w:tc>
          <w:tcPr>
            <w:tcW w:type="dxa" w:w="1728"/>
          </w:tcPr>
          <w:p>
            <w:r>
              <w:rPr>
                <w:sz w:val="14"/>
              </w:rPr>
              <w:t>La folie des « perps », ces produits financiers hyperspéculatifs qui p</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2026-08-10</w:t>
            </w:r>
          </w:p>
        </w:tc>
        <w:tc>
          <w:tcPr>
            <w:tcW w:type="dxa" w:w="1728"/>
          </w:tcPr>
          <w:p>
            <w:r>
              <w:rPr>
                <w:sz w:val="14"/>
              </w:rPr>
              <w:t>Les prix du pétrole ont chuté, tandis que le cours de l'argent a bondi</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2026-08-11</w:t>
            </w:r>
          </w:p>
        </w:tc>
        <w:tc>
          <w:tcPr>
            <w:tcW w:type="dxa" w:w="1728"/>
          </w:tcPr>
          <w:p>
            <w:r>
              <w:rPr>
                <w:sz w:val="14"/>
              </w:rPr>
              <w:t>⚫Synthèse des matières premières : Pétrole, or, gaz naturel, émissions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2026-08-10</w:t>
            </w:r>
          </w:p>
        </w:tc>
        <w:tc>
          <w:tcPr>
            <w:tcW w:type="dxa" w:w="1728"/>
          </w:tcPr>
          <w:p>
            <w:r>
              <w:rPr>
                <w:sz w:val="14"/>
              </w:rPr>
              <w:t>La BCE va-t-elle relever à nouveau ses taux d’intérêt en 2026, pour en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2026-08-10</w:t>
            </w:r>
          </w:p>
        </w:tc>
        <w:tc>
          <w:tcPr>
            <w:tcW w:type="dxa" w:w="1728"/>
          </w:tcPr>
          <w:p>
            <w:r>
              <w:rPr>
                <w:sz w:val="14"/>
              </w:rPr>
              <w:t xml:space="preserve">Federal Reserve: Sideways growth and sticky inflation – TD Securities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Fed taux inflati</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2026-07-11</w:t>
            </w:r>
          </w:p>
        </w:tc>
        <w:tc>
          <w:tcPr>
            <w:tcW w:type="dxa" w:w="1728"/>
          </w:tcPr>
          <w:p>
            <w:r>
              <w:rPr>
                <w:sz w:val="14"/>
              </w:rPr>
              <w:t>La RDC lance la Kinshasa Stock Exchange, sa première Bourse - Africtel</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2026-08-12</w:t>
            </w:r>
          </w:p>
        </w:tc>
        <w:tc>
          <w:tcPr>
            <w:tcW w:type="dxa" w:w="1728"/>
          </w:tcPr>
          <w:p>
            <w:r>
              <w:rPr>
                <w:sz w:val="14"/>
              </w:rPr>
              <w:t>Côte d'Ivoire : Fin de mandat à la CEDEAO, Omar Alieu Touray chez Alas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2026-08-11</w:t>
            </w:r>
          </w:p>
        </w:tc>
        <w:tc>
          <w:tcPr>
            <w:tcW w:type="dxa" w:w="1728"/>
          </w:tcPr>
          <w:p>
            <w:r>
              <w:rPr>
                <w:sz w:val="14"/>
              </w:rPr>
              <w:t>Creativo El Matador en France - Afriquinfos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2026-08-11</w:t>
            </w:r>
          </w:p>
        </w:tc>
        <w:tc>
          <w:tcPr>
            <w:tcW w:type="dxa" w:w="1728"/>
          </w:tcPr>
          <w:p>
            <w:r>
              <w:rPr>
                <w:sz w:val="14"/>
              </w:rPr>
              <w:t>2è édition du Prix ‘Start-ups de la CEDEAO’: Pourquoi et comment aller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2026-08-10</w:t>
            </w:r>
          </w:p>
        </w:tc>
        <w:tc>
          <w:tcPr>
            <w:tcW w:type="dxa" w:w="1728"/>
          </w:tcPr>
          <w:p>
            <w:r>
              <w:rPr>
                <w:sz w:val="14"/>
              </w:rPr>
              <w:t>Guinée. Lancement de l’ECO en 2027: les prérequis des économistes - Le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2026-08-07</w:t>
            </w:r>
          </w:p>
        </w:tc>
        <w:tc>
          <w:tcPr>
            <w:tcW w:type="dxa" w:w="1728"/>
          </w:tcPr>
          <w:p>
            <w:r>
              <w:rPr>
                <w:sz w:val="14"/>
              </w:rPr>
              <w:t xml:space="preserve">Le Premier ministre guinéen salue le modèle ivoirien de développement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2026-08-12</w:t>
            </w:r>
          </w:p>
        </w:tc>
        <w:tc>
          <w:tcPr>
            <w:tcW w:type="dxa" w:w="1728"/>
          </w:tcPr>
          <w:p>
            <w:r>
              <w:rPr>
                <w:sz w:val="14"/>
              </w:rPr>
              <w:t>Trafic de cocaïne au Sahel : comment le corridor Mali-Niger-Libye alim</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Sénégal : près de la moitié des hauts fonctionnaires n’ont pas déclaré</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Mali-Algérie : entre Assimi Goïta et Abdelmadjid Tebboune, les dessous</w:t>
            </w:r>
          </w:p>
        </w:tc>
        <w:tc>
          <w:tcPr>
            <w:tcW w:type="dxa" w:w="1728"/>
          </w:tcPr>
          <w:p>
            <w:r>
              <w:rPr>
                <w:sz w:val="14"/>
              </w:rPr>
              <w:t>Neutre</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2026-08-09</w:t>
            </w:r>
          </w:p>
        </w:tc>
        <w:tc>
          <w:tcPr>
            <w:tcW w:type="dxa" w:w="1728"/>
          </w:tcPr>
          <w:p>
            <w:r>
              <w:rPr>
                <w:sz w:val="14"/>
              </w:rPr>
              <w:t>Récapitulatif Hebdomadaire BRVM : Hausse de 0,59% et Mouvements Clés à</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2026-08-11</w:t>
            </w:r>
          </w:p>
        </w:tc>
        <w:tc>
          <w:tcPr>
            <w:tcW w:type="dxa" w:w="1728"/>
          </w:tcPr>
          <w:p>
            <w:r>
              <w:rPr>
                <w:sz w:val="14"/>
              </w:rPr>
              <w:t>Ousmane Thiam : «Djarrama-Kama est un projet de rupture pour le Sénéga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2026-08-11</w:t>
            </w:r>
          </w:p>
        </w:tc>
        <w:tc>
          <w:tcPr>
            <w:tcW w:type="dxa" w:w="1728"/>
          </w:tcPr>
          <w:p>
            <w:r>
              <w:rPr>
                <w:sz w:val="14"/>
              </w:rPr>
              <w:t xml:space="preserve">Mali : Ras Bath rejette les accusations d'«atteinte aux institutions»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2026-08-12</w:t>
            </w:r>
          </w:p>
        </w:tc>
        <w:tc>
          <w:tcPr>
            <w:tcW w:type="dxa" w:w="1728"/>
          </w:tcPr>
          <w:p>
            <w:r>
              <w:rPr>
                <w:sz w:val="14"/>
              </w:rPr>
              <w:t>Côte d'Ivoire : Fin de mandat à la CEDEAO, Omar Alieu Touray chez Alas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Trafic de cocaïne au Sahel : comment le corridor Mali-Niger-Libye alim</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Sénégal : près de la moitié des hauts fonctionnaires n’ont pas déclaré</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Mali-Algérie : entre Assimi Goïta et Abdelmadjid Tebboune, les dessous</w:t>
            </w:r>
          </w:p>
        </w:tc>
        <w:tc>
          <w:tcPr>
            <w:tcW w:type="dxa" w:w="1728"/>
          </w:tcPr>
          <w:p>
            <w:r>
              <w:rPr>
                <w:sz w:val="14"/>
              </w:rPr>
              <w:t>Neutre</w:t>
            </w:r>
          </w:p>
        </w:tc>
        <w:tc>
          <w:tcPr>
            <w:tcW w:type="dxa" w:w="1728"/>
          </w:tcPr>
          <w:p>
            <w:r>
              <w:rPr>
                <w:color w:val="008000"/>
                <w:sz w:val="14"/>
              </w:rPr>
              <w:t>Positif</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2026-08-12</w:t>
            </w:r>
          </w:p>
        </w:tc>
        <w:tc>
          <w:tcPr>
            <w:tcW w:type="dxa" w:w="1728"/>
          </w:tcPr>
          <w:p>
            <w:r>
              <w:rPr>
                <w:sz w:val="14"/>
              </w:rPr>
              <w:t>Côte d'Ivoire : Fin de mandat à la CEDEAO, Omar Alieu Touray chez Alas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2026-08-11</w:t>
            </w:r>
          </w:p>
        </w:tc>
        <w:tc>
          <w:tcPr>
            <w:tcW w:type="dxa" w:w="1728"/>
          </w:tcPr>
          <w:p>
            <w:r>
              <w:rPr>
                <w:sz w:val="14"/>
              </w:rPr>
              <w:t>Creativo El Matador en France - Afriquinfos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Trafic de cocaïne au Sahel : comment le corridor Mali-Niger-Libye alim</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Sénégal : près de la moitié des hauts fonctionnaires n’ont pas déclaré</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2026-08-12</w:t>
            </w:r>
          </w:p>
        </w:tc>
        <w:tc>
          <w:tcPr>
            <w:tcW w:type="dxa" w:w="1728"/>
          </w:tcPr>
          <w:p>
            <w:r>
              <w:rPr>
                <w:sz w:val="14"/>
              </w:rPr>
              <w:t>Côte d'Ivoire : Fin de mandat à la CEDEAO, Omar Alieu Touray chez Alas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2026-08-11</w:t>
            </w:r>
          </w:p>
        </w:tc>
        <w:tc>
          <w:tcPr>
            <w:tcW w:type="dxa" w:w="1728"/>
          </w:tcPr>
          <w:p>
            <w:r>
              <w:rPr>
                <w:sz w:val="14"/>
              </w:rPr>
              <w:t>Creativo El Matador en France - Afriquinfos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Trafic de cocaïne au Sahel : comment le corridor Mali-Niger-Libye alim</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Sénégal : près de la moitié des hauts fonctionnaires n’ont pas déclaré</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2026-08-12</w:t>
            </w:r>
          </w:p>
        </w:tc>
        <w:tc>
          <w:tcPr>
            <w:tcW w:type="dxa" w:w="1728"/>
          </w:tcPr>
          <w:p>
            <w:r>
              <w:rPr>
                <w:sz w:val="14"/>
              </w:rPr>
              <w:t>Côte d'Ivoire : Fin de mandat à la CEDEAO, Omar Alieu Touray chez Alas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Trafic de cocaïne au Sahel : comment le corridor Mali-Niger-Libye alim</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Sénégal : près de la moitié des hauts fonctionnaires n’ont pas déclaré</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Mali-Algérie : entre Assimi Goïta et Abdelmadjid Tebboune, les dessous</w:t>
            </w:r>
          </w:p>
        </w:tc>
        <w:tc>
          <w:tcPr>
            <w:tcW w:type="dxa" w:w="1728"/>
          </w:tcPr>
          <w:p>
            <w:r>
              <w:rPr>
                <w:sz w:val="14"/>
              </w:rPr>
              <w:t>Neutre</w:t>
            </w:r>
          </w:p>
        </w:tc>
        <w:tc>
          <w:tcPr>
            <w:tcW w:type="dxa" w:w="1728"/>
          </w:tcPr>
          <w:p>
            <w:r>
              <w:rPr>
                <w:color w:val="008000"/>
                <w:sz w:val="14"/>
              </w:rPr>
              <w:t>Positif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2026-08-12</w:t>
            </w:r>
          </w:p>
        </w:tc>
        <w:tc>
          <w:tcPr>
            <w:tcW w:type="dxa" w:w="1728"/>
          </w:tcPr>
          <w:p>
            <w:r>
              <w:rPr>
                <w:sz w:val="14"/>
              </w:rPr>
              <w:t>Côte d'Ivoire : Fin de mandat à la CEDEAO, Omar Alieu Touray chez Alas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Trafic de cocaïne au Sahel : comment le corridor Mali-Niger-Libye alim</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Sénégal : près de la moitié des hauts fonctionnaires n’ont pas déclaré</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Mali-Algérie : entre Assimi Goïta et Abdelmadjid Tebboune, les dessous</w:t>
            </w:r>
          </w:p>
        </w:tc>
        <w:tc>
          <w:tcPr>
            <w:tcW w:type="dxa" w:w="1728"/>
          </w:tcPr>
          <w:p>
            <w:r>
              <w:rPr>
                <w:sz w:val="14"/>
              </w:rPr>
              <w:t>Neutre</w:t>
            </w:r>
          </w:p>
        </w:tc>
        <w:tc>
          <w:tcPr>
            <w:tcW w:type="dxa" w:w="1728"/>
          </w:tcPr>
          <w:p>
            <w:r>
              <w:rPr>
                <w:color w:val="008000"/>
                <w:sz w:val="14"/>
              </w:rPr>
              <w:t>Positif</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2026-08-12</w:t>
            </w:r>
          </w:p>
        </w:tc>
        <w:tc>
          <w:tcPr>
            <w:tcW w:type="dxa" w:w="1728"/>
          </w:tcPr>
          <w:p>
            <w:r>
              <w:rPr>
                <w:sz w:val="14"/>
              </w:rPr>
              <w:t>Trafic de cocaïne au Sahel : comment le corridor Mali-Niger-Libye alim</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Sénégal : près de la moitié des hauts fonctionnaires n’ont pas déclaré</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2026-08-09</w:t>
            </w:r>
          </w:p>
        </w:tc>
        <w:tc>
          <w:tcPr>
            <w:tcW w:type="dxa" w:w="1728"/>
          </w:tcPr>
          <w:p>
            <w:r>
              <w:rPr>
                <w:sz w:val="14"/>
              </w:rPr>
              <w:t>Récapitulatif Hebdomadaire BRVM : Hausse de 0,59% et Mouvements Clés à</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2026-08-11</w:t>
            </w:r>
          </w:p>
        </w:tc>
        <w:tc>
          <w:tcPr>
            <w:tcW w:type="dxa" w:w="1728"/>
          </w:tcPr>
          <w:p>
            <w:r>
              <w:rPr>
                <w:sz w:val="14"/>
              </w:rPr>
              <w:t>Protection des actifs dans un contexte d’instabilité géopolitique - Cy</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géopolitique mon</w:t>
            </w:r>
          </w:p>
        </w:tc>
      </w:tr>
      <w:tr>
        <w:tc>
          <w:tcPr>
            <w:tcW w:type="dxa" w:w="1728"/>
          </w:tcPr>
          <w:p>
            <w:r>
              <w:rPr>
                <w:sz w:val="14"/>
              </w:rPr>
              <w:t>2026-08-10</w:t>
            </w:r>
          </w:p>
        </w:tc>
        <w:tc>
          <w:tcPr>
            <w:tcW w:type="dxa" w:w="1728"/>
          </w:tcPr>
          <w:p>
            <w:r>
              <w:rPr>
                <w:sz w:val="14"/>
              </w:rPr>
              <w:t>Les prix du pétrole ont chuté, tandis que le cours de l'argent a bondi</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2026-08-12</w:t>
            </w:r>
          </w:p>
        </w:tc>
        <w:tc>
          <w:tcPr>
            <w:tcW w:type="dxa" w:w="1728"/>
          </w:tcPr>
          <w:p>
            <w:r>
              <w:rPr>
                <w:sz w:val="14"/>
              </w:rPr>
              <w:t>Côte d'Ivoire : Fin de mandat à la CEDEAO, Omar Alieu Touray chez Alas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2026-08-11</w:t>
            </w:r>
          </w:p>
        </w:tc>
        <w:tc>
          <w:tcPr>
            <w:tcW w:type="dxa" w:w="1728"/>
          </w:tcPr>
          <w:p>
            <w:r>
              <w:rPr>
                <w:sz w:val="14"/>
              </w:rPr>
              <w:t>Creativo El Matador en France - Afriquinfos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Trafic de cocaïne au Sahel : comment le corridor Mali-Niger-Libye alim</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Sénégal : près de la moitié des hauts fonctionnaires n’ont pas déclaré</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2026-08-12</w:t>
            </w:r>
          </w:p>
        </w:tc>
        <w:tc>
          <w:tcPr>
            <w:tcW w:type="dxa" w:w="1728"/>
          </w:tcPr>
          <w:p>
            <w:r>
              <w:rPr>
                <w:sz w:val="14"/>
              </w:rPr>
              <w:t>Côte d'Ivoire : Fin de mandat à la CEDEAO, Omar Alieu Touray chez Alas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2026-08-11</w:t>
            </w:r>
          </w:p>
        </w:tc>
        <w:tc>
          <w:tcPr>
            <w:tcW w:type="dxa" w:w="1728"/>
          </w:tcPr>
          <w:p>
            <w:r>
              <w:rPr>
                <w:sz w:val="14"/>
              </w:rPr>
              <w:t>Creativo El Matador en France - Afriquinfos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Trafic de cocaïne au Sahel : comment le corridor Mali-Niger-Libye alim</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Sénégal : près de la moitié des hauts fonctionnaires n’ont pas déclaré</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2026-08-12</w:t>
            </w:r>
          </w:p>
        </w:tc>
        <w:tc>
          <w:tcPr>
            <w:tcW w:type="dxa" w:w="1728"/>
          </w:tcPr>
          <w:p>
            <w:r>
              <w:rPr>
                <w:sz w:val="14"/>
              </w:rPr>
              <w:t>Côte d'Ivoire : Fin de mandat à la CEDEAO, Omar Alieu Touray chez Alas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Trafic de cocaïne au Sahel : comment le corridor Mali-Niger-Libye alim</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Sénégal : près de la moitié des hauts fonctionnaires n’ont pas déclaré</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Mali-Algérie : entre Assimi Goïta et Abdelmadjid Tebboune, les dessous</w:t>
            </w:r>
          </w:p>
        </w:tc>
        <w:tc>
          <w:tcPr>
            <w:tcW w:type="dxa" w:w="1728"/>
          </w:tcPr>
          <w:p>
            <w:r>
              <w:rPr>
                <w:sz w:val="14"/>
              </w:rPr>
              <w:t>Neutre</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2026-08-09</w:t>
            </w:r>
          </w:p>
        </w:tc>
        <w:tc>
          <w:tcPr>
            <w:tcW w:type="dxa" w:w="1728"/>
          </w:tcPr>
          <w:p>
            <w:r>
              <w:rPr>
                <w:sz w:val="14"/>
              </w:rPr>
              <w:t>Récapitulatif Hebdomadaire BRVM : Hausse de 0,59% et Mouvements Clés à</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2026-08-12</w:t>
            </w:r>
          </w:p>
        </w:tc>
        <w:tc>
          <w:tcPr>
            <w:tcW w:type="dxa" w:w="1728"/>
          </w:tcPr>
          <w:p>
            <w:r>
              <w:rPr>
                <w:sz w:val="14"/>
              </w:rPr>
              <w:t>Trafic de cocaïne au Sahel : comment le corridor Mali-Niger-Libye alim</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2026-08-12</w:t>
            </w:r>
          </w:p>
        </w:tc>
        <w:tc>
          <w:tcPr>
            <w:tcW w:type="dxa" w:w="1728"/>
          </w:tcPr>
          <w:p>
            <w:r>
              <w:rPr>
                <w:sz w:val="14"/>
              </w:rPr>
              <w:t>Sénégal : près de la moitié des hauts fonctionnaires n’ont pas déclaré</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2026-08-09</w:t>
            </w:r>
          </w:p>
        </w:tc>
        <w:tc>
          <w:tcPr>
            <w:tcW w:type="dxa" w:w="1728"/>
          </w:tcPr>
          <w:p>
            <w:r>
              <w:rPr>
                <w:sz w:val="14"/>
              </w:rPr>
              <w:t>Récapitulatif Hebdomadaire BRVM : Hausse de 0,59% et Mouvements Clés à</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2026-08-11</w:t>
            </w:r>
          </w:p>
        </w:tc>
        <w:tc>
          <w:tcPr>
            <w:tcW w:type="dxa" w:w="1728"/>
          </w:tcPr>
          <w:p>
            <w:r>
              <w:rPr>
                <w:sz w:val="14"/>
              </w:rPr>
              <w:t>Protection des actifs dans un contexte d’instabilité géopolitique - Cy</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géopolitique mon</w:t>
            </w:r>
          </w:p>
        </w:tc>
      </w:tr>
      <w:tr>
        <w:tc>
          <w:tcPr>
            <w:tcW w:type="dxa" w:w="1728"/>
          </w:tcPr>
          <w:p>
            <w:r>
              <w:rPr>
                <w:sz w:val="14"/>
              </w:rPr>
              <w:t>2026-08-10</w:t>
            </w:r>
          </w:p>
        </w:tc>
        <w:tc>
          <w:tcPr>
            <w:tcW w:type="dxa" w:w="1728"/>
          </w:tcPr>
          <w:p>
            <w:r>
              <w:rPr>
                <w:sz w:val="14"/>
              </w:rPr>
              <w:t>La BCE va-t-elle relever à nouveau ses taux d’intérêt en 2026, pour en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(11 alerte(s))</w:t>
      </w:r>
    </w:p>
    <w:p>
      <w:pPr>
        <w:spacing w:before="40" w:after="40"/>
        <w:ind w:left="360"/>
      </w:pPr>
      <w:r>
        <w:rPr>
          <w:color w:val="646464"/>
          <w:sz w:val="17"/>
        </w:rPr>
        <w:t xml:space="preserve">[12/08/2026] 🔴  </w:t>
      </w:r>
      <w:r>
        <w:rPr>
          <w:b/>
          <w:color w:val="C00000"/>
          <w:sz w:val="18"/>
        </w:rPr>
        <w:t>Trafic de cocaïne au Sahel : comment le corridor Mali-Niger-Libye alimente l’Europe - Mali Actu</w:t>
      </w:r>
      <w:r>
        <w:rPr>
          <w:color w:val="787878"/>
          <w:sz w:val="15"/>
        </w:rPr>
        <w:t xml:space="preserve">  [politique]</w:t>
      </w:r>
      <w:r>
        <w:rPr>
          <w:color w:val="B47800"/>
          <w:sz w:val="16"/>
        </w:rPr>
        <w:t xml:space="preserve">  ★ 50/10</w:t>
      </w:r>
    </w:p>
    <w:p>
      <w:pPr>
        <w:spacing w:before="0" w:after="20"/>
        <w:ind w:left="600"/>
      </w:pPr>
      <w:r>
        <w:rPr>
          <w:color w:val="323232"/>
          <w:sz w:val="17"/>
        </w:rPr>
        <w:t>L'article de Mali Actu révèle l'existence d'un corridor de trafic de cocaïne reliant le Mali, le Niger et la Libye, qui alimente le marché européen. Cette route illicite profite de l'instabilité sécuritaire et de la porosité des frontières dans la région du Sahel. Le trafic contribue à la déstabilisation économique et sociale des pays concernés, re</w:t>
      </w:r>
    </w:p>
    <w:p>
      <w:pPr>
        <w:spacing w:before="0" w:after="40"/>
        <w:ind w:left="600"/>
      </w:pPr>
      <w:r>
        <w:rPr>
          <w:color w:val="00643C"/>
          <w:sz w:val="16"/>
        </w:rPr>
        <w:t>Points clés : Le corridor Mali-Niger-Libye est une route majeure du trafic de cocaïne vers l'Europe.  •  L'instabilité sécuritaire au Sahel facilite ces activités illicites.  •  Ce trafic aggrave la corruption et la violence dans la région.  •  Les économies de l'UEMOA sont indirectement affectées par ce phénomène.</w:t>
      </w:r>
    </w:p>
    <w:p>
      <w:pPr>
        <w:spacing w:before="0" w:after="60"/>
        <w:ind w:left="600"/>
      </w:pPr>
      <w:r>
        <w:rPr>
          <w:color w:val="0064B4"/>
          <w:sz w:val="15"/>
        </w:rPr>
        <w:t>Source : https://news.google.com/rss/articles/CBMid0FVX3lxTE9tQWplNnNiUmRCNDVPY1pxaGxkMlB</w:t>
      </w:r>
    </w:p>
    <w:p>
      <w:pPr>
        <w:spacing w:before="40" w:after="40"/>
        <w:ind w:left="360"/>
      </w:pPr>
      <w:r>
        <w:rPr>
          <w:color w:val="646464"/>
          <w:sz w:val="17"/>
        </w:rPr>
        <w:t xml:space="preserve">[12/08/2026] ⚪  </w:t>
      </w:r>
      <w:r>
        <w:rPr>
          <w:b/>
          <w:color w:val="505050"/>
          <w:sz w:val="18"/>
        </w:rPr>
        <w:t>Mali-Algérie : entre Assimi Goïta et Abdelmadjid Tebboune, les dessous d’une réconciliation inattendue - Jeune Afrique</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révèle les coulisses d'une réconciliation inattendue entre le Mali et l'Algérie, marquée par un rapprochement entre les présidents Assimi Goïta et Abdelmadjid Tebboune. Cette détente diplomatique intervient après des tensions liées à la crise sécuritaire et au conflit dans le nord du Mali. Les discussions portent sur la c</w:t>
      </w:r>
    </w:p>
    <w:p>
      <w:pPr>
        <w:spacing w:before="0" w:after="40"/>
        <w:ind w:left="600"/>
      </w:pPr>
      <w:r>
        <w:rPr>
          <w:color w:val="00643C"/>
          <w:sz w:val="16"/>
        </w:rPr>
        <w:t>Points clés : Réconciliation diplomatique entre le Mali et l'Algérie après des tensions.  •  Focus sur la coopération sécuritaire et la stabilité régionale.  •  Implications pour la zone UEMOA en termes de sécurité et de commerce transfrontalier.</w:t>
      </w:r>
    </w:p>
    <w:p>
      <w:pPr>
        <w:spacing w:before="0" w:after="60"/>
        <w:ind w:left="600"/>
      </w:pPr>
      <w:r>
        <w:rPr>
          <w:color w:val="0064B4"/>
          <w:sz w:val="15"/>
        </w:rPr>
        <w:t>Source : https://news.google.com/rss/articles/CBMi3wFBVV95cUxQUVBYZEpsOVhMNDNka1VFWDZfVUN</w:t>
      </w:r>
    </w:p>
    <w:p>
      <w:pPr>
        <w:spacing w:before="40" w:after="40"/>
        <w:ind w:left="360"/>
      </w:pPr>
      <w:r>
        <w:rPr>
          <w:color w:val="646464"/>
          <w:sz w:val="17"/>
        </w:rPr>
        <w:t xml:space="preserve">[12/08/2026] 🔴  </w:t>
      </w:r>
      <w:r>
        <w:rPr>
          <w:b/>
          <w:color w:val="C00000"/>
          <w:sz w:val="18"/>
        </w:rPr>
        <w:t>Sénégal : près de la moitié des hauts fonctionnaires n’ont pas déclaré leur patrimoine - Jeune Afrique</w:t>
      </w:r>
      <w:r>
        <w:rPr>
          <w:color w:val="787878"/>
          <w:sz w:val="15"/>
        </w:rPr>
        <w:t xml:space="preserve">  [politique]</w:t>
      </w:r>
      <w:r>
        <w:rPr>
          <w:color w:val="B47800"/>
          <w:sz w:val="16"/>
        </w:rPr>
        <w:t xml:space="preserve">  ★ 50/10</w:t>
      </w:r>
    </w:p>
    <w:p>
      <w:pPr>
        <w:spacing w:before="0" w:after="20"/>
        <w:ind w:left="600"/>
      </w:pPr>
      <w:r>
        <w:rPr>
          <w:color w:val="323232"/>
          <w:sz w:val="17"/>
        </w:rPr>
        <w:t>Au Sénégal, près de la moitié des hauts fonctionnaires n'ont pas déclaré leur patrimoine, selon une information rapportée par Jeune Afrique. Cette situation révèle un manque de transparence dans la gestion des biens publics et pourrait affaiblir la confiance dans les institutions. Bien que cela concerne le Sénégal, cela a des implications pour la z</w:t>
      </w:r>
    </w:p>
    <w:p>
      <w:pPr>
        <w:spacing w:before="0" w:after="40"/>
        <w:ind w:left="600"/>
      </w:pPr>
      <w:r>
        <w:rPr>
          <w:color w:val="00643C"/>
          <w:sz w:val="16"/>
        </w:rPr>
        <w:t>Points clés : Près de 50% des hauts fonctionnaires sénégalais n'ont pas déclaré leur patrimoine.  •  Manque de transparence et risque de corruption dans la gestion publique.  •  Situation susceptible de nuire à la crédibilité des institutions de l'UEMOA.  •  Pas d'effet direct sur les entreprises cotées à la BRVM, mais risque de contagion régionale.</w:t>
      </w:r>
    </w:p>
    <w:p>
      <w:pPr>
        <w:spacing w:before="0" w:after="60"/>
        <w:ind w:left="600"/>
      </w:pPr>
      <w:r>
        <w:rPr>
          <w:color w:val="0064B4"/>
          <w:sz w:val="15"/>
        </w:rPr>
        <w:t>Source : https://news.google.com/rss/articles/CBMiywFBVV95cUxQemFlVTVUa0FjNmhvYnVINEJFQXZ</w:t>
      </w:r>
    </w:p>
    <w:p>
      <w:pPr>
        <w:spacing w:before="40" w:after="40"/>
        <w:ind w:left="360"/>
      </w:pPr>
      <w:r>
        <w:rPr>
          <w:color w:val="646464"/>
          <w:sz w:val="17"/>
        </w:rPr>
        <w:t xml:space="preserve">[11/08/2026] ⚪  </w:t>
      </w:r>
      <w:r>
        <w:rPr>
          <w:b/>
          <w:color w:val="505050"/>
          <w:sz w:val="18"/>
        </w:rPr>
        <w:t>Ousmane Thiam : «Djarrama-Kama est un projet de rupture pour le Sénégal» - Dakarmidi</w:t>
      </w:r>
      <w:r>
        <w:rPr>
          <w:color w:val="787878"/>
          <w:sz w:val="15"/>
        </w:rPr>
        <w:t xml:space="preserve">  [politique]</w:t>
      </w:r>
      <w:r>
        <w:rPr>
          <w:color w:val="B47800"/>
          <w:sz w:val="16"/>
        </w:rPr>
        <w:t xml:space="preserve">  ★ 50/10</w:t>
      </w:r>
    </w:p>
    <w:p>
      <w:pPr>
        <w:spacing w:before="0" w:after="20"/>
        <w:ind w:left="600"/>
      </w:pPr>
      <w:r>
        <w:rPr>
          <w:color w:val="323232"/>
          <w:sz w:val="17"/>
        </w:rPr>
        <w:t>L'article rapporte les propos d'Ousmane Thiam, qui présente le projet 'Djarrama-Kama' comme une initiative de rupture pour le Sénégal. Ce projet semble s'inscrire dans une vision politique de transformation, sans détails économiques précis. L'information est principalement politique et ne fournit pas d'éléments concrets sur des impacts financiers o</w:t>
      </w:r>
    </w:p>
    <w:p>
      <w:pPr>
        <w:spacing w:before="0" w:after="40"/>
        <w:ind w:left="600"/>
      </w:pPr>
      <w:r>
        <w:rPr>
          <w:color w:val="00643C"/>
          <w:sz w:val="16"/>
        </w:rPr>
        <w:t>Points clés : Ousmane Thiam qualifie Djarrama-Kama de projet de rupture pour le Sénégal.  •  L'article est de nature politique, sans données économiques chiffrées.  •  Aucune mention directe de la BRVM ou d'entreprises cotées.</w:t>
      </w:r>
    </w:p>
    <w:p>
      <w:pPr>
        <w:spacing w:before="0" w:after="60"/>
        <w:ind w:left="600"/>
      </w:pPr>
      <w:r>
        <w:rPr>
          <w:color w:val="0064B4"/>
          <w:sz w:val="15"/>
        </w:rPr>
        <w:t>Source : https://news.google.com/rss/articles/CBMiqAFBVV95cUxPdjhYTmpyVUEyU0RDeDFxalcwWTd</w:t>
      </w:r>
    </w:p>
    <w:p>
      <w:pPr>
        <w:spacing w:before="40" w:after="40"/>
        <w:ind w:left="360"/>
      </w:pPr>
      <w:r>
        <w:rPr>
          <w:color w:val="646464"/>
          <w:sz w:val="17"/>
        </w:rPr>
        <w:t xml:space="preserve">[11/08/2026] ⚪  </w:t>
      </w:r>
      <w:r>
        <w:rPr>
          <w:b/>
          <w:color w:val="505050"/>
          <w:sz w:val="18"/>
        </w:rPr>
        <w:t>Au Burkina Faso, la morale RPP s’invite dans la politique culturelle - Yahoo Actualités</w:t>
      </w:r>
      <w:r>
        <w:rPr>
          <w:color w:val="787878"/>
          <w:sz w:val="15"/>
        </w:rPr>
        <w:t xml:space="preserve">  [politique]</w:t>
      </w:r>
      <w:r>
        <w:rPr>
          <w:color w:val="B47800"/>
          <w:sz w:val="16"/>
        </w:rPr>
        <w:t xml:space="preserve">  ★ 50/10</w:t>
      </w:r>
    </w:p>
    <w:p>
      <w:pPr>
        <w:spacing w:before="0" w:after="20"/>
        <w:ind w:left="600"/>
      </w:pPr>
      <w:r>
        <w:rPr>
          <w:color w:val="323232"/>
          <w:sz w:val="17"/>
        </w:rPr>
        <w:t>L'article traite de l'intégration de la morale du Rassemblement pour la Patrie et le Progrès (RPP) dans la politique culturelle du Burkina Faso. Cette initiative vise à orienter les actions culturelles selon des principes éthiques et patriotiques. Le contenu est principalement politique et ne fournit pas d'informations économiques ou financières sp</w:t>
      </w:r>
    </w:p>
    <w:p>
      <w:pPr>
        <w:spacing w:before="0" w:after="40"/>
        <w:ind w:left="600"/>
      </w:pPr>
      <w:r>
        <w:rPr>
          <w:color w:val="00643C"/>
          <w:sz w:val="16"/>
        </w:rPr>
        <w:t>Points clés : Le RPP influence la politique culturelle burkinabè.  •  L'accent est mis sur la morale et le patriotisme dans le secteur culturel.</w:t>
      </w:r>
    </w:p>
    <w:p>
      <w:pPr>
        <w:spacing w:before="0" w:after="60"/>
        <w:ind w:left="600"/>
      </w:pPr>
      <w:r>
        <w:rPr>
          <w:color w:val="0064B4"/>
          <w:sz w:val="15"/>
        </w:rPr>
        <w:t>Source : https://news.google.com/rss/articles/CBMidkFVX3lxTE9sN0U3VVdYUDhOcXhSbVpINDI3RUx</w:t>
      </w:r>
    </w:p>
    <w:p>
      <w:pPr>
        <w:spacing w:before="120" w:after="40"/>
      </w:pPr>
      <w:r>
        <w:rPr>
          <w:b/>
          <w:color w:val="00467F"/>
          <w:sz w:val="20"/>
        </w:rPr>
        <w:t>🔑 économique  (4 alerte(s))</w:t>
      </w:r>
    </w:p>
    <w:p>
      <w:pPr>
        <w:spacing w:before="40" w:after="40"/>
        <w:ind w:left="360"/>
      </w:pPr>
      <w:r>
        <w:rPr>
          <w:color w:val="646464"/>
          <w:sz w:val="17"/>
        </w:rPr>
        <w:t xml:space="preserve">[12/08/2026] ⚪  </w:t>
      </w:r>
      <w:r>
        <w:rPr>
          <w:b/>
          <w:color w:val="505050"/>
          <w:sz w:val="18"/>
        </w:rPr>
        <w:t>Côte d'Ivoire : Fin de mandat à la CEDEAO, Omar Alieu Touray chez Alassane Ouattara pour des adieux et des remerciements</w:t>
      </w:r>
      <w:r>
        <w:rPr>
          <w:color w:val="787878"/>
          <w:sz w:val="15"/>
        </w:rPr>
        <w:t xml:space="preserve">  [économique]</w:t>
      </w:r>
      <w:r>
        <w:rPr>
          <w:color w:val="B47800"/>
          <w:sz w:val="16"/>
        </w:rPr>
        <w:t xml:space="preserve">  ★ 50/10</w:t>
      </w:r>
    </w:p>
    <w:p>
      <w:pPr>
        <w:spacing w:before="0" w:after="20"/>
        <w:ind w:left="600"/>
      </w:pPr>
      <w:r>
        <w:rPr>
          <w:color w:val="323232"/>
          <w:sz w:val="17"/>
        </w:rPr>
        <w:t>Le président de la Commission de la CEDEAO, Omar Alieu Touray, a rencontré le président ivoirien Alassane Ouattara à l'occasion de la fin de son mandat, pour des adieux et des remerciements. Cette visite s'inscrit dans le cadre des relations diplomatiques entre la Côte d'Ivoire et l'organisation régionale. Elle marque une transition à la tête de la</w:t>
      </w:r>
    </w:p>
    <w:p>
      <w:pPr>
        <w:spacing w:before="0" w:after="40"/>
        <w:ind w:left="600"/>
      </w:pPr>
      <w:r>
        <w:rPr>
          <w:color w:val="00643C"/>
          <w:sz w:val="16"/>
        </w:rPr>
        <w:t>Points clés : Fin de mandat d'Omar Alieu Touray à la CEDEAO  •  Rencontre avec Alassane Ouattara pour des adieux  •  Contexte diplomatique régional</w:t>
      </w:r>
    </w:p>
    <w:p>
      <w:pPr>
        <w:spacing w:before="0" w:after="60"/>
        <w:ind w:left="600"/>
      </w:pPr>
      <w:r>
        <w:rPr>
          <w:color w:val="0064B4"/>
          <w:sz w:val="15"/>
        </w:rPr>
        <w:t>Source : https://news.google.com/rss/articles/CBMinAJBVV95cUxOa3FWRFNMcjVnVV9ZNG83bUVNM2h</w:t>
      </w:r>
    </w:p>
    <w:p>
      <w:pPr>
        <w:spacing w:before="40" w:after="40"/>
        <w:ind w:left="360"/>
      </w:pPr>
      <w:r>
        <w:rPr>
          <w:color w:val="646464"/>
          <w:sz w:val="17"/>
        </w:rPr>
        <w:t xml:space="preserve">[12/08/2026] ⚪  </w:t>
      </w:r>
      <w:r>
        <w:rPr>
          <w:b/>
          <w:color w:val="505050"/>
          <w:sz w:val="18"/>
        </w:rPr>
        <w:t>À quel point le projet de monnaie unique de la CEDEAO est-il réaliste ? - TRT Afrika</w:t>
      </w:r>
      <w:r>
        <w:rPr>
          <w:color w:val="787878"/>
          <w:sz w:val="15"/>
        </w:rPr>
        <w:t xml:space="preserve">  [économique]</w:t>
      </w:r>
      <w:r>
        <w:rPr>
          <w:color w:val="B47800"/>
          <w:sz w:val="16"/>
        </w:rPr>
        <w:t xml:space="preserve">  ★ 50/10</w:t>
      </w:r>
    </w:p>
    <w:p>
      <w:pPr>
        <w:spacing w:before="0" w:after="20"/>
        <w:ind w:left="600"/>
      </w:pPr>
      <w:r>
        <w:rPr>
          <w:color w:val="323232"/>
          <w:sz w:val="17"/>
        </w:rPr>
        <w:t>Le projet de monnaie unique de la CEDEAO, bien qu'ambitieux, se heurte à de nombreux obstacles économiques et politiques, notamment la divergence des performances économiques, les critères de convergence non respectés et la souveraineté monétaire des États membres. L'initiative, relancée avec un nouveau calendrier, reste incertaine et nécessite des</w:t>
      </w:r>
    </w:p>
    <w:p>
      <w:pPr>
        <w:spacing w:before="0" w:after="40"/>
        <w:ind w:left="600"/>
      </w:pPr>
      <w:r>
        <w:rPr>
          <w:color w:val="00643C"/>
          <w:sz w:val="16"/>
        </w:rPr>
        <w:t>Points clés : Les critères de convergence macroéconomique (déficit budgétaire, inflation, dette) ne sont pas remplis par la majorité des pays membres.  •  La question de la souveraineté monétaire et la perte de contrôle des politiques monétaires nationales constituent un frein majeur.  •  Le projet prévoit une feuille de route avec des étapes progressives, mais son calendrier a déjà été repoussé à plusieurs reprises.</w:t>
      </w:r>
    </w:p>
    <w:p>
      <w:pPr>
        <w:spacing w:before="0" w:after="60"/>
        <w:ind w:left="600"/>
      </w:pPr>
      <w:r>
        <w:rPr>
          <w:color w:val="0064B4"/>
          <w:sz w:val="15"/>
        </w:rPr>
        <w:t>Source : https://news.google.com/rss/articles/CBMi1gFBVV95cUxOTlk2VndnZEhFZlMyX3kzblBwelN</w:t>
      </w:r>
    </w:p>
    <w:p>
      <w:pPr>
        <w:spacing w:before="40" w:after="40"/>
        <w:ind w:left="360"/>
      </w:pPr>
      <w:r>
        <w:rPr>
          <w:color w:val="646464"/>
          <w:sz w:val="17"/>
        </w:rPr>
        <w:t xml:space="preserve">[11/08/2026] 🟢  </w:t>
      </w:r>
      <w:r>
        <w:rPr>
          <w:b/>
          <w:color w:val="008000"/>
          <w:sz w:val="18"/>
        </w:rPr>
        <w:t>2è édition du Prix ‘Start-ups de la CEDEAO’: Pourquoi et comment aller à la chasse de 30 mille USD dans la cagnotte? - A</w:t>
      </w:r>
      <w:r>
        <w:rPr>
          <w:color w:val="787878"/>
          <w:sz w:val="15"/>
        </w:rPr>
        <w:t xml:space="preserve">  [économique]</w:t>
      </w:r>
      <w:r>
        <w:rPr>
          <w:color w:val="B47800"/>
          <w:sz w:val="16"/>
        </w:rPr>
        <w:t xml:space="preserve">  ★ 50/10</w:t>
      </w:r>
    </w:p>
    <w:p>
      <w:pPr>
        <w:spacing w:before="0" w:after="20"/>
        <w:ind w:left="600"/>
      </w:pPr>
      <w:r>
        <w:rPr>
          <w:color w:val="323232"/>
          <w:sz w:val="17"/>
        </w:rPr>
        <w:t>La deuxième édition du Prix 'Start-ups de la CEDEAO' est lancée, offrant une cagnotte de 30 000 USD aux jeunes entreprises innovantes de la région. L'article explique les raisons de participer, notamment la visibilité et le financement, ainsi que les modalités de candidature. Cette initiative vise à stimuler l'entrepreneuriat et l'innovation en Afr</w:t>
      </w:r>
    </w:p>
    <w:p>
      <w:pPr>
        <w:spacing w:before="0" w:after="40"/>
        <w:ind w:left="600"/>
      </w:pPr>
      <w:r>
        <w:rPr>
          <w:color w:val="00643C"/>
          <w:sz w:val="16"/>
        </w:rPr>
        <w:t>Points clés : Cagnotte de 30 000 USD pour les start-ups de la CEDEAO  •  Opportunité de financement et de visibilité pour les entrepreneurs  •  Encouragement de l'innovation et de la croissance économique régionale</w:t>
      </w:r>
    </w:p>
    <w:p>
      <w:pPr>
        <w:spacing w:before="0" w:after="60"/>
        <w:ind w:left="600"/>
      </w:pPr>
      <w:r>
        <w:rPr>
          <w:color w:val="0064B4"/>
          <w:sz w:val="15"/>
        </w:rPr>
        <w:t>Source : https://news.google.com/rss/articles/CBMi2AFBVV95cUxPRzlaVDlpVXpWVzFrMWpqcXBiV0p</w:t>
      </w:r>
    </w:p>
    <w:p>
      <w:pPr>
        <w:spacing w:before="40" w:after="40"/>
        <w:ind w:left="360"/>
      </w:pPr>
      <w:r>
        <w:rPr>
          <w:color w:val="646464"/>
          <w:sz w:val="17"/>
        </w:rPr>
        <w:t xml:space="preserve">[11/08/2026] ⚪  </w:t>
      </w:r>
      <w:r>
        <w:rPr>
          <w:b/>
          <w:color w:val="505050"/>
          <w:sz w:val="18"/>
        </w:rPr>
        <w:t>Creativo El Matador en France - Afriquinfos</w:t>
      </w:r>
      <w:r>
        <w:rPr>
          <w:color w:val="787878"/>
          <w:sz w:val="15"/>
        </w:rPr>
        <w:t xml:space="preserve">  [économique]</w:t>
      </w:r>
      <w:r>
        <w:rPr>
          <w:color w:val="B47800"/>
          <w:sz w:val="16"/>
        </w:rPr>
        <w:t xml:space="preserve">  ★ 50/10</w:t>
      </w:r>
    </w:p>
    <w:p>
      <w:pPr>
        <w:spacing w:before="0" w:after="20"/>
        <w:ind w:left="600"/>
      </w:pPr>
      <w:r>
        <w:rPr>
          <w:color w:val="323232"/>
          <w:sz w:val="17"/>
        </w:rPr>
        <w:t>L'article annonce la présence de Creativo El Matador en France, une information économique relayée par Afriquinfos pour l'Afrique de l'Ouest. Le contenu est très limité et ne fournit aucun détail sur les activités, les performances ou les implications financières de cette présence. Il s'agit probablement d'une brève ou d'un titre sans développement</w:t>
      </w:r>
    </w:p>
    <w:p>
      <w:pPr>
        <w:spacing w:before="0" w:after="40"/>
        <w:ind w:left="600"/>
      </w:pPr>
      <w:r>
        <w:rPr>
          <w:color w:val="00643C"/>
          <w:sz w:val="16"/>
        </w:rPr>
        <w:t>Points clés : Présence de Creativo El Matador en France  •  Information relayée par Afriquinfos pour l'Afrique de l'Ouest  •  Aucun détail économique ou financier fourni</w:t>
      </w:r>
    </w:p>
    <w:p>
      <w:pPr>
        <w:spacing w:before="0" w:after="60"/>
        <w:ind w:left="600"/>
      </w:pPr>
      <w:r>
        <w:rPr>
          <w:color w:val="0064B4"/>
          <w:sz w:val="15"/>
        </w:rPr>
        <w:t>Source : https://news.google.com/rss/articles/CBMi4AFBVV95cUxOTFdZd0Z5c0lqTHh6cXZwWXFZaHV</w:t>
      </w:r>
    </w:p>
    <w:p>
      <w:pPr>
        <w:spacing w:before="120" w:after="40"/>
      </w:pPr>
      <w:r>
        <w:rPr>
          <w:b/>
          <w:color w:val="00467F"/>
          <w:sz w:val="20"/>
        </w:rPr>
        <w:t>🔑 geopolitique  (1 alerte(s))</w:t>
      </w:r>
    </w:p>
    <w:p>
      <w:pPr>
        <w:spacing w:before="40" w:after="40"/>
        <w:ind w:left="360"/>
      </w:pPr>
      <w:r>
        <w:rPr>
          <w:color w:val="646464"/>
          <w:sz w:val="17"/>
        </w:rPr>
        <w:t xml:space="preserve">[11/08/2026] ⚪  </w:t>
      </w:r>
      <w:r>
        <w:rPr>
          <w:b/>
          <w:color w:val="505050"/>
          <w:sz w:val="18"/>
        </w:rPr>
        <w:t>Protection des actifs dans un contexte d’instabilité géopolitique - Cyril Jarnias</w:t>
      </w:r>
      <w:r>
        <w:rPr>
          <w:color w:val="787878"/>
          <w:sz w:val="15"/>
        </w:rPr>
        <w:t xml:space="preserve">  [geopolitique]</w:t>
      </w:r>
      <w:r>
        <w:rPr>
          <w:color w:val="B47800"/>
          <w:sz w:val="16"/>
        </w:rPr>
        <w:t xml:space="preserve">  ★ 50/10</w:t>
      </w:r>
    </w:p>
    <w:p>
      <w:pPr>
        <w:spacing w:before="0" w:after="20"/>
        <w:ind w:left="600"/>
      </w:pPr>
      <w:r>
        <w:rPr>
          <w:color w:val="323232"/>
          <w:sz w:val="17"/>
        </w:rPr>
        <w:t>L'article de Cyril Jarnias aborde les stratégies de protection des actifs financiers dans un contexte d'instabilité géopolitique croissante. Il souligne l'importance de la diversification géographique et sectorielle, ainsi que le recours à des valeurs refuges comme l'or et les obligations d'État. L'auteur recommande une gestion proactive des risque</w:t>
      </w:r>
    </w:p>
    <w:p>
      <w:pPr>
        <w:spacing w:before="0" w:after="40"/>
        <w:ind w:left="600"/>
      </w:pPr>
      <w:r>
        <w:rPr>
          <w:color w:val="00643C"/>
          <w:sz w:val="16"/>
        </w:rPr>
        <w:t>Points clés : Diversification des actifs pour réduire l'exposition aux risques géopolitiques.  •  Privilégier les valeurs refuges (or, obligations souveraines) en période de tension.  •  Surveiller les indicateurs politiques et économiques pour anticiper les chocs.</w:t>
      </w:r>
    </w:p>
    <w:p>
      <w:pPr>
        <w:spacing w:before="0" w:after="60"/>
        <w:ind w:left="600"/>
      </w:pPr>
      <w:r>
        <w:rPr>
          <w:color w:val="0064B4"/>
          <w:sz w:val="15"/>
        </w:rPr>
        <w:t>Source : https://news.google.com/rss/articles/CBMigAFBVV95cUxQek1XTkh3T3hIQnZkbjdmakVhd2d</w:t>
      </w:r>
    </w:p>
    <w:p>
      <w:pPr>
        <w:spacing w:before="120" w:after="40"/>
      </w:pPr>
      <w:r>
        <w:rPr>
          <w:b/>
          <w:color w:val="00467F"/>
          <w:sz w:val="20"/>
        </w:rPr>
        <w:t>🔑 matieres_premieres  (2 alerte(s))</w:t>
      </w:r>
    </w:p>
    <w:p>
      <w:pPr>
        <w:spacing w:before="40" w:after="40"/>
        <w:ind w:left="360"/>
      </w:pPr>
      <w:r>
        <w:rPr>
          <w:color w:val="646464"/>
          <w:sz w:val="17"/>
        </w:rPr>
        <w:t xml:space="preserve">[11/08/2026] ⚪  </w:t>
      </w:r>
      <w:r>
        <w:rPr>
          <w:b/>
          <w:color w:val="505050"/>
          <w:sz w:val="18"/>
        </w:rPr>
        <w:t>⚫Synthèse des matières premières : Pétrole, or, gaz naturel, émissions (11.08.2026) - XTB.com</w:t>
      </w:r>
      <w:r>
        <w:rPr>
          <w:color w:val="787878"/>
          <w:sz w:val="15"/>
        </w:rPr>
        <w:t xml:space="preserve">  [matieres_premieres]</w:t>
      </w:r>
      <w:r>
        <w:rPr>
          <w:color w:val="B47800"/>
          <w:sz w:val="16"/>
        </w:rPr>
        <w:t xml:space="preserve">  ★ 50/10</w:t>
      </w:r>
    </w:p>
    <w:p>
      <w:pPr>
        <w:spacing w:before="0" w:after="20"/>
        <w:ind w:left="600"/>
      </w:pPr>
      <w:r>
        <w:rPr>
          <w:color w:val="323232"/>
          <w:sz w:val="17"/>
        </w:rPr>
        <w:t>La synthèse des matières premières du 11 août 2026, publiée par XTB.com, couvre les évolutions du pétrole, de l'or, du gaz naturel et des marchés des émissions de carbone. Les prix du pétrole sont influencés par les tensions géopolitiques et les décisions de l'OPEP+, tandis que l'or bénéficie de la demande de valeurs refuges. Le gaz naturel est aff</w:t>
      </w:r>
    </w:p>
    <w:p>
      <w:pPr>
        <w:spacing w:before="0" w:after="40"/>
        <w:ind w:left="600"/>
      </w:pPr>
      <w:r>
        <w:rPr>
          <w:color w:val="00643C"/>
          <w:sz w:val="16"/>
        </w:rPr>
        <w:t>Points clés : Le pétrole montre une volatilité due aux tensions géopolitiques et aux décisions de l'OPEP+.  •  L'or reste soutenu par la demande de valeurs refuges dans un contexte d'incertitudes économiques.  •  Le gaz naturel est influencé par les niveaux de stockage et la demande saisonnière.  •  Les marchés des émissions de carbone réagissent aux annonces de politiques climatiques.</w:t>
      </w:r>
    </w:p>
    <w:p>
      <w:pPr>
        <w:spacing w:before="0" w:after="60"/>
        <w:ind w:left="600"/>
      </w:pPr>
      <w:r>
        <w:rPr>
          <w:color w:val="0064B4"/>
          <w:sz w:val="15"/>
        </w:rPr>
        <w:t>Source : https://news.google.com/rss/articles/CBMitgFBVV95cUxQQTNLQWlzY1ZkVVhjbnEzZnZfbXp</w:t>
      </w:r>
    </w:p>
    <w:p>
      <w:pPr>
        <w:spacing w:before="40" w:after="40"/>
        <w:ind w:left="360"/>
      </w:pPr>
      <w:r>
        <w:rPr>
          <w:color w:val="646464"/>
          <w:sz w:val="17"/>
        </w:rPr>
        <w:t xml:space="preserve">[11/08/2026] ⚪  </w:t>
      </w:r>
      <w:r>
        <w:rPr>
          <w:b/>
          <w:color w:val="505050"/>
          <w:sz w:val="18"/>
        </w:rPr>
        <w:t>Les prix du pétrole brut et du sucre ont tous deux augmenté.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brut et du sucre ont enregistré une hausse sur les marchés internationaux, selon une information rapportée par Vietnam.vn. Cette évolution des matières premières pourrait avoir des répercussions sur les coûts de production et les prix à la consommation dans les économies importatrices. Pour la BRVM, cette tendance est à surveill</w:t>
      </w:r>
    </w:p>
    <w:p>
      <w:pPr>
        <w:spacing w:before="0" w:after="40"/>
        <w:ind w:left="600"/>
      </w:pPr>
      <w:r>
        <w:rPr>
          <w:color w:val="00643C"/>
          <w:sz w:val="16"/>
        </w:rPr>
        <w:t>Points clés : Hausse des prix du pétrole brut sur le marché international.  •  Augmentation des prix du sucre, une matière première clé pour l'agroalimentaire.</w:t>
      </w:r>
    </w:p>
    <w:p>
      <w:pPr>
        <w:spacing w:before="0" w:after="60"/>
        <w:ind w:left="600"/>
      </w:pPr>
      <w:r>
        <w:rPr>
          <w:color w:val="0064B4"/>
          <w:sz w:val="15"/>
        </w:rPr>
        <w:t>Source : https://news.google.com/rss/articles/CBMiZ0FVX3lxTE13YmV5dFFWcEpLLWtVMnpIYWw0SXl</w:t>
      </w:r>
    </w:p>
    <w:p>
      <w:pPr>
        <w:spacing w:before="120" w:after="40"/>
      </w:pPr>
      <w:r>
        <w:rPr>
          <w:b/>
          <w:color w:val="00467F"/>
          <w:sz w:val="20"/>
        </w:rPr>
        <w:t>🔑 marche_financier  (1 alerte(s))</w:t>
      </w:r>
    </w:p>
    <w:p>
      <w:pPr>
        <w:spacing w:before="40" w:after="40"/>
        <w:ind w:left="360"/>
      </w:pPr>
      <w:r>
        <w:rPr>
          <w:color w:val="646464"/>
          <w:sz w:val="17"/>
        </w:rPr>
        <w:t xml:space="preserve">[11/08/2026] 🔴  </w:t>
      </w:r>
      <w:r>
        <w:rPr>
          <w:b/>
          <w:color w:val="C00000"/>
          <w:sz w:val="18"/>
        </w:rPr>
        <w:t>La folie des « perps », ces produits financiers hyperspéculatifs qui permettent aux particuliers de jouer sur les marché</w:t>
      </w:r>
      <w:r>
        <w:rPr>
          <w:color w:val="787878"/>
          <w:sz w:val="15"/>
        </w:rPr>
        <w:t xml:space="preserve">  [marche_financier]</w:t>
      </w:r>
      <w:r>
        <w:rPr>
          <w:color w:val="B47800"/>
          <w:sz w:val="16"/>
        </w:rPr>
        <w:t xml:space="preserve">  ★ 50/10</w:t>
      </w:r>
    </w:p>
    <w:p>
      <w:pPr>
        <w:spacing w:before="0" w:after="20"/>
        <w:ind w:left="600"/>
      </w:pPr>
      <w:r>
        <w:rPr>
          <w:color w:val="323232"/>
          <w:sz w:val="17"/>
        </w:rPr>
        <w:t>L'article des Echos met en lumière l'engouement croissant pour les 'perps' (perpetual contracts), des produits financiers dérivés hyperspéculatifs permettant aux particuliers de trader 24h/24 sur les marchés. Ces instruments, souvent à fort effet de levier, exposent les investisseurs à des risques extrêmes, mais leur popularité ne cesse de croître.</w:t>
      </w:r>
    </w:p>
    <w:p>
      <w:pPr>
        <w:spacing w:before="0" w:after="40"/>
        <w:ind w:left="600"/>
      </w:pPr>
      <w:r>
        <w:rPr>
          <w:color w:val="00643C"/>
          <w:sz w:val="16"/>
        </w:rPr>
        <w:t>Points clés : Les 'perps' sont des contrats perpétuels à effet de levier, accessibles aux particuliers.  •  Ils permettent de trader 24h/24 sur divers actifs (crypto, indices, etc.).  •  Leur nature hyperspéculative expose à des pertes potentiellement illimitées.  •  La popularité croissante attire l'attention des régulateurs.</w:t>
      </w:r>
    </w:p>
    <w:p>
      <w:pPr>
        <w:spacing w:before="0" w:after="60"/>
        <w:ind w:left="600"/>
      </w:pPr>
      <w:r>
        <w:rPr>
          <w:color w:val="0064B4"/>
          <w:sz w:val="15"/>
        </w:rPr>
        <w:t>Source : https://news.google.com/rss/articles/CBMipwJBVV95cUxNYTYtYmh3aUk0RWtkVVlaS29Ub2N</w:t>
      </w:r>
    </w:p>
    <w:p>
      <w:pPr>
        <w:spacing w:before="120" w:after="40"/>
      </w:pPr>
      <w:r>
        <w:rPr>
          <w:b/>
          <w:color w:val="00467F"/>
          <w:sz w:val="20"/>
        </w:rPr>
        <w:t>🔑 politique_monetaire  (1 alerte(s))</w:t>
      </w:r>
    </w:p>
    <w:p>
      <w:pPr>
        <w:spacing w:before="40" w:after="40"/>
        <w:ind w:left="360"/>
      </w:pPr>
      <w:r>
        <w:rPr>
          <w:color w:val="646464"/>
          <w:sz w:val="17"/>
        </w:rPr>
        <w:t xml:space="preserve">[10/08/2026] 🔴  </w:t>
      </w:r>
      <w:r>
        <w:rPr>
          <w:b/>
          <w:color w:val="C00000"/>
          <w:sz w:val="18"/>
        </w:rPr>
        <w:t>Federal Reserve: Sideways growth and sticky inflation – TD Securities - tmgm.com</w:t>
      </w:r>
      <w:r>
        <w:rPr>
          <w:color w:val="787878"/>
          <w:sz w:val="15"/>
        </w:rPr>
        <w:t xml:space="preserve">  [politique_monetaire]</w:t>
      </w:r>
      <w:r>
        <w:rPr>
          <w:color w:val="B47800"/>
          <w:sz w:val="16"/>
        </w:rPr>
        <w:t xml:space="preserve">  ★ 50/10</w:t>
      </w:r>
    </w:p>
    <w:p>
      <w:pPr>
        <w:spacing w:before="0" w:after="20"/>
        <w:ind w:left="600"/>
      </w:pPr>
      <w:r>
        <w:rPr>
          <w:color w:val="323232"/>
          <w:sz w:val="17"/>
        </w:rPr>
        <w:t>La Réserve fédérale américaine devrait faire face à une croissance économique atone et à une inflation persistante, selon les analystes de TD Securities. Cette situation suggère que la Fed pourrait maintenir sa politique monétaire restrictive plus longtemps que prévu, sans procéder à des baisses de taux imminentes. Les marchés financiers internatio</w:t>
      </w:r>
    </w:p>
    <w:p>
      <w:pPr>
        <w:spacing w:before="0" w:after="40"/>
        <w:ind w:left="600"/>
      </w:pPr>
      <w:r>
        <w:rPr>
          <w:color w:val="00643C"/>
          <w:sz w:val="16"/>
        </w:rPr>
        <w:t>Points clés : Croissance économique américaine atone attendue.  •  Inflation persistante, retardant les baisses de taux de la Fed.  •  Politique monétaire restrictive prolongée possible.</w:t>
      </w:r>
    </w:p>
    <w:p>
      <w:pPr>
        <w:spacing w:before="0" w:after="60"/>
        <w:ind w:left="600"/>
      </w:pPr>
      <w:r>
        <w:rPr>
          <w:color w:val="0064B4"/>
          <w:sz w:val="15"/>
        </w:rPr>
        <w:t>Source : https://news.google.com/rss/articles/CBMizAFBVV95cUxPa0k4TmZBc3phLS1QUm5zSTlON2Z</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PRSC</w:t>
            </w:r>
          </w:p>
        </w:tc>
        <w:tc>
          <w:tcPr>
            <w:tcW w:type="dxa" w:w="1080"/>
            <w:shd w:fill="C6EFCE" w:val="clear"/>
          </w:tcPr>
          <w:p>
            <w:r>
              <w:rPr>
                <w:sz w:val="16"/>
              </w:rPr>
              <w:t>CONSOMMATION DISCR</w:t>
            </w:r>
          </w:p>
        </w:tc>
        <w:tc>
          <w:tcPr>
            <w:tcW w:type="dxa" w:w="1080"/>
            <w:shd w:fill="C6EFCE" w:val="clear"/>
          </w:tcPr>
          <w:p>
            <w:r>
              <w:rPr>
                <w:sz w:val="16"/>
              </w:rPr>
              <w:t>4,400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2,900</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3</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12,480</w:t>
            </w:r>
          </w:p>
        </w:tc>
        <w:tc>
          <w:tcPr>
            <w:tcW w:type="dxa" w:w="1080"/>
            <w:shd w:fill="C6EFCE" w:val="clear"/>
          </w:tcPr>
          <w:p>
            <w:r>
              <w:rPr>
                <w:b/>
                <w:sz w:val="16"/>
              </w:rPr>
              <w:t>76/100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1,925</w:t>
            </w:r>
          </w:p>
        </w:tc>
        <w:tc>
          <w:tcPr>
            <w:tcW w:type="dxa" w:w="1080"/>
            <w:shd w:fill="C6EFCE" w:val="clear"/>
          </w:tcPr>
          <w:p>
            <w:r>
              <w:rPr>
                <w:b/>
                <w:sz w:val="16"/>
              </w:rPr>
              <w:t>75/100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BOAN</w:t>
            </w:r>
          </w:p>
        </w:tc>
        <w:tc>
          <w:tcPr>
            <w:tcW w:type="dxa" w:w="1080"/>
            <w:shd w:fill="C6EFCE" w:val="clear"/>
          </w:tcPr>
          <w:p>
            <w:r>
              <w:rPr>
                <w:sz w:val="16"/>
              </w:rPr>
              <w:t>SERVICES FINANCIER</w:t>
            </w:r>
          </w:p>
        </w:tc>
        <w:tc>
          <w:tcPr>
            <w:tcW w:type="dxa" w:w="1080"/>
            <w:shd w:fill="C6EFCE" w:val="clear"/>
          </w:tcPr>
          <w:p>
            <w:r>
              <w:rPr>
                <w:sz w:val="16"/>
              </w:rPr>
              <w:t>5,100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LNBB</w:t>
            </w:r>
          </w:p>
        </w:tc>
        <w:tc>
          <w:tcPr>
            <w:tcW w:type="dxa" w:w="1080"/>
            <w:shd w:fill="C6EFCE" w:val="clear"/>
          </w:tcPr>
          <w:p>
            <w:r>
              <w:rPr>
                <w:sz w:val="16"/>
              </w:rPr>
              <w:t>CONSOMMATION DISCR</w:t>
            </w:r>
          </w:p>
        </w:tc>
        <w:tc>
          <w:tcPr>
            <w:tcW w:type="dxa" w:w="1080"/>
            <w:shd w:fill="C6EFCE" w:val="clear"/>
          </w:tcPr>
          <w:p>
            <w:r>
              <w:rPr>
                <w:sz w:val="16"/>
              </w:rPr>
              <w:t>4,245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9,120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2,995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8,095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1,995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6,050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ETIT</w:t>
            </w:r>
          </w:p>
        </w:tc>
        <w:tc>
          <w:tcPr>
            <w:tcW w:type="dxa" w:w="1080"/>
            <w:shd w:fill="C6EFCE" w:val="clear"/>
          </w:tcPr>
          <w:p>
            <w:r>
              <w:rPr>
                <w:sz w:val="16"/>
              </w:rPr>
              <w:t>SERVICES FINANCIER</w:t>
            </w:r>
          </w:p>
        </w:tc>
        <w:tc>
          <w:tcPr>
            <w:tcW w:type="dxa" w:w="1080"/>
            <w:shd w:fill="C6EFCE" w:val="clear"/>
          </w:tcPr>
          <w:p>
            <w:r>
              <w:rPr>
                <w:sz w:val="16"/>
              </w:rPr>
              <w:t>65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17,450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17,255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3,110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9,100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2,250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5,450</w:t>
            </w:r>
          </w:p>
        </w:tc>
        <w:tc>
          <w:tcPr>
            <w:tcW w:type="dxa" w:w="1080"/>
            <w:shd w:fill="C6EFCE" w:val="clear"/>
          </w:tcPr>
          <w:p>
            <w:r>
              <w:rPr>
                <w:b/>
                <w:sz w:val="16"/>
              </w:rPr>
              <w:t>71/100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SOGC</w:t>
            </w:r>
          </w:p>
        </w:tc>
        <w:tc>
          <w:tcPr>
            <w:tcW w:type="dxa" w:w="1080"/>
            <w:shd w:fill="C6EFCE" w:val="clear"/>
          </w:tcPr>
          <w:p>
            <w:r>
              <w:rPr>
                <w:sz w:val="16"/>
              </w:rPr>
              <w:t>CONSOMMATION DE BA</w:t>
            </w:r>
          </w:p>
        </w:tc>
        <w:tc>
          <w:tcPr>
            <w:tcW w:type="dxa" w:w="1080"/>
            <w:shd w:fill="C6EFCE" w:val="clear"/>
          </w:tcPr>
          <w:p>
            <w:r>
              <w:rPr>
                <w:sz w:val="16"/>
              </w:rPr>
              <w:t>7,860</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EBF5FB" w:val="clear"/>
          </w:tcPr>
          <w:p>
            <w:r>
              <w:rPr>
                <w:sz w:val="16"/>
              </w:rPr>
              <w:t>20</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16,000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3,595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37,200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7,100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BOAS</w:t>
            </w:r>
          </w:p>
        </w:tc>
        <w:tc>
          <w:tcPr>
            <w:tcW w:type="dxa" w:w="1080"/>
            <w:shd w:fill="EBF5FB" w:val="clear"/>
          </w:tcPr>
          <w:p>
            <w:r>
              <w:rPr>
                <w:sz w:val="16"/>
              </w:rPr>
              <w:t>SERVICES FINANCIER</w:t>
            </w:r>
          </w:p>
        </w:tc>
        <w:tc>
          <w:tcPr>
            <w:tcW w:type="dxa" w:w="1080"/>
            <w:shd w:fill="EBF5FB" w:val="clear"/>
          </w:tcPr>
          <w:p>
            <w:r>
              <w:rPr>
                <w:sz w:val="16"/>
              </w:rPr>
              <w:t>7,690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23,590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26</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2,730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SNTS</w:t>
            </w:r>
          </w:p>
        </w:tc>
        <w:tc>
          <w:tcPr>
            <w:tcW w:type="dxa" w:w="1080"/>
            <w:shd w:fill="EBF5FB" w:val="clear"/>
          </w:tcPr>
          <w:p>
            <w:r>
              <w:rPr>
                <w:sz w:val="16"/>
              </w:rPr>
              <w:t>TELECOMMUNICATIONS</w:t>
            </w:r>
          </w:p>
        </w:tc>
        <w:tc>
          <w:tcPr>
            <w:tcW w:type="dxa" w:w="1080"/>
            <w:shd w:fill="EBF5FB" w:val="clear"/>
          </w:tcPr>
          <w:p>
            <w:r>
              <w:rPr>
                <w:sz w:val="16"/>
              </w:rPr>
              <w:t>32,000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7,870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23,500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3,180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8,655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3,500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1,640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2,190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2,400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16,500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2,660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28,700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2,260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5,170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8,730</w:t>
            </w:r>
          </w:p>
        </w:tc>
        <w:tc>
          <w:tcPr>
            <w:tcW w:type="dxa" w:w="1080"/>
            <w:shd w:fill="EBF5FB" w:val="clear"/>
          </w:tcPr>
          <w:p>
            <w:r>
              <w:rPr>
                <w:b/>
                <w:sz w:val="16"/>
              </w:rPr>
              <w:t>63/100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38,495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29,000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1,500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3,600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46</w:t>
            </w:r>
          </w:p>
        </w:tc>
        <w:tc>
          <w:tcPr>
            <w:tcW w:type="dxa" w:w="1080"/>
            <w:shd w:fill="FEFEFE" w:val="clear"/>
          </w:tcPr>
          <w:p>
            <w:r>
              <w:rPr>
                <w:sz w:val="16"/>
              </w:rPr>
              <w:t>SDCC</w:t>
            </w:r>
          </w:p>
        </w:tc>
        <w:tc>
          <w:tcPr>
            <w:tcW w:type="dxa" w:w="1080"/>
            <w:shd w:fill="FEFEFE" w:val="clear"/>
          </w:tcPr>
          <w:p>
            <w:r>
              <w:rPr>
                <w:sz w:val="16"/>
              </w:rPr>
              <w:t>SERVICES PUBLICS</w:t>
            </w:r>
          </w:p>
        </w:tc>
        <w:tc>
          <w:tcPr>
            <w:tcW w:type="dxa" w:w="1080"/>
            <w:shd w:fill="FEFEFE" w:val="clear"/>
          </w:tcPr>
          <w:p>
            <w:r>
              <w:rPr>
                <w:sz w:val="16"/>
              </w:rPr>
              <w:t>11,605</w:t>
            </w:r>
          </w:p>
        </w:tc>
        <w:tc>
          <w:tcPr>
            <w:tcW w:type="dxa" w:w="1080"/>
            <w:shd w:fill="FEFEFE" w:val="clear"/>
          </w:tcPr>
          <w:p>
            <w:r>
              <w:rPr>
                <w:b/>
                <w:sz w:val="16"/>
              </w:rPr>
              <w:t>54/100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58,000</w:t>
            </w:r>
          </w:p>
        </w:tc>
        <w:tc>
          <w:tcPr>
            <w:tcW w:type="dxa" w:w="1080"/>
            <w:shd w:fill="FEFEFE" w:val="clear"/>
          </w:tcPr>
          <w:p>
            <w:r>
              <w:rPr>
                <w:b/>
                <w:sz w:val="16"/>
              </w:rPr>
              <w:t>53/100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2,900</w:t>
            </w:r>
          </w:p>
        </w:tc>
        <w:tc>
          <w:tcPr>
            <w:tcW w:type="dxa" w:w="1728"/>
            <w:shd w:fill="DEEAF1" w:val="clear"/>
          </w:tcPr>
          <w:p>
            <w:r>
              <w:rPr>
                <w:sz w:val="17"/>
              </w:rPr>
              <w:t>77/100</w:t>
            </w:r>
          </w:p>
        </w:tc>
        <w:tc>
          <w:tcPr>
            <w:tcW w:type="dxa" w:w="1728"/>
            <w:shd w:fill="DEEAF1" w:val="clear"/>
          </w:tcPr>
          <w:p>
            <w:r>
              <w:rPr>
                <w:sz w:val="17"/>
              </w:rPr>
              <w:t>10.6%</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12,480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1,925</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LNBB</w:t>
            </w:r>
          </w:p>
        </w:tc>
        <w:tc>
          <w:tcPr>
            <w:tcW w:type="dxa" w:w="1728"/>
            <w:shd w:fill="DEEAF1" w:val="clear"/>
          </w:tcPr>
          <w:p>
            <w:r>
              <w:rPr>
                <w:sz w:val="17"/>
              </w:rPr>
              <w:t xml:space="preserve">LNBB - LOTERIE NATIONALE DU </w:t>
            </w:r>
          </w:p>
        </w:tc>
        <w:tc>
          <w:tcPr>
            <w:tcW w:type="dxa" w:w="1728"/>
            <w:shd w:fill="DEEAF1" w:val="clear"/>
          </w:tcPr>
          <w:p>
            <w:r>
              <w:rPr>
                <w:sz w:val="17"/>
              </w:rPr>
              <w:t>4,245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9,120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TTLC</w:t>
            </w:r>
          </w:p>
        </w:tc>
        <w:tc>
          <w:tcPr>
            <w:tcW w:type="dxa" w:w="1728"/>
            <w:shd w:fill="DEEAF1" w:val="clear"/>
          </w:tcPr>
          <w:p>
            <w:r>
              <w:rPr>
                <w:sz w:val="17"/>
              </w:rPr>
              <w:t>TTLC - TOTAL ENERGIES MARKET</w:t>
            </w:r>
          </w:p>
        </w:tc>
        <w:tc>
          <w:tcPr>
            <w:tcW w:type="dxa" w:w="1728"/>
            <w:shd w:fill="DEEAF1" w:val="clear"/>
          </w:tcPr>
          <w:p>
            <w:r>
              <w:rPr>
                <w:sz w:val="17"/>
              </w:rPr>
              <w:t>2,995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BICB</w:t>
            </w:r>
          </w:p>
        </w:tc>
        <w:tc>
          <w:tcPr>
            <w:tcW w:type="dxa" w:w="1728"/>
            <w:shd w:fill="DEEAF1" w:val="clear"/>
          </w:tcPr>
          <w:p>
            <w:r>
              <w:rPr>
                <w:sz w:val="17"/>
              </w:rPr>
              <w:t>BIIC BN - Banque internation</w:t>
            </w:r>
          </w:p>
        </w:tc>
        <w:tc>
          <w:tcPr>
            <w:tcW w:type="dxa" w:w="1728"/>
            <w:shd w:fill="DEEAF1" w:val="clear"/>
          </w:tcPr>
          <w:p>
            <w:r>
              <w:rPr>
                <w:sz w:val="17"/>
              </w:rPr>
              <w:t>8,095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BNBC</w:t>
            </w:r>
          </w:p>
        </w:tc>
        <w:tc>
          <w:tcPr>
            <w:tcW w:type="dxa" w:w="1728"/>
            <w:shd w:fill="DEEAF1" w:val="clear"/>
          </w:tcPr>
          <w:p>
            <w:r>
              <w:rPr>
                <w:sz w:val="17"/>
              </w:rPr>
              <w:t>BNBC - BERNABE CI</w:t>
            </w:r>
          </w:p>
        </w:tc>
        <w:tc>
          <w:tcPr>
            <w:tcW w:type="dxa" w:w="1728"/>
            <w:shd w:fill="DEEAF1" w:val="clear"/>
          </w:tcPr>
          <w:p>
            <w:r>
              <w:rPr>
                <w:sz w:val="17"/>
              </w:rPr>
              <w:t>1,995</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PRSC</w:t>
            </w:r>
          </w:p>
        </w:tc>
        <w:tc>
          <w:tcPr>
            <w:tcW w:type="dxa" w:w="1728"/>
            <w:shd w:fill="E2EFDA" w:val="clear"/>
          </w:tcPr>
          <w:p>
            <w:r>
              <w:rPr>
                <w:sz w:val="17"/>
              </w:rPr>
              <w:t>PRSC - TRACTAFRIC MOTORS CI</w:t>
            </w:r>
          </w:p>
        </w:tc>
        <w:tc>
          <w:tcPr>
            <w:tcW w:type="dxa" w:w="1728"/>
            <w:shd w:fill="E2EFDA" w:val="clear"/>
          </w:tcPr>
          <w:p>
            <w:r>
              <w:rPr>
                <w:sz w:val="17"/>
              </w:rPr>
              <w:t>4,400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2,900</w:t>
            </w:r>
          </w:p>
        </w:tc>
        <w:tc>
          <w:tcPr>
            <w:tcW w:type="dxa" w:w="1728"/>
            <w:shd w:fill="E2EFDA" w:val="clear"/>
          </w:tcPr>
          <w:p>
            <w:r>
              <w:rPr>
                <w:sz w:val="17"/>
              </w:rPr>
              <w:t>77/100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12,480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1,925</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BOAN</w:t>
            </w:r>
          </w:p>
        </w:tc>
        <w:tc>
          <w:tcPr>
            <w:tcW w:type="dxa" w:w="1728"/>
            <w:shd w:fill="E2EFDA" w:val="clear"/>
          </w:tcPr>
          <w:p>
            <w:r>
              <w:rPr>
                <w:sz w:val="17"/>
              </w:rPr>
              <w:t>BANK OF AFRICA NIGER</w:t>
            </w:r>
          </w:p>
        </w:tc>
        <w:tc>
          <w:tcPr>
            <w:tcW w:type="dxa" w:w="1728"/>
            <w:shd w:fill="E2EFDA" w:val="clear"/>
          </w:tcPr>
          <w:p>
            <w:r>
              <w:rPr>
                <w:sz w:val="17"/>
              </w:rPr>
              <w:t>5,100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LNBB</w:t>
            </w:r>
          </w:p>
        </w:tc>
        <w:tc>
          <w:tcPr>
            <w:tcW w:type="dxa" w:w="1728"/>
            <w:shd w:fill="E2EFDA" w:val="clear"/>
          </w:tcPr>
          <w:p>
            <w:r>
              <w:rPr>
                <w:sz w:val="17"/>
              </w:rPr>
              <w:t xml:space="preserve">LNBB - LOTERIE NATIONALE DU </w:t>
            </w:r>
          </w:p>
        </w:tc>
        <w:tc>
          <w:tcPr>
            <w:tcW w:type="dxa" w:w="1728"/>
            <w:shd w:fill="E2EFDA" w:val="clear"/>
          </w:tcPr>
          <w:p>
            <w:r>
              <w:rPr>
                <w:sz w:val="17"/>
              </w:rPr>
              <w:t>4,245</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SIBC</w:t>
            </w:r>
          </w:p>
        </w:tc>
        <w:tc>
          <w:tcPr>
            <w:tcW w:type="dxa" w:w="1728"/>
            <w:shd w:fill="E2EFDA" w:val="clear"/>
          </w:tcPr>
          <w:p>
            <w:r>
              <w:rPr>
                <w:sz w:val="17"/>
              </w:rPr>
              <w:t>SIBC - SOCIETE IVOIRIENNE DE</w:t>
            </w:r>
          </w:p>
        </w:tc>
        <w:tc>
          <w:tcPr>
            <w:tcW w:type="dxa" w:w="1728"/>
            <w:shd w:fill="E2EFDA" w:val="clear"/>
          </w:tcPr>
          <w:p>
            <w:r>
              <w:rPr>
                <w:sz w:val="17"/>
              </w:rPr>
              <w:t>9,120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TTLC</w:t>
            </w:r>
          </w:p>
        </w:tc>
        <w:tc>
          <w:tcPr>
            <w:tcW w:type="dxa" w:w="1728"/>
            <w:shd w:fill="E2EFDA" w:val="clear"/>
          </w:tcPr>
          <w:p>
            <w:r>
              <w:rPr>
                <w:sz w:val="17"/>
              </w:rPr>
              <w:t>TTLC - TOTAL ENERGIES MARKET</w:t>
            </w:r>
          </w:p>
        </w:tc>
        <w:tc>
          <w:tcPr>
            <w:tcW w:type="dxa" w:w="1728"/>
            <w:shd w:fill="E2EFDA" w:val="clear"/>
          </w:tcPr>
          <w:p>
            <w:r>
              <w:rPr>
                <w:sz w:val="17"/>
              </w:rPr>
              <w:t>2,995</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PRSC</w:t>
            </w:r>
          </w:p>
        </w:tc>
        <w:tc>
          <w:tcPr>
            <w:tcW w:type="dxa" w:w="1728"/>
            <w:shd w:fill="FCE4D6" w:val="clear"/>
          </w:tcPr>
          <w:p>
            <w:r>
              <w:rPr>
                <w:sz w:val="17"/>
              </w:rPr>
              <w:t>PRSC - TRACTAFRIC MOTORS CI</w:t>
            </w:r>
          </w:p>
        </w:tc>
        <w:tc>
          <w:tcPr>
            <w:tcW w:type="dxa" w:w="1728"/>
            <w:shd w:fill="FCE4D6" w:val="clear"/>
          </w:tcPr>
          <w:p>
            <w:r>
              <w:rPr>
                <w:sz w:val="17"/>
              </w:rPr>
              <w:t>4,400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2,900</w:t>
            </w:r>
          </w:p>
        </w:tc>
        <w:tc>
          <w:tcPr>
            <w:tcW w:type="dxa" w:w="1728"/>
            <w:shd w:fill="FCE4D6" w:val="clear"/>
          </w:tcPr>
          <w:p>
            <w:r>
              <w:rPr>
                <w:sz w:val="17"/>
              </w:rPr>
              <w:t>77/100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12,480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1,925</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BOAN</w:t>
            </w:r>
          </w:p>
        </w:tc>
        <w:tc>
          <w:tcPr>
            <w:tcW w:type="dxa" w:w="1728"/>
            <w:shd w:fill="FCE4D6" w:val="clear"/>
          </w:tcPr>
          <w:p>
            <w:r>
              <w:rPr>
                <w:sz w:val="17"/>
              </w:rPr>
              <w:t>BANK OF AFRICA NIGER</w:t>
            </w:r>
          </w:p>
        </w:tc>
        <w:tc>
          <w:tcPr>
            <w:tcW w:type="dxa" w:w="1728"/>
            <w:shd w:fill="FCE4D6" w:val="clear"/>
          </w:tcPr>
          <w:p>
            <w:r>
              <w:rPr>
                <w:sz w:val="17"/>
              </w:rPr>
              <w:t>5,100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LNBB</w:t>
            </w:r>
          </w:p>
        </w:tc>
        <w:tc>
          <w:tcPr>
            <w:tcW w:type="dxa" w:w="1728"/>
            <w:shd w:fill="FCE4D6" w:val="clear"/>
          </w:tcPr>
          <w:p>
            <w:r>
              <w:rPr>
                <w:sz w:val="17"/>
              </w:rPr>
              <w:t xml:space="preserve">LNBB - LOTERIE NATIONALE DU </w:t>
            </w:r>
          </w:p>
        </w:tc>
        <w:tc>
          <w:tcPr>
            <w:tcW w:type="dxa" w:w="1728"/>
            <w:shd w:fill="FCE4D6" w:val="clear"/>
          </w:tcPr>
          <w:p>
            <w:r>
              <w:rPr>
                <w:sz w:val="17"/>
              </w:rPr>
              <w:t>4,245</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SIBC</w:t>
            </w:r>
          </w:p>
        </w:tc>
        <w:tc>
          <w:tcPr>
            <w:tcW w:type="dxa" w:w="1728"/>
            <w:shd w:fill="FCE4D6" w:val="clear"/>
          </w:tcPr>
          <w:p>
            <w:r>
              <w:rPr>
                <w:sz w:val="17"/>
              </w:rPr>
              <w:t>SIBC - SOCIETE IVOIRIENNE DE</w:t>
            </w:r>
          </w:p>
        </w:tc>
        <w:tc>
          <w:tcPr>
            <w:tcW w:type="dxa" w:w="1728"/>
            <w:shd w:fill="FCE4D6" w:val="clear"/>
          </w:tcPr>
          <w:p>
            <w:r>
              <w:rPr>
                <w:sz w:val="17"/>
              </w:rPr>
              <w:t>9,120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TTLC</w:t>
            </w:r>
          </w:p>
        </w:tc>
        <w:tc>
          <w:tcPr>
            <w:tcW w:type="dxa" w:w="1728"/>
            <w:shd w:fill="FCE4D6" w:val="clear"/>
          </w:tcPr>
          <w:p>
            <w:r>
              <w:rPr>
                <w:sz w:val="17"/>
              </w:rPr>
              <w:t>TTLC - TOTAL ENERGIES MARKET</w:t>
            </w:r>
          </w:p>
        </w:tc>
        <w:tc>
          <w:tcPr>
            <w:tcW w:type="dxa" w:w="1728"/>
            <w:shd w:fill="FCE4D6" w:val="clear"/>
          </w:tcPr>
          <w:p>
            <w:r>
              <w:rPr>
                <w:sz w:val="17"/>
              </w:rPr>
              <w:t>2,995</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NTLC — NTLC - NESTLE COTE D'IVOIRE</w:t>
      </w:r>
    </w:p>
    <w:p>
      <w:pPr>
        <w:pStyle w:val="ListBullet"/>
        <w:spacing w:before="20"/>
        <w:ind w:left="400"/>
      </w:pPr>
      <w:r>
        <w:rPr>
          <w:sz w:val="18"/>
        </w:rPr>
        <w:t>🔴 RSI surachat (88.1 &gt; 70) — risque de correction</w:t>
      </w:r>
    </w:p>
    <w:p>
      <w:pPr>
        <w:pStyle w:val="ListBullet"/>
        <w:spacing w:before="20"/>
        <w:ind w:left="400"/>
      </w:pPr>
      <w:r>
        <w:rPr>
          <w:sz w:val="18"/>
        </w:rPr>
        <w:t>⚠️ Cours à 0.0% du plus haut 100j (17,450 FCFA)</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RSI surachat (84.9 &gt; 70) — risque de correction</w:t>
      </w:r>
    </w:p>
    <w:p>
      <w:pPr>
        <w:pStyle w:val="ListBullet"/>
        <w:spacing w:before="20"/>
        <w:ind w:left="400"/>
      </w:pPr>
      <w:r>
        <w:rPr>
          <w:sz w:val="18"/>
        </w:rPr>
        <w:t>⚠️ Cours à 0.0% du plus haut 100j (8,730 FCFA)</w:t>
      </w:r>
    </w:p>
    <w:p>
      <w:pPr>
        <w:pStyle w:val="ListBullet"/>
        <w:spacing w:before="20"/>
        <w:ind w:left="400"/>
      </w:pPr>
      <w:r>
        <w:rPr>
          <w:sz w:val="18"/>
        </w:rPr>
        <w:t>🟠 Divergence tech(VENTE) / fond(ACHAT) — recommandation ajustée à ACHAT</w:t>
      </w:r>
    </w:p>
    <w:p>
      <w:pPr>
        <w:spacing w:before="120"/>
      </w:pPr>
      <w:r>
        <w:rPr>
          <w:b/>
          <w:color w:val="0050A0"/>
          <w:sz w:val="20"/>
        </w:rPr>
        <w:t>BICB — BIIC BN - Banque internationale pour le commerce du benin</w:t>
      </w:r>
    </w:p>
    <w:p>
      <w:pPr>
        <w:pStyle w:val="ListBullet"/>
        <w:spacing w:before="20"/>
        <w:ind w:left="400"/>
      </w:pPr>
      <w:r>
        <w:rPr>
          <w:sz w:val="18"/>
        </w:rPr>
        <w:t>🔴 RSI surachat (77.7 &gt; 70) — risque de correction</w:t>
      </w:r>
    </w:p>
    <w:p>
      <w:pPr>
        <w:pStyle w:val="ListBullet"/>
        <w:spacing w:before="20"/>
        <w:ind w:left="400"/>
      </w:pPr>
      <w:r>
        <w:rPr>
          <w:sz w:val="18"/>
        </w:rPr>
        <w:t>⚠️ Cours à 0.0% du plus haut 100j (8,095 FCFA)</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1.7% du plus haut 100j (29,490 FCFA)</w:t>
      </w:r>
    </w:p>
    <w:p>
      <w:pPr>
        <w:pStyle w:val="ListBullet"/>
        <w:spacing w:before="20"/>
        <w:ind w:left="400"/>
      </w:pPr>
      <w:r>
        <w:rPr>
          <w:sz w:val="18"/>
        </w:rPr>
        <w:t>🟠 Divergence tech(VENTE) / fond(ACHAT) — recommandation ajustée à ACHAT</w:t>
      </w:r>
    </w:p>
    <w:p>
      <w:pPr>
        <w:spacing w:before="120"/>
      </w:pPr>
      <w:r>
        <w:rPr>
          <w:b/>
          <w:color w:val="0050A0"/>
          <w:sz w:val="20"/>
        </w:rPr>
        <w:t>BOAC — BANK OF AFRICA COTE D'IVOIRE</w:t>
      </w:r>
    </w:p>
    <w:p>
      <w:pPr>
        <w:pStyle w:val="ListBullet"/>
        <w:spacing w:before="20"/>
        <w:ind w:left="400"/>
      </w:pPr>
      <w:r>
        <w:rPr>
          <w:sz w:val="18"/>
        </w:rPr>
        <w:t>🔴 RSI surachat (88.4 &gt; 70) — risque de correction</w:t>
      </w:r>
    </w:p>
    <w:p>
      <w:pPr>
        <w:pStyle w:val="ListBullet"/>
        <w:spacing w:before="20"/>
        <w:ind w:left="400"/>
      </w:pPr>
      <w:r>
        <w:rPr>
          <w:sz w:val="18"/>
        </w:rPr>
        <w:t>⚠️ Cours à 0.0% du plus haut 100j (12,480 FCFA)</w:t>
      </w:r>
    </w:p>
    <w:p>
      <w:pPr>
        <w:spacing w:before="120"/>
      </w:pPr>
      <w:r>
        <w:rPr>
          <w:b/>
          <w:color w:val="0050A0"/>
          <w:sz w:val="20"/>
        </w:rPr>
        <w:t>CBIBF — CBIBF - CORIS BANK INTERNATIONAL BURKINA FASO</w:t>
      </w:r>
    </w:p>
    <w:p>
      <w:pPr>
        <w:pStyle w:val="ListBullet"/>
        <w:spacing w:before="20"/>
        <w:ind w:left="400"/>
      </w:pPr>
      <w:r>
        <w:rPr>
          <w:sz w:val="18"/>
        </w:rPr>
        <w:t>🔴 RSI surachat (79.5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RSI surachat (89.1 &gt; 70) — risque de correction</w:t>
      </w:r>
    </w:p>
    <w:p>
      <w:pPr>
        <w:pStyle w:val="ListBullet"/>
        <w:spacing w:before="20"/>
        <w:ind w:left="400"/>
      </w:pPr>
      <w:r>
        <w:rPr>
          <w:sz w:val="18"/>
        </w:rPr>
        <w:t>⚠️ Cours à 0.0% du plus haut 100j (17,255 FCFA)</w:t>
      </w:r>
    </w:p>
    <w:p>
      <w:pPr>
        <w:spacing w:before="120"/>
      </w:pPr>
      <w:r>
        <w:rPr>
          <w:b/>
          <w:color w:val="0050A0"/>
          <w:sz w:val="20"/>
        </w:rPr>
        <w:t>SNTS — SNTS - SONATEL SN</w:t>
      </w:r>
    </w:p>
    <w:p>
      <w:pPr>
        <w:pStyle w:val="ListBullet"/>
        <w:spacing w:before="20"/>
        <w:ind w:left="400"/>
      </w:pPr>
      <w:r>
        <w:rPr>
          <w:sz w:val="18"/>
        </w:rPr>
        <w:t>⚠️ Cours à 1.5% du plus haut 100j (32,500 FCFA)</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RSI surachat (72.4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Divergence tech(VENTE) / fond(ACHAT) — recommandation ajustée à ACHAT</w:t>
      </w:r>
    </w:p>
    <w:p>
      <w:pPr>
        <w:spacing w:before="120"/>
      </w:pPr>
      <w:r>
        <w:rPr>
          <w:b/>
          <w:color w:val="0050A0"/>
          <w:sz w:val="20"/>
        </w:rPr>
        <w:t>BOAM — BANK OF AFRICA MALI</w:t>
      </w:r>
    </w:p>
    <w:p>
      <w:pPr>
        <w:pStyle w:val="ListBullet"/>
        <w:spacing w:before="20"/>
        <w:ind w:left="400"/>
      </w:pPr>
      <w:r>
        <w:rPr>
          <w:sz w:val="18"/>
        </w:rPr>
        <w:t>⚠️ Cours à 0.0% du plus haut 100j (6,050 FCFA)</w:t>
      </w:r>
    </w:p>
    <w:p>
      <w:pPr>
        <w:spacing w:before="120"/>
      </w:pPr>
      <w:r>
        <w:rPr>
          <w:b/>
          <w:color w:val="0050A0"/>
          <w:sz w:val="20"/>
        </w:rPr>
        <w:t>CABC — CABC - SICABLE COTE D'IVOIRE</w:t>
      </w:r>
    </w:p>
    <w:p>
      <w:pPr>
        <w:pStyle w:val="ListBullet"/>
        <w:spacing w:before="20"/>
        <w:ind w:left="400"/>
      </w:pPr>
      <w:r>
        <w:rPr>
          <w:sz w:val="18"/>
        </w:rPr>
        <w:t>🟠 Divergence tech(VENTE) / fond(ACHAT) — recommandation ajustée à ACHAT</w:t>
      </w:r>
    </w:p>
    <w:p>
      <w:pPr>
        <w:spacing w:before="120"/>
      </w:pPr>
      <w:r>
        <w:rPr>
          <w:b/>
          <w:color w:val="0050A0"/>
          <w:sz w:val="20"/>
        </w:rPr>
        <w:t>CIEC — CIEC - Compagnie Ivoirienne d'Electricité</w:t>
      </w:r>
    </w:p>
    <w:p>
      <w:pPr>
        <w:pStyle w:val="ListBullet"/>
        <w:spacing w:before="20"/>
        <w:ind w:left="400"/>
      </w:pPr>
      <w:r>
        <w:rPr>
          <w:sz w:val="18"/>
        </w:rPr>
        <w:t>⚠️ Cours à 0.6% du plus haut 100j (5,485 FCFA)</w:t>
      </w:r>
    </w:p>
    <w:p>
      <w:pPr>
        <w:spacing w:before="120"/>
      </w:pPr>
      <w:r>
        <w:rPr>
          <w:b/>
          <w:color w:val="0050A0"/>
          <w:sz w:val="20"/>
        </w:rPr>
        <w:t>FTSC — FTSC - FILTISAC COTE D'IVOIRE</w:t>
      </w:r>
    </w:p>
    <w:p>
      <w:pPr>
        <w:pStyle w:val="ListBullet"/>
        <w:spacing w:before="20"/>
        <w:ind w:left="400"/>
      </w:pPr>
      <w:r>
        <w:rPr>
          <w:sz w:val="18"/>
        </w:rPr>
        <w:t>🟠 Divergence tech(VENTE) / fond(ACHAT) — recommandation ajustée à ACHAT</w:t>
      </w:r>
    </w:p>
    <w:p>
      <w:pPr>
        <w:spacing w:before="120"/>
      </w:pPr>
      <w:r>
        <w:rPr>
          <w:b/>
          <w:color w:val="0050A0"/>
          <w:sz w:val="20"/>
        </w:rPr>
        <w:t>NSBC — NSBC - NSIA BANQUE COTE D'IVOIRE</w:t>
      </w:r>
    </w:p>
    <w:p>
      <w:pPr>
        <w:pStyle w:val="ListBullet"/>
        <w:spacing w:before="20"/>
        <w:ind w:left="400"/>
      </w:pPr>
      <w:r>
        <w:rPr>
          <w:sz w:val="18"/>
        </w:rPr>
        <w:t>⚠️ Cours à 1.8% du plus haut 100j (24,020 FCFA)</w:t>
      </w:r>
    </w:p>
    <w:p>
      <w:pPr>
        <w:spacing w:before="120"/>
      </w:pPr>
      <w:r>
        <w:rPr>
          <w:b/>
          <w:color w:val="0050A0"/>
          <w:sz w:val="20"/>
        </w:rPr>
        <w:t>ORGT — ORGT - ORAGROUP TOGO</w:t>
      </w:r>
    </w:p>
    <w:p>
      <w:pPr>
        <w:pStyle w:val="ListBullet"/>
        <w:spacing w:before="20"/>
        <w:ind w:left="400"/>
      </w:pPr>
      <w:r>
        <w:rPr>
          <w:sz w:val="18"/>
        </w:rPr>
        <w:t>🔴 RSI surachat (90.6 &gt; 70) — risque de correction</w:t>
      </w:r>
    </w:p>
    <w:p>
      <w:pPr>
        <w:spacing w:before="120"/>
      </w:pPr>
      <w:r>
        <w:rPr>
          <w:b/>
          <w:color w:val="0050A0"/>
          <w:sz w:val="20"/>
        </w:rPr>
        <w:t>PRSC — PRSC - TRACTAFRIC MOTORS CI</w:t>
      </w:r>
    </w:p>
    <w:p>
      <w:pPr>
        <w:pStyle w:val="ListBullet"/>
        <w:spacing w:before="20"/>
        <w:ind w:left="400"/>
      </w:pPr>
      <w:r>
        <w:rPr>
          <w:sz w:val="18"/>
        </w:rPr>
        <w:t>🟢 RSI survente (27.9 &lt; 30) — opportunité potentielle</w:t>
      </w:r>
    </w:p>
    <w:p>
      <w:pPr>
        <w:spacing w:before="120"/>
      </w:pPr>
      <w:r>
        <w:rPr>
          <w:b/>
          <w:color w:val="0050A0"/>
          <w:sz w:val="20"/>
        </w:rPr>
        <w:t>SDCC — SDCC - Société de Distribution d'Eau de Côte d'Ivoire</w:t>
      </w:r>
    </w:p>
    <w:p>
      <w:pPr>
        <w:pStyle w:val="ListBullet"/>
        <w:spacing w:before="20"/>
        <w:ind w:left="400"/>
      </w:pPr>
      <w:r>
        <w:rPr>
          <w:sz w:val="18"/>
        </w:rPr>
        <w:t>🟠 Divergence tech(VENTE) / fond(ACHAT) — recommandation ajustée à ACHAT</w:t>
      </w:r>
    </w:p>
    <w:p>
      <w:pPr>
        <w:spacing w:before="120"/>
      </w:pPr>
      <w:r>
        <w:rPr>
          <w:b/>
          <w:color w:val="0050A0"/>
          <w:sz w:val="20"/>
        </w:rPr>
        <w:t>SDSC — SDSC - AFRICA GLOBAL LOGISTICS CI</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1.8% du plus haut 100j (39,200 FCFA)</w:t>
      </w:r>
    </w:p>
    <w:p>
      <w:pPr>
        <w:spacing w:before="120"/>
      </w:pPr>
      <w:r>
        <w:rPr>
          <w:b/>
          <w:color w:val="0050A0"/>
          <w:sz w:val="20"/>
        </w:rPr>
        <w:t>SIVC — SIVC - ERIUM CI (Ex AIR LIQUIDECI)</w:t>
      </w:r>
    </w:p>
    <w:p>
      <w:pPr>
        <w:pStyle w:val="ListBullet"/>
        <w:spacing w:before="20"/>
        <w:ind w:left="400"/>
      </w:pPr>
      <w:r>
        <w:rPr>
          <w:sz w:val="18"/>
        </w:rPr>
        <w:t>🟠 Divergence tech(VENTE) / fond(ACHAT) — recommandation ajustée à ACHAT</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 FORT</w:t>
      </w:r>
    </w:p>
    <w:p>
      <w:pPr>
        <w:spacing w:before="120"/>
      </w:pPr>
      <w:r>
        <w:rPr>
          <w:b/>
          <w:color w:val="0050A0"/>
          <w:sz w:val="20"/>
        </w:rPr>
        <w:t>STAC — STAC - SETAO COTE D'IVOIRE</w:t>
      </w:r>
    </w:p>
    <w:p>
      <w:pPr>
        <w:pStyle w:val="ListBullet"/>
        <w:spacing w:before="20"/>
        <w:ind w:left="400"/>
      </w:pPr>
      <w:r>
        <w:rPr>
          <w:sz w:val="18"/>
        </w:rPr>
        <w:t>🟠 Divergence tech(VENTE) / fond(ACHAT) — recommandation ajustée à ACHAT</w:t>
      </w:r>
    </w:p>
    <w:p>
      <w:pPr>
        <w:spacing w:before="120"/>
      </w:pPr>
      <w:r>
        <w:rPr>
          <w:b/>
          <w:color w:val="0050A0"/>
          <w:sz w:val="20"/>
        </w:rPr>
        <w:t>TTLC — TTLC - TOTAL ENERGIES MARKETING COTE D'IVOIRE</w:t>
      </w:r>
    </w:p>
    <w:p>
      <w:pPr>
        <w:pStyle w:val="ListBullet"/>
        <w:spacing w:before="20"/>
        <w:ind w:left="400"/>
      </w:pPr>
      <w:r>
        <w:rPr>
          <w:sz w:val="18"/>
        </w:rPr>
        <w:t>⚠️ Cours à 2.1% du plus haut 100j (3,060 FCFA)</w:t>
      </w:r>
    </w:p>
    <w:p>
      <w:pPr>
        <w:spacing w:before="120"/>
      </w:pPr>
      <w:r>
        <w:rPr>
          <w:b/>
          <w:color w:val="0050A0"/>
          <w:sz w:val="20"/>
        </w:rPr>
        <w:t>TTLS — TTLS - TOTAL ENERGIES MARKETING SENEGAL</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24 société(s) (51%)</w:t>
            </w:r>
          </w:p>
        </w:tc>
        <w:tc>
          <w:tcPr>
            <w:tcW w:type="dxa" w:w="1644"/>
            <w:shd w:fill="FFEB9C" w:val="clear"/>
          </w:tcPr>
          <w:p>
            <w:r>
              <w:rPr>
                <w:b/>
                <w:color w:val="825A00"/>
                <w:sz w:val="19"/>
              </w:rPr>
              <w:t>23 société(s) (49%)</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21.0/100</w:t>
            </w:r>
          </w:p>
        </w:tc>
        <w:tc>
          <w:tcPr>
            <w:tcW w:type="dxa" w:w="1644"/>
            <w:shd w:fill="DEEAF1" w:val="clear"/>
          </w:tcPr>
          <w:p>
            <w:r>
              <w:rPr>
                <w:b/>
                <w:color w:val="000000"/>
                <w:sz w:val="19"/>
              </w:rPr>
              <w:t>19.3/100</w:t>
            </w:r>
          </w:p>
        </w:tc>
      </w:tr>
    </w:tbl>
    <w:p/>
    <w:p>
      <w:r>
        <w:rPr>
          <w:i/>
          <w:color w:val="006400"/>
          <w:sz w:val="18"/>
        </w:rPr>
        <w:t>✅ Le marché BRVM présente globalement un profil de risque FAIBLE (score moyen 21.0/100).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38.6/100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UNLC</w:t>
            </w:r>
          </w:p>
        </w:tc>
        <w:tc>
          <w:tcPr>
            <w:tcW w:type="dxa" w:w="2268"/>
            <w:shd w:fill="FFFFFF" w:val="clear"/>
          </w:tcPr>
          <w:p>
            <w:r>
              <w:rPr>
                <w:sz w:val="16"/>
              </w:rPr>
              <w:t>UNLC - UNILEVER COTE D'IVOIR…</w:t>
            </w:r>
          </w:p>
        </w:tc>
        <w:tc>
          <w:tcPr>
            <w:tcW w:type="dxa" w:w="1701"/>
            <w:shd w:fill="FFFFFF" w:val="clear"/>
          </w:tcPr>
          <w:p>
            <w:r>
              <w:rPr>
                <w:sz w:val="16"/>
              </w:rPr>
              <w:t>CONSOMMATION DE BA</w:t>
            </w:r>
          </w:p>
        </w:tc>
        <w:tc>
          <w:tcPr>
            <w:tcW w:type="dxa" w:w="1020"/>
            <w:shd w:fill="FFEB9C" w:val="clear"/>
          </w:tcPr>
          <w:p>
            <w:r>
              <w:rPr>
                <w:b/>
                <w:color w:val="B40000"/>
                <w:sz w:val="16"/>
              </w:rPr>
              <w:t>32.8/100</w:t>
            </w:r>
          </w:p>
        </w:tc>
        <w:tc>
          <w:tcPr>
            <w:tcW w:type="dxa" w:w="1134"/>
            <w:shd w:fill="FFEB9C" w:val="clear"/>
          </w:tcPr>
          <w:p>
            <w:r>
              <w:rPr>
                <w:sz w:val="16"/>
              </w:rPr>
              <w:t>Moyen</w:t>
            </w:r>
          </w:p>
        </w:tc>
        <w:tc>
          <w:tcPr>
            <w:tcW w:type="dxa" w:w="2381"/>
            <w:shd w:fill="FFFFFF" w:val="clear"/>
          </w:tcPr>
          <w:p>
            <w:r>
              <w:rPr>
                <w:sz w:val="16"/>
              </w:rPr>
              <w:t>💧 Liquidité très faible</w:t>
            </w:r>
          </w:p>
        </w:tc>
      </w:tr>
      <w:tr>
        <w:tc>
          <w:tcPr>
            <w:tcW w:type="dxa" w:w="567"/>
            <w:shd w:fill="FFFFFF" w:val="clear"/>
          </w:tcPr>
          <w:p>
            <w:r>
              <w:rPr>
                <w:b/>
                <w:sz w:val="16"/>
              </w:rPr>
              <w:t>#4</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SICC (38.6/100 — Moyen) : </w:t>
      </w:r>
      <w:r>
        <w:rPr>
          <w:sz w:val="17"/>
        </w:rPr>
        <w:t>Volatilité=Élevée | Bêta=Contre-cyclique | Liquidité=Très faible | Divergence signaux=taux divergence=40% (Très divergent ❌) | Stabilité=Modérée</w:t>
      </w:r>
    </w:p>
    <w:p>
      <w:pPr>
        <w:pStyle w:val="ListBullet"/>
      </w:pPr>
      <w:r>
        <w:rPr>
          <w:b/>
          <w:color w:val="B40000"/>
          <w:sz w:val="18"/>
        </w:rPr>
        <w:t xml:space="preserve">#2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#3 UNLC (32.8/100 — Moyen) : </w:t>
      </w:r>
      <w:r>
        <w:rPr>
          <w:sz w:val="17"/>
        </w:rPr>
        <w:t>Volatilité=Moyenne | Bêta=Très agressif | Liquidité=Très faible | Divergence signaux=taux divergence=20% (Mixte ⚠️) | Stabilité=Modérée</w:t>
      </w:r>
    </w:p>
    <w:p>
      <w:pPr>
        <w:pStyle w:val="ListBullet"/>
      </w:pPr>
      <w:r>
        <w:rPr>
          <w:b/>
          <w:color w:val="B40000"/>
          <w:sz w:val="18"/>
        </w:rPr>
        <w:t xml:space="preserve">#4 NSBC (31.3/100 — Moyen) : </w:t>
      </w:r>
      <w:r>
        <w:rPr>
          <w:sz w:val="17"/>
        </w:rPr>
        <w:t>Volatilité=Élevée | Bêta=Agressif | Liquidité=Bonne | Divergence signaux=taux divergence=20% (Mixte ⚠️) | Stabilité=Stable</w:t>
      </w:r>
    </w:p>
    <w:p>
      <w:pPr>
        <w:pStyle w:val="ListBullet"/>
      </w:pPr>
      <w:r>
        <w:rPr>
          <w:b/>
          <w:color w:val="B40000"/>
          <w:sz w:val="18"/>
        </w:rPr>
        <w:t xml:space="preserve">#5 SAFC (30.1/100 — Moyen) : </w:t>
      </w:r>
      <w:r>
        <w:rPr>
          <w:sz w:val="17"/>
        </w:rPr>
        <w:t>Volatilité=Élevée | Bêta=Défensif | Liquidité=Bonne | Divergence signaux=taux divergence=20% (Mixte ⚠️) | Stabilité=Instable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TTLC</w:t>
            </w:r>
          </w:p>
        </w:tc>
        <w:tc>
          <w:tcPr>
            <w:tcW w:type="dxa" w:w="2268"/>
            <w:shd w:fill="FFFFFF" w:val="clear"/>
          </w:tcPr>
          <w:p>
            <w:r>
              <w:rPr>
                <w:sz w:val="16"/>
              </w:rPr>
              <w:t>TTLC - TOTAL ENERGIES MARKET…</w:t>
            </w:r>
          </w:p>
        </w:tc>
        <w:tc>
          <w:tcPr>
            <w:tcW w:type="dxa" w:w="1701"/>
            <w:shd w:fill="FFFFFF" w:val="clear"/>
          </w:tcPr>
          <w:p>
            <w:r>
              <w:rPr>
                <w:sz w:val="16"/>
              </w:rPr>
              <w:t>ENERGIE</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SIBC</w:t>
            </w:r>
          </w:p>
        </w:tc>
        <w:tc>
          <w:tcPr>
            <w:tcW w:type="dxa" w:w="2268"/>
            <w:shd w:fill="FFFFFF" w:val="clear"/>
          </w:tcPr>
          <w:p>
            <w:r>
              <w:rPr>
                <w:sz w:val="16"/>
              </w:rPr>
              <w:t>SIBC - SOCIETE IVOIRIENNE DE…</w:t>
            </w:r>
          </w:p>
        </w:tc>
        <w:tc>
          <w:tcPr>
            <w:tcW w:type="dxa" w:w="1701"/>
            <w:shd w:fill="FFFFFF" w:val="clear"/>
          </w:tcPr>
          <w:p>
            <w:r>
              <w:rPr>
                <w:sz w:val="16"/>
              </w:rPr>
              <w:t>SERVICES FINANCIER</w:t>
            </w:r>
          </w:p>
        </w:tc>
        <w:tc>
          <w:tcPr>
            <w:tcW w:type="dxa" w:w="1020"/>
            <w:shd w:fill="C6EFCE" w:val="clear"/>
          </w:tcPr>
          <w:p>
            <w:r>
              <w:rPr>
                <w:b/>
                <w:color w:val="007800"/>
                <w:sz w:val="16"/>
              </w:rPr>
              <w:t>15.5/100</w:t>
            </w:r>
          </w:p>
        </w:tc>
        <w:tc>
          <w:tcPr>
            <w:tcW w:type="dxa" w:w="1134"/>
            <w:shd w:fill="C6EFCE" w:val="clear"/>
          </w:tcPr>
          <w:p>
            <w:r>
              <w:rPr>
                <w:sz w:val="16"/>
              </w:rPr>
              <w:t>Faible</w:t>
            </w:r>
          </w:p>
        </w:tc>
        <w:tc>
          <w:tcPr>
            <w:tcW w:type="dxa" w:w="2381"/>
            <w:shd w:fill="FFFFFF" w:val="clear"/>
          </w:tcPr>
          <w:p>
            <w:r>
              <w:rPr>
                <w:sz w:val="16"/>
              </w:rPr>
              <w:t>📐 Bêta défensif</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38.6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Très faible</w:t>
            </w:r>
          </w:p>
        </w:tc>
        <w:tc>
          <w:tcPr>
            <w:tcW w:type="dxa" w:w="1757"/>
            <w:shd w:fill="FFFFFF" w:val="clear"/>
          </w:tcPr>
          <w:p>
            <w:r>
              <w:rPr>
                <w:sz w:val="15"/>
              </w:rPr>
              <w:t>Très divergent ❌ / Modérée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32.8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28.8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27.5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Convergent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FFEB9C" w:val="clear"/>
          </w:tcPr>
          <w:p>
            <w:r>
              <w:rPr>
                <w:b/>
                <w:color w:val="825A00"/>
                <w:sz w:val="15"/>
              </w:rPr>
              <w:t>22.0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C6EFCE" w:val="clear"/>
          </w:tcPr>
          <w:p>
            <w:r>
              <w:rPr>
                <w:b/>
                <w:color w:val="006400"/>
                <w:sz w:val="15"/>
              </w:rPr>
              <w:t>18.1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18.0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17.5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17.1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C6EFCE" w:val="clear"/>
          </w:tcPr>
          <w:p>
            <w:r>
              <w:rPr>
                <w:b/>
                <w:color w:val="006400"/>
                <w:sz w:val="15"/>
              </w:rPr>
              <w:t>16.3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16.3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-11.02%  |  Médiane : -8.26%</w:t>
            </w:r>
          </w:p>
        </w:tc>
      </w:tr>
      <w:tr>
        <w:tc>
          <w:tcPr>
            <w:tcW w:type="dxa" w:w="2835"/>
            <w:shd w:fill="DEEAF1" w:val="clear"/>
          </w:tcPr>
          <w:p>
            <w:r>
              <w:rPr>
                <w:b/>
                <w:sz w:val="18"/>
              </w:rPr>
              <w:t>Répartition</w:t>
            </w:r>
          </w:p>
        </w:tc>
        <w:tc>
          <w:tcPr>
            <w:tcW w:type="dxa" w:w="7370"/>
          </w:tcPr>
          <w:p>
            <w:r>
              <w:rPr>
                <w:b/>
                <w:sz w:val="18"/>
              </w:rPr>
              <w:t>📈 7 sociétés en hausse (&gt;+1%)   📉 38 en baisse (&lt;-1%)   ➡️ 2 neutres</w:t>
            </w:r>
          </w:p>
        </w:tc>
      </w:tr>
      <w:tr>
        <w:tc>
          <w:tcPr>
            <w:tcW w:type="dxa" w:w="2835"/>
            <w:shd w:fill="DEEAF1" w:val="clear"/>
          </w:tcPr>
          <w:p>
            <w:r>
              <w:rPr>
                <w:b/>
                <w:sz w:val="18"/>
              </w:rPr>
              <w:t>Confiance globale</w:t>
            </w:r>
          </w:p>
        </w:tc>
        <w:tc>
          <w:tcPr>
            <w:tcW w:type="dxa" w:w="7370"/>
          </w:tcPr>
          <w:p>
            <w:r>
              <w:rPr>
                <w:b/>
                <w:sz w:val="18"/>
              </w:rPr>
              <w:t>Élevée : 0 sociétés (0%)   Moyenne : 15   Faible : 32 (68%)   → Confiance dominante : Faible</w:t>
            </w:r>
          </w:p>
        </w:tc>
      </w:tr>
    </w:tbl>
    <w:p/>
    <w:p>
      <w:r>
        <w:rPr>
          <w:i/>
          <w:color w:val="282828"/>
          <w:sz w:val="18"/>
        </w:rPr>
        <w:t>📝 Analyse : Les modèles anticipent une correction généralisée. 38 sociétés sur 47 sont orientées à la baisse avec une variation moyenne de -11.02%.</w:t>
      </w:r>
    </w:p>
    <w:p>
      <w:r>
        <w:rPr>
          <w:i/>
          <w:color w:val="282828"/>
          <w:sz w:val="18"/>
        </w:rPr>
        <w:t>🎯 Fiabilité : ⚠️ La confiance est globalement FAIBLE (68%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3,500 FCFA</w:t>
            </w:r>
          </w:p>
        </w:tc>
        <w:tc>
          <w:tcPr>
            <w:tcW w:type="dxa" w:w="1417"/>
            <w:shd w:fill="FFFFFF" w:val="clear"/>
          </w:tcPr>
          <w:p>
            <w:r>
              <w:rPr>
                <w:sz w:val="16"/>
              </w:rPr>
              <w:t>6,134 FCFA</w:t>
            </w:r>
          </w:p>
        </w:tc>
        <w:tc>
          <w:tcPr>
            <w:tcW w:type="dxa" w:w="1134"/>
            <w:shd w:fill="C6EFCE" w:val="clear"/>
          </w:tcPr>
          <w:p>
            <w:r>
              <w:rPr>
                <w:b/>
                <w:color w:val="007800"/>
                <w:sz w:val="16"/>
              </w:rPr>
              <w:t>+75.26%</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23,590 FCFA</w:t>
            </w:r>
          </w:p>
        </w:tc>
        <w:tc>
          <w:tcPr>
            <w:tcW w:type="dxa" w:w="1417"/>
            <w:shd w:fill="FFFFFF" w:val="clear"/>
          </w:tcPr>
          <w:p>
            <w:r>
              <w:rPr>
                <w:sz w:val="16"/>
              </w:rPr>
              <w:t>27,731 FCFA</w:t>
            </w:r>
          </w:p>
        </w:tc>
        <w:tc>
          <w:tcPr>
            <w:tcW w:type="dxa" w:w="1134"/>
            <w:shd w:fill="C6EFCE" w:val="clear"/>
          </w:tcPr>
          <w:p>
            <w:r>
              <w:rPr>
                <w:b/>
                <w:color w:val="007800"/>
                <w:sz w:val="16"/>
              </w:rPr>
              <w:t>+17.56%</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23,500 FCFA</w:t>
            </w:r>
          </w:p>
        </w:tc>
        <w:tc>
          <w:tcPr>
            <w:tcW w:type="dxa" w:w="1417"/>
            <w:shd w:fill="FFFFFF" w:val="clear"/>
          </w:tcPr>
          <w:p>
            <w:r>
              <w:rPr>
                <w:sz w:val="16"/>
              </w:rPr>
              <w:t>26,036 FCFA</w:t>
            </w:r>
          </w:p>
        </w:tc>
        <w:tc>
          <w:tcPr>
            <w:tcW w:type="dxa" w:w="1134"/>
            <w:shd w:fill="C6EFCE" w:val="clear"/>
          </w:tcPr>
          <w:p>
            <w:r>
              <w:rPr>
                <w:b/>
                <w:color w:val="007800"/>
                <w:sz w:val="16"/>
              </w:rPr>
              <w:t>+10.79%</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58,000 FCFA</w:t>
            </w:r>
          </w:p>
        </w:tc>
        <w:tc>
          <w:tcPr>
            <w:tcW w:type="dxa" w:w="1417"/>
            <w:shd w:fill="FFFFFF" w:val="clear"/>
          </w:tcPr>
          <w:p>
            <w:r>
              <w:rPr>
                <w:sz w:val="16"/>
              </w:rPr>
              <w:t>63,852 FCFA</w:t>
            </w:r>
          </w:p>
        </w:tc>
        <w:tc>
          <w:tcPr>
            <w:tcW w:type="dxa" w:w="1134"/>
            <w:shd w:fill="C6EFCE" w:val="clear"/>
          </w:tcPr>
          <w:p>
            <w:r>
              <w:rPr>
                <w:b/>
                <w:color w:val="007800"/>
                <w:sz w:val="16"/>
              </w:rPr>
              <w:t>+10.09%</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2,190 FCFA</w:t>
            </w:r>
          </w:p>
        </w:tc>
        <w:tc>
          <w:tcPr>
            <w:tcW w:type="dxa" w:w="1417"/>
            <w:shd w:fill="FFFFFF" w:val="clear"/>
          </w:tcPr>
          <w:p>
            <w:r>
              <w:rPr>
                <w:sz w:val="16"/>
              </w:rPr>
              <w:t>2,275 FCFA</w:t>
            </w:r>
          </w:p>
        </w:tc>
        <w:tc>
          <w:tcPr>
            <w:tcW w:type="dxa" w:w="1134"/>
            <w:shd w:fill="C6EFCE" w:val="clear"/>
          </w:tcPr>
          <w:p>
            <w:r>
              <w:rPr>
                <w:b/>
                <w:color w:val="007800"/>
                <w:sz w:val="16"/>
              </w:rPr>
              <w:t>+3.87%</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(+75.3%) — signal potentiellement excessif, à croiser avec l'analyse technique. Trajectoire : 📈 Hausse continue. Cours actuel : 3,500 FCFA → prédit J+10 : 6,134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(+17.6%) — potentiel de revalorisation notable. Trajectoire : 📈 Hausse continue. Cours actuel : 23,590 FCFA → prédit J+10 : 27,731 FCFA. ⚠️ Confiance limitée — volatilité élevée ou données insuffisantes. Résultat indicatif uniquement.</w:t>
      </w:r>
    </w:p>
    <w:p>
      <w:pPr>
        <w:pStyle w:val="ListBullet"/>
      </w:pPr>
      <w:r>
        <w:rPr>
          <w:b/>
          <w:color w:val="006400"/>
          <w:sz w:val="18"/>
        </w:rPr>
        <w:t xml:space="preserve">#3 STBC </w:t>
      </w:r>
      <w:r>
        <w:rPr>
          <w:sz w:val="17"/>
        </w:rPr>
        <w:t>(STBC - SITAB COTE D'IVOIRE) — hausse significative (+10.8%) — potentiel de revalorisation notable. Trajectoire : 📈 Hausse continue. Cours actuel : 23,500 FCFA → prédit J+10 : 26,036 FCFA. ⚠️ Confiance limitée — volatilité élevée ou données insuffisantes. Résultat indicatif uniquement.</w:t>
      </w:r>
    </w:p>
    <w:p>
      <w:pPr>
        <w:pStyle w:val="ListBullet"/>
      </w:pPr>
      <w:r>
        <w:rPr>
          <w:b/>
          <w:color w:val="006400"/>
          <w:sz w:val="18"/>
        </w:rPr>
        <w:t xml:space="preserve">#4 UNLC </w:t>
      </w:r>
      <w:r>
        <w:rPr>
          <w:sz w:val="17"/>
        </w:rPr>
        <w:t>(UNLC - UNILEVER COTE D'IVOIRE) — hausse significative (+10.1%) — potentiel de revalorisation notable. Trajectoire : 📈 Hausse continue. Cours actuel : 58,000 FCFA → prédit J+10 : 63,852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(+3.9%) — progression graduelle attendue. Trajectoire : 📈 Hausse continue. Cours actuel : 2,190 FCFA → prédit J+10 : 2,275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3,595 FCFA</w:t>
            </w:r>
          </w:p>
        </w:tc>
        <w:tc>
          <w:tcPr>
            <w:tcW w:type="dxa" w:w="1417"/>
            <w:shd w:fill="FFFFFF" w:val="clear"/>
          </w:tcPr>
          <w:p>
            <w:r>
              <w:rPr>
                <w:sz w:val="16"/>
              </w:rPr>
              <w:t>1,649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5,170 FCFA</w:t>
            </w:r>
          </w:p>
        </w:tc>
        <w:tc>
          <w:tcPr>
            <w:tcW w:type="dxa" w:w="1417"/>
            <w:shd w:fill="FFFFFF" w:val="clear"/>
          </w:tcPr>
          <w:p>
            <w:r>
              <w:rPr>
                <w:sz w:val="16"/>
              </w:rPr>
              <w:t>2,371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65 FCFA</w:t>
            </w:r>
          </w:p>
        </w:tc>
        <w:tc>
          <w:tcPr>
            <w:tcW w:type="dxa" w:w="1417"/>
            <w:shd w:fill="FFFFFF" w:val="clear"/>
          </w:tcPr>
          <w:p>
            <w:r>
              <w:rPr>
                <w:sz w:val="16"/>
              </w:rPr>
              <w:t>30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5,450 FCFA</w:t>
            </w:r>
          </w:p>
        </w:tc>
        <w:tc>
          <w:tcPr>
            <w:tcW w:type="dxa" w:w="1417"/>
            <w:shd w:fill="FFFFFF" w:val="clear"/>
          </w:tcPr>
          <w:p>
            <w:r>
              <w:rPr>
                <w:sz w:val="16"/>
              </w:rPr>
              <w:t>3,194 FCFA</w:t>
            </w:r>
          </w:p>
        </w:tc>
        <w:tc>
          <w:tcPr>
            <w:tcW w:type="dxa" w:w="1134"/>
            <w:shd w:fill="FFC7CE" w:val="clear"/>
          </w:tcPr>
          <w:p>
            <w:r>
              <w:rPr>
                <w:b/>
                <w:color w:val="B40000"/>
                <w:sz w:val="16"/>
              </w:rPr>
              <w:t>-41.39%</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28,700 FCFA</w:t>
            </w:r>
          </w:p>
        </w:tc>
        <w:tc>
          <w:tcPr>
            <w:tcW w:type="dxa" w:w="1417"/>
            <w:shd w:fill="FFFFFF" w:val="clear"/>
          </w:tcPr>
          <w:p>
            <w:r>
              <w:rPr>
                <w:sz w:val="16"/>
              </w:rPr>
              <w:t>17,382 FCFA</w:t>
            </w:r>
          </w:p>
        </w:tc>
        <w:tc>
          <w:tcPr>
            <w:tcW w:type="dxa" w:w="1134"/>
            <w:shd w:fill="FFC7CE" w:val="clear"/>
          </w:tcPr>
          <w:p>
            <w:r>
              <w:rPr>
                <w:b/>
                <w:color w:val="B40000"/>
                <w:sz w:val="16"/>
              </w:rPr>
              <w:t>-39.44%</w:t>
            </w:r>
          </w:p>
        </w:tc>
        <w:tc>
          <w:tcPr>
            <w:tcW w:type="dxa" w:w="1020"/>
            <w:shd w:fill="FFC7CE" w:val="clear"/>
          </w:tcPr>
          <w:p>
            <w:r>
              <w:rPr>
                <w:sz w:val="16"/>
              </w:rPr>
              <w:t>Faible</w:t>
            </w:r>
          </w:p>
        </w:tc>
      </w:tr>
    </w:tbl>
    <w:p/>
    <w:p>
      <w:pPr>
        <w:pStyle w:val="ListBullet"/>
      </w:pPr>
      <w:r>
        <w:rPr>
          <w:b/>
          <w:color w:val="B40000"/>
          <w:sz w:val="18"/>
        </w:rPr>
        <w:t xml:space="preserve">#1 SCRC </w:t>
      </w:r>
      <w:r>
        <w:rPr>
          <w:sz w:val="17"/>
        </w:rPr>
        <w:t>(SCRC - SUCRIVOIRE) — baisse très forte (-54.1%) — amplitude potentiellement surestimée par le modèle. Trajectoire : 📉 Baisse continue. Cours actuel : 3,595 FCFA → prédit J+10 : 1,649 FCFA. ⚠️ Confiance limitée — volatilité élevée. Ne pas agir sur ce seul signal.</w:t>
      </w:r>
    </w:p>
    <w:p>
      <w:pPr>
        <w:pStyle w:val="ListBullet"/>
      </w:pPr>
      <w:r>
        <w:rPr>
          <w:b/>
          <w:color w:val="B40000"/>
          <w:sz w:val="18"/>
        </w:rPr>
        <w:t xml:space="preserve">#2 SAFC </w:t>
      </w:r>
      <w:r>
        <w:rPr>
          <w:sz w:val="17"/>
        </w:rPr>
        <w:t>(SAFCA CI) — baisse très forte (-54.1%) — amplitude potentiellement surestimée par le modèle. Trajectoire : 📉 Baisse continue. Cours actuel : 5,170 FCFA → prédit J+10 : 2,371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(-54.1%) — amplitude potentiellement surestimée par le modèle. Trajectoire : 📉 Baisse continue. Cours actuel : 65 FCFA → prédit J+10 : 30 FCFA. ⚠️ Confiance limitée — volatilité élevée. Ne pas agir sur ce seul signal.</w:t>
      </w:r>
    </w:p>
    <w:p>
      <w:pPr>
        <w:pStyle w:val="ListBullet"/>
      </w:pPr>
      <w:r>
        <w:rPr>
          <w:b/>
          <w:color w:val="B40000"/>
          <w:sz w:val="18"/>
        </w:rPr>
        <w:t xml:space="preserve">#4 CIEC </w:t>
      </w:r>
      <w:r>
        <w:rPr>
          <w:sz w:val="17"/>
        </w:rPr>
        <w:t>(CIEC - Compagnie Ivoirienne d'Electricit) — baisse très forte (-41.4%) — amplitude potentiellement surestimée par le modèle. Trajectoire : 📉 Baisse continue. Cours actuel : 5,450 FCFA → prédit J+10 : 3,194 FCFA. ⚠️ Confiance limitée — volatilité élevée. Ne pas agir sur ce seul signal.</w:t>
      </w:r>
    </w:p>
    <w:p>
      <w:pPr>
        <w:pStyle w:val="ListBullet"/>
      </w:pPr>
      <w:r>
        <w:rPr>
          <w:b/>
          <w:color w:val="B40000"/>
          <w:sz w:val="18"/>
        </w:rPr>
        <w:t xml:space="preserve">#5 CBIBF </w:t>
      </w:r>
      <w:r>
        <w:rPr>
          <w:sz w:val="17"/>
        </w:rPr>
        <w:t>(CBIBF - CORIS BANK INTERNATIONAL BURKINA) — baisse très forte (-39.4%) — amplitude potentiellement surestimée par le modèle. Trajectoire : 📉 Baisse continue. Cours actuel : 28,700 FCFA → prédit J+10 : 17,382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3,500</w:t>
            </w:r>
          </w:p>
        </w:tc>
        <w:tc>
          <w:tcPr>
            <w:tcW w:type="dxa" w:w="1417"/>
            <w:shd w:fill="FFFFFF" w:val="clear"/>
          </w:tcPr>
          <w:p>
            <w:r>
              <w:rPr>
                <w:sz w:val="16"/>
              </w:rPr>
              <w:t>6,134</w:t>
            </w:r>
          </w:p>
        </w:tc>
        <w:tc>
          <w:tcPr>
            <w:tcW w:type="dxa" w:w="1134"/>
            <w:shd w:fill="C6EFCE" w:val="clear"/>
          </w:tcPr>
          <w:p>
            <w:r>
              <w:rPr>
                <w:b/>
                <w:color w:val="007800"/>
                <w:sz w:val="16"/>
              </w:rPr>
              <w:t>+75.26%</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23,590</w:t>
            </w:r>
          </w:p>
        </w:tc>
        <w:tc>
          <w:tcPr>
            <w:tcW w:type="dxa" w:w="1417"/>
            <w:shd w:fill="FFFFFF" w:val="clear"/>
          </w:tcPr>
          <w:p>
            <w:r>
              <w:rPr>
                <w:sz w:val="16"/>
              </w:rPr>
              <w:t>27,731</w:t>
            </w:r>
          </w:p>
        </w:tc>
        <w:tc>
          <w:tcPr>
            <w:tcW w:type="dxa" w:w="1134"/>
            <w:shd w:fill="C6EFCE" w:val="clear"/>
          </w:tcPr>
          <w:p>
            <w:r>
              <w:rPr>
                <w:b/>
                <w:color w:val="007800"/>
                <w:sz w:val="16"/>
              </w:rPr>
              <w:t>+17.56%</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23,500</w:t>
            </w:r>
          </w:p>
        </w:tc>
        <w:tc>
          <w:tcPr>
            <w:tcW w:type="dxa" w:w="1417"/>
            <w:shd w:fill="FFFFFF" w:val="clear"/>
          </w:tcPr>
          <w:p>
            <w:r>
              <w:rPr>
                <w:sz w:val="16"/>
              </w:rPr>
              <w:t>26,036</w:t>
            </w:r>
          </w:p>
        </w:tc>
        <w:tc>
          <w:tcPr>
            <w:tcW w:type="dxa" w:w="1134"/>
            <w:shd w:fill="C6EFCE" w:val="clear"/>
          </w:tcPr>
          <w:p>
            <w:r>
              <w:rPr>
                <w:b/>
                <w:color w:val="007800"/>
                <w:sz w:val="16"/>
              </w:rPr>
              <w:t>+10.79%</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58,000</w:t>
            </w:r>
          </w:p>
        </w:tc>
        <w:tc>
          <w:tcPr>
            <w:tcW w:type="dxa" w:w="1417"/>
            <w:shd w:fill="FFFFFF" w:val="clear"/>
          </w:tcPr>
          <w:p>
            <w:r>
              <w:rPr>
                <w:sz w:val="16"/>
              </w:rPr>
              <w:t>63,852</w:t>
            </w:r>
          </w:p>
        </w:tc>
        <w:tc>
          <w:tcPr>
            <w:tcW w:type="dxa" w:w="1134"/>
            <w:shd w:fill="C6EFCE" w:val="clear"/>
          </w:tcPr>
          <w:p>
            <w:r>
              <w:rPr>
                <w:b/>
                <w:color w:val="007800"/>
                <w:sz w:val="16"/>
              </w:rPr>
              <w:t>+10.09%</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2,190</w:t>
            </w:r>
          </w:p>
        </w:tc>
        <w:tc>
          <w:tcPr>
            <w:tcW w:type="dxa" w:w="1417"/>
            <w:shd w:fill="FFFFFF" w:val="clear"/>
          </w:tcPr>
          <w:p>
            <w:r>
              <w:rPr>
                <w:sz w:val="16"/>
              </w:rPr>
              <w:t>2,275</w:t>
            </w:r>
          </w:p>
        </w:tc>
        <w:tc>
          <w:tcPr>
            <w:tcW w:type="dxa" w:w="1134"/>
            <w:shd w:fill="C6EFCE" w:val="clear"/>
          </w:tcPr>
          <w:p>
            <w:r>
              <w:rPr>
                <w:b/>
                <w:color w:val="007800"/>
                <w:sz w:val="16"/>
              </w:rPr>
              <w:t>+3.87%</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9,100</w:t>
            </w:r>
          </w:p>
        </w:tc>
        <w:tc>
          <w:tcPr>
            <w:tcW w:type="dxa" w:w="1417"/>
            <w:shd w:fill="FFFFFF" w:val="clear"/>
          </w:tcPr>
          <w:p>
            <w:r>
              <w:rPr>
                <w:sz w:val="16"/>
              </w:rPr>
              <w:t>9,344</w:t>
            </w:r>
          </w:p>
        </w:tc>
        <w:tc>
          <w:tcPr>
            <w:tcW w:type="dxa" w:w="1134"/>
            <w:shd w:fill="C6EFCE" w:val="clear"/>
          </w:tcPr>
          <w:p>
            <w:r>
              <w:rPr>
                <w:b/>
                <w:color w:val="007800"/>
                <w:sz w:val="16"/>
              </w:rPr>
              <w:t>+2.68%</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7,860</w:t>
            </w:r>
          </w:p>
        </w:tc>
        <w:tc>
          <w:tcPr>
            <w:tcW w:type="dxa" w:w="1417"/>
            <w:shd w:fill="FFFFFF" w:val="clear"/>
          </w:tcPr>
          <w:p>
            <w:r>
              <w:rPr>
                <w:sz w:val="16"/>
              </w:rPr>
              <w:t>8,040</w:t>
            </w:r>
          </w:p>
        </w:tc>
        <w:tc>
          <w:tcPr>
            <w:tcW w:type="dxa" w:w="1134"/>
            <w:shd w:fill="C6EFCE" w:val="clear"/>
          </w:tcPr>
          <w:p>
            <w:r>
              <w:rPr>
                <w:b/>
                <w:color w:val="007800"/>
                <w:sz w:val="16"/>
              </w:rPr>
              <w:t>+2.29%</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16,000</w:t>
            </w:r>
          </w:p>
        </w:tc>
        <w:tc>
          <w:tcPr>
            <w:tcW w:type="dxa" w:w="1417"/>
            <w:shd w:fill="FFFFFF" w:val="clear"/>
          </w:tcPr>
          <w:p>
            <w:r>
              <w:rPr>
                <w:sz w:val="16"/>
              </w:rPr>
              <w:t>15,925</w:t>
            </w:r>
          </w:p>
        </w:tc>
        <w:tc>
          <w:tcPr>
            <w:tcW w:type="dxa" w:w="1134"/>
            <w:shd w:fill="FFEB9C" w:val="clear"/>
          </w:tcPr>
          <w:p>
            <w:r>
              <w:rPr>
                <w:b/>
                <w:color w:val="646400"/>
                <w:sz w:val="16"/>
              </w:rPr>
              <w:t>-0.47%</w:t>
            </w:r>
          </w:p>
        </w:tc>
        <w:tc>
          <w:tcPr>
            <w:tcW w:type="dxa" w:w="1134"/>
            <w:shd w:fill="FFEB9C" w:val="clear"/>
          </w:tcPr>
          <w:p>
            <w:r>
              <w:rPr>
                <w:sz w:val="16"/>
              </w:rPr>
              <w:t>Moyenne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37,200</w:t>
            </w:r>
          </w:p>
        </w:tc>
        <w:tc>
          <w:tcPr>
            <w:tcW w:type="dxa" w:w="1417"/>
            <w:shd w:fill="FFFFFF" w:val="clear"/>
          </w:tcPr>
          <w:p>
            <w:r>
              <w:rPr>
                <w:sz w:val="16"/>
              </w:rPr>
              <w:t>36,918</w:t>
            </w:r>
          </w:p>
        </w:tc>
        <w:tc>
          <w:tcPr>
            <w:tcW w:type="dxa" w:w="1134"/>
            <w:shd w:fill="FFEB9C" w:val="clear"/>
          </w:tcPr>
          <w:p>
            <w:r>
              <w:rPr>
                <w:b/>
                <w:color w:val="646400"/>
                <w:sz w:val="16"/>
              </w:rPr>
              <w:t>-0.76%</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3,110</w:t>
            </w:r>
          </w:p>
        </w:tc>
        <w:tc>
          <w:tcPr>
            <w:tcW w:type="dxa" w:w="1417"/>
            <w:shd w:fill="FFFFFF" w:val="clear"/>
          </w:tcPr>
          <w:p>
            <w:r>
              <w:rPr>
                <w:sz w:val="16"/>
              </w:rPr>
              <w:t>3,078</w:t>
            </w:r>
          </w:p>
        </w:tc>
        <w:tc>
          <w:tcPr>
            <w:tcW w:type="dxa" w:w="1134"/>
            <w:shd w:fill="FFC7CE" w:val="clear"/>
          </w:tcPr>
          <w:p>
            <w:r>
              <w:rPr>
                <w:b/>
                <w:color w:val="B40000"/>
                <w:sz w:val="16"/>
              </w:rPr>
              <w:t>-1.04%</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1,995</w:t>
            </w:r>
          </w:p>
        </w:tc>
        <w:tc>
          <w:tcPr>
            <w:tcW w:type="dxa" w:w="1417"/>
            <w:shd w:fill="FFFFFF" w:val="clear"/>
          </w:tcPr>
          <w:p>
            <w:r>
              <w:rPr>
                <w:sz w:val="16"/>
              </w:rPr>
              <w:t>1,969</w:t>
            </w:r>
          </w:p>
        </w:tc>
        <w:tc>
          <w:tcPr>
            <w:tcW w:type="dxa" w:w="1134"/>
            <w:shd w:fill="FFC7CE" w:val="clear"/>
          </w:tcPr>
          <w:p>
            <w:r>
              <w:rPr>
                <w:b/>
                <w:color w:val="B40000"/>
                <w:sz w:val="16"/>
              </w:rPr>
              <w:t>-1.32%</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5,100</w:t>
            </w:r>
          </w:p>
        </w:tc>
        <w:tc>
          <w:tcPr>
            <w:tcW w:type="dxa" w:w="1417"/>
            <w:shd w:fill="FFFFFF" w:val="clear"/>
          </w:tcPr>
          <w:p>
            <w:r>
              <w:rPr>
                <w:sz w:val="16"/>
              </w:rPr>
              <w:t>5,016</w:t>
            </w:r>
          </w:p>
        </w:tc>
        <w:tc>
          <w:tcPr>
            <w:tcW w:type="dxa" w:w="1134"/>
            <w:shd w:fill="FFC7CE" w:val="clear"/>
          </w:tcPr>
          <w:p>
            <w:r>
              <w:rPr>
                <w:b/>
                <w:color w:val="B40000"/>
                <w:sz w:val="16"/>
              </w:rPr>
              <w:t>-1.65%</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2,900</w:t>
            </w:r>
          </w:p>
        </w:tc>
        <w:tc>
          <w:tcPr>
            <w:tcW w:type="dxa" w:w="1417"/>
            <w:shd w:fill="FFFFFF" w:val="clear"/>
          </w:tcPr>
          <w:p>
            <w:r>
              <w:rPr>
                <w:sz w:val="16"/>
              </w:rPr>
              <w:t>2,842</w:t>
            </w:r>
          </w:p>
        </w:tc>
        <w:tc>
          <w:tcPr>
            <w:tcW w:type="dxa" w:w="1134"/>
            <w:shd w:fill="FFC7CE" w:val="clear"/>
          </w:tcPr>
          <w:p>
            <w:r>
              <w:rPr>
                <w:b/>
                <w:color w:val="B40000"/>
                <w:sz w:val="16"/>
              </w:rPr>
              <w:t>-2.02%</w:t>
            </w:r>
          </w:p>
        </w:tc>
        <w:tc>
          <w:tcPr>
            <w:tcW w:type="dxa" w:w="1134"/>
            <w:shd w:fill="FFEB9C" w:val="clear"/>
          </w:tcPr>
          <w:p>
            <w:r>
              <w:rPr>
                <w:sz w:val="16"/>
              </w:rPr>
              <w:t>Moyenne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2,995</w:t>
            </w:r>
          </w:p>
        </w:tc>
        <w:tc>
          <w:tcPr>
            <w:tcW w:type="dxa" w:w="1417"/>
            <w:shd w:fill="FFFFFF" w:val="clear"/>
          </w:tcPr>
          <w:p>
            <w:r>
              <w:rPr>
                <w:sz w:val="16"/>
              </w:rPr>
              <w:t>2,924</w:t>
            </w:r>
          </w:p>
        </w:tc>
        <w:tc>
          <w:tcPr>
            <w:tcW w:type="dxa" w:w="1134"/>
            <w:shd w:fill="FFC7CE" w:val="clear"/>
          </w:tcPr>
          <w:p>
            <w:r>
              <w:rPr>
                <w:b/>
                <w:color w:val="B40000"/>
                <w:sz w:val="16"/>
              </w:rPr>
              <w:t>-2.37%</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32,000</w:t>
            </w:r>
          </w:p>
        </w:tc>
        <w:tc>
          <w:tcPr>
            <w:tcW w:type="dxa" w:w="1417"/>
            <w:shd w:fill="FFFFFF" w:val="clear"/>
          </w:tcPr>
          <w:p>
            <w:r>
              <w:rPr>
                <w:sz w:val="16"/>
              </w:rPr>
              <w:t>31,230</w:t>
            </w:r>
          </w:p>
        </w:tc>
        <w:tc>
          <w:tcPr>
            <w:tcW w:type="dxa" w:w="1134"/>
            <w:shd w:fill="FFC7CE" w:val="clear"/>
          </w:tcPr>
          <w:p>
            <w:r>
              <w:rPr>
                <w:b/>
                <w:color w:val="B40000"/>
                <w:sz w:val="16"/>
              </w:rPr>
              <w:t>-2.41%</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7,870</w:t>
            </w:r>
          </w:p>
        </w:tc>
        <w:tc>
          <w:tcPr>
            <w:tcW w:type="dxa" w:w="1417"/>
            <w:shd w:fill="FFFFFF" w:val="clear"/>
          </w:tcPr>
          <w:p>
            <w:r>
              <w:rPr>
                <w:sz w:val="16"/>
              </w:rPr>
              <w:t>7,675</w:t>
            </w:r>
          </w:p>
        </w:tc>
        <w:tc>
          <w:tcPr>
            <w:tcW w:type="dxa" w:w="1134"/>
            <w:shd w:fill="FFC7CE" w:val="clear"/>
          </w:tcPr>
          <w:p>
            <w:r>
              <w:rPr>
                <w:b/>
                <w:color w:val="B40000"/>
                <w:sz w:val="16"/>
              </w:rPr>
              <w:t>-2.48%</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38,495</w:t>
            </w:r>
          </w:p>
        </w:tc>
        <w:tc>
          <w:tcPr>
            <w:tcW w:type="dxa" w:w="1417"/>
            <w:shd w:fill="FFFFFF" w:val="clear"/>
          </w:tcPr>
          <w:p>
            <w:r>
              <w:rPr>
                <w:sz w:val="16"/>
              </w:rPr>
              <w:t>37,445</w:t>
            </w:r>
          </w:p>
        </w:tc>
        <w:tc>
          <w:tcPr>
            <w:tcW w:type="dxa" w:w="1134"/>
            <w:shd w:fill="FFC7CE" w:val="clear"/>
          </w:tcPr>
          <w:p>
            <w:r>
              <w:rPr>
                <w:b/>
                <w:color w:val="B40000"/>
                <w:sz w:val="16"/>
              </w:rPr>
              <w:t>-2.73%</w:t>
            </w:r>
          </w:p>
        </w:tc>
        <w:tc>
          <w:tcPr>
            <w:tcW w:type="dxa" w:w="1134"/>
            <w:shd w:fill="FFEB9C" w:val="clear"/>
          </w:tcPr>
          <w:p>
            <w:r>
              <w:rPr>
                <w:sz w:val="16"/>
              </w:rPr>
              <w:t>Moyenne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17,255</w:t>
            </w:r>
          </w:p>
        </w:tc>
        <w:tc>
          <w:tcPr>
            <w:tcW w:type="dxa" w:w="1417"/>
            <w:shd w:fill="FFFFFF" w:val="clear"/>
          </w:tcPr>
          <w:p>
            <w:r>
              <w:rPr>
                <w:sz w:val="16"/>
              </w:rPr>
              <w:t>16,763</w:t>
            </w:r>
          </w:p>
        </w:tc>
        <w:tc>
          <w:tcPr>
            <w:tcW w:type="dxa" w:w="1134"/>
            <w:shd w:fill="FFC7CE" w:val="clear"/>
          </w:tcPr>
          <w:p>
            <w:r>
              <w:rPr>
                <w:b/>
                <w:color w:val="B40000"/>
                <w:sz w:val="16"/>
              </w:rPr>
              <w:t>-2.85%</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16,500</w:t>
            </w:r>
          </w:p>
        </w:tc>
        <w:tc>
          <w:tcPr>
            <w:tcW w:type="dxa" w:w="1417"/>
            <w:shd w:fill="FFFFFF" w:val="clear"/>
          </w:tcPr>
          <w:p>
            <w:r>
              <w:rPr>
                <w:sz w:val="16"/>
              </w:rPr>
              <w:t>15,875</w:t>
            </w:r>
          </w:p>
        </w:tc>
        <w:tc>
          <w:tcPr>
            <w:tcW w:type="dxa" w:w="1134"/>
            <w:shd w:fill="FFC7CE" w:val="clear"/>
          </w:tcPr>
          <w:p>
            <w:r>
              <w:rPr>
                <w:b/>
                <w:color w:val="B40000"/>
                <w:sz w:val="16"/>
              </w:rPr>
              <w:t>-3.79%</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4,400</w:t>
            </w:r>
          </w:p>
        </w:tc>
        <w:tc>
          <w:tcPr>
            <w:tcW w:type="dxa" w:w="1417"/>
            <w:shd w:fill="FFFFFF" w:val="clear"/>
          </w:tcPr>
          <w:p>
            <w:r>
              <w:rPr>
                <w:sz w:val="16"/>
              </w:rPr>
              <w:t>4,198</w:t>
            </w:r>
          </w:p>
        </w:tc>
        <w:tc>
          <w:tcPr>
            <w:tcW w:type="dxa" w:w="1134"/>
            <w:shd w:fill="FFC7CE" w:val="clear"/>
          </w:tcPr>
          <w:p>
            <w:r>
              <w:rPr>
                <w:b/>
                <w:color w:val="B40000"/>
                <w:sz w:val="16"/>
              </w:rPr>
              <w:t>-4.59%</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1,925</w:t>
            </w:r>
          </w:p>
        </w:tc>
        <w:tc>
          <w:tcPr>
            <w:tcW w:type="dxa" w:w="1417"/>
            <w:shd w:fill="FFFFFF" w:val="clear"/>
          </w:tcPr>
          <w:p>
            <w:r>
              <w:rPr>
                <w:sz w:val="16"/>
              </w:rPr>
              <w:t>1,813</w:t>
            </w:r>
          </w:p>
        </w:tc>
        <w:tc>
          <w:tcPr>
            <w:tcW w:type="dxa" w:w="1134"/>
            <w:shd w:fill="FFC7CE" w:val="clear"/>
          </w:tcPr>
          <w:p>
            <w:r>
              <w:rPr>
                <w:b/>
                <w:color w:val="B40000"/>
                <w:sz w:val="16"/>
              </w:rPr>
              <w:t>-5.80%</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4,245</w:t>
            </w:r>
          </w:p>
        </w:tc>
        <w:tc>
          <w:tcPr>
            <w:tcW w:type="dxa" w:w="1417"/>
            <w:shd w:fill="FFFFFF" w:val="clear"/>
          </w:tcPr>
          <w:p>
            <w:r>
              <w:rPr>
                <w:sz w:val="16"/>
              </w:rPr>
              <w:t>3,980</w:t>
            </w:r>
          </w:p>
        </w:tc>
        <w:tc>
          <w:tcPr>
            <w:tcW w:type="dxa" w:w="1134"/>
            <w:shd w:fill="FFC7CE" w:val="clear"/>
          </w:tcPr>
          <w:p>
            <w:r>
              <w:rPr>
                <w:b/>
                <w:color w:val="B40000"/>
                <w:sz w:val="16"/>
              </w:rPr>
              <w:t>-6.25%</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17,450</w:t>
            </w:r>
          </w:p>
        </w:tc>
        <w:tc>
          <w:tcPr>
            <w:tcW w:type="dxa" w:w="1417"/>
            <w:shd w:fill="FFFFFF" w:val="clear"/>
          </w:tcPr>
          <w:p>
            <w:r>
              <w:rPr>
                <w:sz w:val="16"/>
              </w:rPr>
              <w:t>16,263</w:t>
            </w:r>
          </w:p>
        </w:tc>
        <w:tc>
          <w:tcPr>
            <w:tcW w:type="dxa" w:w="1134"/>
            <w:shd w:fill="FFC7CE" w:val="clear"/>
          </w:tcPr>
          <w:p>
            <w:r>
              <w:rPr>
                <w:b/>
                <w:color w:val="B40000"/>
                <w:sz w:val="16"/>
              </w:rPr>
              <w:t>-6.80%</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11,605</w:t>
            </w:r>
          </w:p>
        </w:tc>
        <w:tc>
          <w:tcPr>
            <w:tcW w:type="dxa" w:w="1417"/>
            <w:shd w:fill="FFFFFF" w:val="clear"/>
          </w:tcPr>
          <w:p>
            <w:r>
              <w:rPr>
                <w:sz w:val="16"/>
              </w:rPr>
              <w:t>10,646</w:t>
            </w:r>
          </w:p>
        </w:tc>
        <w:tc>
          <w:tcPr>
            <w:tcW w:type="dxa" w:w="1134"/>
            <w:shd w:fill="FFC7CE" w:val="clear"/>
          </w:tcPr>
          <w:p>
            <w:r>
              <w:rPr>
                <w:b/>
                <w:color w:val="B40000"/>
                <w:sz w:val="16"/>
              </w:rPr>
              <w:t>-8.26%</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7,100</w:t>
            </w:r>
          </w:p>
        </w:tc>
        <w:tc>
          <w:tcPr>
            <w:tcW w:type="dxa" w:w="1417"/>
            <w:shd w:fill="FFFFFF" w:val="clear"/>
          </w:tcPr>
          <w:p>
            <w:r>
              <w:rPr>
                <w:sz w:val="16"/>
              </w:rPr>
              <w:t>6,479</w:t>
            </w:r>
          </w:p>
        </w:tc>
        <w:tc>
          <w:tcPr>
            <w:tcW w:type="dxa" w:w="1134"/>
            <w:shd w:fill="FFC7CE" w:val="clear"/>
          </w:tcPr>
          <w:p>
            <w:r>
              <w:rPr>
                <w:b/>
                <w:color w:val="B40000"/>
                <w:sz w:val="16"/>
              </w:rPr>
              <w:t>-8.74%</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2,730</w:t>
            </w:r>
          </w:p>
        </w:tc>
        <w:tc>
          <w:tcPr>
            <w:tcW w:type="dxa" w:w="1417"/>
            <w:shd w:fill="FFFFFF" w:val="clear"/>
          </w:tcPr>
          <w:p>
            <w:r>
              <w:rPr>
                <w:sz w:val="16"/>
              </w:rPr>
              <w:t>2,484</w:t>
            </w:r>
          </w:p>
        </w:tc>
        <w:tc>
          <w:tcPr>
            <w:tcW w:type="dxa" w:w="1134"/>
            <w:shd w:fill="FFC7CE" w:val="clear"/>
          </w:tcPr>
          <w:p>
            <w:r>
              <w:rPr>
                <w:b/>
                <w:color w:val="B40000"/>
                <w:sz w:val="16"/>
              </w:rPr>
              <w:t>-9.01%</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29,000</w:t>
            </w:r>
          </w:p>
        </w:tc>
        <w:tc>
          <w:tcPr>
            <w:tcW w:type="dxa" w:w="1417"/>
            <w:shd w:fill="FFFFFF" w:val="clear"/>
          </w:tcPr>
          <w:p>
            <w:r>
              <w:rPr>
                <w:sz w:val="16"/>
              </w:rPr>
              <w:t>26,228</w:t>
            </w:r>
          </w:p>
        </w:tc>
        <w:tc>
          <w:tcPr>
            <w:tcW w:type="dxa" w:w="1134"/>
            <w:shd w:fill="FFC7CE" w:val="clear"/>
          </w:tcPr>
          <w:p>
            <w:r>
              <w:rPr>
                <w:b/>
                <w:color w:val="B40000"/>
                <w:sz w:val="16"/>
              </w:rPr>
              <w:t>-9.56%</w:t>
            </w:r>
          </w:p>
        </w:tc>
        <w:tc>
          <w:tcPr>
            <w:tcW w:type="dxa" w:w="1134"/>
            <w:shd w:fill="FFEB9C" w:val="clear"/>
          </w:tcPr>
          <w:p>
            <w:r>
              <w:rPr>
                <w:sz w:val="16"/>
              </w:rPr>
              <w:t>Moyenne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1,500</w:t>
            </w:r>
          </w:p>
        </w:tc>
        <w:tc>
          <w:tcPr>
            <w:tcW w:type="dxa" w:w="1417"/>
            <w:shd w:fill="FFFFFF" w:val="clear"/>
          </w:tcPr>
          <w:p>
            <w:r>
              <w:rPr>
                <w:sz w:val="16"/>
              </w:rPr>
              <w:t>1,333</w:t>
            </w:r>
          </w:p>
        </w:tc>
        <w:tc>
          <w:tcPr>
            <w:tcW w:type="dxa" w:w="1134"/>
            <w:shd w:fill="FFC7CE" w:val="clear"/>
          </w:tcPr>
          <w:p>
            <w:r>
              <w:rPr>
                <w:b/>
                <w:color w:val="B40000"/>
                <w:sz w:val="16"/>
              </w:rPr>
              <w:t>-11.12%</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8,655</w:t>
            </w:r>
          </w:p>
        </w:tc>
        <w:tc>
          <w:tcPr>
            <w:tcW w:type="dxa" w:w="1417"/>
            <w:shd w:fill="FFFFFF" w:val="clear"/>
          </w:tcPr>
          <w:p>
            <w:r>
              <w:rPr>
                <w:sz w:val="16"/>
              </w:rPr>
              <w:t>7,683</w:t>
            </w:r>
          </w:p>
        </w:tc>
        <w:tc>
          <w:tcPr>
            <w:tcW w:type="dxa" w:w="1134"/>
            <w:shd w:fill="FFC7CE" w:val="clear"/>
          </w:tcPr>
          <w:p>
            <w:r>
              <w:rPr>
                <w:b/>
                <w:color w:val="B40000"/>
                <w:sz w:val="16"/>
              </w:rPr>
              <w:t>-11.23%</w:t>
            </w:r>
          </w:p>
        </w:tc>
        <w:tc>
          <w:tcPr>
            <w:tcW w:type="dxa" w:w="1134"/>
            <w:shd w:fill="FFEB9C" w:val="clear"/>
          </w:tcPr>
          <w:p>
            <w:r>
              <w:rPr>
                <w:sz w:val="16"/>
              </w:rPr>
              <w:t>Moyenne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3,600</w:t>
            </w:r>
          </w:p>
        </w:tc>
        <w:tc>
          <w:tcPr>
            <w:tcW w:type="dxa" w:w="1417"/>
            <w:shd w:fill="FFFFFF" w:val="clear"/>
          </w:tcPr>
          <w:p>
            <w:r>
              <w:rPr>
                <w:sz w:val="16"/>
              </w:rPr>
              <w:t>3,174</w:t>
            </w:r>
          </w:p>
        </w:tc>
        <w:tc>
          <w:tcPr>
            <w:tcW w:type="dxa" w:w="1134"/>
            <w:shd w:fill="FFC7CE" w:val="clear"/>
          </w:tcPr>
          <w:p>
            <w:r>
              <w:rPr>
                <w:b/>
                <w:color w:val="B40000"/>
                <w:sz w:val="16"/>
              </w:rPr>
              <w:t>-11.85%</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3,180</w:t>
            </w:r>
          </w:p>
        </w:tc>
        <w:tc>
          <w:tcPr>
            <w:tcW w:type="dxa" w:w="1417"/>
            <w:shd w:fill="FFFFFF" w:val="clear"/>
          </w:tcPr>
          <w:p>
            <w:r>
              <w:rPr>
                <w:sz w:val="16"/>
              </w:rPr>
              <w:t>2,790</w:t>
            </w:r>
          </w:p>
        </w:tc>
        <w:tc>
          <w:tcPr>
            <w:tcW w:type="dxa" w:w="1134"/>
            <w:shd w:fill="FFC7CE" w:val="clear"/>
          </w:tcPr>
          <w:p>
            <w:r>
              <w:rPr>
                <w:b/>
                <w:color w:val="B40000"/>
                <w:sz w:val="16"/>
              </w:rPr>
              <w:t>-12.27%</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7,690</w:t>
            </w:r>
          </w:p>
        </w:tc>
        <w:tc>
          <w:tcPr>
            <w:tcW w:type="dxa" w:w="1417"/>
            <w:shd w:fill="FFFFFF" w:val="clear"/>
          </w:tcPr>
          <w:p>
            <w:r>
              <w:rPr>
                <w:sz w:val="16"/>
              </w:rPr>
              <w:t>6,714</w:t>
            </w:r>
          </w:p>
        </w:tc>
        <w:tc>
          <w:tcPr>
            <w:tcW w:type="dxa" w:w="1134"/>
            <w:shd w:fill="FFC7CE" w:val="clear"/>
          </w:tcPr>
          <w:p>
            <w:r>
              <w:rPr>
                <w:b/>
                <w:color w:val="B40000"/>
                <w:sz w:val="16"/>
              </w:rPr>
              <w:t>-12.70%</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1,640</w:t>
            </w:r>
          </w:p>
        </w:tc>
        <w:tc>
          <w:tcPr>
            <w:tcW w:type="dxa" w:w="1417"/>
            <w:shd w:fill="FFFFFF" w:val="clear"/>
          </w:tcPr>
          <w:p>
            <w:r>
              <w:rPr>
                <w:sz w:val="16"/>
              </w:rPr>
              <w:t>1,426</w:t>
            </w:r>
          </w:p>
        </w:tc>
        <w:tc>
          <w:tcPr>
            <w:tcW w:type="dxa" w:w="1134"/>
            <w:shd w:fill="FFC7CE" w:val="clear"/>
          </w:tcPr>
          <w:p>
            <w:r>
              <w:rPr>
                <w:b/>
                <w:color w:val="B40000"/>
                <w:sz w:val="16"/>
              </w:rPr>
              <w:t>-13.07%</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6,050</w:t>
            </w:r>
          </w:p>
        </w:tc>
        <w:tc>
          <w:tcPr>
            <w:tcW w:type="dxa" w:w="1417"/>
            <w:shd w:fill="FFFFFF" w:val="clear"/>
          </w:tcPr>
          <w:p>
            <w:r>
              <w:rPr>
                <w:sz w:val="16"/>
              </w:rPr>
              <w:t>5,255</w:t>
            </w:r>
          </w:p>
        </w:tc>
        <w:tc>
          <w:tcPr>
            <w:tcW w:type="dxa" w:w="1134"/>
            <w:shd w:fill="FFC7CE" w:val="clear"/>
          </w:tcPr>
          <w:p>
            <w:r>
              <w:rPr>
                <w:b/>
                <w:color w:val="B40000"/>
                <w:sz w:val="16"/>
              </w:rPr>
              <w:t>-13.13%</w:t>
            </w:r>
          </w:p>
        </w:tc>
        <w:tc>
          <w:tcPr>
            <w:tcW w:type="dxa" w:w="1134"/>
            <w:shd w:fill="FFEB9C" w:val="clear"/>
          </w:tcPr>
          <w:p>
            <w:r>
              <w:rPr>
                <w:sz w:val="16"/>
              </w:rPr>
              <w:t>Moyenne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8,730</w:t>
            </w:r>
          </w:p>
        </w:tc>
        <w:tc>
          <w:tcPr>
            <w:tcW w:type="dxa" w:w="1417"/>
            <w:shd w:fill="FFFFFF" w:val="clear"/>
          </w:tcPr>
          <w:p>
            <w:r>
              <w:rPr>
                <w:sz w:val="16"/>
              </w:rPr>
              <w:t>7,349</w:t>
            </w:r>
          </w:p>
        </w:tc>
        <w:tc>
          <w:tcPr>
            <w:tcW w:type="dxa" w:w="1134"/>
            <w:shd w:fill="FFC7CE" w:val="clear"/>
          </w:tcPr>
          <w:p>
            <w:r>
              <w:rPr>
                <w:b/>
                <w:color w:val="B40000"/>
                <w:sz w:val="16"/>
              </w:rPr>
              <w:t>-15.82%</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9,120</w:t>
            </w:r>
          </w:p>
        </w:tc>
        <w:tc>
          <w:tcPr>
            <w:tcW w:type="dxa" w:w="1417"/>
            <w:shd w:fill="FFFFFF" w:val="clear"/>
          </w:tcPr>
          <w:p>
            <w:r>
              <w:rPr>
                <w:sz w:val="16"/>
              </w:rPr>
              <w:t>7,175</w:t>
            </w:r>
          </w:p>
        </w:tc>
        <w:tc>
          <w:tcPr>
            <w:tcW w:type="dxa" w:w="1134"/>
            <w:shd w:fill="FFC7CE" w:val="clear"/>
          </w:tcPr>
          <w:p>
            <w:r>
              <w:rPr>
                <w:b/>
                <w:color w:val="B40000"/>
                <w:sz w:val="16"/>
              </w:rPr>
              <w:t>-21.33%</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2,400</w:t>
            </w:r>
          </w:p>
        </w:tc>
        <w:tc>
          <w:tcPr>
            <w:tcW w:type="dxa" w:w="1417"/>
            <w:shd w:fill="FFFFFF" w:val="clear"/>
          </w:tcPr>
          <w:p>
            <w:r>
              <w:rPr>
                <w:sz w:val="16"/>
              </w:rPr>
              <w:t>1,813</w:t>
            </w:r>
          </w:p>
        </w:tc>
        <w:tc>
          <w:tcPr>
            <w:tcW w:type="dxa" w:w="1134"/>
            <w:shd w:fill="FFC7CE" w:val="clear"/>
          </w:tcPr>
          <w:p>
            <w:r>
              <w:rPr>
                <w:b/>
                <w:color w:val="B40000"/>
                <w:sz w:val="16"/>
              </w:rPr>
              <w:t>-24.46%</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2,250</w:t>
            </w:r>
          </w:p>
        </w:tc>
        <w:tc>
          <w:tcPr>
            <w:tcW w:type="dxa" w:w="1417"/>
            <w:shd w:fill="FFFFFF" w:val="clear"/>
          </w:tcPr>
          <w:p>
            <w:r>
              <w:rPr>
                <w:sz w:val="16"/>
              </w:rPr>
              <w:t>1,650</w:t>
            </w:r>
          </w:p>
        </w:tc>
        <w:tc>
          <w:tcPr>
            <w:tcW w:type="dxa" w:w="1134"/>
            <w:shd w:fill="FFC7CE" w:val="clear"/>
          </w:tcPr>
          <w:p>
            <w:r>
              <w:rPr>
                <w:b/>
                <w:color w:val="B40000"/>
                <w:sz w:val="16"/>
              </w:rPr>
              <w:t>-26.69%</w:t>
            </w:r>
          </w:p>
        </w:tc>
        <w:tc>
          <w:tcPr>
            <w:tcW w:type="dxa" w:w="1134"/>
            <w:shd w:fill="FFEB9C" w:val="clear"/>
          </w:tcPr>
          <w:p>
            <w:r>
              <w:rPr>
                <w:sz w:val="16"/>
              </w:rPr>
              <w:t>Moyenne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12,480</w:t>
            </w:r>
          </w:p>
        </w:tc>
        <w:tc>
          <w:tcPr>
            <w:tcW w:type="dxa" w:w="1417"/>
            <w:shd w:fill="FFFFFF" w:val="clear"/>
          </w:tcPr>
          <w:p>
            <w:r>
              <w:rPr>
                <w:sz w:val="16"/>
              </w:rPr>
              <w:t>8,800</w:t>
            </w:r>
          </w:p>
        </w:tc>
        <w:tc>
          <w:tcPr>
            <w:tcW w:type="dxa" w:w="1134"/>
            <w:shd w:fill="FFC7CE" w:val="clear"/>
          </w:tcPr>
          <w:p>
            <w:r>
              <w:rPr>
                <w:b/>
                <w:color w:val="B40000"/>
                <w:sz w:val="16"/>
              </w:rPr>
              <w:t>-29.48%</w:t>
            </w:r>
          </w:p>
        </w:tc>
        <w:tc>
          <w:tcPr>
            <w:tcW w:type="dxa" w:w="1134"/>
            <w:shd w:fill="FFEB9C" w:val="clear"/>
          </w:tcPr>
          <w:p>
            <w:r>
              <w:rPr>
                <w:sz w:val="16"/>
              </w:rPr>
              <w:t>Moyenne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8,095</w:t>
            </w:r>
          </w:p>
        </w:tc>
        <w:tc>
          <w:tcPr>
            <w:tcW w:type="dxa" w:w="1417"/>
            <w:shd w:fill="FFFFFF" w:val="clear"/>
          </w:tcPr>
          <w:p>
            <w:r>
              <w:rPr>
                <w:sz w:val="16"/>
              </w:rPr>
              <w:t>5,445</w:t>
            </w:r>
          </w:p>
        </w:tc>
        <w:tc>
          <w:tcPr>
            <w:tcW w:type="dxa" w:w="1134"/>
            <w:shd w:fill="FFC7CE" w:val="clear"/>
          </w:tcPr>
          <w:p>
            <w:r>
              <w:rPr>
                <w:b/>
                <w:color w:val="B40000"/>
                <w:sz w:val="16"/>
              </w:rPr>
              <w:t>-32.73%</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2,260</w:t>
            </w:r>
          </w:p>
        </w:tc>
        <w:tc>
          <w:tcPr>
            <w:tcW w:type="dxa" w:w="1417"/>
            <w:shd w:fill="FFFFFF" w:val="clear"/>
          </w:tcPr>
          <w:p>
            <w:r>
              <w:rPr>
                <w:sz w:val="16"/>
              </w:rPr>
              <w:t>1,377</w:t>
            </w:r>
          </w:p>
        </w:tc>
        <w:tc>
          <w:tcPr>
            <w:tcW w:type="dxa" w:w="1134"/>
            <w:shd w:fill="FFC7CE" w:val="clear"/>
          </w:tcPr>
          <w:p>
            <w:r>
              <w:rPr>
                <w:b/>
                <w:color w:val="B40000"/>
                <w:sz w:val="16"/>
              </w:rPr>
              <w:t>-39.06%</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2,660</w:t>
            </w:r>
          </w:p>
        </w:tc>
        <w:tc>
          <w:tcPr>
            <w:tcW w:type="dxa" w:w="1417"/>
            <w:shd w:fill="FFFFFF" w:val="clear"/>
          </w:tcPr>
          <w:p>
            <w:r>
              <w:rPr>
                <w:sz w:val="16"/>
              </w:rPr>
              <w:t>1,612</w:t>
            </w:r>
          </w:p>
        </w:tc>
        <w:tc>
          <w:tcPr>
            <w:tcW w:type="dxa" w:w="1134"/>
            <w:shd w:fill="FFC7CE" w:val="clear"/>
          </w:tcPr>
          <w:p>
            <w:r>
              <w:rPr>
                <w:b/>
                <w:color w:val="B40000"/>
                <w:sz w:val="16"/>
              </w:rPr>
              <w:t>-39.40%</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28,700</w:t>
            </w:r>
          </w:p>
        </w:tc>
        <w:tc>
          <w:tcPr>
            <w:tcW w:type="dxa" w:w="1417"/>
            <w:shd w:fill="FFFFFF" w:val="clear"/>
          </w:tcPr>
          <w:p>
            <w:r>
              <w:rPr>
                <w:sz w:val="16"/>
              </w:rPr>
              <w:t>17,382</w:t>
            </w:r>
          </w:p>
        </w:tc>
        <w:tc>
          <w:tcPr>
            <w:tcW w:type="dxa" w:w="1134"/>
            <w:shd w:fill="FFC7CE" w:val="clear"/>
          </w:tcPr>
          <w:p>
            <w:r>
              <w:rPr>
                <w:b/>
                <w:color w:val="B40000"/>
                <w:sz w:val="16"/>
              </w:rPr>
              <w:t>-39.44%</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5,450</w:t>
            </w:r>
          </w:p>
        </w:tc>
        <w:tc>
          <w:tcPr>
            <w:tcW w:type="dxa" w:w="1417"/>
            <w:shd w:fill="FFFFFF" w:val="clear"/>
          </w:tcPr>
          <w:p>
            <w:r>
              <w:rPr>
                <w:sz w:val="16"/>
              </w:rPr>
              <w:t>3,194</w:t>
            </w:r>
          </w:p>
        </w:tc>
        <w:tc>
          <w:tcPr>
            <w:tcW w:type="dxa" w:w="1134"/>
            <w:shd w:fill="FFC7CE" w:val="clear"/>
          </w:tcPr>
          <w:p>
            <w:r>
              <w:rPr>
                <w:b/>
                <w:color w:val="B40000"/>
                <w:sz w:val="16"/>
              </w:rPr>
              <w:t>-41.39%</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65</w:t>
            </w:r>
          </w:p>
        </w:tc>
        <w:tc>
          <w:tcPr>
            <w:tcW w:type="dxa" w:w="1417"/>
            <w:shd w:fill="FFFFFF" w:val="clear"/>
          </w:tcPr>
          <w:p>
            <w:r>
              <w:rPr>
                <w:sz w:val="16"/>
              </w:rPr>
              <w:t>30</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5,170</w:t>
            </w:r>
          </w:p>
        </w:tc>
        <w:tc>
          <w:tcPr>
            <w:tcW w:type="dxa" w:w="1417"/>
            <w:shd w:fill="FFFFFF" w:val="clear"/>
          </w:tcPr>
          <w:p>
            <w:r>
              <w:rPr>
                <w:sz w:val="16"/>
              </w:rPr>
              <w:t>2,371</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3,595</w:t>
            </w:r>
          </w:p>
        </w:tc>
        <w:tc>
          <w:tcPr>
            <w:tcW w:type="dxa" w:w="1417"/>
            <w:shd w:fill="FFFFFF" w:val="clear"/>
          </w:tcPr>
          <w:p>
            <w:r>
              <w:rPr>
                <w:sz w:val="16"/>
              </w:rPr>
              <w:t>1,649</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34.70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3,131 titres</w:t>
            </w:r>
          </w:p>
        </w:tc>
        <w:tc>
          <w:tcPr>
            <w:tcW w:type="dxa" w:w="2268"/>
            <w:shd w:fill="FFF2CC" w:val="clear"/>
          </w:tcPr>
          <w:p>
            <w:r>
              <w:rPr>
                <w:b/>
                <w:color w:val="503200"/>
                <w:sz w:val="16"/>
              </w:rPr>
              <w:t xml:space="preserve">Cours actuel : </w:t>
            </w:r>
            <w:r>
              <w:rPr>
                <w:color w:val="000000"/>
                <w:sz w:val="17"/>
              </w:rPr>
              <w:t>3,180 FCFA</w:t>
            </w:r>
          </w:p>
          <w:p>
            <w:r>
              <w:rPr>
                <w:b/>
                <w:color w:val="503200"/>
                <w:sz w:val="16"/>
              </w:rPr>
              <w:t xml:space="preserve">Var. 100 jours : </w:t>
            </w:r>
            <w:r>
              <w:rPr>
                <w:b/>
                <w:color w:val="B40000"/>
                <w:sz w:val="17"/>
              </w:rPr>
              <w:t>-6.33%</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54.7%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7.43% (Moyenne) — μ=3,217 FCFA, σ=239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β=-0.7423 (Contre-cyclique) — Cov=-0.000027, Var(idx)=0.000036, ρ=-0.130,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3,131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σ_j=3.45%/j (Modérée) — Vol. annualisée≈54.7%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324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324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2026-08-13</w:t>
            </w:r>
          </w:p>
        </w:tc>
        <w:tc>
          <w:tcPr>
            <w:tcW w:type="dxa" w:w="1440"/>
            <w:shd w:fill="FFDCE0" w:val="clear"/>
          </w:tcPr>
          <w:p>
            <w:r>
              <w:rPr>
                <w:sz w:val="17"/>
              </w:rPr>
              <w:t>2,966</w:t>
            </w:r>
          </w:p>
        </w:tc>
        <w:tc>
          <w:tcPr>
            <w:tcW w:type="dxa" w:w="1440"/>
            <w:shd w:fill="FFDCE0" w:val="clear"/>
          </w:tcPr>
          <w:p>
            <w:r>
              <w:rPr>
                <w:b/>
                <w:sz w:val="17"/>
              </w:rPr>
              <w:t>3,111</w:t>
            </w:r>
          </w:p>
        </w:tc>
        <w:tc>
          <w:tcPr>
            <w:tcW w:type="dxa" w:w="1440"/>
            <w:shd w:fill="FFDCE0" w:val="clear"/>
          </w:tcPr>
          <w:p>
            <w:r>
              <w:rPr>
                <w:sz w:val="17"/>
              </w:rPr>
              <w:t>3,256</w:t>
            </w:r>
          </w:p>
        </w:tc>
        <w:tc>
          <w:tcPr>
            <w:tcW w:type="dxa" w:w="1440"/>
            <w:shd w:fill="FFDCE0" w:val="clear"/>
          </w:tcPr>
          <w:p>
            <w:r>
              <w:rPr>
                <w:b/>
                <w:color w:val="C00000"/>
                <w:sz w:val="17"/>
              </w:rPr>
              <w:t>-2.2%</w:t>
            </w:r>
          </w:p>
        </w:tc>
      </w:tr>
      <w:tr>
        <w:tc>
          <w:tcPr>
            <w:tcW w:type="dxa" w:w="1440"/>
            <w:shd w:fill="FFDCE0" w:val="clear"/>
          </w:tcPr>
          <w:p>
            <w:r>
              <w:rPr>
                <w:sz w:val="17"/>
              </w:rPr>
              <w:t>J+2  Moyenne</w:t>
            </w:r>
          </w:p>
        </w:tc>
        <w:tc>
          <w:tcPr>
            <w:tcW w:type="dxa" w:w="1440"/>
            <w:shd w:fill="FFDCE0" w:val="clear"/>
          </w:tcPr>
          <w:p>
            <w:r>
              <w:rPr>
                <w:sz w:val="17"/>
              </w:rPr>
              <w:t>2026-08-14</w:t>
            </w:r>
          </w:p>
        </w:tc>
        <w:tc>
          <w:tcPr>
            <w:tcW w:type="dxa" w:w="1440"/>
            <w:shd w:fill="FFDCE0" w:val="clear"/>
          </w:tcPr>
          <w:p>
            <w:r>
              <w:rPr>
                <w:sz w:val="17"/>
              </w:rPr>
              <w:t>2,866</w:t>
            </w:r>
          </w:p>
        </w:tc>
        <w:tc>
          <w:tcPr>
            <w:tcW w:type="dxa" w:w="1440"/>
            <w:shd w:fill="FFDCE0" w:val="clear"/>
          </w:tcPr>
          <w:p>
            <w:r>
              <w:rPr>
                <w:b/>
                <w:sz w:val="17"/>
              </w:rPr>
              <w:t>3,069</w:t>
            </w:r>
          </w:p>
        </w:tc>
        <w:tc>
          <w:tcPr>
            <w:tcW w:type="dxa" w:w="1440"/>
            <w:shd w:fill="FFDCE0" w:val="clear"/>
          </w:tcPr>
          <w:p>
            <w:r>
              <w:rPr>
                <w:sz w:val="17"/>
              </w:rPr>
              <w:t>3,271</w:t>
            </w:r>
          </w:p>
        </w:tc>
        <w:tc>
          <w:tcPr>
            <w:tcW w:type="dxa" w:w="1440"/>
            <w:shd w:fill="FFDCE0" w:val="clear"/>
          </w:tcPr>
          <w:p>
            <w:r>
              <w:rPr>
                <w:b/>
                <w:color w:val="C00000"/>
                <w:sz w:val="17"/>
              </w:rPr>
              <w:t>-3.5%</w:t>
            </w:r>
          </w:p>
        </w:tc>
      </w:tr>
      <w:tr>
        <w:tc>
          <w:tcPr>
            <w:tcW w:type="dxa" w:w="1440"/>
            <w:shd w:fill="FFDCE0" w:val="clear"/>
          </w:tcPr>
          <w:p>
            <w:r>
              <w:rPr>
                <w:sz w:val="17"/>
              </w:rPr>
              <w:t>J+3  Moyenne</w:t>
            </w:r>
          </w:p>
        </w:tc>
        <w:tc>
          <w:tcPr>
            <w:tcW w:type="dxa" w:w="1440"/>
            <w:shd w:fill="FFDCE0" w:val="clear"/>
          </w:tcPr>
          <w:p>
            <w:r>
              <w:rPr>
                <w:sz w:val="17"/>
              </w:rPr>
              <w:t>2026-08-17</w:t>
            </w:r>
          </w:p>
        </w:tc>
        <w:tc>
          <w:tcPr>
            <w:tcW w:type="dxa" w:w="1440"/>
            <w:shd w:fill="FFDCE0" w:val="clear"/>
          </w:tcPr>
          <w:p>
            <w:r>
              <w:rPr>
                <w:sz w:val="17"/>
              </w:rPr>
              <w:t>2,776</w:t>
            </w:r>
          </w:p>
        </w:tc>
        <w:tc>
          <w:tcPr>
            <w:tcW w:type="dxa" w:w="1440"/>
            <w:shd w:fill="FFDCE0" w:val="clear"/>
          </w:tcPr>
          <w:p>
            <w:r>
              <w:rPr>
                <w:b/>
                <w:sz w:val="17"/>
              </w:rPr>
              <w:t>3,020</w:t>
            </w:r>
          </w:p>
        </w:tc>
        <w:tc>
          <w:tcPr>
            <w:tcW w:type="dxa" w:w="1440"/>
            <w:shd w:fill="FFDCE0" w:val="clear"/>
          </w:tcPr>
          <w:p>
            <w:r>
              <w:rPr>
                <w:sz w:val="17"/>
              </w:rPr>
              <w:t>3,265</w:t>
            </w:r>
          </w:p>
        </w:tc>
        <w:tc>
          <w:tcPr>
            <w:tcW w:type="dxa" w:w="1440"/>
            <w:shd w:fill="FFDCE0" w:val="clear"/>
          </w:tcPr>
          <w:p>
            <w:r>
              <w:rPr>
                <w:b/>
                <w:color w:val="C00000"/>
                <w:sz w:val="17"/>
              </w:rPr>
              <w:t>-5.0%</w:t>
            </w:r>
          </w:p>
        </w:tc>
      </w:tr>
      <w:tr>
        <w:tc>
          <w:tcPr>
            <w:tcW w:type="dxa" w:w="1440"/>
            <w:shd w:fill="FFDCE0" w:val="clear"/>
          </w:tcPr>
          <w:p>
            <w:r>
              <w:rPr>
                <w:sz w:val="17"/>
              </w:rPr>
              <w:t>J+4  ⭐</w:t>
            </w:r>
          </w:p>
        </w:tc>
        <w:tc>
          <w:tcPr>
            <w:tcW w:type="dxa" w:w="1440"/>
            <w:shd w:fill="FFDCE0" w:val="clear"/>
          </w:tcPr>
          <w:p>
            <w:r>
              <w:rPr>
                <w:sz w:val="17"/>
              </w:rPr>
              <w:t>2026-08-18</w:t>
            </w:r>
          </w:p>
        </w:tc>
        <w:tc>
          <w:tcPr>
            <w:tcW w:type="dxa" w:w="1440"/>
            <w:shd w:fill="FFDCE0" w:val="clear"/>
          </w:tcPr>
          <w:p>
            <w:r>
              <w:rPr>
                <w:sz w:val="17"/>
              </w:rPr>
              <w:t>2,701</w:t>
            </w:r>
          </w:p>
        </w:tc>
        <w:tc>
          <w:tcPr>
            <w:tcW w:type="dxa" w:w="1440"/>
            <w:shd w:fill="FFDCE0" w:val="clear"/>
          </w:tcPr>
          <w:p>
            <w:r>
              <w:rPr>
                <w:b/>
                <w:sz w:val="17"/>
              </w:rPr>
              <w:t>2,979</w:t>
            </w:r>
          </w:p>
        </w:tc>
        <w:tc>
          <w:tcPr>
            <w:tcW w:type="dxa" w:w="1440"/>
            <w:shd w:fill="FFDCE0" w:val="clear"/>
          </w:tcPr>
          <w:p>
            <w:r>
              <w:rPr>
                <w:sz w:val="17"/>
              </w:rPr>
              <w:t>3,257</w:t>
            </w:r>
          </w:p>
        </w:tc>
        <w:tc>
          <w:tcPr>
            <w:tcW w:type="dxa" w:w="1440"/>
            <w:shd w:fill="FFDCE0" w:val="clear"/>
          </w:tcPr>
          <w:p>
            <w:r>
              <w:rPr>
                <w:b/>
                <w:color w:val="C00000"/>
                <w:sz w:val="17"/>
              </w:rPr>
              <w:t>-6.3%</w:t>
            </w:r>
          </w:p>
        </w:tc>
      </w:tr>
      <w:tr>
        <w:tc>
          <w:tcPr>
            <w:tcW w:type="dxa" w:w="1440"/>
            <w:shd w:fill="FFDCE0" w:val="clear"/>
          </w:tcPr>
          <w:p>
            <w:r>
              <w:rPr>
                <w:sz w:val="17"/>
              </w:rPr>
              <w:t>J+5  ⭐</w:t>
            </w:r>
          </w:p>
        </w:tc>
        <w:tc>
          <w:tcPr>
            <w:tcW w:type="dxa" w:w="1440"/>
            <w:shd w:fill="FFDCE0" w:val="clear"/>
          </w:tcPr>
          <w:p>
            <w:r>
              <w:rPr>
                <w:sz w:val="17"/>
              </w:rPr>
              <w:t>2026-08-19</w:t>
            </w:r>
          </w:p>
        </w:tc>
        <w:tc>
          <w:tcPr>
            <w:tcW w:type="dxa" w:w="1440"/>
            <w:shd w:fill="FFDCE0" w:val="clear"/>
          </w:tcPr>
          <w:p>
            <w:r>
              <w:rPr>
                <w:sz w:val="17"/>
              </w:rPr>
              <w:t>2,635</w:t>
            </w:r>
          </w:p>
        </w:tc>
        <w:tc>
          <w:tcPr>
            <w:tcW w:type="dxa" w:w="1440"/>
            <w:shd w:fill="FFDCE0" w:val="clear"/>
          </w:tcPr>
          <w:p>
            <w:r>
              <w:rPr>
                <w:b/>
                <w:sz w:val="17"/>
              </w:rPr>
              <w:t>2,943</w:t>
            </w:r>
          </w:p>
        </w:tc>
        <w:tc>
          <w:tcPr>
            <w:tcW w:type="dxa" w:w="1440"/>
            <w:shd w:fill="FFDCE0" w:val="clear"/>
          </w:tcPr>
          <w:p>
            <w:r>
              <w:rPr>
                <w:sz w:val="17"/>
              </w:rPr>
              <w:t>3,250</w:t>
            </w:r>
          </w:p>
        </w:tc>
        <w:tc>
          <w:tcPr>
            <w:tcW w:type="dxa" w:w="1440"/>
            <w:shd w:fill="FFDCE0" w:val="clear"/>
          </w:tcPr>
          <w:p>
            <w:r>
              <w:rPr>
                <w:b/>
                <w:color w:val="C00000"/>
                <w:sz w:val="17"/>
              </w:rPr>
              <w:t>-7.5%</w:t>
            </w:r>
          </w:p>
        </w:tc>
      </w:tr>
      <w:tr>
        <w:tc>
          <w:tcPr>
            <w:tcW w:type="dxa" w:w="1440"/>
            <w:shd w:fill="FFDCE0" w:val="clear"/>
          </w:tcPr>
          <w:p>
            <w:r>
              <w:rPr>
                <w:sz w:val="17"/>
              </w:rPr>
              <w:t>J+6  ⭐</w:t>
            </w:r>
          </w:p>
        </w:tc>
        <w:tc>
          <w:tcPr>
            <w:tcW w:type="dxa" w:w="1440"/>
            <w:shd w:fill="FFDCE0" w:val="clear"/>
          </w:tcPr>
          <w:p>
            <w:r>
              <w:rPr>
                <w:sz w:val="17"/>
              </w:rPr>
              <w:t>2026-08-20</w:t>
            </w:r>
          </w:p>
        </w:tc>
        <w:tc>
          <w:tcPr>
            <w:tcW w:type="dxa" w:w="1440"/>
            <w:shd w:fill="FFDCE0" w:val="clear"/>
          </w:tcPr>
          <w:p>
            <w:r>
              <w:rPr>
                <w:sz w:val="17"/>
              </w:rPr>
              <w:t>2,576</w:t>
            </w:r>
          </w:p>
        </w:tc>
        <w:tc>
          <w:tcPr>
            <w:tcW w:type="dxa" w:w="1440"/>
            <w:shd w:fill="FFDCE0" w:val="clear"/>
          </w:tcPr>
          <w:p>
            <w:r>
              <w:rPr>
                <w:b/>
                <w:sz w:val="17"/>
              </w:rPr>
              <w:t>2,909</w:t>
            </w:r>
          </w:p>
        </w:tc>
        <w:tc>
          <w:tcPr>
            <w:tcW w:type="dxa" w:w="1440"/>
            <w:shd w:fill="FFDCE0" w:val="clear"/>
          </w:tcPr>
          <w:p>
            <w:r>
              <w:rPr>
                <w:sz w:val="17"/>
              </w:rPr>
              <w:t>3,242</w:t>
            </w:r>
          </w:p>
        </w:tc>
        <w:tc>
          <w:tcPr>
            <w:tcW w:type="dxa" w:w="1440"/>
            <w:shd w:fill="FFDCE0" w:val="clear"/>
          </w:tcPr>
          <w:p>
            <w:r>
              <w:rPr>
                <w:b/>
                <w:color w:val="C00000"/>
                <w:sz w:val="17"/>
              </w:rPr>
              <w:t>-8.5%</w:t>
            </w:r>
          </w:p>
        </w:tc>
      </w:tr>
      <w:tr>
        <w:tc>
          <w:tcPr>
            <w:tcW w:type="dxa" w:w="1440"/>
            <w:shd w:fill="FFDCE0" w:val="clear"/>
          </w:tcPr>
          <w:p>
            <w:r>
              <w:rPr>
                <w:sz w:val="17"/>
              </w:rPr>
              <w:t>J+7  ⭐</w:t>
            </w:r>
          </w:p>
        </w:tc>
        <w:tc>
          <w:tcPr>
            <w:tcW w:type="dxa" w:w="1440"/>
            <w:shd w:fill="FFDCE0" w:val="clear"/>
          </w:tcPr>
          <w:p>
            <w:r>
              <w:rPr>
                <w:sz w:val="17"/>
              </w:rPr>
              <w:t>2026-08-21</w:t>
            </w:r>
          </w:p>
        </w:tc>
        <w:tc>
          <w:tcPr>
            <w:tcW w:type="dxa" w:w="1440"/>
            <w:shd w:fill="FFDCE0" w:val="clear"/>
          </w:tcPr>
          <w:p>
            <w:r>
              <w:rPr>
                <w:sz w:val="17"/>
              </w:rPr>
              <w:t>2,521</w:t>
            </w:r>
          </w:p>
        </w:tc>
        <w:tc>
          <w:tcPr>
            <w:tcW w:type="dxa" w:w="1440"/>
            <w:shd w:fill="FFDCE0" w:val="clear"/>
          </w:tcPr>
          <w:p>
            <w:r>
              <w:rPr>
                <w:b/>
                <w:sz w:val="17"/>
              </w:rPr>
              <w:t>2,877</w:t>
            </w:r>
          </w:p>
        </w:tc>
        <w:tc>
          <w:tcPr>
            <w:tcW w:type="dxa" w:w="1440"/>
            <w:shd w:fill="FFDCE0" w:val="clear"/>
          </w:tcPr>
          <w:p>
            <w:r>
              <w:rPr>
                <w:sz w:val="17"/>
              </w:rPr>
              <w:t>3,232</w:t>
            </w:r>
          </w:p>
        </w:tc>
        <w:tc>
          <w:tcPr>
            <w:tcW w:type="dxa" w:w="1440"/>
            <w:shd w:fill="FFDCE0" w:val="clear"/>
          </w:tcPr>
          <w:p>
            <w:r>
              <w:rPr>
                <w:b/>
                <w:color w:val="C00000"/>
                <w:sz w:val="17"/>
              </w:rPr>
              <w:t>-9.5%</w:t>
            </w:r>
          </w:p>
        </w:tc>
      </w:tr>
      <w:tr>
        <w:tc>
          <w:tcPr>
            <w:tcW w:type="dxa" w:w="1440"/>
            <w:shd w:fill="FFDCE0" w:val="clear"/>
          </w:tcPr>
          <w:p>
            <w:r>
              <w:rPr>
                <w:sz w:val="17"/>
              </w:rPr>
              <w:t>J+8  ⭐</w:t>
            </w:r>
          </w:p>
        </w:tc>
        <w:tc>
          <w:tcPr>
            <w:tcW w:type="dxa" w:w="1440"/>
            <w:shd w:fill="FFDCE0" w:val="clear"/>
          </w:tcPr>
          <w:p>
            <w:r>
              <w:rPr>
                <w:sz w:val="17"/>
              </w:rPr>
              <w:t>2026-08-24</w:t>
            </w:r>
          </w:p>
        </w:tc>
        <w:tc>
          <w:tcPr>
            <w:tcW w:type="dxa" w:w="1440"/>
            <w:shd w:fill="FFDCE0" w:val="clear"/>
          </w:tcPr>
          <w:p>
            <w:r>
              <w:rPr>
                <w:sz w:val="17"/>
              </w:rPr>
              <w:t>2,471</w:t>
            </w:r>
          </w:p>
        </w:tc>
        <w:tc>
          <w:tcPr>
            <w:tcW w:type="dxa" w:w="1440"/>
            <w:shd w:fill="FFDCE0" w:val="clear"/>
          </w:tcPr>
          <w:p>
            <w:r>
              <w:rPr>
                <w:b/>
                <w:sz w:val="17"/>
              </w:rPr>
              <w:t>2,847</w:t>
            </w:r>
          </w:p>
        </w:tc>
        <w:tc>
          <w:tcPr>
            <w:tcW w:type="dxa" w:w="1440"/>
            <w:shd w:fill="FFDCE0" w:val="clear"/>
          </w:tcPr>
          <w:p>
            <w:r>
              <w:rPr>
                <w:sz w:val="17"/>
              </w:rPr>
              <w:t>3,223</w:t>
            </w:r>
          </w:p>
        </w:tc>
        <w:tc>
          <w:tcPr>
            <w:tcW w:type="dxa" w:w="1440"/>
            <w:shd w:fill="FFDCE0" w:val="clear"/>
          </w:tcPr>
          <w:p>
            <w:r>
              <w:rPr>
                <w:b/>
                <w:color w:val="C00000"/>
                <w:sz w:val="17"/>
              </w:rPr>
              <w:t>-10.5%</w:t>
            </w:r>
          </w:p>
        </w:tc>
      </w:tr>
      <w:tr>
        <w:tc>
          <w:tcPr>
            <w:tcW w:type="dxa" w:w="1440"/>
            <w:shd w:fill="FFDCE0" w:val="clear"/>
          </w:tcPr>
          <w:p>
            <w:r>
              <w:rPr>
                <w:sz w:val="17"/>
              </w:rPr>
              <w:t>J+9  ⭐</w:t>
            </w:r>
          </w:p>
        </w:tc>
        <w:tc>
          <w:tcPr>
            <w:tcW w:type="dxa" w:w="1440"/>
            <w:shd w:fill="FFDCE0" w:val="clear"/>
          </w:tcPr>
          <w:p>
            <w:r>
              <w:rPr>
                <w:sz w:val="17"/>
              </w:rPr>
              <w:t>2026-08-25</w:t>
            </w:r>
          </w:p>
        </w:tc>
        <w:tc>
          <w:tcPr>
            <w:tcW w:type="dxa" w:w="1440"/>
            <w:shd w:fill="FFDCE0" w:val="clear"/>
          </w:tcPr>
          <w:p>
            <w:r>
              <w:rPr>
                <w:sz w:val="17"/>
              </w:rPr>
              <w:t>2,423</w:t>
            </w:r>
          </w:p>
        </w:tc>
        <w:tc>
          <w:tcPr>
            <w:tcW w:type="dxa" w:w="1440"/>
            <w:shd w:fill="FFDCE0" w:val="clear"/>
          </w:tcPr>
          <w:p>
            <w:r>
              <w:rPr>
                <w:b/>
                <w:sz w:val="17"/>
              </w:rPr>
              <w:t>2,818</w:t>
            </w:r>
          </w:p>
        </w:tc>
        <w:tc>
          <w:tcPr>
            <w:tcW w:type="dxa" w:w="1440"/>
            <w:shd w:fill="FFDCE0" w:val="clear"/>
          </w:tcPr>
          <w:p>
            <w:r>
              <w:rPr>
                <w:sz w:val="17"/>
              </w:rPr>
              <w:t>3,212</w:t>
            </w:r>
          </w:p>
        </w:tc>
        <w:tc>
          <w:tcPr>
            <w:tcW w:type="dxa" w:w="1440"/>
            <w:shd w:fill="FFDCE0" w:val="clear"/>
          </w:tcPr>
          <w:p>
            <w:r>
              <w:rPr>
                <w:b/>
                <w:color w:val="C00000"/>
                <w:sz w:val="17"/>
              </w:rPr>
              <w:t>-11.4%</w:t>
            </w:r>
          </w:p>
        </w:tc>
      </w:tr>
      <w:tr>
        <w:tc>
          <w:tcPr>
            <w:tcW w:type="dxa" w:w="1440"/>
            <w:shd w:fill="FFDCE0" w:val="clear"/>
          </w:tcPr>
          <w:p>
            <w:r>
              <w:rPr>
                <w:sz w:val="17"/>
              </w:rPr>
              <w:t>J+10  ⭐</w:t>
            </w:r>
          </w:p>
        </w:tc>
        <w:tc>
          <w:tcPr>
            <w:tcW w:type="dxa" w:w="1440"/>
            <w:shd w:fill="FFDCE0" w:val="clear"/>
          </w:tcPr>
          <w:p>
            <w:r>
              <w:rPr>
                <w:sz w:val="17"/>
              </w:rPr>
              <w:t>2026-08-27</w:t>
            </w:r>
          </w:p>
        </w:tc>
        <w:tc>
          <w:tcPr>
            <w:tcW w:type="dxa" w:w="1440"/>
            <w:shd w:fill="FFDCE0" w:val="clear"/>
          </w:tcPr>
          <w:p>
            <w:r>
              <w:rPr>
                <w:sz w:val="17"/>
              </w:rPr>
              <w:t>2,378</w:t>
            </w:r>
          </w:p>
        </w:tc>
        <w:tc>
          <w:tcPr>
            <w:tcW w:type="dxa" w:w="1440"/>
            <w:shd w:fill="FFDCE0" w:val="clear"/>
          </w:tcPr>
          <w:p>
            <w:r>
              <w:rPr>
                <w:b/>
                <w:sz w:val="17"/>
              </w:rPr>
              <w:t>2,790</w:t>
            </w:r>
          </w:p>
        </w:tc>
        <w:tc>
          <w:tcPr>
            <w:tcW w:type="dxa" w:w="1440"/>
            <w:shd w:fill="FFDCE0" w:val="clear"/>
          </w:tcPr>
          <w:p>
            <w:r>
              <w:rPr>
                <w:sz w:val="17"/>
              </w:rPr>
              <w:t>3,202</w:t>
            </w:r>
          </w:p>
        </w:tc>
        <w:tc>
          <w:tcPr>
            <w:tcW w:type="dxa" w:w="1440"/>
            <w:shd w:fill="FFDCE0" w:val="clear"/>
          </w:tcPr>
          <w:p>
            <w:r>
              <w:rPr>
                <w:b/>
                <w:color w:val="C00000"/>
                <w:sz w:val="17"/>
              </w:rPr>
              <w:t>-12.3%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de l'analyse : 12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34,70 milliards FCFA, un niveau significatif pour le compartiment des services de la BRVM. Avec un BPA de 124 FCFA, le titre se négocie à un PER de 25,7x, très supérieur à la moyenne historique de la BRVM (8-12x). Ce ratio élevé suggère que le marché intègre des attentes de croissance future substantielles, ou signale une potentielle surévaluation. Le P/B de 6,73x confirme cette lecture, le marché valorisant le titre à plus de six fois sa valeur comptable, ce qui reflète une prime de valorisation exigeante. Enfin, l'EV/EBITDA de 12,9x indique que la valeur d'entreprise (dette incluse) représente près de 13 fois le résultat opérationnel brut, un niveau élevé qui rémunère la solidité opérationnelle de la société mais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ABJC a enregistré une baisse de 6,33%, avec une légère reprise de +1,27% lors de la dernière séance, signe d'un possible retour des acheteurs. Le cours a évolué dans un range de 2 800 à 3 780 FCFA, montrant une amplitude de près de 35% entre le plus haut et le plus bas. La moyenne (3 217 FCFA) est très proche de la médiane (3 192 FCFA), et le skewness de 0,288 indique une distribution quasi symétrique, sans biais directionnel majeur. L'écart-type de 240 FCFA (CV = 7,5%) reflète une dispersion modérée autour de la moyenne. Le kurtosis de -0,749 (mésokurtique) suggère une absence de mouvements extrêmes ou de "pics" de volatilité, le cours suivant une distribution proche de la normale. La volatilité annualisée de 54,7% est toutefois très élevée, classant le titre dans la catégorie des valeurs à fort risque, ce qui contraste avec la stabilité relative observée sur la période récente.</w:t>
      </w:r>
    </w:p>
    <w:p>
      <w:pPr>
        <w:spacing w:after="120" w:line="276" w:lineRule="auto"/>
      </w:pPr>
      <w:r>
        <w:t>---</w:t>
      </w:r>
    </w:p>
    <w:p>
      <w:pPr>
        <w:spacing w:after="120" w:line="276" w:lineRule="auto"/>
      </w:pPr>
      <w:r>
        <w:t>### PARTIE 2 : ANALYSE TECHNIQUE DÉTAILLÉE</w:t>
      </w:r>
    </w:p>
    <w:p>
      <w:pPr>
        <w:spacing w:after="120" w:line="276" w:lineRule="auto"/>
      </w:pPr>
      <w:r>
        <w:t>**Moyennes Mobiles (MM20 = 3044, MM50 = 3157,8) :** Le cours actuel (3 180 FCFA) se situe au-dessus de la MM20 mais en dessous de la MM50, indiquant une tendance de court terme positive mais une tendance de fond encore baissière. La décision "Vente" est justifiée par la configuration en "croix de la mort" potentielle si la MM20 passe sous la MM50.</w:t>
      </w:r>
    </w:p>
    <w:p>
      <w:pPr>
        <w:spacing w:after="120" w:line="276" w:lineRule="auto"/>
      </w:pPr>
      <w:r>
        <w:t>**Bandes de Bollinger (Borne sup = 3246,4 ; Borne inf = 2841,6) :** Le prix évolue dans la partie médiane-haute des bandes, à 3 180 FCFA, proche de la borne supérieure. Cela reflète une volatilité modérée et un momentum haussier récent. La décision "Neutre" est cohérente avec un cours qui n'a pas encore testé les extrêmes, laissant place à une poursuite du mouvement ou à un retour vers la moyenne.</w:t>
      </w:r>
    </w:p>
    <w:p>
      <w:pPr>
        <w:spacing w:after="120" w:line="276" w:lineRule="auto"/>
      </w:pPr>
      <w:r>
        <w:t>**MACD (Valeur = -23,863 ; Signal = -41,097) :** Le MACD est négatif mais en amélioration, se rapprochant de sa ligne de signal. La divergence positive (MACD &gt; Signal) suggère un momentum haussier naissant. La décision "Achat" est justifiée par ce croisement haussier, indiquant une possible inversion de tendance à court terme.</w:t>
      </w:r>
    </w:p>
    <w:p>
      <w:pPr>
        <w:spacing w:after="120" w:line="276" w:lineRule="auto"/>
      </w:pPr>
      <w:r>
        <w:t>**RSI (Valeur = 50,0) :** Le RSI est exactement à 50, en zone neutre. Cela indique un équilibre entre pressions acheteuses et vendeuses. La décision "Neutre" est appropriée, le titre n'étant ni suracheté ni survendu, laissant place à une évolution directionnelle sans contrainte technique.</w:t>
      </w:r>
    </w:p>
    <w:p>
      <w:pPr>
        <w:spacing w:after="120" w:line="276" w:lineRule="auto"/>
      </w:pPr>
      <w:r>
        <w:t>**Stochastique (%K = 100,0 ; %D = 81,579) :** Le %K est à son niveau maximal (100), bien au-dessus du %D, signalant une condition de surachat extrême. La décision "Vente" est justifiée par ce niveau extrême, qui précède souvent un repli technique ou une consolidation.</w:t>
      </w:r>
    </w:p>
    <w:p>
      <w:pPr>
        <w:spacing w:after="120" w:line="276" w:lineRule="auto"/>
      </w:pPr>
      <w:r>
        <w:t>**Conclusion technique :** Les indicateurs sont mitigés. Le MACD et le RSI suggèrent un potentiel haussier, tandis que le Stochastique en surachat extrême et les moyennes mobiles baissières indiquent un risque de correction. La prudence est de mise, avec une possible consolidation à court terme avant une reprise plus franche.</w:t>
      </w:r>
    </w:p>
    <w:p>
      <w:pPr>
        <w:spacing w:after="120" w:line="276" w:lineRule="auto"/>
      </w:pPr>
      <w:r>
        <w:t>---</w:t>
      </w:r>
    </w:p>
    <w:p>
      <w:pPr>
        <w:spacing w:after="120" w:line="276" w:lineRule="auto"/>
      </w:pPr>
      <w:r>
        <w:t>### PARTIE 3 : ANALYSE FONDAMENTALE (SECTION CRITIQUE)</w:t>
      </w:r>
    </w:p>
    <w:p>
      <w:pPr>
        <w:spacing w:after="120" w:line="276" w:lineRule="auto"/>
      </w:pPr>
      <w:r>
        <w:t>En 2025, ABJC a réalisé un chiffre d'affaires de 13,298 milliards FCFA, en hausse de 6,7% par rapport à 2024 (12,467 Mds FCFA, rapport du 31/12/2024). Le résultat net s'établit à 1,351 milliard FCFA, en baisse de 12,1% par rapport à 2024 (1,515 Md FCFA), principalement en raison d'une hausse de 46,7% de la charge d'impôt (839,75 M FCFA). La marge nette ressort à 10,16%, en léger repli. La rentabilité des capitaux propres (ROE) est excellente à 26,18%, et le ROA de 14,64% témoigne d'une bonne efficacité de l'utilisation des actifs. La structure financière est saine avec une autonomie financière de 55,9% et une trésorerie nette de 4,035 milliards FCFA, en nette amélioration par rapport à fin 2024 (3,428 Mds FCFA). Le BFR est positif (257,45 M FCFA), avec un délai clients de 70 jours et un délai fournisseurs de 92 jours, ce qui est favorable pour la trésorerie. Les rapports trimestriels 2025 montrent une tendance contrastée : le T1 2025 a été marqué par un litige avec la BCEAO (baisse du RN de -6,8%), mais le T3 2025 a affiché un net redressement (+17,1% du RN). Le rapport T1 2026 (publié en avril 2026) indique une dégradation de la rentabilité (-35,6% du RN) due à des ajustements de redevances aéroportuaires. On estime que l'exercice 2026 pourrait être difficile, avec un résultat net potentiellement en baisse de 20 à 30%, malgré une croissance du CA maintenue autour de 2-3%.</w:t>
      </w:r>
    </w:p>
    <w:p>
      <w:pPr>
        <w:spacing w:after="120" w:line="276" w:lineRule="auto"/>
      </w:pPr>
      <w:r>
        <w:t>---</w:t>
      </w:r>
    </w:p>
    <w:p>
      <w:pPr>
        <w:spacing w:after="120" w:line="276" w:lineRule="auto"/>
      </w:pPr>
      <w:r>
        <w:t>### PARTIE 4 : CONCLUSION D'INVESTISSEMENT</w:t>
      </w:r>
    </w:p>
    <w:p>
      <w:pPr>
        <w:spacing w:after="120" w:line="276" w:lineRule="auto"/>
      </w:pPr>
      <w:r>
        <w:t>La valorisation d'ABJC (PER 25,7x, P/B 6,73x) est exigeante, reflétant une prime de croissance qui semble aujourd'hui difficile à justifier face à la dégradation récente de la rentabilité. Le comportement du cours sur 100 jours est baissier (-6,33%), avec une volatilité très élevée (54,7%) et une distribution symétrique sans signe de retournement majeur. Les signaux techniques sont mitigés : le MACD est haussier, mais le Stochastique en surachat extrême et les MM baissières suggèrent une consolidation à court terme. Fondamentalement, la société affiche des ratios de rentabilité solides (ROE 26,18%) et une trésorerie abondante, mais les perspectives 2026 sont assombries par la pression fiscale et les ajustements réglementaires. Les prédictions IA (baisse de 3 111 à 2 943 FCFA sur 10 jours) confirment une trajectoire baissière à court terme. En synthèse, la convergence des signaux (valorisation élevée, technique mitigée, fondamentaux en repli, prédictions baissières) conduit à une recommandation **CONSERVER** avec un niveau de confiance **Moyen**. Le risque global est **Élevé** en raison de la volatilité et des incertitudes réglementaires. L'horizon d'investissement optimal serait le **moyen terme (3-12 mois)**, en attendant une stabilisation de la rentabilité et une résolution des litiges en cours.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467.57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8,592 titres</w:t>
            </w:r>
          </w:p>
        </w:tc>
        <w:tc>
          <w:tcPr>
            <w:tcW w:type="dxa" w:w="2268"/>
            <w:shd w:fill="FFF2CC" w:val="clear"/>
          </w:tcPr>
          <w:p>
            <w:r>
              <w:rPr>
                <w:b/>
                <w:color w:val="503200"/>
                <w:sz w:val="16"/>
              </w:rPr>
              <w:t xml:space="preserve">Cours actuel : </w:t>
            </w:r>
            <w:r>
              <w:rPr>
                <w:color w:val="000000"/>
                <w:sz w:val="17"/>
              </w:rPr>
              <w:t>8,095 FCFA</w:t>
            </w:r>
          </w:p>
          <w:p>
            <w:r>
              <w:rPr>
                <w:b/>
                <w:color w:val="503200"/>
                <w:sz w:val="16"/>
              </w:rPr>
              <w:t xml:space="preserve">Var. 100 jours : </w:t>
            </w:r>
            <w:r>
              <w:rPr>
                <w:b/>
                <w:color w:val="007800"/>
                <w:sz w:val="17"/>
              </w:rPr>
              <w:t>+55.08%</w:t>
            </w:r>
          </w:p>
          <w:p>
            <w:r>
              <w:rPr>
                <w:b/>
                <w:color w:val="503200"/>
                <w:sz w:val="16"/>
              </w:rPr>
              <w:t xml:space="preserve">Plus haut 100j : </w:t>
            </w:r>
            <w:r>
              <w:rPr>
                <w:color w:val="000000"/>
                <w:sz w:val="17"/>
              </w:rPr>
              <w:t>8,095 FCFA</w:t>
            </w:r>
          </w:p>
          <w:p>
            <w:r>
              <w:rPr>
                <w:b/>
                <w:color w:val="503200"/>
                <w:sz w:val="16"/>
              </w:rPr>
              <w:t xml:space="preserve">Plus bas 100j : </w:t>
            </w:r>
            <w:r>
              <w:rPr>
                <w:color w:val="000000"/>
                <w:sz w:val="17"/>
              </w:rPr>
              <w:t>5,000 FCFA</w:t>
            </w:r>
          </w:p>
          <w:p>
            <w:r>
              <w:rPr>
                <w:b/>
                <w:color w:val="503200"/>
                <w:sz w:val="16"/>
              </w:rPr>
              <w:t xml:space="preserve">Volatilité ann. : </w:t>
            </w:r>
            <w:r>
              <w:rPr>
                <w:color w:val="000000"/>
                <w:sz w:val="17"/>
              </w:rPr>
              <w:t>29.3%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14.80% (Moyenne) — μ=5,813 FCFA, σ=860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β=0.5158 (Défensif) — Cov=0.000019, Var(idx)=0.000036, ρ=0.167,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8,592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σ_j=1.85%/j (Stable) — Vol. annualisée≈29.3%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2026-08-13</w:t>
            </w:r>
          </w:p>
        </w:tc>
        <w:tc>
          <w:tcPr>
            <w:tcW w:type="dxa" w:w="1440"/>
            <w:shd w:fill="FFDCE0" w:val="clear"/>
          </w:tcPr>
          <w:p>
            <w:r>
              <w:rPr>
                <w:sz w:val="17"/>
              </w:rPr>
              <w:t>7,176</w:t>
            </w:r>
          </w:p>
        </w:tc>
        <w:tc>
          <w:tcPr>
            <w:tcW w:type="dxa" w:w="1440"/>
            <w:shd w:fill="FFDCE0" w:val="clear"/>
          </w:tcPr>
          <w:p>
            <w:r>
              <w:rPr>
                <w:b/>
                <w:sz w:val="17"/>
              </w:rPr>
              <w:t>7,488</w:t>
            </w:r>
          </w:p>
        </w:tc>
        <w:tc>
          <w:tcPr>
            <w:tcW w:type="dxa" w:w="1440"/>
            <w:shd w:fill="FFDCE0" w:val="clear"/>
          </w:tcPr>
          <w:p>
            <w:r>
              <w:rPr>
                <w:sz w:val="17"/>
              </w:rPr>
              <w:t>7,799</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2026-08-14</w:t>
            </w:r>
          </w:p>
        </w:tc>
        <w:tc>
          <w:tcPr>
            <w:tcW w:type="dxa" w:w="1440"/>
            <w:shd w:fill="FFDCE0" w:val="clear"/>
          </w:tcPr>
          <w:p>
            <w:r>
              <w:rPr>
                <w:sz w:val="17"/>
              </w:rPr>
              <w:t>6,519</w:t>
            </w:r>
          </w:p>
        </w:tc>
        <w:tc>
          <w:tcPr>
            <w:tcW w:type="dxa" w:w="1440"/>
            <w:shd w:fill="FFDCE0" w:val="clear"/>
          </w:tcPr>
          <w:p>
            <w:r>
              <w:rPr>
                <w:b/>
                <w:sz w:val="17"/>
              </w:rPr>
              <w:t>6,926</w:t>
            </w:r>
          </w:p>
        </w:tc>
        <w:tc>
          <w:tcPr>
            <w:tcW w:type="dxa" w:w="1440"/>
            <w:shd w:fill="FFDCE0" w:val="clear"/>
          </w:tcPr>
          <w:p>
            <w:r>
              <w:rPr>
                <w:sz w:val="17"/>
              </w:rPr>
              <w:t>7,334</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2026-08-17</w:t>
            </w:r>
          </w:p>
        </w:tc>
        <w:tc>
          <w:tcPr>
            <w:tcW w:type="dxa" w:w="1440"/>
            <w:shd w:fill="FFDCE0" w:val="clear"/>
          </w:tcPr>
          <w:p>
            <w:r>
              <w:rPr>
                <w:sz w:val="17"/>
              </w:rPr>
              <w:t>5,945</w:t>
            </w:r>
          </w:p>
        </w:tc>
        <w:tc>
          <w:tcPr>
            <w:tcW w:type="dxa" w:w="1440"/>
            <w:shd w:fill="FFDCE0" w:val="clear"/>
          </w:tcPr>
          <w:p>
            <w:r>
              <w:rPr>
                <w:b/>
                <w:sz w:val="17"/>
              </w:rPr>
              <w:t>6,407</w:t>
            </w:r>
          </w:p>
        </w:tc>
        <w:tc>
          <w:tcPr>
            <w:tcW w:type="dxa" w:w="1440"/>
            <w:shd w:fill="FFDCE0" w:val="clear"/>
          </w:tcPr>
          <w:p>
            <w:r>
              <w:rPr>
                <w:sz w:val="17"/>
              </w:rPr>
              <w:t>6,868</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2026-08-18</w:t>
            </w:r>
          </w:p>
        </w:tc>
        <w:tc>
          <w:tcPr>
            <w:tcW w:type="dxa" w:w="1440"/>
            <w:shd w:fill="FFDCE0" w:val="clear"/>
          </w:tcPr>
          <w:p>
            <w:r>
              <w:rPr>
                <w:sz w:val="17"/>
              </w:rPr>
              <w:t>5,568</w:t>
            </w:r>
          </w:p>
        </w:tc>
        <w:tc>
          <w:tcPr>
            <w:tcW w:type="dxa" w:w="1440"/>
            <w:shd w:fill="FFDCE0" w:val="clear"/>
          </w:tcPr>
          <w:p>
            <w:r>
              <w:rPr>
                <w:b/>
                <w:sz w:val="17"/>
              </w:rPr>
              <w:t>6,073</w:t>
            </w:r>
          </w:p>
        </w:tc>
        <w:tc>
          <w:tcPr>
            <w:tcW w:type="dxa" w:w="1440"/>
            <w:shd w:fill="FFDCE0" w:val="clear"/>
          </w:tcPr>
          <w:p>
            <w:r>
              <w:rPr>
                <w:sz w:val="17"/>
              </w:rPr>
              <w:t>6,578</w:t>
            </w:r>
          </w:p>
        </w:tc>
        <w:tc>
          <w:tcPr>
            <w:tcW w:type="dxa" w:w="1440"/>
            <w:shd w:fill="FFDCE0" w:val="clear"/>
          </w:tcPr>
          <w:p>
            <w:r>
              <w:rPr>
                <w:b/>
                <w:color w:val="C00000"/>
                <w:sz w:val="17"/>
              </w:rPr>
              <w:t>-25.0%</w:t>
            </w:r>
          </w:p>
        </w:tc>
      </w:tr>
      <w:tr>
        <w:tc>
          <w:tcPr>
            <w:tcW w:type="dxa" w:w="1440"/>
            <w:shd w:fill="FFDCE0" w:val="clear"/>
          </w:tcPr>
          <w:p>
            <w:r>
              <w:rPr>
                <w:sz w:val="17"/>
              </w:rPr>
              <w:t>J+5  ⭐</w:t>
            </w:r>
          </w:p>
        </w:tc>
        <w:tc>
          <w:tcPr>
            <w:tcW w:type="dxa" w:w="1440"/>
            <w:shd w:fill="FFDCE0" w:val="clear"/>
          </w:tcPr>
          <w:p>
            <w:r>
              <w:rPr>
                <w:sz w:val="17"/>
              </w:rPr>
              <w:t>2026-08-19</w:t>
            </w:r>
          </w:p>
        </w:tc>
        <w:tc>
          <w:tcPr>
            <w:tcW w:type="dxa" w:w="1440"/>
            <w:shd w:fill="FFDCE0" w:val="clear"/>
          </w:tcPr>
          <w:p>
            <w:r>
              <w:rPr>
                <w:sz w:val="17"/>
              </w:rPr>
              <w:t>5,378</w:t>
            </w:r>
          </w:p>
        </w:tc>
        <w:tc>
          <w:tcPr>
            <w:tcW w:type="dxa" w:w="1440"/>
            <w:shd w:fill="FFDCE0" w:val="clear"/>
          </w:tcPr>
          <w:p>
            <w:r>
              <w:rPr>
                <w:b/>
                <w:sz w:val="17"/>
              </w:rPr>
              <w:t>5,930</w:t>
            </w:r>
          </w:p>
        </w:tc>
        <w:tc>
          <w:tcPr>
            <w:tcW w:type="dxa" w:w="1440"/>
            <w:shd w:fill="FFDCE0" w:val="clear"/>
          </w:tcPr>
          <w:p>
            <w:r>
              <w:rPr>
                <w:sz w:val="17"/>
              </w:rPr>
              <w:t>6,481</w:t>
            </w:r>
          </w:p>
        </w:tc>
        <w:tc>
          <w:tcPr>
            <w:tcW w:type="dxa" w:w="1440"/>
            <w:shd w:fill="FFDCE0" w:val="clear"/>
          </w:tcPr>
          <w:p>
            <w:r>
              <w:rPr>
                <w:b/>
                <w:color w:val="C00000"/>
                <w:sz w:val="17"/>
              </w:rPr>
              <w:t>-26.8%</w:t>
            </w:r>
          </w:p>
        </w:tc>
      </w:tr>
      <w:tr>
        <w:tc>
          <w:tcPr>
            <w:tcW w:type="dxa" w:w="1440"/>
            <w:shd w:fill="FFDCE0" w:val="clear"/>
          </w:tcPr>
          <w:p>
            <w:r>
              <w:rPr>
                <w:sz w:val="17"/>
              </w:rPr>
              <w:t>J+6  ⭐</w:t>
            </w:r>
          </w:p>
        </w:tc>
        <w:tc>
          <w:tcPr>
            <w:tcW w:type="dxa" w:w="1440"/>
            <w:shd w:fill="FFDCE0" w:val="clear"/>
          </w:tcPr>
          <w:p>
            <w:r>
              <w:rPr>
                <w:sz w:val="17"/>
              </w:rPr>
              <w:t>2026-08-20</w:t>
            </w:r>
          </w:p>
        </w:tc>
        <w:tc>
          <w:tcPr>
            <w:tcW w:type="dxa" w:w="1440"/>
            <w:shd w:fill="FFDCE0" w:val="clear"/>
          </w:tcPr>
          <w:p>
            <w:r>
              <w:rPr>
                <w:sz w:val="17"/>
              </w:rPr>
              <w:t>5,212</w:t>
            </w:r>
          </w:p>
        </w:tc>
        <w:tc>
          <w:tcPr>
            <w:tcW w:type="dxa" w:w="1440"/>
            <w:shd w:fill="FFDCE0" w:val="clear"/>
          </w:tcPr>
          <w:p>
            <w:r>
              <w:rPr>
                <w:b/>
                <w:sz w:val="17"/>
              </w:rPr>
              <w:t>5,803</w:t>
            </w:r>
          </w:p>
        </w:tc>
        <w:tc>
          <w:tcPr>
            <w:tcW w:type="dxa" w:w="1440"/>
            <w:shd w:fill="FFDCE0" w:val="clear"/>
          </w:tcPr>
          <w:p>
            <w:r>
              <w:rPr>
                <w:sz w:val="17"/>
              </w:rPr>
              <w:t>6,395</w:t>
            </w:r>
          </w:p>
        </w:tc>
        <w:tc>
          <w:tcPr>
            <w:tcW w:type="dxa" w:w="1440"/>
            <w:shd w:fill="FFDCE0" w:val="clear"/>
          </w:tcPr>
          <w:p>
            <w:r>
              <w:rPr>
                <w:b/>
                <w:color w:val="C00000"/>
                <w:sz w:val="17"/>
              </w:rPr>
              <w:t>-28.3%</w:t>
            </w:r>
          </w:p>
        </w:tc>
      </w:tr>
      <w:tr>
        <w:tc>
          <w:tcPr>
            <w:tcW w:type="dxa" w:w="1440"/>
            <w:shd w:fill="FFDCE0" w:val="clear"/>
          </w:tcPr>
          <w:p>
            <w:r>
              <w:rPr>
                <w:sz w:val="17"/>
              </w:rPr>
              <w:t>J+7  ⭐</w:t>
            </w:r>
          </w:p>
        </w:tc>
        <w:tc>
          <w:tcPr>
            <w:tcW w:type="dxa" w:w="1440"/>
            <w:shd w:fill="FFDCE0" w:val="clear"/>
          </w:tcPr>
          <w:p>
            <w:r>
              <w:rPr>
                <w:sz w:val="17"/>
              </w:rPr>
              <w:t>2026-08-21</w:t>
            </w:r>
          </w:p>
        </w:tc>
        <w:tc>
          <w:tcPr>
            <w:tcW w:type="dxa" w:w="1440"/>
            <w:shd w:fill="FFDCE0" w:val="clear"/>
          </w:tcPr>
          <w:p>
            <w:r>
              <w:rPr>
                <w:sz w:val="17"/>
              </w:rPr>
              <w:t>5,067</w:t>
            </w:r>
          </w:p>
        </w:tc>
        <w:tc>
          <w:tcPr>
            <w:tcW w:type="dxa" w:w="1440"/>
            <w:shd w:fill="FFDCE0" w:val="clear"/>
          </w:tcPr>
          <w:p>
            <w:r>
              <w:rPr>
                <w:b/>
                <w:sz w:val="17"/>
              </w:rPr>
              <w:t>5,694</w:t>
            </w:r>
          </w:p>
        </w:tc>
        <w:tc>
          <w:tcPr>
            <w:tcW w:type="dxa" w:w="1440"/>
            <w:shd w:fill="FFDCE0" w:val="clear"/>
          </w:tcPr>
          <w:p>
            <w:r>
              <w:rPr>
                <w:sz w:val="17"/>
              </w:rPr>
              <w:t>6,320</w:t>
            </w:r>
          </w:p>
        </w:tc>
        <w:tc>
          <w:tcPr>
            <w:tcW w:type="dxa" w:w="1440"/>
            <w:shd w:fill="FFDCE0" w:val="clear"/>
          </w:tcPr>
          <w:p>
            <w:r>
              <w:rPr>
                <w:b/>
                <w:color w:val="C00000"/>
                <w:sz w:val="17"/>
              </w:rPr>
              <w:t>-29.7%</w:t>
            </w:r>
          </w:p>
        </w:tc>
      </w:tr>
      <w:tr>
        <w:tc>
          <w:tcPr>
            <w:tcW w:type="dxa" w:w="1440"/>
            <w:shd w:fill="FFDCE0" w:val="clear"/>
          </w:tcPr>
          <w:p>
            <w:r>
              <w:rPr>
                <w:sz w:val="17"/>
              </w:rPr>
              <w:t>J+8  ⭐</w:t>
            </w:r>
          </w:p>
        </w:tc>
        <w:tc>
          <w:tcPr>
            <w:tcW w:type="dxa" w:w="1440"/>
            <w:shd w:fill="FFDCE0" w:val="clear"/>
          </w:tcPr>
          <w:p>
            <w:r>
              <w:rPr>
                <w:sz w:val="17"/>
              </w:rPr>
              <w:t>2026-08-24</w:t>
            </w:r>
          </w:p>
        </w:tc>
        <w:tc>
          <w:tcPr>
            <w:tcW w:type="dxa" w:w="1440"/>
            <w:shd w:fill="FFDCE0" w:val="clear"/>
          </w:tcPr>
          <w:p>
            <w:r>
              <w:rPr>
                <w:sz w:val="17"/>
              </w:rPr>
              <w:t>4,940</w:t>
            </w:r>
          </w:p>
        </w:tc>
        <w:tc>
          <w:tcPr>
            <w:tcW w:type="dxa" w:w="1440"/>
            <w:shd w:fill="FFDCE0" w:val="clear"/>
          </w:tcPr>
          <w:p>
            <w:r>
              <w:rPr>
                <w:b/>
                <w:sz w:val="17"/>
              </w:rPr>
              <w:t>5,599</w:t>
            </w:r>
          </w:p>
        </w:tc>
        <w:tc>
          <w:tcPr>
            <w:tcW w:type="dxa" w:w="1440"/>
            <w:shd w:fill="FFDCE0" w:val="clear"/>
          </w:tcPr>
          <w:p>
            <w:r>
              <w:rPr>
                <w:sz w:val="17"/>
              </w:rPr>
              <w:t>6,257</w:t>
            </w:r>
          </w:p>
        </w:tc>
        <w:tc>
          <w:tcPr>
            <w:tcW w:type="dxa" w:w="1440"/>
            <w:shd w:fill="FFDCE0" w:val="clear"/>
          </w:tcPr>
          <w:p>
            <w:r>
              <w:rPr>
                <w:b/>
                <w:color w:val="C00000"/>
                <w:sz w:val="17"/>
              </w:rPr>
              <w:t>-30.8%</w:t>
            </w:r>
          </w:p>
        </w:tc>
      </w:tr>
      <w:tr>
        <w:tc>
          <w:tcPr>
            <w:tcW w:type="dxa" w:w="1440"/>
            <w:shd w:fill="FFDCE0" w:val="clear"/>
          </w:tcPr>
          <w:p>
            <w:r>
              <w:rPr>
                <w:sz w:val="17"/>
              </w:rPr>
              <w:t>J+9  ⭐</w:t>
            </w:r>
          </w:p>
        </w:tc>
        <w:tc>
          <w:tcPr>
            <w:tcW w:type="dxa" w:w="1440"/>
            <w:shd w:fill="FFDCE0" w:val="clear"/>
          </w:tcPr>
          <w:p>
            <w:r>
              <w:rPr>
                <w:sz w:val="17"/>
              </w:rPr>
              <w:t>2026-08-25</w:t>
            </w:r>
          </w:p>
        </w:tc>
        <w:tc>
          <w:tcPr>
            <w:tcW w:type="dxa" w:w="1440"/>
            <w:shd w:fill="FFDCE0" w:val="clear"/>
          </w:tcPr>
          <w:p>
            <w:r>
              <w:rPr>
                <w:sz w:val="17"/>
              </w:rPr>
              <w:t>4,828</w:t>
            </w:r>
          </w:p>
        </w:tc>
        <w:tc>
          <w:tcPr>
            <w:tcW w:type="dxa" w:w="1440"/>
            <w:shd w:fill="FFDCE0" w:val="clear"/>
          </w:tcPr>
          <w:p>
            <w:r>
              <w:rPr>
                <w:b/>
                <w:sz w:val="17"/>
              </w:rPr>
              <w:t>5,516</w:t>
            </w:r>
          </w:p>
        </w:tc>
        <w:tc>
          <w:tcPr>
            <w:tcW w:type="dxa" w:w="1440"/>
            <w:shd w:fill="FFDCE0" w:val="clear"/>
          </w:tcPr>
          <w:p>
            <w:r>
              <w:rPr>
                <w:sz w:val="17"/>
              </w:rPr>
              <w:t>6,205</w:t>
            </w:r>
          </w:p>
        </w:tc>
        <w:tc>
          <w:tcPr>
            <w:tcW w:type="dxa" w:w="1440"/>
            <w:shd w:fill="FFDCE0" w:val="clear"/>
          </w:tcPr>
          <w:p>
            <w:r>
              <w:rPr>
                <w:b/>
                <w:color w:val="C00000"/>
                <w:sz w:val="17"/>
              </w:rPr>
              <w:t>-31.9%</w:t>
            </w:r>
          </w:p>
        </w:tc>
      </w:tr>
      <w:tr>
        <w:tc>
          <w:tcPr>
            <w:tcW w:type="dxa" w:w="1440"/>
            <w:shd w:fill="FFDCE0" w:val="clear"/>
          </w:tcPr>
          <w:p>
            <w:r>
              <w:rPr>
                <w:sz w:val="17"/>
              </w:rPr>
              <w:t>J+10  ⭐</w:t>
            </w:r>
          </w:p>
        </w:tc>
        <w:tc>
          <w:tcPr>
            <w:tcW w:type="dxa" w:w="1440"/>
            <w:shd w:fill="FFDCE0" w:val="clear"/>
          </w:tcPr>
          <w:p>
            <w:r>
              <w:rPr>
                <w:sz w:val="17"/>
              </w:rPr>
              <w:t>2026-08-27</w:t>
            </w:r>
          </w:p>
        </w:tc>
        <w:tc>
          <w:tcPr>
            <w:tcW w:type="dxa" w:w="1440"/>
            <w:shd w:fill="FFDCE0" w:val="clear"/>
          </w:tcPr>
          <w:p>
            <w:r>
              <w:rPr>
                <w:sz w:val="17"/>
              </w:rPr>
              <w:t>4,729</w:t>
            </w:r>
          </w:p>
        </w:tc>
        <w:tc>
          <w:tcPr>
            <w:tcW w:type="dxa" w:w="1440"/>
            <w:shd w:fill="FFDCE0" w:val="clear"/>
          </w:tcPr>
          <w:p>
            <w:r>
              <w:rPr>
                <w:b/>
                <w:sz w:val="17"/>
              </w:rPr>
              <w:t>5,445</w:t>
            </w:r>
          </w:p>
        </w:tc>
        <w:tc>
          <w:tcPr>
            <w:tcW w:type="dxa" w:w="1440"/>
            <w:shd w:fill="FFDCE0" w:val="clear"/>
          </w:tcPr>
          <w:p>
            <w:r>
              <w:rPr>
                <w:sz w:val="17"/>
              </w:rPr>
              <w:t>6,161</w:t>
            </w:r>
          </w:p>
        </w:tc>
        <w:tc>
          <w:tcPr>
            <w:tcW w:type="dxa" w:w="1440"/>
            <w:shd w:fill="FFDCE0" w:val="clear"/>
          </w:tcPr>
          <w:p>
            <w:r>
              <w:rPr>
                <w:b/>
                <w:color w:val="C00000"/>
                <w:sz w:val="17"/>
              </w:rPr>
              <w:t>-32.7%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 BÉNIN)**</w:t>
        <w:br/>
        <w:t>**Date de l'analyse : 12 août 2026**</w:t>
        <w:br/>
        <w:t>**Cours de référence : 8 095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BICB s'établit à 467,57 milliards FCFA, un niveau qui la positionne parmi les valeurs à forte capitalisation de la BRVM, reflétant son statut de leader bancaire régional. Avec un BPA de 627 FCFA, le titre se négocie à un PER de 12,9x, légèrement au-dessus de la moyenne historique de la place (~8-12x), ce qui traduit une prime de croissance accordée par le marché. Le P/B de 3,46x confirme cette prime, le marché valorisant nettement au-dessus de la valeur comptable, signe d'attentes de création de valeur future. Enfin, l'EV/EBITDA de 23,5x est particulièrement exigeant, indiquant que les investisseurs capitalisent une performance opérationnelle soutenue sur le long terme. Ces ratios suggèrent une valorisation qui intègre déjà des hypothèses de croissance optimistes.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BICB a enregistré une performance spectaculaire de +55,08%, avec une dernière séance en hausse de +1,82% à 8 095 FCFA, son plus haut niveau sur la période. Le titre a évolué dans une fourchette de 5 000 à 8 095 FCFA, démontrant une tendance haussière très marquée. Les statistiques descriptives révèlent une moyenne de 5 813 FCFA et une médiane de 5 360 FCFA, l'écart entre les deux indiquant une distribution asymétrique positive (skewness de 1,247), avec des journées majoritairement sous la moyenne mais des pics récents importants. L'écart-type de 865 FCFA (CV=14,9%) montre une dispersion modérée, tandis que le kurtosis de 0,317 (mésokurtique) suggère un risque de variations extrêmes limité. La volatilité annualisée de 29,3% classe le titre comme à volatilité élevée, ce qui implique un risque significatif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8 095 FCFA se situe nettement au-dessus de la MM20 (7 292,75 FCFA) et de la MM50 (6 443,5 FCFA), confirmant une dynamique haussière solide. La configuration des MM20 &gt; MM50 est un signal classique de tendance haussière, justifiant la décision d'achat. Cependant, l'écart important entre le cours et les moyennes indique une possible suraccélération.</w:t>
      </w:r>
    </w:p>
    <w:p>
      <w:pPr>
        <w:spacing w:after="120" w:line="276" w:lineRule="auto"/>
      </w:pPr>
      <w:r>
        <w:t>**Bandes de Bollinger** : Le prix évolue dans la partie supérieure des bandes, proche de la borne haute (8 459 FCFA), avec une borne inférieure à 6 126 FCFA. Cette position reflète une volatilité élevée et une pression acheteuse soutenue. La décision neutre suggère que le marché attend une confirmation directionnelle, le prix étant à un niveau potentiellement extrême.</w:t>
      </w:r>
    </w:p>
    <w:p>
      <w:pPr>
        <w:spacing w:after="120" w:line="276" w:lineRule="auto"/>
      </w:pPr>
      <w:r>
        <w:t>**MACD** : Le MACD (436,18) est supérieur à son signal (418,94), indiquant un momentum haussier positif. Cette configuration, bien que toujours acheteuse, montre un écart qui se resserre, signalant une possible perte de vigueur du mouvement à court terme.</w:t>
      </w:r>
    </w:p>
    <w:p>
      <w:pPr>
        <w:spacing w:after="120" w:line="276" w:lineRule="auto"/>
      </w:pPr>
      <w:r>
        <w:t>**RSI** : Le RSI à 77,68 est en zone de surachat, au-dessus du seuil critique de 70. Cette lecture indique que le titre est techniquement surévalué à court terme, justifiant la décision de vente. Un repli technique est probable pour soulager cette pression.</w:t>
      </w:r>
    </w:p>
    <w:p>
      <w:pPr>
        <w:spacing w:after="120" w:line="276" w:lineRule="auto"/>
      </w:pPr>
      <w:r>
        <w:t>**Stochastique** : Le %K (100,0) et le %D (95,22) sont à des niveaux extrêmes de surachat, avec un %K au maximum. Cette configuration signale une faiblesse imminente du momentum, justifiant la décision de vente.</w:t>
      </w:r>
    </w:p>
    <w:p>
      <w:pPr>
        <w:spacing w:after="120" w:line="276" w:lineRule="auto"/>
      </w:pPr>
      <w:r>
        <w:t>**Conclusion technique** : Les indicateurs de tendance (MM, MACD) sont positifs, mais les oscillateurs (RSI, Stochastique) sont en surachat extrême, créant un conflit de signaux. La prudence est de mise, car une correction technique est hautement probable après une hausse aussi rapide.</w:t>
      </w:r>
    </w:p>
    <w:p>
      <w:pPr>
        <w:spacing w:after="120" w:line="276" w:lineRule="auto"/>
      </w:pPr>
      <w:r>
        <w:t>---</w:t>
      </w:r>
    </w:p>
    <w:p>
      <w:pPr>
        <w:spacing w:after="120" w:line="276" w:lineRule="auto"/>
      </w:pPr>
      <w:r>
        <w:t>### PARTIE 3 : ANALYSE FONDAMENTALE (SECTION CRITIQUE)</w:t>
      </w:r>
    </w:p>
    <w:p>
      <w:pPr>
        <w:spacing w:after="120" w:line="276" w:lineRule="auto"/>
      </w:pPr>
      <w:r>
        <w:t>En 2025, la BICB affiche des résultats annuels solides avec un Produit Net Bancaire (PNB) de 52,805 milliards FCFA, en hausse de 16,5%, et un résultat net de 36,237 milliards FCFA, en progression de 24,7%. Le ROE ressort à un excellent niveau de 26,82%, et le ROA à 1,96%. Le coefficient d'exploitation de 31,12% démontre une efficacité opérationnelle remarquable, bien en dessous du seuil de 60%. Le coût du risque de 9,61% reste élevé, reflétant une politique de provisionnement prudente. Les dépôts clientèle (1 181,045 Mds FCFA) couvrent les créances clientèle (1 151,536 Mds FCFA), avec un ratio de transformation de 97,5%, signalant une tension sur la liquidité. Le rapport du 1er trimestre 2026 (publié en 2026) indique une accélération avec un PNB en hausse de 35% à 14,6 milliards FCFA et un résultat net en progression de 48% à 8,0 milliards FCFA. Sur cette base, on estime que l'exercice 2026 pourrait voir un PNB dépasser 60 milliards FCFA et un résultat net supérieur à 40 milliards FCFA, confirmant la dynamique positive de la banque.</w:t>
      </w:r>
    </w:p>
    <w:p>
      <w:pPr>
        <w:spacing w:after="120" w:line="276" w:lineRule="auto"/>
      </w:pPr>
      <w:r>
        <w:t>---</w:t>
      </w:r>
    </w:p>
    <w:p>
      <w:pPr>
        <w:spacing w:after="120" w:line="276" w:lineRule="auto"/>
      </w:pPr>
      <w:r>
        <w:t>### PARTIE 4 : CONCLUSION D'INVESTISSEMENT</w:t>
      </w:r>
    </w:p>
    <w:p>
      <w:pPr>
        <w:spacing w:after="120" w:line="276" w:lineRule="auto"/>
      </w:pPr>
      <w:r>
        <w:t>La valorisation actuelle (PER 12,9x, P/B 3,46x) est exigeante mais justifiée par la croissance des fondamentaux. Le comportement du cours (+55% en 100 jours) est spectaculaire, mais les statistiques et la volatilité élevée (29,3%) appellent à la prudence. Les signaux techniques sont contradictoires : tendance haussière intacte (MM, MACD) mais surachat extrême (RSI, Stochastique). Les fondamentaux sont excellents, avec une croissance soutenue et une rentabilité élevée, renforcée par les estimations 2026 très positives. Les prédictions IA (J+1 à J+10) anticipent une correction brutale, avec un repli potentiel vers 5 930 FCFA, contredisant la tendance actuelle. Cette divergence entre les signaux techniques et la prédiction IA suggère un risque de retournement imminent. **Recommandation : VENTE** pour les investisseurs à court terme, avec un niveau de confiance **Moyen** et un risque global **Élevé**. Pour les investisseurs à long terme, une stratégie de conservation avec accumulation sur repli vers 6 000-6 500 FCFA serait optimale, avec un horizon de 6 à 12 mois.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483.33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751 titres</w:t>
            </w:r>
          </w:p>
        </w:tc>
        <w:tc>
          <w:tcPr>
            <w:tcW w:type="dxa" w:w="2268"/>
            <w:shd w:fill="FFF2CC" w:val="clear"/>
          </w:tcPr>
          <w:p>
            <w:r>
              <w:rPr>
                <w:b/>
                <w:color w:val="503200"/>
                <w:sz w:val="16"/>
              </w:rPr>
              <w:t xml:space="preserve">Cours actuel : </w:t>
            </w:r>
            <w:r>
              <w:rPr>
                <w:color w:val="000000"/>
                <w:sz w:val="17"/>
              </w:rPr>
              <w:t>29,000 FCFA</w:t>
            </w:r>
          </w:p>
          <w:p>
            <w:r>
              <w:rPr>
                <w:b/>
                <w:color w:val="503200"/>
                <w:sz w:val="16"/>
              </w:rPr>
              <w:t xml:space="preserve">Var. 100 jours : </w:t>
            </w:r>
            <w:r>
              <w:rPr>
                <w:b/>
                <w:color w:val="007800"/>
                <w:sz w:val="17"/>
              </w:rPr>
              <w:t>+11.30%</w:t>
            </w:r>
          </w:p>
          <w:p>
            <w:r>
              <w:rPr>
                <w:b/>
                <w:color w:val="503200"/>
                <w:sz w:val="16"/>
              </w:rPr>
              <w:t xml:space="preserve">Plus haut 100j : </w:t>
            </w:r>
            <w:r>
              <w:rPr>
                <w:color w:val="000000"/>
                <w:sz w:val="17"/>
              </w:rPr>
              <w:t>29,490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7.37% (Moyenne) — μ=26,927 FCFA, σ=1,985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β=0.5946 (Défensif) — Cov=0.000022, Var(idx)=0.000036, ρ=0.190,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751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2026-08-13</w:t>
            </w:r>
          </w:p>
        </w:tc>
        <w:tc>
          <w:tcPr>
            <w:tcW w:type="dxa" w:w="1440"/>
            <w:shd w:fill="FFDCE0" w:val="clear"/>
          </w:tcPr>
          <w:p>
            <w:r>
              <w:rPr>
                <w:sz w:val="17"/>
              </w:rPr>
              <w:t>27,563</w:t>
            </w:r>
          </w:p>
        </w:tc>
        <w:tc>
          <w:tcPr>
            <w:tcW w:type="dxa" w:w="1440"/>
            <w:shd w:fill="FFDCE0" w:val="clear"/>
          </w:tcPr>
          <w:p>
            <w:r>
              <w:rPr>
                <w:b/>
                <w:sz w:val="17"/>
              </w:rPr>
              <w:t>28,402</w:t>
            </w:r>
          </w:p>
        </w:tc>
        <w:tc>
          <w:tcPr>
            <w:tcW w:type="dxa" w:w="1440"/>
            <w:shd w:fill="FFDCE0" w:val="clear"/>
          </w:tcPr>
          <w:p>
            <w:r>
              <w:rPr>
                <w:sz w:val="17"/>
              </w:rPr>
              <w:t>29,242</w:t>
            </w:r>
          </w:p>
        </w:tc>
        <w:tc>
          <w:tcPr>
            <w:tcW w:type="dxa" w:w="1440"/>
            <w:shd w:fill="FFDCE0" w:val="clear"/>
          </w:tcPr>
          <w:p>
            <w:r>
              <w:rPr>
                <w:b/>
                <w:color w:val="C00000"/>
                <w:sz w:val="17"/>
              </w:rPr>
              <w:t>-2.1%</w:t>
            </w:r>
          </w:p>
        </w:tc>
      </w:tr>
      <w:tr>
        <w:tc>
          <w:tcPr>
            <w:tcW w:type="dxa" w:w="1440"/>
            <w:shd w:fill="FFDCE0" w:val="clear"/>
          </w:tcPr>
          <w:p>
            <w:r>
              <w:rPr>
                <w:sz w:val="17"/>
              </w:rPr>
              <w:t>J+2  ⭐⭐⭐</w:t>
            </w:r>
          </w:p>
        </w:tc>
        <w:tc>
          <w:tcPr>
            <w:tcW w:type="dxa" w:w="1440"/>
            <w:shd w:fill="FFDCE0" w:val="clear"/>
          </w:tcPr>
          <w:p>
            <w:r>
              <w:rPr>
                <w:sz w:val="17"/>
              </w:rPr>
              <w:t>2026-08-14</w:t>
            </w:r>
          </w:p>
        </w:tc>
        <w:tc>
          <w:tcPr>
            <w:tcW w:type="dxa" w:w="1440"/>
            <w:shd w:fill="FFDCE0" w:val="clear"/>
          </w:tcPr>
          <w:p>
            <w:r>
              <w:rPr>
                <w:sz w:val="17"/>
              </w:rPr>
              <w:t>26,958</w:t>
            </w:r>
          </w:p>
        </w:tc>
        <w:tc>
          <w:tcPr>
            <w:tcW w:type="dxa" w:w="1440"/>
            <w:shd w:fill="FFDCE0" w:val="clear"/>
          </w:tcPr>
          <w:p>
            <w:r>
              <w:rPr>
                <w:b/>
                <w:sz w:val="17"/>
              </w:rPr>
              <w:t>28,134</w:t>
            </w:r>
          </w:p>
        </w:tc>
        <w:tc>
          <w:tcPr>
            <w:tcW w:type="dxa" w:w="1440"/>
            <w:shd w:fill="FFDCE0" w:val="clear"/>
          </w:tcPr>
          <w:p>
            <w:r>
              <w:rPr>
                <w:sz w:val="17"/>
              </w:rPr>
              <w:t>29,309</w:t>
            </w:r>
          </w:p>
        </w:tc>
        <w:tc>
          <w:tcPr>
            <w:tcW w:type="dxa" w:w="1440"/>
            <w:shd w:fill="FFDCE0" w:val="clear"/>
          </w:tcPr>
          <w:p>
            <w:r>
              <w:rPr>
                <w:b/>
                <w:color w:val="C00000"/>
                <w:sz w:val="17"/>
              </w:rPr>
              <w:t>-3.0%</w:t>
            </w:r>
          </w:p>
        </w:tc>
      </w:tr>
      <w:tr>
        <w:tc>
          <w:tcPr>
            <w:tcW w:type="dxa" w:w="1440"/>
            <w:shd w:fill="FFDCE0" w:val="clear"/>
          </w:tcPr>
          <w:p>
            <w:r>
              <w:rPr>
                <w:sz w:val="17"/>
              </w:rPr>
              <w:t>J+3  ⭐⭐⭐</w:t>
            </w:r>
          </w:p>
        </w:tc>
        <w:tc>
          <w:tcPr>
            <w:tcW w:type="dxa" w:w="1440"/>
            <w:shd w:fill="FFDCE0" w:val="clear"/>
          </w:tcPr>
          <w:p>
            <w:r>
              <w:rPr>
                <w:sz w:val="17"/>
              </w:rPr>
              <w:t>2026-08-17</w:t>
            </w:r>
          </w:p>
        </w:tc>
        <w:tc>
          <w:tcPr>
            <w:tcW w:type="dxa" w:w="1440"/>
            <w:shd w:fill="FFDCE0" w:val="clear"/>
          </w:tcPr>
          <w:p>
            <w:r>
              <w:rPr>
                <w:sz w:val="17"/>
              </w:rPr>
              <w:t>26,418</w:t>
            </w:r>
          </w:p>
        </w:tc>
        <w:tc>
          <w:tcPr>
            <w:tcW w:type="dxa" w:w="1440"/>
            <w:shd w:fill="FFDCE0" w:val="clear"/>
          </w:tcPr>
          <w:p>
            <w:r>
              <w:rPr>
                <w:b/>
                <w:sz w:val="17"/>
              </w:rPr>
              <w:t>27,843</w:t>
            </w:r>
          </w:p>
        </w:tc>
        <w:tc>
          <w:tcPr>
            <w:tcW w:type="dxa" w:w="1440"/>
            <w:shd w:fill="FFDCE0" w:val="clear"/>
          </w:tcPr>
          <w:p>
            <w:r>
              <w:rPr>
                <w:sz w:val="17"/>
              </w:rPr>
              <w:t>29,267</w:t>
            </w:r>
          </w:p>
        </w:tc>
        <w:tc>
          <w:tcPr>
            <w:tcW w:type="dxa" w:w="1440"/>
            <w:shd w:fill="FFDCE0" w:val="clear"/>
          </w:tcPr>
          <w:p>
            <w:r>
              <w:rPr>
                <w:b/>
                <w:color w:val="C00000"/>
                <w:sz w:val="17"/>
              </w:rPr>
              <w:t>-4.0%</w:t>
            </w:r>
          </w:p>
        </w:tc>
      </w:tr>
      <w:tr>
        <w:tc>
          <w:tcPr>
            <w:tcW w:type="dxa" w:w="1440"/>
            <w:shd w:fill="FFDCE0" w:val="clear"/>
          </w:tcPr>
          <w:p>
            <w:r>
              <w:rPr>
                <w:sz w:val="17"/>
              </w:rPr>
              <w:t>J+4  Moyenne</w:t>
            </w:r>
          </w:p>
        </w:tc>
        <w:tc>
          <w:tcPr>
            <w:tcW w:type="dxa" w:w="1440"/>
            <w:shd w:fill="FFDCE0" w:val="clear"/>
          </w:tcPr>
          <w:p>
            <w:r>
              <w:rPr>
                <w:sz w:val="17"/>
              </w:rPr>
              <w:t>2026-08-18</w:t>
            </w:r>
          </w:p>
        </w:tc>
        <w:tc>
          <w:tcPr>
            <w:tcW w:type="dxa" w:w="1440"/>
            <w:shd w:fill="FFDCE0" w:val="clear"/>
          </w:tcPr>
          <w:p>
            <w:r>
              <w:rPr>
                <w:sz w:val="17"/>
              </w:rPr>
              <w:t>25,946</w:t>
            </w:r>
          </w:p>
        </w:tc>
        <w:tc>
          <w:tcPr>
            <w:tcW w:type="dxa" w:w="1440"/>
            <w:shd w:fill="FFDCE0" w:val="clear"/>
          </w:tcPr>
          <w:p>
            <w:r>
              <w:rPr>
                <w:b/>
                <w:sz w:val="17"/>
              </w:rPr>
              <w:t>27,575</w:t>
            </w:r>
          </w:p>
        </w:tc>
        <w:tc>
          <w:tcPr>
            <w:tcW w:type="dxa" w:w="1440"/>
            <w:shd w:fill="FFDCE0" w:val="clear"/>
          </w:tcPr>
          <w:p>
            <w:r>
              <w:rPr>
                <w:sz w:val="17"/>
              </w:rPr>
              <w:t>29,204</w:t>
            </w:r>
          </w:p>
        </w:tc>
        <w:tc>
          <w:tcPr>
            <w:tcW w:type="dxa" w:w="1440"/>
            <w:shd w:fill="FFDCE0" w:val="clear"/>
          </w:tcPr>
          <w:p>
            <w:r>
              <w:rPr>
                <w:b/>
                <w:color w:val="C00000"/>
                <w:sz w:val="17"/>
              </w:rPr>
              <w:t>-4.9%</w:t>
            </w:r>
          </w:p>
        </w:tc>
      </w:tr>
      <w:tr>
        <w:tc>
          <w:tcPr>
            <w:tcW w:type="dxa" w:w="1440"/>
            <w:shd w:fill="FFDCE0" w:val="clear"/>
          </w:tcPr>
          <w:p>
            <w:r>
              <w:rPr>
                <w:sz w:val="17"/>
              </w:rPr>
              <w:t>J+5  Moyenne</w:t>
            </w:r>
          </w:p>
        </w:tc>
        <w:tc>
          <w:tcPr>
            <w:tcW w:type="dxa" w:w="1440"/>
            <w:shd w:fill="FFDCE0" w:val="clear"/>
          </w:tcPr>
          <w:p>
            <w:r>
              <w:rPr>
                <w:sz w:val="17"/>
              </w:rPr>
              <w:t>2026-08-19</w:t>
            </w:r>
          </w:p>
        </w:tc>
        <w:tc>
          <w:tcPr>
            <w:tcW w:type="dxa" w:w="1440"/>
            <w:shd w:fill="FFDCE0" w:val="clear"/>
          </w:tcPr>
          <w:p>
            <w:r>
              <w:rPr>
                <w:sz w:val="17"/>
              </w:rPr>
              <w:t>25,521</w:t>
            </w:r>
          </w:p>
        </w:tc>
        <w:tc>
          <w:tcPr>
            <w:tcW w:type="dxa" w:w="1440"/>
            <w:shd w:fill="FFDCE0" w:val="clear"/>
          </w:tcPr>
          <w:p>
            <w:r>
              <w:rPr>
                <w:b/>
                <w:sz w:val="17"/>
              </w:rPr>
              <w:t>27,326</w:t>
            </w:r>
          </w:p>
        </w:tc>
        <w:tc>
          <w:tcPr>
            <w:tcW w:type="dxa" w:w="1440"/>
            <w:shd w:fill="FFDCE0" w:val="clear"/>
          </w:tcPr>
          <w:p>
            <w:r>
              <w:rPr>
                <w:sz w:val="17"/>
              </w:rPr>
              <w:t>29,132</w:t>
            </w:r>
          </w:p>
        </w:tc>
        <w:tc>
          <w:tcPr>
            <w:tcW w:type="dxa" w:w="1440"/>
            <w:shd w:fill="FFDCE0" w:val="clear"/>
          </w:tcPr>
          <w:p>
            <w:r>
              <w:rPr>
                <w:b/>
                <w:color w:val="C00000"/>
                <w:sz w:val="17"/>
              </w:rPr>
              <w:t>-5.8%</w:t>
            </w:r>
          </w:p>
        </w:tc>
      </w:tr>
      <w:tr>
        <w:tc>
          <w:tcPr>
            <w:tcW w:type="dxa" w:w="1440"/>
            <w:shd w:fill="FFDCE0" w:val="clear"/>
          </w:tcPr>
          <w:p>
            <w:r>
              <w:rPr>
                <w:sz w:val="17"/>
              </w:rPr>
              <w:t>J+6  Moyenne</w:t>
            </w:r>
          </w:p>
        </w:tc>
        <w:tc>
          <w:tcPr>
            <w:tcW w:type="dxa" w:w="1440"/>
            <w:shd w:fill="FFDCE0" w:val="clear"/>
          </w:tcPr>
          <w:p>
            <w:r>
              <w:rPr>
                <w:sz w:val="17"/>
              </w:rPr>
              <w:t>2026-08-20</w:t>
            </w:r>
          </w:p>
        </w:tc>
        <w:tc>
          <w:tcPr>
            <w:tcW w:type="dxa" w:w="1440"/>
            <w:shd w:fill="FFDCE0" w:val="clear"/>
          </w:tcPr>
          <w:p>
            <w:r>
              <w:rPr>
                <w:sz w:val="17"/>
              </w:rPr>
              <w:t>25,130</w:t>
            </w:r>
          </w:p>
        </w:tc>
        <w:tc>
          <w:tcPr>
            <w:tcW w:type="dxa" w:w="1440"/>
            <w:shd w:fill="FFDCE0" w:val="clear"/>
          </w:tcPr>
          <w:p>
            <w:r>
              <w:rPr>
                <w:b/>
                <w:sz w:val="17"/>
              </w:rPr>
              <w:t>27,090</w:t>
            </w:r>
          </w:p>
        </w:tc>
        <w:tc>
          <w:tcPr>
            <w:tcW w:type="dxa" w:w="1440"/>
            <w:shd w:fill="FFDCE0" w:val="clear"/>
          </w:tcPr>
          <w:p>
            <w:r>
              <w:rPr>
                <w:sz w:val="17"/>
              </w:rPr>
              <w:t>29,050</w:t>
            </w:r>
          </w:p>
        </w:tc>
        <w:tc>
          <w:tcPr>
            <w:tcW w:type="dxa" w:w="1440"/>
            <w:shd w:fill="FFDCE0" w:val="clear"/>
          </w:tcPr>
          <w:p>
            <w:r>
              <w:rPr>
                <w:b/>
                <w:color w:val="C00000"/>
                <w:sz w:val="17"/>
              </w:rPr>
              <w:t>-6.6%</w:t>
            </w:r>
          </w:p>
        </w:tc>
      </w:tr>
      <w:tr>
        <w:tc>
          <w:tcPr>
            <w:tcW w:type="dxa" w:w="1440"/>
            <w:shd w:fill="FFDCE0" w:val="clear"/>
          </w:tcPr>
          <w:p>
            <w:r>
              <w:rPr>
                <w:sz w:val="17"/>
              </w:rPr>
              <w:t>J+7  Moyenne</w:t>
            </w:r>
          </w:p>
        </w:tc>
        <w:tc>
          <w:tcPr>
            <w:tcW w:type="dxa" w:w="1440"/>
            <w:shd w:fill="FFDCE0" w:val="clear"/>
          </w:tcPr>
          <w:p>
            <w:r>
              <w:rPr>
                <w:sz w:val="17"/>
              </w:rPr>
              <w:t>2026-08-21</w:t>
            </w:r>
          </w:p>
        </w:tc>
        <w:tc>
          <w:tcPr>
            <w:tcW w:type="dxa" w:w="1440"/>
            <w:shd w:fill="FFDCE0" w:val="clear"/>
          </w:tcPr>
          <w:p>
            <w:r>
              <w:rPr>
                <w:sz w:val="17"/>
              </w:rPr>
              <w:t>24,763</w:t>
            </w:r>
          </w:p>
        </w:tc>
        <w:tc>
          <w:tcPr>
            <w:tcW w:type="dxa" w:w="1440"/>
            <w:shd w:fill="FFDCE0" w:val="clear"/>
          </w:tcPr>
          <w:p>
            <w:r>
              <w:rPr>
                <w:b/>
                <w:sz w:val="17"/>
              </w:rPr>
              <w:t>26,863</w:t>
            </w:r>
          </w:p>
        </w:tc>
        <w:tc>
          <w:tcPr>
            <w:tcW w:type="dxa" w:w="1440"/>
            <w:shd w:fill="FFDCE0" w:val="clear"/>
          </w:tcPr>
          <w:p>
            <w:r>
              <w:rPr>
                <w:sz w:val="17"/>
              </w:rPr>
              <w:t>28,962</w:t>
            </w:r>
          </w:p>
        </w:tc>
        <w:tc>
          <w:tcPr>
            <w:tcW w:type="dxa" w:w="1440"/>
            <w:shd w:fill="FFDCE0" w:val="clear"/>
          </w:tcPr>
          <w:p>
            <w:r>
              <w:rPr>
                <w:b/>
                <w:color w:val="C00000"/>
                <w:sz w:val="17"/>
              </w:rPr>
              <w:t>-7.4%</w:t>
            </w:r>
          </w:p>
        </w:tc>
      </w:tr>
      <w:tr>
        <w:tc>
          <w:tcPr>
            <w:tcW w:type="dxa" w:w="1440"/>
            <w:shd w:fill="FFDCE0" w:val="clear"/>
          </w:tcPr>
          <w:p>
            <w:r>
              <w:rPr>
                <w:sz w:val="17"/>
              </w:rPr>
              <w:t>J+8  Moyenne</w:t>
            </w:r>
          </w:p>
        </w:tc>
        <w:tc>
          <w:tcPr>
            <w:tcW w:type="dxa" w:w="1440"/>
            <w:shd w:fill="FFDCE0" w:val="clear"/>
          </w:tcPr>
          <w:p>
            <w:r>
              <w:rPr>
                <w:sz w:val="17"/>
              </w:rPr>
              <w:t>2026-08-24</w:t>
            </w:r>
          </w:p>
        </w:tc>
        <w:tc>
          <w:tcPr>
            <w:tcW w:type="dxa" w:w="1440"/>
            <w:shd w:fill="FFDCE0" w:val="clear"/>
          </w:tcPr>
          <w:p>
            <w:r>
              <w:rPr>
                <w:sz w:val="17"/>
              </w:rPr>
              <w:t>24,417</w:t>
            </w:r>
          </w:p>
        </w:tc>
        <w:tc>
          <w:tcPr>
            <w:tcW w:type="dxa" w:w="1440"/>
            <w:shd w:fill="FFDCE0" w:val="clear"/>
          </w:tcPr>
          <w:p>
            <w:r>
              <w:rPr>
                <w:b/>
                <w:sz w:val="17"/>
              </w:rPr>
              <w:t>26,644</w:t>
            </w:r>
          </w:p>
        </w:tc>
        <w:tc>
          <w:tcPr>
            <w:tcW w:type="dxa" w:w="1440"/>
            <w:shd w:fill="FFDCE0" w:val="clear"/>
          </w:tcPr>
          <w:p>
            <w:r>
              <w:rPr>
                <w:sz w:val="17"/>
              </w:rPr>
              <w:t>28,870</w:t>
            </w:r>
          </w:p>
        </w:tc>
        <w:tc>
          <w:tcPr>
            <w:tcW w:type="dxa" w:w="1440"/>
            <w:shd w:fill="FFDCE0" w:val="clear"/>
          </w:tcPr>
          <w:p>
            <w:r>
              <w:rPr>
                <w:b/>
                <w:color w:val="C00000"/>
                <w:sz w:val="17"/>
              </w:rPr>
              <w:t>-8.1%</w:t>
            </w:r>
          </w:p>
        </w:tc>
      </w:tr>
      <w:tr>
        <w:tc>
          <w:tcPr>
            <w:tcW w:type="dxa" w:w="1440"/>
            <w:shd w:fill="FFDCE0" w:val="clear"/>
          </w:tcPr>
          <w:p>
            <w:r>
              <w:rPr>
                <w:sz w:val="17"/>
              </w:rPr>
              <w:t>J+9  Moyenne</w:t>
            </w:r>
          </w:p>
        </w:tc>
        <w:tc>
          <w:tcPr>
            <w:tcW w:type="dxa" w:w="1440"/>
            <w:shd w:fill="FFDCE0" w:val="clear"/>
          </w:tcPr>
          <w:p>
            <w:r>
              <w:rPr>
                <w:sz w:val="17"/>
              </w:rPr>
              <w:t>2026-08-25</w:t>
            </w:r>
          </w:p>
        </w:tc>
        <w:tc>
          <w:tcPr>
            <w:tcW w:type="dxa" w:w="1440"/>
            <w:shd w:fill="FFDCE0" w:val="clear"/>
          </w:tcPr>
          <w:p>
            <w:r>
              <w:rPr>
                <w:sz w:val="17"/>
              </w:rPr>
              <w:t>24,090</w:t>
            </w:r>
          </w:p>
        </w:tc>
        <w:tc>
          <w:tcPr>
            <w:tcW w:type="dxa" w:w="1440"/>
            <w:shd w:fill="FFDCE0" w:val="clear"/>
          </w:tcPr>
          <w:p>
            <w:r>
              <w:rPr>
                <w:b/>
                <w:sz w:val="17"/>
              </w:rPr>
              <w:t>26,432</w:t>
            </w:r>
          </w:p>
        </w:tc>
        <w:tc>
          <w:tcPr>
            <w:tcW w:type="dxa" w:w="1440"/>
            <w:shd w:fill="FFDCE0" w:val="clear"/>
          </w:tcPr>
          <w:p>
            <w:r>
              <w:rPr>
                <w:sz w:val="17"/>
              </w:rPr>
              <w:t>28,775</w:t>
            </w:r>
          </w:p>
        </w:tc>
        <w:tc>
          <w:tcPr>
            <w:tcW w:type="dxa" w:w="1440"/>
            <w:shd w:fill="FFDCE0" w:val="clear"/>
          </w:tcPr>
          <w:p>
            <w:r>
              <w:rPr>
                <w:b/>
                <w:color w:val="C00000"/>
                <w:sz w:val="17"/>
              </w:rPr>
              <w:t>-8.9%</w:t>
            </w:r>
          </w:p>
        </w:tc>
      </w:tr>
      <w:tr>
        <w:tc>
          <w:tcPr>
            <w:tcW w:type="dxa" w:w="1440"/>
            <w:shd w:fill="FFDCE0" w:val="clear"/>
          </w:tcPr>
          <w:p>
            <w:r>
              <w:rPr>
                <w:sz w:val="17"/>
              </w:rPr>
              <w:t>J+10  Moyenne</w:t>
            </w:r>
          </w:p>
        </w:tc>
        <w:tc>
          <w:tcPr>
            <w:tcW w:type="dxa" w:w="1440"/>
            <w:shd w:fill="FFDCE0" w:val="clear"/>
          </w:tcPr>
          <w:p>
            <w:r>
              <w:rPr>
                <w:sz w:val="17"/>
              </w:rPr>
              <w:t>2026-08-27</w:t>
            </w:r>
          </w:p>
        </w:tc>
        <w:tc>
          <w:tcPr>
            <w:tcW w:type="dxa" w:w="1440"/>
            <w:shd w:fill="FFDCE0" w:val="clear"/>
          </w:tcPr>
          <w:p>
            <w:r>
              <w:rPr>
                <w:sz w:val="17"/>
              </w:rPr>
              <w:t>23,778</w:t>
            </w:r>
          </w:p>
        </w:tc>
        <w:tc>
          <w:tcPr>
            <w:tcW w:type="dxa" w:w="1440"/>
            <w:shd w:fill="FFDCE0" w:val="clear"/>
          </w:tcPr>
          <w:p>
            <w:r>
              <w:rPr>
                <w:b/>
                <w:sz w:val="17"/>
              </w:rPr>
              <w:t>26,228</w:t>
            </w:r>
          </w:p>
        </w:tc>
        <w:tc>
          <w:tcPr>
            <w:tcW w:type="dxa" w:w="1440"/>
            <w:shd w:fill="FFDCE0" w:val="clear"/>
          </w:tcPr>
          <w:p>
            <w:r>
              <w:rPr>
                <w:sz w:val="17"/>
              </w:rPr>
              <w:t>28,679</w:t>
            </w:r>
          </w:p>
        </w:tc>
        <w:tc>
          <w:tcPr>
            <w:tcW w:type="dxa" w:w="1440"/>
            <w:shd w:fill="FFDCE0" w:val="clear"/>
          </w:tcPr>
          <w:p>
            <w:r>
              <w:rPr>
                <w:b/>
                <w:color w:val="C00000"/>
                <w:sz w:val="17"/>
              </w:rPr>
              <w:t>-9.6%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BICC (BICICI)**</w:t>
        <w:br/>
        <w:t>**Bourse Régionale des Valeurs Mobilières (BRVM)**</w:t>
        <w:br/>
        <w:t>**Date de l'analyse : 12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BICC s'établit à 483,33 milliards FCFA, ce qui en fait l'une des valeurs les plus significatives du compartiment bancaire de la BRVM, reflétant la confiance des investisseurs dans ce pilier du secteur financier ivoirien. Avec un BPA de 2 191 FCFA, chaque action génère un bénéfice substantiel, justifiant un PER de 13,2x. Ce ratio, légèrement supérieur à la moyenne historique de la place (~8-12x), indique que le marché accepte de payer une prime raisonnable pour la qualité des earnings de la banque. En revanche, le P/B de 4,01x signale une valorisation exigeante, le cours de l'action étant quatre fois supérieur à sa valeur comptable, ce qui traduit des attentes élevées de croissance future. Enfin, l'EV/EBITDA de 9,3x, situé dans la fourchette des 5-10x, confirme une évaluation globale cohérente avec la capacité opérationnelle de l'entreprise, sans excès majeur.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BICC a enregistré une progression totale de +11,30%, avec une légère consolidation de -0,68% lors de la dernière séance, reflétant une prise de bénéfices après une période de hausse. Le titre a évolué dans un range de trading de 22 500 FCFA (plus bas) à 29 490 FCFA (plus haut), démontrant une dynamique haussière soutenue. La moyenne du cours sur la période (26 927 FCFA) est inférieure à la médiane (27 780 FCFA), ce qui, combiné à un skewness négatif (-0.532), indique que le cours a passé plus de temps au-dessus de sa moyenne, avec des épisodes de baisse marqués mais rares. L'écart-type de 1 995 FCFA et le coefficient de variation de 7,4% révèlent une dispersion modérée autour de la moyenne. Le kurtosis de -1.158 (platykurtique) suggère une distribution aplatie, avec moins de valeurs extrêmes que la normale, réduisant le risque de mouvements violents. La volatilité annualisée de 29,8% positionne le titre dans une zone élevée, indiquant un risque de marché significatif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(29 000 FCFA) se situe au-dessus de la MM20 (28 555 FCFA) et de la MM50 (28 579,6 FCFA), ce qui est un signal haussier à court terme. Cependant, la décision globale est "Vente", car la convergence des moyennes et leur proximité avec le prix suggèrent une possible perte de momentum, le marché étant en phase de consolidation après une forte hausse.</w:t>
      </w:r>
    </w:p>
    <w:p>
      <w:pPr>
        <w:spacing w:after="120" w:line="276" w:lineRule="auto"/>
      </w:pPr>
      <w:r>
        <w:t>**Bandes de Bollinger** : Le prix évolue dans la partie supérieure du canal, proche de la borne haute (29 660,9 FCFA), indiquant une pression acheteuse persistante. La décision "Neutre" s'explique par le fait que le cours n'a pas encore touché les bornes extrêmes, laissant une marge de manœuvre avant une éventuelle correction. La volatilité mesurée par l'écart-type des bandes reste modérée.</w:t>
      </w:r>
    </w:p>
    <w:p>
      <w:pPr>
        <w:spacing w:after="120" w:line="276" w:lineRule="auto"/>
      </w:pPr>
      <w:r>
        <w:t>**MACD** : La valeur du MACD (232,301) est supérieure à sa ligne de signal (188,358), avec un écart positif, ce qui génère un signal d'achat. Cette configuration indique un momentum haussier en cours, les moyennes mobiles rapides étant au-dessus des lentes, soutenant la tendance positive du titre.</w:t>
      </w:r>
    </w:p>
    <w:p>
      <w:pPr>
        <w:spacing w:after="120" w:line="276" w:lineRule="auto"/>
      </w:pPr>
      <w:r>
        <w:t>**RSI** : Avec une valeur de 65,176, le RSI se situe en zone neutre, proche du seuil de surachat (70). Cela suggère que le titre a encore un potentiel de hausse, mais qu'il approche d'une zone où une consolidation pourrait survenir. La décision "Neutre" est cohérente avec cette lecture, le marché n'étant ni survendu ni suracheté.</w:t>
      </w:r>
    </w:p>
    <w:p>
      <w:pPr>
        <w:spacing w:after="120" w:line="276" w:lineRule="auto"/>
      </w:pPr>
      <w:r>
        <w:t>**Stochastique** : Le %K (88,201) est inférieur au %D (96,067), indiquant un croisement baissier potentiel. Cette configuration, avec des valeurs très élevées, signale une condition de surachat, justifiant la décision "Vente". Le marché pourrait être à un point de retournement à court terme.</w:t>
      </w:r>
    </w:p>
    <w:p>
      <w:pPr>
        <w:spacing w:after="120" w:line="276" w:lineRule="auto"/>
      </w:pPr>
      <w:r>
        <w:t>**Conclusion technique** : Les indicateurs sont mitigés, avec un MACD et des moyennes mobiles soutenant la tendance haussière, mais un stochastique et un RSI proches du surachat suggérant une possible correction. La prudence est de mise, car la convergence des signaux n'est pas totale, mais la tendance de fond reste positive.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BICC révèlent une banque extrêmement performante. Le Produit Net Bancaire (PNB) s'établit à 79,563 milliards FCFA, en croissance de 16,9% par rapport à l'exercice précédent, démontrant une dynamique commerciale robuste. Le résultat net atteint 36,520 milliards FCFA, portant la marge nette à 45,9% et le ROE à un niveau exceptionnel de 30,29%, bien au-delà du seuil de 15% considéré comme excellent. Le ROA de 3,24% confirme l'efficacité de l'utilisation des actifs. Le coefficient d'exploitation de 50,83% indique une banque très efficace dans la gestion de ses charges, tandis que le coût du risque, bien que négatif (-12,15%), reflète une gestion prudente du portefeuille de crédits. Les dépôts clientèle (952,872 milliards FCFA) dépassent largement les créances sur la clientèle (524,439 milliards FCFA), assurant une liquidité abondante et une capacité de transformation saine. Les rapports trimestriels de 2025 confirment cette trajectoire : le T1 2025 affichait un PNB de 18,130 milliards FCFA (+9,3%) et un résultat net de 8,011 milliards (+23%), tandis que le S1 2025 montrait une accélération avec un PNB de 37,146 milliards (+16,6%) et un résultat net de 16,253 milliards (+42,5%). Le T3 2025 cumulé a poursuivi cette lancée avec un PNB de 58,119 milliards (+16,4%) et un résultat net de 27,402 milliards (+50,8%). Sur la base de ces données, on estime que l'exercice 2025 devrait confirmer une croissance à deux chiffres, avec un PNB annuel potentiel dépassant les 75 milliards FCFA et un résultat net supérieur à 35 milliards, en ligne avec les chiffres officiels. Le rapport T1 2026, publié récemment, montre une poursuite de la dynamique avec un PNB de 21,214 milliards (+17,0%) et un résultat net de 10,387 milliards (+29,7%), malgré une baisse des crédits due à des remboursements anticipés. La solidité financière de BICC est indéniable, avec des capitaux propres de 120,570 milliards FCFA et une autonomie financière de 10,7%, bien que ce ratio soit inférieur au seuil de 30%, reflétant la structure typique d'une banque utilisant fortement les dépôts comme levier.</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convergence globalement positive. La valorisation (Partie 0) montre un PER de 13,2x et un P/B de 4,01x, indiquant une prime de valorisation justifiée par la qualité des fondamentaux, mais qui limite le potentiel de hausse immédiat. Le comportement du cours (Partie 1) est favorable, avec une tendance haussière de +11,3% sur 100 jours, une volatilité élevée (29,8%) et une distribution platykurtique qui réduit le risque de chocs extrêmes. Les signaux techniques (Partie 2) sont mitigés, avec un MACD et des moyennes mobiles haussiers, mais un RSI et un stochastique proches du surachat, suggérant une consolidation à court terme. Les fondamentaux (Partie 3) sont excellents, avec une croissance soutenue du PNB et du résultat net, un ROE de 30,29% et une gestion efficace des coûts. Les prédictions IA pour les 10 prochains jours (28 402 FCFA à 27 326 FCFA) indiquent une correction modérée, contredisant légèrement la tendance haussière mais s'alignant avec les signaux techniques de surachat. Sur la base de cette synthèse, la recommandation est **ACHAT** avec un niveau de confiance **Élevé**, car la solidité financière et la croissance des bénéfices justifient une exposition à moyen terme. Le risque global est **Moyen**, principalement en raison de la volatilité du titre et de la valorisation exigeante. L'horizon d'investissement optimal est le **moyen terme (3-12 mois)**, permettant de capitaliser sur la croissance des résultats tout en évitant les fluctuations à court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13.21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2,155 titres</w:t>
            </w:r>
          </w:p>
        </w:tc>
        <w:tc>
          <w:tcPr>
            <w:tcW w:type="dxa" w:w="2268"/>
            <w:shd w:fill="FFF2CC" w:val="clear"/>
          </w:tcPr>
          <w:p>
            <w:r>
              <w:rPr>
                <w:b/>
                <w:color w:val="503200"/>
                <w:sz w:val="16"/>
              </w:rPr>
              <w:t xml:space="preserve">Cours actuel : </w:t>
            </w:r>
            <w:r>
              <w:rPr>
                <w:color w:val="000000"/>
                <w:sz w:val="17"/>
              </w:rPr>
              <w:t>1,995 FCFA</w:t>
            </w:r>
          </w:p>
          <w:p>
            <w:r>
              <w:rPr>
                <w:b/>
                <w:color w:val="503200"/>
                <w:sz w:val="16"/>
              </w:rPr>
              <w:t xml:space="preserve">Var. 100 jours : </w:t>
            </w:r>
            <w:r>
              <w:rPr>
                <w:b/>
                <w:color w:val="007800"/>
                <w:sz w:val="17"/>
              </w:rPr>
              <w:t>+22.77%</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11.56% (Moyenne) — μ=1,726 FCFA, σ=200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β=0.0120 (Défensif) — Cov=0.000000, Var(idx)=0.000036, ρ=0.002,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2,155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σ_j=3.03%/j (Modérée) — Vol. annualisée≈48.2%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3244"/>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324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2026-08-13</w:t>
            </w:r>
          </w:p>
        </w:tc>
        <w:tc>
          <w:tcPr>
            <w:tcW w:type="dxa" w:w="1440"/>
            <w:shd w:fill="FAFAFA" w:val="clear"/>
          </w:tcPr>
          <w:p>
            <w:r>
              <w:rPr>
                <w:sz w:val="17"/>
              </w:rPr>
              <w:t>1,901</w:t>
            </w:r>
          </w:p>
        </w:tc>
        <w:tc>
          <w:tcPr>
            <w:tcW w:type="dxa" w:w="1440"/>
            <w:shd w:fill="FAFAFA" w:val="clear"/>
          </w:tcPr>
          <w:p>
            <w:r>
              <w:rPr>
                <w:b/>
                <w:sz w:val="17"/>
              </w:rPr>
              <w:t>1,987</w:t>
            </w:r>
          </w:p>
        </w:tc>
        <w:tc>
          <w:tcPr>
            <w:tcW w:type="dxa" w:w="1440"/>
            <w:shd w:fill="FAFAFA" w:val="clear"/>
          </w:tcPr>
          <w:p>
            <w:r>
              <w:rPr>
                <w:sz w:val="17"/>
              </w:rPr>
              <w:t>2,073</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2026-08-14</w:t>
            </w:r>
          </w:p>
        </w:tc>
        <w:tc>
          <w:tcPr>
            <w:tcW w:type="dxa" w:w="1440"/>
            <w:shd w:fill="FAFAFA" w:val="clear"/>
          </w:tcPr>
          <w:p>
            <w:r>
              <w:rPr>
                <w:sz w:val="17"/>
              </w:rPr>
              <w:t>1,864</w:t>
            </w:r>
          </w:p>
        </w:tc>
        <w:tc>
          <w:tcPr>
            <w:tcW w:type="dxa" w:w="1440"/>
            <w:shd w:fill="FAFAFA" w:val="clear"/>
          </w:tcPr>
          <w:p>
            <w:r>
              <w:rPr>
                <w:b/>
                <w:sz w:val="17"/>
              </w:rPr>
              <w:t>1,986</w:t>
            </w:r>
          </w:p>
        </w:tc>
        <w:tc>
          <w:tcPr>
            <w:tcW w:type="dxa" w:w="1440"/>
            <w:shd w:fill="FAFAFA" w:val="clear"/>
          </w:tcPr>
          <w:p>
            <w:r>
              <w:rPr>
                <w:sz w:val="17"/>
              </w:rPr>
              <w:t>2,107</w:t>
            </w:r>
          </w:p>
        </w:tc>
        <w:tc>
          <w:tcPr>
            <w:tcW w:type="dxa" w:w="1440"/>
            <w:shd w:fill="FAFAFA" w:val="clear"/>
          </w:tcPr>
          <w:p>
            <w:r>
              <w:rPr>
                <w:b/>
                <w:color w:val="C00000"/>
                <w:sz w:val="17"/>
              </w:rPr>
              <w:t>-0.5%</w:t>
            </w:r>
          </w:p>
        </w:tc>
      </w:tr>
      <w:tr>
        <w:tc>
          <w:tcPr>
            <w:tcW w:type="dxa" w:w="1440"/>
            <w:shd w:fill="FAFAFA" w:val="clear"/>
          </w:tcPr>
          <w:p>
            <w:r>
              <w:rPr>
                <w:sz w:val="17"/>
              </w:rPr>
              <w:t>J+3  Moyenne</w:t>
            </w:r>
          </w:p>
        </w:tc>
        <w:tc>
          <w:tcPr>
            <w:tcW w:type="dxa" w:w="1440"/>
            <w:shd w:fill="FAFAFA" w:val="clear"/>
          </w:tcPr>
          <w:p>
            <w:r>
              <w:rPr>
                <w:sz w:val="17"/>
              </w:rPr>
              <w:t>2026-08-17</w:t>
            </w:r>
          </w:p>
        </w:tc>
        <w:tc>
          <w:tcPr>
            <w:tcW w:type="dxa" w:w="1440"/>
            <w:shd w:fill="FAFAFA" w:val="clear"/>
          </w:tcPr>
          <w:p>
            <w:r>
              <w:rPr>
                <w:sz w:val="17"/>
              </w:rPr>
              <w:t>1,833</w:t>
            </w:r>
          </w:p>
        </w:tc>
        <w:tc>
          <w:tcPr>
            <w:tcW w:type="dxa" w:w="1440"/>
            <w:shd w:fill="FAFAFA" w:val="clear"/>
          </w:tcPr>
          <w:p>
            <w:r>
              <w:rPr>
                <w:b/>
                <w:sz w:val="17"/>
              </w:rPr>
              <w:t>1,982</w:t>
            </w:r>
          </w:p>
        </w:tc>
        <w:tc>
          <w:tcPr>
            <w:tcW w:type="dxa" w:w="1440"/>
            <w:shd w:fill="FAFAFA" w:val="clear"/>
          </w:tcPr>
          <w:p>
            <w:r>
              <w:rPr>
                <w:sz w:val="17"/>
              </w:rPr>
              <w:t>2,130</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2026-08-18</w:t>
            </w:r>
          </w:p>
        </w:tc>
        <w:tc>
          <w:tcPr>
            <w:tcW w:type="dxa" w:w="1440"/>
            <w:shd w:fill="FAFAFA" w:val="clear"/>
          </w:tcPr>
          <w:p>
            <w:r>
              <w:rPr>
                <w:sz w:val="17"/>
              </w:rPr>
              <w:t>1,807</w:t>
            </w:r>
          </w:p>
        </w:tc>
        <w:tc>
          <w:tcPr>
            <w:tcW w:type="dxa" w:w="1440"/>
            <w:shd w:fill="FAFAFA" w:val="clear"/>
          </w:tcPr>
          <w:p>
            <w:r>
              <w:rPr>
                <w:b/>
                <w:sz w:val="17"/>
              </w:rPr>
              <w:t>1,978</w:t>
            </w:r>
          </w:p>
        </w:tc>
        <w:tc>
          <w:tcPr>
            <w:tcW w:type="dxa" w:w="1440"/>
            <w:shd w:fill="FAFAFA" w:val="clear"/>
          </w:tcPr>
          <w:p>
            <w:r>
              <w:rPr>
                <w:sz w:val="17"/>
              </w:rPr>
              <w:t>2,150</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2026-08-19</w:t>
            </w:r>
          </w:p>
        </w:tc>
        <w:tc>
          <w:tcPr>
            <w:tcW w:type="dxa" w:w="1440"/>
            <w:shd w:fill="FAFAFA" w:val="clear"/>
          </w:tcPr>
          <w:p>
            <w:r>
              <w:rPr>
                <w:sz w:val="17"/>
              </w:rPr>
              <w:t>1,785</w:t>
            </w:r>
          </w:p>
        </w:tc>
        <w:tc>
          <w:tcPr>
            <w:tcW w:type="dxa" w:w="1440"/>
            <w:shd w:fill="FAFAFA" w:val="clear"/>
          </w:tcPr>
          <w:p>
            <w:r>
              <w:rPr>
                <w:b/>
                <w:sz w:val="17"/>
              </w:rPr>
              <w:t>1,976</w:t>
            </w:r>
          </w:p>
        </w:tc>
        <w:tc>
          <w:tcPr>
            <w:tcW w:type="dxa" w:w="1440"/>
            <w:shd w:fill="FAFAFA" w:val="clear"/>
          </w:tcPr>
          <w:p>
            <w:r>
              <w:rPr>
                <w:sz w:val="17"/>
              </w:rPr>
              <w:t>2,167</w:t>
            </w:r>
          </w:p>
        </w:tc>
        <w:tc>
          <w:tcPr>
            <w:tcW w:type="dxa" w:w="1440"/>
            <w:shd w:fill="FAFAFA" w:val="clear"/>
          </w:tcPr>
          <w:p>
            <w:r>
              <w:rPr>
                <w:b/>
                <w:color w:val="C00000"/>
                <w:sz w:val="17"/>
              </w:rPr>
              <w:t>-0.9%</w:t>
            </w:r>
          </w:p>
        </w:tc>
      </w:tr>
      <w:tr>
        <w:tc>
          <w:tcPr>
            <w:tcW w:type="dxa" w:w="1440"/>
            <w:shd w:fill="FAFAFA" w:val="clear"/>
          </w:tcPr>
          <w:p>
            <w:r>
              <w:rPr>
                <w:sz w:val="17"/>
              </w:rPr>
              <w:t>J+6  ⭐</w:t>
            </w:r>
          </w:p>
        </w:tc>
        <w:tc>
          <w:tcPr>
            <w:tcW w:type="dxa" w:w="1440"/>
            <w:shd w:fill="FAFAFA" w:val="clear"/>
          </w:tcPr>
          <w:p>
            <w:r>
              <w:rPr>
                <w:sz w:val="17"/>
              </w:rPr>
              <w:t>2026-08-20</w:t>
            </w:r>
          </w:p>
        </w:tc>
        <w:tc>
          <w:tcPr>
            <w:tcW w:type="dxa" w:w="1440"/>
            <w:shd w:fill="FAFAFA" w:val="clear"/>
          </w:tcPr>
          <w:p>
            <w:r>
              <w:rPr>
                <w:sz w:val="17"/>
              </w:rPr>
              <w:t>1,765</w:t>
            </w:r>
          </w:p>
        </w:tc>
        <w:tc>
          <w:tcPr>
            <w:tcW w:type="dxa" w:w="1440"/>
            <w:shd w:fill="FAFAFA" w:val="clear"/>
          </w:tcPr>
          <w:p>
            <w:r>
              <w:rPr>
                <w:b/>
                <w:sz w:val="17"/>
              </w:rPr>
              <w:t>1,974</w:t>
            </w:r>
          </w:p>
        </w:tc>
        <w:tc>
          <w:tcPr>
            <w:tcW w:type="dxa" w:w="1440"/>
            <w:shd w:fill="FAFAFA" w:val="clear"/>
          </w:tcPr>
          <w:p>
            <w:r>
              <w:rPr>
                <w:sz w:val="17"/>
              </w:rPr>
              <w:t>2,184</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2026-08-21</w:t>
            </w:r>
          </w:p>
        </w:tc>
        <w:tc>
          <w:tcPr>
            <w:tcW w:type="dxa" w:w="1440"/>
            <w:shd w:fill="FAFAFA" w:val="clear"/>
          </w:tcPr>
          <w:p>
            <w:r>
              <w:rPr>
                <w:sz w:val="17"/>
              </w:rPr>
              <w:t>1,747</w:t>
            </w:r>
          </w:p>
        </w:tc>
        <w:tc>
          <w:tcPr>
            <w:tcW w:type="dxa" w:w="1440"/>
            <w:shd w:fill="FAFAFA" w:val="clear"/>
          </w:tcPr>
          <w:p>
            <w:r>
              <w:rPr>
                <w:b/>
                <w:sz w:val="17"/>
              </w:rPr>
              <w:t>1,973</w:t>
            </w:r>
          </w:p>
        </w:tc>
        <w:tc>
          <w:tcPr>
            <w:tcW w:type="dxa" w:w="1440"/>
            <w:shd w:fill="FAFAFA" w:val="clear"/>
          </w:tcPr>
          <w:p>
            <w:r>
              <w:rPr>
                <w:sz w:val="17"/>
              </w:rPr>
              <w:t>2,199</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2026-08-24</w:t>
            </w:r>
          </w:p>
        </w:tc>
        <w:tc>
          <w:tcPr>
            <w:tcW w:type="dxa" w:w="1440"/>
            <w:shd w:fill="FAFAFA" w:val="clear"/>
          </w:tcPr>
          <w:p>
            <w:r>
              <w:rPr>
                <w:sz w:val="17"/>
              </w:rPr>
              <w:t>1,730</w:t>
            </w:r>
          </w:p>
        </w:tc>
        <w:tc>
          <w:tcPr>
            <w:tcW w:type="dxa" w:w="1440"/>
            <w:shd w:fill="FAFAFA" w:val="clear"/>
          </w:tcPr>
          <w:p>
            <w:r>
              <w:rPr>
                <w:b/>
                <w:sz w:val="17"/>
              </w:rPr>
              <w:t>1,971</w:t>
            </w:r>
          </w:p>
        </w:tc>
        <w:tc>
          <w:tcPr>
            <w:tcW w:type="dxa" w:w="1440"/>
            <w:shd w:fill="FAFAFA" w:val="clear"/>
          </w:tcPr>
          <w:p>
            <w:r>
              <w:rPr>
                <w:sz w:val="17"/>
              </w:rPr>
              <w:t>2,212</w:t>
            </w:r>
          </w:p>
        </w:tc>
        <w:tc>
          <w:tcPr>
            <w:tcW w:type="dxa" w:w="1440"/>
            <w:shd w:fill="FAFAFA" w:val="clear"/>
          </w:tcPr>
          <w:p>
            <w:r>
              <w:rPr>
                <w:b/>
                <w:color w:val="C00000"/>
                <w:sz w:val="17"/>
              </w:rPr>
              <w:t>-1.2%</w:t>
            </w:r>
          </w:p>
        </w:tc>
      </w:tr>
      <w:tr>
        <w:tc>
          <w:tcPr>
            <w:tcW w:type="dxa" w:w="1440"/>
            <w:shd w:fill="FAFAFA" w:val="clear"/>
          </w:tcPr>
          <w:p>
            <w:r>
              <w:rPr>
                <w:sz w:val="17"/>
              </w:rPr>
              <w:t>J+9  ⭐</w:t>
            </w:r>
          </w:p>
        </w:tc>
        <w:tc>
          <w:tcPr>
            <w:tcW w:type="dxa" w:w="1440"/>
            <w:shd w:fill="FAFAFA" w:val="clear"/>
          </w:tcPr>
          <w:p>
            <w:r>
              <w:rPr>
                <w:sz w:val="17"/>
              </w:rPr>
              <w:t>2026-08-25</w:t>
            </w:r>
          </w:p>
        </w:tc>
        <w:tc>
          <w:tcPr>
            <w:tcW w:type="dxa" w:w="1440"/>
            <w:shd w:fill="FAFAFA" w:val="clear"/>
          </w:tcPr>
          <w:p>
            <w:r>
              <w:rPr>
                <w:sz w:val="17"/>
              </w:rPr>
              <w:t>1,714</w:t>
            </w:r>
          </w:p>
        </w:tc>
        <w:tc>
          <w:tcPr>
            <w:tcW w:type="dxa" w:w="1440"/>
            <w:shd w:fill="FAFAFA" w:val="clear"/>
          </w:tcPr>
          <w:p>
            <w:r>
              <w:rPr>
                <w:b/>
                <w:sz w:val="17"/>
              </w:rPr>
              <w:t>1,970</w:t>
            </w:r>
          </w:p>
        </w:tc>
        <w:tc>
          <w:tcPr>
            <w:tcW w:type="dxa" w:w="1440"/>
            <w:shd w:fill="FAFAFA" w:val="clear"/>
          </w:tcPr>
          <w:p>
            <w:r>
              <w:rPr>
                <w:sz w:val="17"/>
              </w:rPr>
              <w:t>2,226</w:t>
            </w:r>
          </w:p>
        </w:tc>
        <w:tc>
          <w:tcPr>
            <w:tcW w:type="dxa" w:w="1440"/>
            <w:shd w:fill="FAFAFA" w:val="clear"/>
          </w:tcPr>
          <w:p>
            <w:r>
              <w:rPr>
                <w:b/>
                <w:color w:val="C00000"/>
                <w:sz w:val="17"/>
              </w:rPr>
              <w:t>-1.3%</w:t>
            </w:r>
          </w:p>
        </w:tc>
      </w:tr>
      <w:tr>
        <w:tc>
          <w:tcPr>
            <w:tcW w:type="dxa" w:w="1440"/>
            <w:shd w:fill="FAFAFA" w:val="clear"/>
          </w:tcPr>
          <w:p>
            <w:r>
              <w:rPr>
                <w:sz w:val="17"/>
              </w:rPr>
              <w:t>J+10  ⭐</w:t>
            </w:r>
          </w:p>
        </w:tc>
        <w:tc>
          <w:tcPr>
            <w:tcW w:type="dxa" w:w="1440"/>
            <w:shd w:fill="FAFAFA" w:val="clear"/>
          </w:tcPr>
          <w:p>
            <w:r>
              <w:rPr>
                <w:sz w:val="17"/>
              </w:rPr>
              <w:t>2026-08-27</w:t>
            </w:r>
          </w:p>
        </w:tc>
        <w:tc>
          <w:tcPr>
            <w:tcW w:type="dxa" w:w="1440"/>
            <w:shd w:fill="FAFAFA" w:val="clear"/>
          </w:tcPr>
          <w:p>
            <w:r>
              <w:rPr>
                <w:sz w:val="17"/>
              </w:rPr>
              <w:t>1,699</w:t>
            </w:r>
          </w:p>
        </w:tc>
        <w:tc>
          <w:tcPr>
            <w:tcW w:type="dxa" w:w="1440"/>
            <w:shd w:fill="FAFAFA" w:val="clear"/>
          </w:tcPr>
          <w:p>
            <w:r>
              <w:rPr>
                <w:b/>
                <w:sz w:val="17"/>
              </w:rPr>
              <w:t>1,969</w:t>
            </w:r>
          </w:p>
        </w:tc>
        <w:tc>
          <w:tcPr>
            <w:tcW w:type="dxa" w:w="1440"/>
            <w:shd w:fill="FAFAFA" w:val="clear"/>
          </w:tcPr>
          <w:p>
            <w:r>
              <w:rPr>
                <w:sz w:val="17"/>
              </w:rPr>
              <w:t>2,238</w:t>
            </w:r>
          </w:p>
        </w:tc>
        <w:tc>
          <w:tcPr>
            <w:tcW w:type="dxa" w:w="1440"/>
            <w:shd w:fill="FAFAFA" w:val="clear"/>
          </w:tcPr>
          <w:p>
            <w:r>
              <w:rPr>
                <w:b/>
                <w:color w:val="C00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BNBC s'établit à 13,21 milliards FCFA, un niveau modeste qui la classe parmi les valeurs moyennes de la cote BRVM, reflétant un intérêt limité des investisseurs pour ce titre. Le BPA de 3 FCFA par action est extrêmement faible, ce qui explique un PER de 592,1x, soit près de 50 fois la moyenne historique du marché régional (8-12x). Ce ratio indique que les investisseurs paient un prix très élevé pour des bénéfices quasi inexistants, signe d'une surévaluation flagrante sur le plan des profits. En revanche, le P/B de 0,74x suggère que le marché valorise le titre sous sa valeur comptable, ce qui pourrait représenter une opportunité pour un investisseur patrimonial. Enfin, l'EV/EBITDA de 24,2x, nettement supérieur au seuil de 15x, confirme une valorisation exigeante au regard de la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BNBC a enregistré une progression remarquable de +22,77%, avec un cours actuel de 1 995 FCFA, soutenu par une dernière séance en hausse de 0,50%. Le titre a évolué dans une fourchette large de 1 300 à 2 100 FCFA, démontrant une forte amplitude de trading. La moyenne du cours sur la période (1 726 FCFA) est inférieure à la médiane (1 650 FCFA), indiquant une distribution légèrement asymétrique avec des valeurs extrêmes hautes tirant la moyenne vers le haut. L'écart-type de 201 FCFA, avec un coefficient de variation de 11,6%, révèle une dispersion modérée autour de la moyenne. Le kurtosis négatif de -1,237 signale une distribution platykurtique, c'est-à-dire une faible concentration des prix autour de la moyenne, avec un risque de mouvements brusques réduit. Le skewness proche de zéro (0,033) confirme une symétrie de la distribution. La volatilité annualisée de 48,2% classe le titre dans la catégorie des valeurs à très forte volatilité, un niveau élevé qui implique un risque substantiel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1 995 FCFA se positionne au-dessus de la MM20 (1 926,75 FCFA) et de la MM50 (1 900,5 FCFA), avec un écart de 3,5% et 5% respectivement. Cette configuration haussière, où le prix évolue au-dessus des deux moyennes, confirme une dynamique positive à court et moyen terme. La décision d'achat est justifiée par cette structure de tendance favorable.</w:t>
      </w:r>
    </w:p>
    <w:p>
      <w:pPr>
        <w:spacing w:after="120" w:line="276" w:lineRule="auto"/>
      </w:pPr>
      <w:r>
        <w:t>**Bandes de Bollinger** : Le cours se situe à 1 995 FCFA, proche de la borne supérieure (2 022,63 FCFA) et nettement au-dessus de la borne inférieure (1 830,87 FCFA). Cette position indique une pression acheteuse soutenue, mais également une proximité avec la zone de résistance. La décision neutre s'explique par le fait que le prix n'a pas encore franchi la borne supérieure, laissant planer une incertitude sur la poursuite du mouvement.</w:t>
      </w:r>
    </w:p>
    <w:p>
      <w:pPr>
        <w:spacing w:after="120" w:line="276" w:lineRule="auto"/>
      </w:pPr>
      <w:r>
        <w:t>**MACD** : La valeur du MACD (19,463) est supérieure à sa ligne de signal (15,984), avec un écart positif de 3,48 points. Cette divergence haussière confirme un momentum positif en faveur des acheteurs. La décision d'achat est cohérente avec cette dynamique, bien que l'écart reste modéré, suggérant une tendance soutenable.</w:t>
      </w:r>
    </w:p>
    <w:p>
      <w:pPr>
        <w:spacing w:after="120" w:line="276" w:lineRule="auto"/>
      </w:pPr>
      <w:r>
        <w:t>**RSI** : Le RSI s'établit à 53,226, une valeur dans la zone neutre (30-70), indiquant un équilibre entre les forces acheteuses et vendeuses. Cette position n'est ni surachetée ni survendue, laissant une marge de manœuvre pour une évolution future. La décision neutre est justifiée par cette absence de signal directionnel fort.</w:t>
      </w:r>
    </w:p>
    <w:p>
      <w:pPr>
        <w:spacing w:after="120" w:line="276" w:lineRule="auto"/>
      </w:pPr>
      <w:r>
        <w:t>**Stochastique** : Le %K à 100,0 contre un %D à 73,913 indique une condition de surachat extrême. Le croisement potentiel des deux lignes, avec un %K qui pourrait redescendre sous le %D, signale un risque de retournement baissier imminent. La décision de vente est donc cohérente avec cette configuration technique.</w:t>
      </w:r>
    </w:p>
    <w:p>
      <w:pPr>
        <w:spacing w:after="120" w:line="276" w:lineRule="auto"/>
      </w:pPr>
      <w:r>
        <w:t>**Conclusion technique** : La synthèse des indicateurs révèle un tableau contrasté. Les moyennes mobiles et le MACD plaident en faveur d'une tendance haussière, tandis que le stochastique en surachat extrême et le RSI neutre suggèrent une prudence. La proximité du cours avec la borne supérieure de Bollinger renforce cette incertitude. Globalement, le titre semble en phase de consolidation après une forte progression, avec un biais haussier à moyen terme mais un risque de correction à court terme.</w:t>
      </w:r>
    </w:p>
    <w:p>
      <w:pPr>
        <w:spacing w:after="120" w:line="276" w:lineRule="auto" w:before="240"/>
      </w:pPr>
      <w:r>
        <w:rPr>
          <w:b/>
          <w:color w:val="003366"/>
          <w:sz w:val="24"/>
        </w:rPr>
        <w:t>**PARTIE 3 : ANALYSE FONDAMENTALE (SECTION CRITIQUE)**</w:t>
      </w:r>
    </w:p>
    <w:p>
      <w:pPr>
        <w:spacing w:after="120" w:line="276" w:lineRule="auto"/>
      </w:pPr>
      <w:r>
        <w:t>En 2025, les données structurées de BNBC révèlent une situation financière préoccupante. Le chiffre d'affaires s'établit à 42,454 milliards FCFA, en baisse de 6,31% par rapport à 2024 (45,312 milliards), confirmant une contraction de l'activité. Le résultat net de 22,32 millions FCFA, bien qu'en amélioration par rapport aux 7,31 millions de 2024, reste dérisoire avec une marge nette de seulement 0,05%. Le ROE de 0,13% et le ROA de 0,05% sont extrêmement faibles, reflétant une incapacité structurelle à générer de la rentabilité. Le BFR de 29,37 milliards FCFA, avec un délai clients de 104 jours et une durée de stockage de 339 jours, illustre une immobilisation massive de capital, tandis que la trésorerie nette négative de -16,69 milliards FCFA crée un risque de liquidité majeur. Les rapports trimestriels 2025 montrent une dégradation progressive : le T1 2025 affichait un bénéfice de 16,15 millions FCFA, mais le S1 2025 s'est soldé par une perte de -139,57 millions, et le T3 2025 par une perte cumulée de -157 millions. Le rapport T1 2026, daté de décembre 2026, indique un résultat net positif de 65,57 millions FCFA, soit une amélioration de 506% par rapport au T1 2025, grâce à l'intégration de la division Équipement. On estime que l'exercice 2026 pourrait voir une amélioration progressive de la rentabilité si la montée en puissance de cette division se confirme, mais le retour à une rentabilité significative reste incertain.</w:t>
      </w:r>
    </w:p>
    <w:p>
      <w:pPr>
        <w:spacing w:after="120" w:line="276" w:lineRule="auto" w:before="240"/>
      </w:pPr>
      <w:r>
        <w:rPr>
          <w:b/>
          <w:color w:val="003366"/>
          <w:sz w:val="24"/>
        </w:rPr>
        <w:t>**PARTIE 4 : CONCLUSION D'INVESTISSEMENT**</w:t>
      </w:r>
    </w:p>
    <w:p>
      <w:pPr>
        <w:spacing w:after="120" w:line="276" w:lineRule="auto"/>
      </w:pPr>
      <w:r>
        <w:t>La valorisation de BNBC présente un paradoxe : un PER extrêmement élevé (592,1x) indique une surévaluation par rapport aux bénéfices, mais un P/B de 0,74x suggère un potentiel de redressement patrimonial. Le comportement du cours sur 100 jours, avec une hausse de 22,77% et une volatilité de 48,2%, témoigne d'un intérêt spéculatif marqué, mais la distribution platykurtique et le skewness symétrique indiquent une stabilité relative des mouvements. Les signaux techniques sont mitigés : les moyennes mobiles et le MACD sont positifs, mais le stochastique en surachat extrême et le RSI neutre appellent à la prudence. Fondamentalement, la société reste fragile avec une rentabilité anémique, une trésorerie négative et un endettement élevé, malgré des capitaux propres solides. Les prédictions IA pour les 10 prochains jours (1 987 à 1 976 FCFA) suggèrent une légère correction, contredisant partiellement la tendance haussière récente. La convergence entre la surévaluation boursière, les signaux techniques mixtes et les fondamentaux faibles conduit à une recommandation de **CONSERVER**, avec un niveau de confiance **Moyen** et un risque global **Élevé**. L'horizon d'investissement optimal serait le **moyen terme (3-12 mois)**, en attendant une confirmation de l'amélioration opérationnelle à travers les prochains rapports trimestriels.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351.06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5,526 titres</w:t>
            </w:r>
          </w:p>
        </w:tc>
        <w:tc>
          <w:tcPr>
            <w:tcW w:type="dxa" w:w="2268"/>
            <w:shd w:fill="FFF2CC" w:val="clear"/>
          </w:tcPr>
          <w:p>
            <w:r>
              <w:rPr>
                <w:b/>
                <w:color w:val="503200"/>
                <w:sz w:val="16"/>
              </w:rPr>
              <w:t xml:space="preserve">Cours actuel : </w:t>
            </w:r>
            <w:r>
              <w:rPr>
                <w:color w:val="000000"/>
                <w:sz w:val="17"/>
              </w:rPr>
              <w:t>8,655 FCFA</w:t>
            </w:r>
          </w:p>
          <w:p>
            <w:r>
              <w:rPr>
                <w:b/>
                <w:color w:val="503200"/>
                <w:sz w:val="16"/>
              </w:rPr>
              <w:t xml:space="preserve">Var. 100 jours : </w:t>
            </w:r>
            <w:r>
              <w:rPr>
                <w:b/>
                <w:color w:val="007800"/>
                <w:sz w:val="17"/>
              </w:rPr>
              <w:t>+10.25%</w:t>
            </w:r>
          </w:p>
          <w:p>
            <w:r>
              <w:rPr>
                <w:b/>
                <w:color w:val="503200"/>
                <w:sz w:val="16"/>
              </w:rPr>
              <w:t xml:space="preserve">Plus haut 100j : </w:t>
            </w:r>
            <w:r>
              <w:rPr>
                <w:color w:val="000000"/>
                <w:sz w:val="17"/>
              </w:rPr>
              <w:t>9,420 FCFA</w:t>
            </w:r>
          </w:p>
          <w:p>
            <w:r>
              <w:rPr>
                <w:b/>
                <w:color w:val="503200"/>
                <w:sz w:val="16"/>
              </w:rPr>
              <w:t xml:space="preserve">Plus bas 100j : </w:t>
            </w:r>
            <w:r>
              <w:rPr>
                <w:color w:val="000000"/>
                <w:sz w:val="17"/>
              </w:rPr>
              <w:t>7,295 FCFA</w:t>
            </w:r>
          </w:p>
          <w:p>
            <w:r>
              <w:rPr>
                <w:b/>
                <w:color w:val="503200"/>
                <w:sz w:val="16"/>
              </w:rPr>
              <w:t xml:space="preserve">Volatilité ann. : </w:t>
            </w:r>
            <w:r>
              <w:rPr>
                <w:color w:val="000000"/>
                <w:sz w:val="17"/>
              </w:rPr>
              <w:t>23.0%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6.90% (Moyenne) — μ=8,565 FCFA, σ=591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β=-0.1932 (Contre-cyclique) — Cov=-0.000007, Var(idx)=0.000036, ρ=-0.081,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5,526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σ_j=1.45%/j (Stable) — Vol. annualisée≈23.0%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3244"/>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324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2026-08-13</w:t>
            </w:r>
          </w:p>
        </w:tc>
        <w:tc>
          <w:tcPr>
            <w:tcW w:type="dxa" w:w="1440"/>
            <w:shd w:fill="FFDCE0" w:val="clear"/>
          </w:tcPr>
          <w:p>
            <w:r>
              <w:rPr>
                <w:sz w:val="17"/>
              </w:rPr>
              <w:t>8,328</w:t>
            </w:r>
          </w:p>
        </w:tc>
        <w:tc>
          <w:tcPr>
            <w:tcW w:type="dxa" w:w="1440"/>
            <w:shd w:fill="FFDCE0" w:val="clear"/>
          </w:tcPr>
          <w:p>
            <w:r>
              <w:rPr>
                <w:b/>
                <w:sz w:val="17"/>
              </w:rPr>
              <w:t>8,446</w:t>
            </w:r>
          </w:p>
        </w:tc>
        <w:tc>
          <w:tcPr>
            <w:tcW w:type="dxa" w:w="1440"/>
            <w:shd w:fill="FFDCE0" w:val="clear"/>
          </w:tcPr>
          <w:p>
            <w:r>
              <w:rPr>
                <w:sz w:val="17"/>
              </w:rPr>
              <w:t>8,565</w:t>
            </w:r>
          </w:p>
        </w:tc>
        <w:tc>
          <w:tcPr>
            <w:tcW w:type="dxa" w:w="1440"/>
            <w:shd w:fill="FFDCE0" w:val="clear"/>
          </w:tcPr>
          <w:p>
            <w:r>
              <w:rPr>
                <w:b/>
                <w:color w:val="C00000"/>
                <w:sz w:val="17"/>
              </w:rPr>
              <w:t>-2.4%</w:t>
            </w:r>
          </w:p>
        </w:tc>
      </w:tr>
      <w:tr>
        <w:tc>
          <w:tcPr>
            <w:tcW w:type="dxa" w:w="1440"/>
            <w:shd w:fill="FFDCE0" w:val="clear"/>
          </w:tcPr>
          <w:p>
            <w:r>
              <w:rPr>
                <w:sz w:val="17"/>
              </w:rPr>
              <w:t>J+2  ⭐⭐⭐</w:t>
            </w:r>
          </w:p>
        </w:tc>
        <w:tc>
          <w:tcPr>
            <w:tcW w:type="dxa" w:w="1440"/>
            <w:shd w:fill="FFDCE0" w:val="clear"/>
          </w:tcPr>
          <w:p>
            <w:r>
              <w:rPr>
                <w:sz w:val="17"/>
              </w:rPr>
              <w:t>2026-08-14</w:t>
            </w:r>
          </w:p>
        </w:tc>
        <w:tc>
          <w:tcPr>
            <w:tcW w:type="dxa" w:w="1440"/>
            <w:shd w:fill="FFDCE0" w:val="clear"/>
          </w:tcPr>
          <w:p>
            <w:r>
              <w:rPr>
                <w:sz w:val="17"/>
              </w:rPr>
              <w:t>8,166</w:t>
            </w:r>
          </w:p>
        </w:tc>
        <w:tc>
          <w:tcPr>
            <w:tcW w:type="dxa" w:w="1440"/>
            <w:shd w:fill="FFDCE0" w:val="clear"/>
          </w:tcPr>
          <w:p>
            <w:r>
              <w:rPr>
                <w:b/>
                <w:sz w:val="17"/>
              </w:rPr>
              <w:t>8,331</w:t>
            </w:r>
          </w:p>
        </w:tc>
        <w:tc>
          <w:tcPr>
            <w:tcW w:type="dxa" w:w="1440"/>
            <w:shd w:fill="FFDCE0" w:val="clear"/>
          </w:tcPr>
          <w:p>
            <w:r>
              <w:rPr>
                <w:sz w:val="17"/>
              </w:rPr>
              <w:t>8,496</w:t>
            </w:r>
          </w:p>
        </w:tc>
        <w:tc>
          <w:tcPr>
            <w:tcW w:type="dxa" w:w="1440"/>
            <w:shd w:fill="FFDCE0" w:val="clear"/>
          </w:tcPr>
          <w:p>
            <w:r>
              <w:rPr>
                <w:b/>
                <w:color w:val="C00000"/>
                <w:sz w:val="17"/>
              </w:rPr>
              <w:t>-3.7%</w:t>
            </w:r>
          </w:p>
        </w:tc>
      </w:tr>
      <w:tr>
        <w:tc>
          <w:tcPr>
            <w:tcW w:type="dxa" w:w="1440"/>
            <w:shd w:fill="FFDCE0" w:val="clear"/>
          </w:tcPr>
          <w:p>
            <w:r>
              <w:rPr>
                <w:sz w:val="17"/>
              </w:rPr>
              <w:t>J+3  ⭐⭐⭐</w:t>
            </w:r>
          </w:p>
        </w:tc>
        <w:tc>
          <w:tcPr>
            <w:tcW w:type="dxa" w:w="1440"/>
            <w:shd w:fill="FFDCE0" w:val="clear"/>
          </w:tcPr>
          <w:p>
            <w:r>
              <w:rPr>
                <w:sz w:val="17"/>
              </w:rPr>
              <w:t>2026-08-17</w:t>
            </w:r>
          </w:p>
        </w:tc>
        <w:tc>
          <w:tcPr>
            <w:tcW w:type="dxa" w:w="1440"/>
            <w:shd w:fill="FFDCE0" w:val="clear"/>
          </w:tcPr>
          <w:p>
            <w:r>
              <w:rPr>
                <w:sz w:val="17"/>
              </w:rPr>
              <w:t>8,023</w:t>
            </w:r>
          </w:p>
        </w:tc>
        <w:tc>
          <w:tcPr>
            <w:tcW w:type="dxa" w:w="1440"/>
            <w:shd w:fill="FFDCE0" w:val="clear"/>
          </w:tcPr>
          <w:p>
            <w:r>
              <w:rPr>
                <w:b/>
                <w:sz w:val="17"/>
              </w:rPr>
              <w:t>8,222</w:t>
            </w:r>
          </w:p>
        </w:tc>
        <w:tc>
          <w:tcPr>
            <w:tcW w:type="dxa" w:w="1440"/>
            <w:shd w:fill="FFDCE0" w:val="clear"/>
          </w:tcPr>
          <w:p>
            <w:r>
              <w:rPr>
                <w:sz w:val="17"/>
              </w:rPr>
              <w:t>8,421</w:t>
            </w:r>
          </w:p>
        </w:tc>
        <w:tc>
          <w:tcPr>
            <w:tcW w:type="dxa" w:w="1440"/>
            <w:shd w:fill="FFDCE0" w:val="clear"/>
          </w:tcPr>
          <w:p>
            <w:r>
              <w:rPr>
                <w:b/>
                <w:color w:val="C00000"/>
                <w:sz w:val="17"/>
              </w:rPr>
              <w:t>-5.0%</w:t>
            </w:r>
          </w:p>
        </w:tc>
      </w:tr>
      <w:tr>
        <w:tc>
          <w:tcPr>
            <w:tcW w:type="dxa" w:w="1440"/>
            <w:shd w:fill="FFDCE0" w:val="clear"/>
          </w:tcPr>
          <w:p>
            <w:r>
              <w:rPr>
                <w:sz w:val="17"/>
              </w:rPr>
              <w:t>J+4  Moyenne</w:t>
            </w:r>
          </w:p>
        </w:tc>
        <w:tc>
          <w:tcPr>
            <w:tcW w:type="dxa" w:w="1440"/>
            <w:shd w:fill="FFDCE0" w:val="clear"/>
          </w:tcPr>
          <w:p>
            <w:r>
              <w:rPr>
                <w:sz w:val="17"/>
              </w:rPr>
              <w:t>2026-08-18</w:t>
            </w:r>
          </w:p>
        </w:tc>
        <w:tc>
          <w:tcPr>
            <w:tcW w:type="dxa" w:w="1440"/>
            <w:shd w:fill="FFDCE0" w:val="clear"/>
          </w:tcPr>
          <w:p>
            <w:r>
              <w:rPr>
                <w:sz w:val="17"/>
              </w:rPr>
              <w:t>7,901</w:t>
            </w:r>
          </w:p>
        </w:tc>
        <w:tc>
          <w:tcPr>
            <w:tcW w:type="dxa" w:w="1440"/>
            <w:shd w:fill="FFDCE0" w:val="clear"/>
          </w:tcPr>
          <w:p>
            <w:r>
              <w:rPr>
                <w:b/>
                <w:sz w:val="17"/>
              </w:rPr>
              <w:t>8,129</w:t>
            </w:r>
          </w:p>
        </w:tc>
        <w:tc>
          <w:tcPr>
            <w:tcW w:type="dxa" w:w="1440"/>
            <w:shd w:fill="FFDCE0" w:val="clear"/>
          </w:tcPr>
          <w:p>
            <w:r>
              <w:rPr>
                <w:sz w:val="17"/>
              </w:rPr>
              <w:t>8,356</w:t>
            </w:r>
          </w:p>
        </w:tc>
        <w:tc>
          <w:tcPr>
            <w:tcW w:type="dxa" w:w="1440"/>
            <w:shd w:fill="FFDCE0" w:val="clear"/>
          </w:tcPr>
          <w:p>
            <w:r>
              <w:rPr>
                <w:b/>
                <w:color w:val="C00000"/>
                <w:sz w:val="17"/>
              </w:rPr>
              <w:t>-6.1%</w:t>
            </w:r>
          </w:p>
        </w:tc>
      </w:tr>
      <w:tr>
        <w:tc>
          <w:tcPr>
            <w:tcW w:type="dxa" w:w="1440"/>
            <w:shd w:fill="FFDCE0" w:val="clear"/>
          </w:tcPr>
          <w:p>
            <w:r>
              <w:rPr>
                <w:sz w:val="17"/>
              </w:rPr>
              <w:t>J+5  Moyenne</w:t>
            </w:r>
          </w:p>
        </w:tc>
        <w:tc>
          <w:tcPr>
            <w:tcW w:type="dxa" w:w="1440"/>
            <w:shd w:fill="FFDCE0" w:val="clear"/>
          </w:tcPr>
          <w:p>
            <w:r>
              <w:rPr>
                <w:sz w:val="17"/>
              </w:rPr>
              <w:t>2026-08-19</w:t>
            </w:r>
          </w:p>
        </w:tc>
        <w:tc>
          <w:tcPr>
            <w:tcW w:type="dxa" w:w="1440"/>
            <w:shd w:fill="FFDCE0" w:val="clear"/>
          </w:tcPr>
          <w:p>
            <w:r>
              <w:rPr>
                <w:sz w:val="17"/>
              </w:rPr>
              <w:t>7,792</w:t>
            </w:r>
          </w:p>
        </w:tc>
        <w:tc>
          <w:tcPr>
            <w:tcW w:type="dxa" w:w="1440"/>
            <w:shd w:fill="FFDCE0" w:val="clear"/>
          </w:tcPr>
          <w:p>
            <w:r>
              <w:rPr>
                <w:b/>
                <w:sz w:val="17"/>
              </w:rPr>
              <w:t>8,044</w:t>
            </w:r>
          </w:p>
        </w:tc>
        <w:tc>
          <w:tcPr>
            <w:tcW w:type="dxa" w:w="1440"/>
            <w:shd w:fill="FFDCE0" w:val="clear"/>
          </w:tcPr>
          <w:p>
            <w:r>
              <w:rPr>
                <w:sz w:val="17"/>
              </w:rPr>
              <w:t>8,295</w:t>
            </w:r>
          </w:p>
        </w:tc>
        <w:tc>
          <w:tcPr>
            <w:tcW w:type="dxa" w:w="1440"/>
            <w:shd w:fill="FFDCE0" w:val="clear"/>
          </w:tcPr>
          <w:p>
            <w:r>
              <w:rPr>
                <w:b/>
                <w:color w:val="C00000"/>
                <w:sz w:val="17"/>
              </w:rPr>
              <w:t>-7.1%</w:t>
            </w:r>
          </w:p>
        </w:tc>
      </w:tr>
      <w:tr>
        <w:tc>
          <w:tcPr>
            <w:tcW w:type="dxa" w:w="1440"/>
            <w:shd w:fill="FFDCE0" w:val="clear"/>
          </w:tcPr>
          <w:p>
            <w:r>
              <w:rPr>
                <w:sz w:val="17"/>
              </w:rPr>
              <w:t>J+6  Moyenne</w:t>
            </w:r>
          </w:p>
        </w:tc>
        <w:tc>
          <w:tcPr>
            <w:tcW w:type="dxa" w:w="1440"/>
            <w:shd w:fill="FFDCE0" w:val="clear"/>
          </w:tcPr>
          <w:p>
            <w:r>
              <w:rPr>
                <w:sz w:val="17"/>
              </w:rPr>
              <w:t>2026-08-20</w:t>
            </w:r>
          </w:p>
        </w:tc>
        <w:tc>
          <w:tcPr>
            <w:tcW w:type="dxa" w:w="1440"/>
            <w:shd w:fill="FFDCE0" w:val="clear"/>
          </w:tcPr>
          <w:p>
            <w:r>
              <w:rPr>
                <w:sz w:val="17"/>
              </w:rPr>
              <w:t>7,691</w:t>
            </w:r>
          </w:p>
        </w:tc>
        <w:tc>
          <w:tcPr>
            <w:tcW w:type="dxa" w:w="1440"/>
            <w:shd w:fill="FFDCE0" w:val="clear"/>
          </w:tcPr>
          <w:p>
            <w:r>
              <w:rPr>
                <w:b/>
                <w:sz w:val="17"/>
              </w:rPr>
              <w:t>7,964</w:t>
            </w:r>
          </w:p>
        </w:tc>
        <w:tc>
          <w:tcPr>
            <w:tcW w:type="dxa" w:w="1440"/>
            <w:shd w:fill="FFDCE0" w:val="clear"/>
          </w:tcPr>
          <w:p>
            <w:r>
              <w:rPr>
                <w:sz w:val="17"/>
              </w:rPr>
              <w:t>8,237</w:t>
            </w:r>
          </w:p>
        </w:tc>
        <w:tc>
          <w:tcPr>
            <w:tcW w:type="dxa" w:w="1440"/>
            <w:shd w:fill="FFDCE0" w:val="clear"/>
          </w:tcPr>
          <w:p>
            <w:r>
              <w:rPr>
                <w:b/>
                <w:color w:val="C00000"/>
                <w:sz w:val="17"/>
              </w:rPr>
              <w:t>-8.0%</w:t>
            </w:r>
          </w:p>
        </w:tc>
      </w:tr>
      <w:tr>
        <w:tc>
          <w:tcPr>
            <w:tcW w:type="dxa" w:w="1440"/>
            <w:shd w:fill="FFDCE0" w:val="clear"/>
          </w:tcPr>
          <w:p>
            <w:r>
              <w:rPr>
                <w:sz w:val="17"/>
              </w:rPr>
              <w:t>J+7  Moyenne</w:t>
            </w:r>
          </w:p>
        </w:tc>
        <w:tc>
          <w:tcPr>
            <w:tcW w:type="dxa" w:w="1440"/>
            <w:shd w:fill="FFDCE0" w:val="clear"/>
          </w:tcPr>
          <w:p>
            <w:r>
              <w:rPr>
                <w:sz w:val="17"/>
              </w:rPr>
              <w:t>2026-08-21</w:t>
            </w:r>
          </w:p>
        </w:tc>
        <w:tc>
          <w:tcPr>
            <w:tcW w:type="dxa" w:w="1440"/>
            <w:shd w:fill="FFDCE0" w:val="clear"/>
          </w:tcPr>
          <w:p>
            <w:r>
              <w:rPr>
                <w:sz w:val="17"/>
              </w:rPr>
              <w:t>7,596</w:t>
            </w:r>
          </w:p>
        </w:tc>
        <w:tc>
          <w:tcPr>
            <w:tcW w:type="dxa" w:w="1440"/>
            <w:shd w:fill="FFDCE0" w:val="clear"/>
          </w:tcPr>
          <w:p>
            <w:r>
              <w:rPr>
                <w:b/>
                <w:sz w:val="17"/>
              </w:rPr>
              <w:t>7,888</w:t>
            </w:r>
          </w:p>
        </w:tc>
        <w:tc>
          <w:tcPr>
            <w:tcW w:type="dxa" w:w="1440"/>
            <w:shd w:fill="FFDCE0" w:val="clear"/>
          </w:tcPr>
          <w:p>
            <w:r>
              <w:rPr>
                <w:sz w:val="17"/>
              </w:rPr>
              <w:t>8,181</w:t>
            </w:r>
          </w:p>
        </w:tc>
        <w:tc>
          <w:tcPr>
            <w:tcW w:type="dxa" w:w="1440"/>
            <w:shd w:fill="FFDCE0" w:val="clear"/>
          </w:tcPr>
          <w:p>
            <w:r>
              <w:rPr>
                <w:b/>
                <w:color w:val="C00000"/>
                <w:sz w:val="17"/>
              </w:rPr>
              <w:t>-8.9%</w:t>
            </w:r>
          </w:p>
        </w:tc>
      </w:tr>
      <w:tr>
        <w:tc>
          <w:tcPr>
            <w:tcW w:type="dxa" w:w="1440"/>
            <w:shd w:fill="FFDCE0" w:val="clear"/>
          </w:tcPr>
          <w:p>
            <w:r>
              <w:rPr>
                <w:sz w:val="17"/>
              </w:rPr>
              <w:t>J+8  Moyenne</w:t>
            </w:r>
          </w:p>
        </w:tc>
        <w:tc>
          <w:tcPr>
            <w:tcW w:type="dxa" w:w="1440"/>
            <w:shd w:fill="FFDCE0" w:val="clear"/>
          </w:tcPr>
          <w:p>
            <w:r>
              <w:rPr>
                <w:sz w:val="17"/>
              </w:rPr>
              <w:t>2026-08-24</w:t>
            </w:r>
          </w:p>
        </w:tc>
        <w:tc>
          <w:tcPr>
            <w:tcW w:type="dxa" w:w="1440"/>
            <w:shd w:fill="FFDCE0" w:val="clear"/>
          </w:tcPr>
          <w:p>
            <w:r>
              <w:rPr>
                <w:sz w:val="17"/>
              </w:rPr>
              <w:t>7,507</w:t>
            </w:r>
          </w:p>
        </w:tc>
        <w:tc>
          <w:tcPr>
            <w:tcW w:type="dxa" w:w="1440"/>
            <w:shd w:fill="FFDCE0" w:val="clear"/>
          </w:tcPr>
          <w:p>
            <w:r>
              <w:rPr>
                <w:b/>
                <w:sz w:val="17"/>
              </w:rPr>
              <w:t>7,817</w:t>
            </w:r>
          </w:p>
        </w:tc>
        <w:tc>
          <w:tcPr>
            <w:tcW w:type="dxa" w:w="1440"/>
            <w:shd w:fill="FFDCE0" w:val="clear"/>
          </w:tcPr>
          <w:p>
            <w:r>
              <w:rPr>
                <w:sz w:val="17"/>
              </w:rPr>
              <w:t>8,126</w:t>
            </w:r>
          </w:p>
        </w:tc>
        <w:tc>
          <w:tcPr>
            <w:tcW w:type="dxa" w:w="1440"/>
            <w:shd w:fill="FFDCE0" w:val="clear"/>
          </w:tcPr>
          <w:p>
            <w:r>
              <w:rPr>
                <w:b/>
                <w:color w:val="C00000"/>
                <w:sz w:val="17"/>
              </w:rPr>
              <w:t>-9.7%</w:t>
            </w:r>
          </w:p>
        </w:tc>
      </w:tr>
      <w:tr>
        <w:tc>
          <w:tcPr>
            <w:tcW w:type="dxa" w:w="1440"/>
            <w:shd w:fill="FFDCE0" w:val="clear"/>
          </w:tcPr>
          <w:p>
            <w:r>
              <w:rPr>
                <w:sz w:val="17"/>
              </w:rPr>
              <w:t>J+9  Moyenne</w:t>
            </w:r>
          </w:p>
        </w:tc>
        <w:tc>
          <w:tcPr>
            <w:tcW w:type="dxa" w:w="1440"/>
            <w:shd w:fill="FFDCE0" w:val="clear"/>
          </w:tcPr>
          <w:p>
            <w:r>
              <w:rPr>
                <w:sz w:val="17"/>
              </w:rPr>
              <w:t>2026-08-25</w:t>
            </w:r>
          </w:p>
        </w:tc>
        <w:tc>
          <w:tcPr>
            <w:tcW w:type="dxa" w:w="1440"/>
            <w:shd w:fill="FFDCE0" w:val="clear"/>
          </w:tcPr>
          <w:p>
            <w:r>
              <w:rPr>
                <w:sz w:val="17"/>
              </w:rPr>
              <w:t>7,423</w:t>
            </w:r>
          </w:p>
        </w:tc>
        <w:tc>
          <w:tcPr>
            <w:tcW w:type="dxa" w:w="1440"/>
            <w:shd w:fill="FFDCE0" w:val="clear"/>
          </w:tcPr>
          <w:p>
            <w:r>
              <w:rPr>
                <w:b/>
                <w:sz w:val="17"/>
              </w:rPr>
              <w:t>7,749</w:t>
            </w:r>
          </w:p>
        </w:tc>
        <w:tc>
          <w:tcPr>
            <w:tcW w:type="dxa" w:w="1440"/>
            <w:shd w:fill="FFDCE0" w:val="clear"/>
          </w:tcPr>
          <w:p>
            <w:r>
              <w:rPr>
                <w:sz w:val="17"/>
              </w:rPr>
              <w:t>8,074</w:t>
            </w:r>
          </w:p>
        </w:tc>
        <w:tc>
          <w:tcPr>
            <w:tcW w:type="dxa" w:w="1440"/>
            <w:shd w:fill="FFDCE0" w:val="clear"/>
          </w:tcPr>
          <w:p>
            <w:r>
              <w:rPr>
                <w:b/>
                <w:color w:val="C00000"/>
                <w:sz w:val="17"/>
              </w:rPr>
              <w:t>-10.5%</w:t>
            </w:r>
          </w:p>
        </w:tc>
      </w:tr>
      <w:tr>
        <w:tc>
          <w:tcPr>
            <w:tcW w:type="dxa" w:w="1440"/>
            <w:shd w:fill="FFDCE0" w:val="clear"/>
          </w:tcPr>
          <w:p>
            <w:r>
              <w:rPr>
                <w:sz w:val="17"/>
              </w:rPr>
              <w:t>J+10  Moyenne</w:t>
            </w:r>
          </w:p>
        </w:tc>
        <w:tc>
          <w:tcPr>
            <w:tcW w:type="dxa" w:w="1440"/>
            <w:shd w:fill="FFDCE0" w:val="clear"/>
          </w:tcPr>
          <w:p>
            <w:r>
              <w:rPr>
                <w:sz w:val="17"/>
              </w:rPr>
              <w:t>2026-08-27</w:t>
            </w:r>
          </w:p>
        </w:tc>
        <w:tc>
          <w:tcPr>
            <w:tcW w:type="dxa" w:w="1440"/>
            <w:shd w:fill="FFDCE0" w:val="clear"/>
          </w:tcPr>
          <w:p>
            <w:r>
              <w:rPr>
                <w:sz w:val="17"/>
              </w:rPr>
              <w:t>7,343</w:t>
            </w:r>
          </w:p>
        </w:tc>
        <w:tc>
          <w:tcPr>
            <w:tcW w:type="dxa" w:w="1440"/>
            <w:shd w:fill="FFDCE0" w:val="clear"/>
          </w:tcPr>
          <w:p>
            <w:r>
              <w:rPr>
                <w:b/>
                <w:sz w:val="17"/>
              </w:rPr>
              <w:t>7,683</w:t>
            </w:r>
          </w:p>
        </w:tc>
        <w:tc>
          <w:tcPr>
            <w:tcW w:type="dxa" w:w="1440"/>
            <w:shd w:fill="FFDCE0" w:val="clear"/>
          </w:tcPr>
          <w:p>
            <w:r>
              <w:rPr>
                <w:sz w:val="17"/>
              </w:rPr>
              <w:t>8,023</w:t>
            </w:r>
          </w:p>
        </w:tc>
        <w:tc>
          <w:tcPr>
            <w:tcW w:type="dxa" w:w="1440"/>
            <w:shd w:fill="FFDCE0" w:val="clear"/>
          </w:tcPr>
          <w:p>
            <w:r>
              <w:rPr>
                <w:b/>
                <w:color w:val="C00000"/>
                <w:sz w:val="17"/>
              </w:rPr>
              <w:t>-11.2%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 s'établit à 351,06 milliards FCFA, ce qui en fait l'une des valeurs significatives de la BRVM, reflétant la confiance des investisseurs dans le secteur bancaire béninois. Avec un BPA de 496 FCFA, chaque action génère un bénéfice substantiel, justifiant un PER de 17,5x. Ce niveau est nettement supérieur à la moyenne historique de la BRVM (8-12x), indiquant que les investisseurs paient une prime pour la qualité perçue de l'actif. Le P/B de 2,99x confirme cette prime, le marché valorisant la banque près de trois fois sa valeur comptable, signe d'anticipations de croissance future. Enfin, l'EV/EBITDA de 18,4x, bien qu'exigeant, reste cohérent avec le secteur bancaire où les actifs financiers prédominent et où la capacité opérationnelle est fortement valorisée.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 a enregistré une progression totale de +10,25%, avec une dernière séance stable (0,00%), témoignant d'une tendance globalement haussière malgré une consolidation récente. Le cours a évolué dans une fourchette de 7 295 à 9 420 FCFA, démontrant une amplitude de trading significative de plus de 29%. La moyenne (8 565 FCFA) est inférieure à la médiane (8 715 FCFA), et le skewness négatif (-0,734) indique que les journées au-dessus de la moyenne ont été plus fréquentes, mais avec des baisses plus marquées lors des corrections. L'écart-type de 594 FCFA (CV=6,9%) révèle une dispersion modérée, tandis que le kurtosis de -0,527 (mésokurtique) suggère une distribution proche de la normale, sans risque de pics extrêmes. La volatilité annualisée de 23,0% positionne le titre dans une zone modérée (15-30%), offrant un équilibre entre risque et rendement potentiel.</w:t>
      </w:r>
    </w:p>
    <w:p>
      <w:pPr>
        <w:spacing w:after="120" w:line="276" w:lineRule="auto" w:before="240"/>
      </w:pPr>
      <w:r>
        <w:rPr>
          <w:b/>
          <w:color w:val="003366"/>
          <w:sz w:val="24"/>
        </w:rPr>
        <w:t>**PARTIE 2 : ANALYSE TECHNIQUE DÉTAILLÉE**</w:t>
      </w:r>
    </w:p>
    <w:p>
      <w:pPr>
        <w:spacing w:after="120" w:line="276" w:lineRule="auto"/>
      </w:pPr>
      <w:r>
        <w:t>**Moyennes Mobiles** : Le cours actuel (8 655 FCFA) se situe sous la MM20 (8 668 FCFA) et nettement sous la MM50 (8 798 FCFA), configuration baissière à court et moyen terme. La décision de vente est justifiée par cette position relative, indiquant une pression vendeuse persistante malgré le rebond récent.</w:t>
      </w:r>
    </w:p>
    <w:p>
      <w:pPr>
        <w:spacing w:after="120" w:line="276" w:lineRule="auto"/>
      </w:pPr>
      <w:r>
        <w:t>**Bandes de Bollinger** : Le prix évolue entre la borne inférieure (8 532 FCFA) et la borne supérieure (8 805 FCFA), proche de la moyenne. La décision neutre s'explique par une volatilité modérée et un cours dans la zone médiane, sans signal directionnel fort.</w:t>
      </w:r>
    </w:p>
    <w:p>
      <w:pPr>
        <w:spacing w:after="120" w:line="276" w:lineRule="auto"/>
      </w:pPr>
      <w:r>
        <w:t>**MACD** : La valeur (-47,558) est supérieure au signal (-57,916), avec un histogramme positif, indiquant un momentum haussier en formation. La décision d'achat reflète une possible inversion de tendance après une phase de correction.</w:t>
      </w:r>
    </w:p>
    <w:p>
      <w:pPr>
        <w:spacing w:after="120" w:line="276" w:lineRule="auto"/>
      </w:pPr>
      <w:r>
        <w:t>**RSI** : À 45,361, le RSI se situe en zone neutre (30-70), sans surachat ni survente. La décision neutre est cohérente avec une absence de pression directionnelle claire.</w:t>
      </w:r>
    </w:p>
    <w:p>
      <w:pPr>
        <w:spacing w:after="120" w:line="276" w:lineRule="auto"/>
      </w:pPr>
      <w:r>
        <w:t>**Stochastique** : %K (67,5) et %D (66,667) sont proches et élevés, suggérant une dynamique haussière modérée. La décision neutre s'explique par l'absence de croisement décisif, bien que la configuration reste légèrement positive.</w:t>
      </w:r>
    </w:p>
    <w:p>
      <w:pPr>
        <w:spacing w:after="120" w:line="276" w:lineRule="auto"/>
      </w:pPr>
      <w:r>
        <w:t>**Conclusion technique** : Les signaux sont mitigés, avec une prédominance baissière à court terme (MM) mais des indicateurs de momentum (MACD, Stochastique) en amélioration. La configuration suggère une phase de consolidation après une hausse, avec un potentiel de reprise si le cours dépasse la MM20. La prudence reste de mise, car la tendance générale n'est pas clairement établie.</w:t>
      </w:r>
    </w:p>
    <w:p>
      <w:pPr>
        <w:spacing w:after="120" w:line="276" w:lineRule="auto" w:before="240"/>
      </w:pPr>
      <w:r>
        <w:rPr>
          <w:b/>
          <w:color w:val="003366"/>
          <w:sz w:val="24"/>
        </w:rPr>
        <w:t>**PARTIE 3 : ANALYSE FONDAMENTALE (SECTION CRITIQUE)**</w:t>
      </w:r>
    </w:p>
    <w:p>
      <w:pPr>
        <w:spacing w:after="120" w:line="276" w:lineRule="auto"/>
      </w:pPr>
      <w:r>
        <w:t>En 2025, BOAB affiche un Produit Net Bancaire (PNB) de 51,274 milliards FCFA, en croissance de 10,2%, avec un résultat net de 20,107 milliards FCFA, démontrant une rentabilité solide. Le ROE de 17,11% et le ROA de 2,08% sont excellents, tandis que le coefficient d'exploitation de 49,53% indique une efficacité opérationnelle remarquable (inférieur à 50%). Le coût du risque de 22,5% reste élevé, signalant une dégradation de la qualité du portefeuille de crédits, mais les provisions de 4,686 milliards FCFA montrent une gestion prudente. Les dépôts clients (711,642 milliards FCFA) dépassent largement les créances (391,724 milliards FCFA), assurant une transformation saine. Sur la base du rapport T3 2025 (PNB +9%, résultat net +13%), on estime que l'exercice 2025 devrait confirmer cette dynamique, avec un PNB annuel potentiel de 49-52 milliards FCFA et un résultat net de 19-21 milliards FCFA. Le rapport T1 2026 (PNB +11% à 12,329 milliards FCFA) suggère une poursuite de la croissance, malgré une contraction des crédits (-10%) et des dépôts (-5%), compensée par une amélioration des marges et des commissions (+18,9%). La banque privilégie la rentabilité à la croissance volumique, une stratégie payante à court terme mais risquée si la contraction du bilan se prolonge.</w:t>
      </w:r>
    </w:p>
    <w:p>
      <w:pPr>
        <w:spacing w:after="120" w:line="276" w:lineRule="auto" w:before="240"/>
      </w:pPr>
      <w:r>
        <w:rPr>
          <w:b/>
          <w:color w:val="003366"/>
          <w:sz w:val="24"/>
        </w:rPr>
        <w:t>**PARTIE 4 : CONCLUSION D'INVESTISSEMENT**</w:t>
      </w:r>
    </w:p>
    <w:p>
      <w:pPr>
        <w:spacing w:after="120" w:line="276" w:lineRule="auto"/>
      </w:pPr>
      <w:r>
        <w:t>La valorisation de BOAB (PER 17,5x, P/B 2,99x, EV/EBITDA 18,4x) est exigeante, mais justifiée par une rentabilité supérieure (ROE 17,1%) et une croissance soutenue du PNB (+10,2%). Le comportement du cours (+10,25% sur 100 jours) avec une volatilité modérée (23%) et une distribution normale (kurtosis -0,527) offre un profil de risque acceptable, bien que le skewness négatif indique des baisses plus prononcées. Les signaux techniques sont mitigés, avec des MM baissières mais un MACD et un Stochastique en amélioration, suggérant une possible reprise. Les fondamentaux restent solides, avec une banque efficace (coefficient d'exploitation 49,5%) et une croissance estimée pour 2026 (PNB +11% au T1 2026). Cependant, les prédictions IA (8 044 FCFA à J+10) anticipent une baisse de 7%, contredisant les signaux de momentum. Cette divergence suggère une correction à court terme avant une stabilisation. La recommandation est **CONSERVER** avec un niveau de confiance **Moyen**, un risque global **Moyen**, et un horizon d'investissement optimal à **moyen terme (3-12 mois)**, en attendant une clarification de la tendance technique et une confirmation de la croissance fondamentale.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312.40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5,893 titres</w:t>
            </w:r>
          </w:p>
        </w:tc>
        <w:tc>
          <w:tcPr>
            <w:tcW w:type="dxa" w:w="2268"/>
            <w:shd w:fill="FFF2CC" w:val="clear"/>
          </w:tcPr>
          <w:p>
            <w:r>
              <w:rPr>
                <w:b/>
                <w:color w:val="503200"/>
                <w:sz w:val="16"/>
              </w:rPr>
              <w:t xml:space="preserve">Cours actuel : </w:t>
            </w:r>
            <w:r>
              <w:rPr>
                <w:color w:val="000000"/>
                <w:sz w:val="17"/>
              </w:rPr>
              <w:t>7,100 FCFA</w:t>
            </w:r>
          </w:p>
          <w:p>
            <w:r>
              <w:rPr>
                <w:b/>
                <w:color w:val="503200"/>
                <w:sz w:val="16"/>
              </w:rPr>
              <w:t xml:space="preserve">Var. 100 jours : </w:t>
            </w:r>
            <w:r>
              <w:rPr>
                <w:b/>
                <w:color w:val="007800"/>
                <w:sz w:val="17"/>
              </w:rPr>
              <w:t>+34.22%</w:t>
            </w:r>
          </w:p>
          <w:p>
            <w:r>
              <w:rPr>
                <w:b/>
                <w:color w:val="503200"/>
                <w:sz w:val="16"/>
              </w:rPr>
              <w:t xml:space="preserve">Plus haut 100j : </w:t>
            </w:r>
            <w:r>
              <w:rPr>
                <w:color w:val="000000"/>
                <w:sz w:val="17"/>
              </w:rPr>
              <w:t>7,350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28.5%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11.13% (Moyenne) — μ=5,890 FCFA, σ=656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β=0.2402 (Défensif) — Cov=0.000009, Var(idx)=0.000036, ρ=0.080,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5,893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3244"/>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324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2026-08-13</w:t>
            </w:r>
          </w:p>
        </w:tc>
        <w:tc>
          <w:tcPr>
            <w:tcW w:type="dxa" w:w="1440"/>
            <w:shd w:fill="FAFAFA" w:val="clear"/>
          </w:tcPr>
          <w:p>
            <w:r>
              <w:rPr>
                <w:sz w:val="17"/>
              </w:rPr>
              <w:t>6,730</w:t>
            </w:r>
          </w:p>
        </w:tc>
        <w:tc>
          <w:tcPr>
            <w:tcW w:type="dxa" w:w="1440"/>
            <w:shd w:fill="FAFAFA" w:val="clear"/>
          </w:tcPr>
          <w:p>
            <w:r>
              <w:rPr>
                <w:b/>
                <w:sz w:val="17"/>
              </w:rPr>
              <w:t>7,007</w:t>
            </w:r>
          </w:p>
        </w:tc>
        <w:tc>
          <w:tcPr>
            <w:tcW w:type="dxa" w:w="1440"/>
            <w:shd w:fill="FAFAFA" w:val="clear"/>
          </w:tcPr>
          <w:p>
            <w:r>
              <w:rPr>
                <w:sz w:val="17"/>
              </w:rPr>
              <w:t>7,283</w:t>
            </w:r>
          </w:p>
        </w:tc>
        <w:tc>
          <w:tcPr>
            <w:tcW w:type="dxa" w:w="1440"/>
            <w:shd w:fill="FAFAFA" w:val="clear"/>
          </w:tcPr>
          <w:p>
            <w:r>
              <w:rPr>
                <w:b/>
                <w:color w:val="C00000"/>
                <w:sz w:val="17"/>
              </w:rPr>
              <w:t>-1.3%</w:t>
            </w:r>
          </w:p>
        </w:tc>
      </w:tr>
      <w:tr>
        <w:tc>
          <w:tcPr>
            <w:tcW w:type="dxa" w:w="1440"/>
            <w:shd w:fill="FFDCE0" w:val="clear"/>
          </w:tcPr>
          <w:p>
            <w:r>
              <w:rPr>
                <w:sz w:val="17"/>
              </w:rPr>
              <w:t>J+2  Moyenne</w:t>
            </w:r>
          </w:p>
        </w:tc>
        <w:tc>
          <w:tcPr>
            <w:tcW w:type="dxa" w:w="1440"/>
            <w:shd w:fill="FFDCE0" w:val="clear"/>
          </w:tcPr>
          <w:p>
            <w:r>
              <w:rPr>
                <w:sz w:val="17"/>
              </w:rPr>
              <w:t>2026-08-14</w:t>
            </w:r>
          </w:p>
        </w:tc>
        <w:tc>
          <w:tcPr>
            <w:tcW w:type="dxa" w:w="1440"/>
            <w:shd w:fill="FFDCE0" w:val="clear"/>
          </w:tcPr>
          <w:p>
            <w:r>
              <w:rPr>
                <w:sz w:val="17"/>
              </w:rPr>
              <w:t>6,532</w:t>
            </w:r>
          </w:p>
        </w:tc>
        <w:tc>
          <w:tcPr>
            <w:tcW w:type="dxa" w:w="1440"/>
            <w:shd w:fill="FFDCE0" w:val="clear"/>
          </w:tcPr>
          <w:p>
            <w:r>
              <w:rPr>
                <w:b/>
                <w:sz w:val="17"/>
              </w:rPr>
              <w:t>6,918</w:t>
            </w:r>
          </w:p>
        </w:tc>
        <w:tc>
          <w:tcPr>
            <w:tcW w:type="dxa" w:w="1440"/>
            <w:shd w:fill="FFDCE0" w:val="clear"/>
          </w:tcPr>
          <w:p>
            <w:r>
              <w:rPr>
                <w:sz w:val="17"/>
              </w:rPr>
              <w:t>7,304</w:t>
            </w:r>
          </w:p>
        </w:tc>
        <w:tc>
          <w:tcPr>
            <w:tcW w:type="dxa" w:w="1440"/>
            <w:shd w:fill="FFDCE0" w:val="clear"/>
          </w:tcPr>
          <w:p>
            <w:r>
              <w:rPr>
                <w:b/>
                <w:color w:val="C00000"/>
                <w:sz w:val="17"/>
              </w:rPr>
              <w:t>-2.6%</w:t>
            </w:r>
          </w:p>
        </w:tc>
      </w:tr>
      <w:tr>
        <w:tc>
          <w:tcPr>
            <w:tcW w:type="dxa" w:w="1440"/>
            <w:shd w:fill="FFDCE0" w:val="clear"/>
          </w:tcPr>
          <w:p>
            <w:r>
              <w:rPr>
                <w:sz w:val="17"/>
              </w:rPr>
              <w:t>J+3  Moyenne</w:t>
            </w:r>
          </w:p>
        </w:tc>
        <w:tc>
          <w:tcPr>
            <w:tcW w:type="dxa" w:w="1440"/>
            <w:shd w:fill="FFDCE0" w:val="clear"/>
          </w:tcPr>
          <w:p>
            <w:r>
              <w:rPr>
                <w:sz w:val="17"/>
              </w:rPr>
              <w:t>2026-08-17</w:t>
            </w:r>
          </w:p>
        </w:tc>
        <w:tc>
          <w:tcPr>
            <w:tcW w:type="dxa" w:w="1440"/>
            <w:shd w:fill="FFDCE0" w:val="clear"/>
          </w:tcPr>
          <w:p>
            <w:r>
              <w:rPr>
                <w:sz w:val="17"/>
              </w:rPr>
              <w:t>6,382</w:t>
            </w:r>
          </w:p>
        </w:tc>
        <w:tc>
          <w:tcPr>
            <w:tcW w:type="dxa" w:w="1440"/>
            <w:shd w:fill="FFDCE0" w:val="clear"/>
          </w:tcPr>
          <w:p>
            <w:r>
              <w:rPr>
                <w:b/>
                <w:sz w:val="17"/>
              </w:rPr>
              <w:t>6,850</w:t>
            </w:r>
          </w:p>
        </w:tc>
        <w:tc>
          <w:tcPr>
            <w:tcW w:type="dxa" w:w="1440"/>
            <w:shd w:fill="FFDCE0" w:val="clear"/>
          </w:tcPr>
          <w:p>
            <w:r>
              <w:rPr>
                <w:sz w:val="17"/>
              </w:rPr>
              <w:t>7,317</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2026-08-18</w:t>
            </w:r>
          </w:p>
        </w:tc>
        <w:tc>
          <w:tcPr>
            <w:tcW w:type="dxa" w:w="1440"/>
            <w:shd w:fill="FFDCE0" w:val="clear"/>
          </w:tcPr>
          <w:p>
            <w:r>
              <w:rPr>
                <w:sz w:val="17"/>
              </w:rPr>
              <w:t>6,254</w:t>
            </w:r>
          </w:p>
        </w:tc>
        <w:tc>
          <w:tcPr>
            <w:tcW w:type="dxa" w:w="1440"/>
            <w:shd w:fill="FFDCE0" w:val="clear"/>
          </w:tcPr>
          <w:p>
            <w:r>
              <w:rPr>
                <w:b/>
                <w:sz w:val="17"/>
              </w:rPr>
              <w:t>6,789</w:t>
            </w:r>
          </w:p>
        </w:tc>
        <w:tc>
          <w:tcPr>
            <w:tcW w:type="dxa" w:w="1440"/>
            <w:shd w:fill="FFDCE0" w:val="clear"/>
          </w:tcPr>
          <w:p>
            <w:r>
              <w:rPr>
                <w:sz w:val="17"/>
              </w:rPr>
              <w:t>7,324</w:t>
            </w:r>
          </w:p>
        </w:tc>
        <w:tc>
          <w:tcPr>
            <w:tcW w:type="dxa" w:w="1440"/>
            <w:shd w:fill="FFDCE0" w:val="clear"/>
          </w:tcPr>
          <w:p>
            <w:r>
              <w:rPr>
                <w:b/>
                <w:color w:val="C00000"/>
                <w:sz w:val="17"/>
              </w:rPr>
              <w:t>-4.4%</w:t>
            </w:r>
          </w:p>
        </w:tc>
      </w:tr>
      <w:tr>
        <w:tc>
          <w:tcPr>
            <w:tcW w:type="dxa" w:w="1440"/>
            <w:shd w:fill="FFDCE0" w:val="clear"/>
          </w:tcPr>
          <w:p>
            <w:r>
              <w:rPr>
                <w:sz w:val="17"/>
              </w:rPr>
              <w:t>J+5  ⭐</w:t>
            </w:r>
          </w:p>
        </w:tc>
        <w:tc>
          <w:tcPr>
            <w:tcW w:type="dxa" w:w="1440"/>
            <w:shd w:fill="FFDCE0" w:val="clear"/>
          </w:tcPr>
          <w:p>
            <w:r>
              <w:rPr>
                <w:sz w:val="17"/>
              </w:rPr>
              <w:t>2026-08-19</w:t>
            </w:r>
          </w:p>
        </w:tc>
        <w:tc>
          <w:tcPr>
            <w:tcW w:type="dxa" w:w="1440"/>
            <w:shd w:fill="FFDCE0" w:val="clear"/>
          </w:tcPr>
          <w:p>
            <w:r>
              <w:rPr>
                <w:sz w:val="17"/>
              </w:rPr>
              <w:t>6,139</w:t>
            </w:r>
          </w:p>
        </w:tc>
        <w:tc>
          <w:tcPr>
            <w:tcW w:type="dxa" w:w="1440"/>
            <w:shd w:fill="FFDCE0" w:val="clear"/>
          </w:tcPr>
          <w:p>
            <w:r>
              <w:rPr>
                <w:b/>
                <w:sz w:val="17"/>
              </w:rPr>
              <w:t>6,733</w:t>
            </w:r>
          </w:p>
        </w:tc>
        <w:tc>
          <w:tcPr>
            <w:tcW w:type="dxa" w:w="1440"/>
            <w:shd w:fill="FFDCE0" w:val="clear"/>
          </w:tcPr>
          <w:p>
            <w:r>
              <w:rPr>
                <w:sz w:val="17"/>
              </w:rPr>
              <w:t>7,326</w:t>
            </w:r>
          </w:p>
        </w:tc>
        <w:tc>
          <w:tcPr>
            <w:tcW w:type="dxa" w:w="1440"/>
            <w:shd w:fill="FFDCE0" w:val="clear"/>
          </w:tcPr>
          <w:p>
            <w:r>
              <w:rPr>
                <w:b/>
                <w:color w:val="C00000"/>
                <w:sz w:val="17"/>
              </w:rPr>
              <w:t>-5.2%</w:t>
            </w:r>
          </w:p>
        </w:tc>
      </w:tr>
      <w:tr>
        <w:tc>
          <w:tcPr>
            <w:tcW w:type="dxa" w:w="1440"/>
            <w:shd w:fill="FFDCE0" w:val="clear"/>
          </w:tcPr>
          <w:p>
            <w:r>
              <w:rPr>
                <w:sz w:val="17"/>
              </w:rPr>
              <w:t>J+6  ⭐</w:t>
            </w:r>
          </w:p>
        </w:tc>
        <w:tc>
          <w:tcPr>
            <w:tcW w:type="dxa" w:w="1440"/>
            <w:shd w:fill="FFDCE0" w:val="clear"/>
          </w:tcPr>
          <w:p>
            <w:r>
              <w:rPr>
                <w:sz w:val="17"/>
              </w:rPr>
              <w:t>2026-08-20</w:t>
            </w:r>
          </w:p>
        </w:tc>
        <w:tc>
          <w:tcPr>
            <w:tcW w:type="dxa" w:w="1440"/>
            <w:shd w:fill="FFDCE0" w:val="clear"/>
          </w:tcPr>
          <w:p>
            <w:r>
              <w:rPr>
                <w:sz w:val="17"/>
              </w:rPr>
              <w:t>6,034</w:t>
            </w:r>
          </w:p>
        </w:tc>
        <w:tc>
          <w:tcPr>
            <w:tcW w:type="dxa" w:w="1440"/>
            <w:shd w:fill="FFDCE0" w:val="clear"/>
          </w:tcPr>
          <w:p>
            <w:r>
              <w:rPr>
                <w:b/>
                <w:sz w:val="17"/>
              </w:rPr>
              <w:t>6,678</w:t>
            </w:r>
          </w:p>
        </w:tc>
        <w:tc>
          <w:tcPr>
            <w:tcW w:type="dxa" w:w="1440"/>
            <w:shd w:fill="FFDCE0" w:val="clear"/>
          </w:tcPr>
          <w:p>
            <w:r>
              <w:rPr>
                <w:sz w:val="17"/>
              </w:rPr>
              <w:t>7,323</w:t>
            </w:r>
          </w:p>
        </w:tc>
        <w:tc>
          <w:tcPr>
            <w:tcW w:type="dxa" w:w="1440"/>
            <w:shd w:fill="FFDCE0" w:val="clear"/>
          </w:tcPr>
          <w:p>
            <w:r>
              <w:rPr>
                <w:b/>
                <w:color w:val="C00000"/>
                <w:sz w:val="17"/>
              </w:rPr>
              <w:t>-5.9%</w:t>
            </w:r>
          </w:p>
        </w:tc>
      </w:tr>
      <w:tr>
        <w:tc>
          <w:tcPr>
            <w:tcW w:type="dxa" w:w="1440"/>
            <w:shd w:fill="FFDCE0" w:val="clear"/>
          </w:tcPr>
          <w:p>
            <w:r>
              <w:rPr>
                <w:sz w:val="17"/>
              </w:rPr>
              <w:t>J+7  ⭐</w:t>
            </w:r>
          </w:p>
        </w:tc>
        <w:tc>
          <w:tcPr>
            <w:tcW w:type="dxa" w:w="1440"/>
            <w:shd w:fill="FFDCE0" w:val="clear"/>
          </w:tcPr>
          <w:p>
            <w:r>
              <w:rPr>
                <w:sz w:val="17"/>
              </w:rPr>
              <w:t>2026-08-21</w:t>
            </w:r>
          </w:p>
        </w:tc>
        <w:tc>
          <w:tcPr>
            <w:tcW w:type="dxa" w:w="1440"/>
            <w:shd w:fill="FFDCE0" w:val="clear"/>
          </w:tcPr>
          <w:p>
            <w:r>
              <w:rPr>
                <w:sz w:val="17"/>
              </w:rPr>
              <w:t>5,935</w:t>
            </w:r>
          </w:p>
        </w:tc>
        <w:tc>
          <w:tcPr>
            <w:tcW w:type="dxa" w:w="1440"/>
            <w:shd w:fill="FFDCE0" w:val="clear"/>
          </w:tcPr>
          <w:p>
            <w:r>
              <w:rPr>
                <w:b/>
                <w:sz w:val="17"/>
              </w:rPr>
              <w:t>6,626</w:t>
            </w:r>
          </w:p>
        </w:tc>
        <w:tc>
          <w:tcPr>
            <w:tcW w:type="dxa" w:w="1440"/>
            <w:shd w:fill="FFDCE0" w:val="clear"/>
          </w:tcPr>
          <w:p>
            <w:r>
              <w:rPr>
                <w:sz w:val="17"/>
              </w:rPr>
              <w:t>7,317</w:t>
            </w:r>
          </w:p>
        </w:tc>
        <w:tc>
          <w:tcPr>
            <w:tcW w:type="dxa" w:w="1440"/>
            <w:shd w:fill="FFDCE0" w:val="clear"/>
          </w:tcPr>
          <w:p>
            <w:r>
              <w:rPr>
                <w:b/>
                <w:color w:val="C00000"/>
                <w:sz w:val="17"/>
              </w:rPr>
              <w:t>-6.7%</w:t>
            </w:r>
          </w:p>
        </w:tc>
      </w:tr>
      <w:tr>
        <w:tc>
          <w:tcPr>
            <w:tcW w:type="dxa" w:w="1440"/>
            <w:shd w:fill="FFDCE0" w:val="clear"/>
          </w:tcPr>
          <w:p>
            <w:r>
              <w:rPr>
                <w:sz w:val="17"/>
              </w:rPr>
              <w:t>J+8  ⭐</w:t>
            </w:r>
          </w:p>
        </w:tc>
        <w:tc>
          <w:tcPr>
            <w:tcW w:type="dxa" w:w="1440"/>
            <w:shd w:fill="FFDCE0" w:val="clear"/>
          </w:tcPr>
          <w:p>
            <w:r>
              <w:rPr>
                <w:sz w:val="17"/>
              </w:rPr>
              <w:t>2026-08-24</w:t>
            </w:r>
          </w:p>
        </w:tc>
        <w:tc>
          <w:tcPr>
            <w:tcW w:type="dxa" w:w="1440"/>
            <w:shd w:fill="FFDCE0" w:val="clear"/>
          </w:tcPr>
          <w:p>
            <w:r>
              <w:rPr>
                <w:sz w:val="17"/>
              </w:rPr>
              <w:t>5,842</w:t>
            </w:r>
          </w:p>
        </w:tc>
        <w:tc>
          <w:tcPr>
            <w:tcW w:type="dxa" w:w="1440"/>
            <w:shd w:fill="FFDCE0" w:val="clear"/>
          </w:tcPr>
          <w:p>
            <w:r>
              <w:rPr>
                <w:b/>
                <w:sz w:val="17"/>
              </w:rPr>
              <w:t>6,575</w:t>
            </w:r>
          </w:p>
        </w:tc>
        <w:tc>
          <w:tcPr>
            <w:tcW w:type="dxa" w:w="1440"/>
            <w:shd w:fill="FFDCE0" w:val="clear"/>
          </w:tcPr>
          <w:p>
            <w:r>
              <w:rPr>
                <w:sz w:val="17"/>
              </w:rPr>
              <w:t>7,308</w:t>
            </w:r>
          </w:p>
        </w:tc>
        <w:tc>
          <w:tcPr>
            <w:tcW w:type="dxa" w:w="1440"/>
            <w:shd w:fill="FFDCE0" w:val="clear"/>
          </w:tcPr>
          <w:p>
            <w:r>
              <w:rPr>
                <w:b/>
                <w:color w:val="C00000"/>
                <w:sz w:val="17"/>
              </w:rPr>
              <w:t>-7.4%</w:t>
            </w:r>
          </w:p>
        </w:tc>
      </w:tr>
      <w:tr>
        <w:tc>
          <w:tcPr>
            <w:tcW w:type="dxa" w:w="1440"/>
            <w:shd w:fill="FFDCE0" w:val="clear"/>
          </w:tcPr>
          <w:p>
            <w:r>
              <w:rPr>
                <w:sz w:val="17"/>
              </w:rPr>
              <w:t>J+9  ⭐</w:t>
            </w:r>
          </w:p>
        </w:tc>
        <w:tc>
          <w:tcPr>
            <w:tcW w:type="dxa" w:w="1440"/>
            <w:shd w:fill="FFDCE0" w:val="clear"/>
          </w:tcPr>
          <w:p>
            <w:r>
              <w:rPr>
                <w:sz w:val="17"/>
              </w:rPr>
              <w:t>2026-08-25</w:t>
            </w:r>
          </w:p>
        </w:tc>
        <w:tc>
          <w:tcPr>
            <w:tcW w:type="dxa" w:w="1440"/>
            <w:shd w:fill="FFDCE0" w:val="clear"/>
          </w:tcPr>
          <w:p>
            <w:r>
              <w:rPr>
                <w:sz w:val="17"/>
              </w:rPr>
              <w:t>5,755</w:t>
            </w:r>
          </w:p>
        </w:tc>
        <w:tc>
          <w:tcPr>
            <w:tcW w:type="dxa" w:w="1440"/>
            <w:shd w:fill="FFDCE0" w:val="clear"/>
          </w:tcPr>
          <w:p>
            <w:r>
              <w:rPr>
                <w:b/>
                <w:sz w:val="17"/>
              </w:rPr>
              <w:t>6,526</w:t>
            </w:r>
          </w:p>
        </w:tc>
        <w:tc>
          <w:tcPr>
            <w:tcW w:type="dxa" w:w="1440"/>
            <w:shd w:fill="FFDCE0" w:val="clear"/>
          </w:tcPr>
          <w:p>
            <w:r>
              <w:rPr>
                <w:sz w:val="17"/>
              </w:rPr>
              <w:t>7,298</w:t>
            </w:r>
          </w:p>
        </w:tc>
        <w:tc>
          <w:tcPr>
            <w:tcW w:type="dxa" w:w="1440"/>
            <w:shd w:fill="FFDCE0" w:val="clear"/>
          </w:tcPr>
          <w:p>
            <w:r>
              <w:rPr>
                <w:b/>
                <w:color w:val="C00000"/>
                <w:sz w:val="17"/>
              </w:rPr>
              <w:t>-8.1%</w:t>
            </w:r>
          </w:p>
        </w:tc>
      </w:tr>
      <w:tr>
        <w:tc>
          <w:tcPr>
            <w:tcW w:type="dxa" w:w="1440"/>
            <w:shd w:fill="FFDCE0" w:val="clear"/>
          </w:tcPr>
          <w:p>
            <w:r>
              <w:rPr>
                <w:sz w:val="17"/>
              </w:rPr>
              <w:t>J+10  ⭐</w:t>
            </w:r>
          </w:p>
        </w:tc>
        <w:tc>
          <w:tcPr>
            <w:tcW w:type="dxa" w:w="1440"/>
            <w:shd w:fill="FFDCE0" w:val="clear"/>
          </w:tcPr>
          <w:p>
            <w:r>
              <w:rPr>
                <w:sz w:val="17"/>
              </w:rPr>
              <w:t>2026-08-27</w:t>
            </w:r>
          </w:p>
        </w:tc>
        <w:tc>
          <w:tcPr>
            <w:tcW w:type="dxa" w:w="1440"/>
            <w:shd w:fill="FFDCE0" w:val="clear"/>
          </w:tcPr>
          <w:p>
            <w:r>
              <w:rPr>
                <w:sz w:val="17"/>
              </w:rPr>
              <w:t>5,672</w:t>
            </w:r>
          </w:p>
        </w:tc>
        <w:tc>
          <w:tcPr>
            <w:tcW w:type="dxa" w:w="1440"/>
            <w:shd w:fill="FFDCE0" w:val="clear"/>
          </w:tcPr>
          <w:p>
            <w:r>
              <w:rPr>
                <w:b/>
                <w:sz w:val="17"/>
              </w:rPr>
              <w:t>6,479</w:t>
            </w:r>
          </w:p>
        </w:tc>
        <w:tc>
          <w:tcPr>
            <w:tcW w:type="dxa" w:w="1440"/>
            <w:shd w:fill="FFDCE0" w:val="clear"/>
          </w:tcPr>
          <w:p>
            <w:r>
              <w:rPr>
                <w:sz w:val="17"/>
              </w:rPr>
              <w:t>7,287</w:t>
            </w:r>
          </w:p>
        </w:tc>
        <w:tc>
          <w:tcPr>
            <w:tcW w:type="dxa" w:w="1440"/>
            <w:shd w:fill="FFDCE0" w:val="clear"/>
          </w:tcPr>
          <w:p>
            <w:r>
              <w:rPr>
                <w:b/>
                <w:color w:val="C00000"/>
                <w:sz w:val="17"/>
              </w:rPr>
              <w:t>-8.7%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 BURKINA FASO (BOABF)**</w:t>
        <w:br/>
        <w:t>**Date de l'analyse : 12 août 2026**</w:t>
        <w:br/>
        <w:t>**Cours de référence : 7 100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312,40 milliards FCFA, BOABF s'impose comme l'une des valeurs les plus significatives de la cote BRVM, reflétant la confiance des investisseurs dans le secteur bancaire de l'UEMOA. Le BPA de 438 FCFA indique que chaque action génère un bénéfice substantiel, justifiant un PER de 16,2x. Ce ratio est nettement supérieur à la moyenne historique de la BRVM (8-12x), signifiant que les investisseurs paient une prime pour la croissance et la solidité perçues de la banque. Le P/B de 2,47x confirme cette prime, le marché valorisant la société à près de 2,5 fois sa valeur comptable, ce qui est typique pour une banque avec un ROE supérieur à 15%. Enfin, un EV/EBITDA de 6,8x reste dans une zone raisonnable (5-10x), indiquant que la valeur totale de l'entreprise reste cohérente avec sa capacité à générer du résultat opérationnel.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BOABF a affiché une performance remarquable de +34,22%, passant d'un plus bas de 5 235 FCFA à un plus haut de 7 350 FCFA, avant de clôturer à 7 100 FCFA. La légère correction de -3,40% sur la dernière séance suggère une prise de bénéfices après cette forte progression. La moyenne du cours sur la période (5 890 FCFA) est nettement inférieure à la médiane (5 595 FCFA), et le skewness positif de 1,272 indique une distribution asymétrique avec des jours de forte hausse tirant la moyenne vers le haut. L'écart-type de 659 FCFA (CV=11,2%) montre une dispersion modérée, tandis que le kurtosis proche de zéro (-0,045) suggère une distribution normale sans risque de mouvements extrêmes. La volatilité annualisée de 28,5% classe le titre dans la catégorie "élevée" (&gt;30% étant le seuil), ce qui implique un risque de fluctuation significatif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(7 100 FCFA) se positionne au-dessus de la MM20 (7 144 FCFA) mais légèrement en dessous, et nettement au-dessus de la MM50 (6 285,5 FCFA). Cette configuration haussière, où le prix évolue au-dessus de la moyenne à long terme, confirme la tendance positive. La décision "Achat" est justifiée par la dynamique de fond, malgré la consolidation récente.</w:t>
      </w:r>
    </w:p>
    <w:p>
      <w:pPr>
        <w:spacing w:after="120" w:line="276" w:lineRule="auto"/>
      </w:pPr>
      <w:r>
        <w:t>**Bandes de Bollinger :** Le prix se situe à 7 100 FCFA, entre la borne inférieure (6 884 FCFA) et la borne supérieure (7 404 FCFA), proche du milieu du canal. La décision "Neutre" est cohérente avec une volatilité modérée, le cours n'étant pas en situation de surachat ou de survente extrême.</w:t>
      </w:r>
    </w:p>
    <w:p>
      <w:pPr>
        <w:spacing w:after="120" w:line="276" w:lineRule="auto"/>
      </w:pPr>
      <w:r>
        <w:t>**MACD :** La valeur du MACD (271,025) est inférieure à son signal (311,443), indiquant un momentum baissier à court terme. Cette divergence négative suggère un essoufflement de la tendance haussière, justifiant la décision "Vente" pour les traders à court terme.</w:t>
      </w:r>
    </w:p>
    <w:p>
      <w:pPr>
        <w:spacing w:after="120" w:line="276" w:lineRule="auto"/>
      </w:pPr>
      <w:r>
        <w:t>**RSI :** À 45,41, le RSI se situe en zone neutre (30-70), sans signal de surachat ni de survente. Cette valeur reflète un équilibre entre acheteurs et vendeurs, justifiant la décision "Neutre".</w:t>
      </w:r>
    </w:p>
    <w:p>
      <w:pPr>
        <w:spacing w:after="120" w:line="276" w:lineRule="auto"/>
      </w:pPr>
      <w:r>
        <w:t>**Stochastique :** Le %K (44,44) est inférieur au %D (81,48), indiquant un croisement baissier potentiel. Cette configuration suggère un affaiblissement de la pression acheteuse, mais la décision reste "Neutre" car les valeurs ne sont pas en zone extrême.</w:t>
      </w:r>
    </w:p>
    <w:p>
      <w:pPr>
        <w:spacing w:after="120" w:line="276" w:lineRule="auto"/>
      </w:pPr>
      <w:r>
        <w:t>**Conclusion technique :** Les indicateurs sont mitigés : la tendance de fond reste haussière (MM), mais les oscillateurs (MACD, Stochastique) montrent un essoufflement à court terme. Le RSI neutre et les bandes de Bollinger stables indiquent une phase de consolidation. Un trader prudent attendra un signal de reprise du MACD ou un test réussi de la MM20 pour renforcer ses positions.</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BOABF révèlent une banque à la structure solide mais confrontée à des défis majeurs. Le Produit Net Bancaire (PNB) s'établit à 57,82 milliards FCFA, avec un résultat net de 19,25 milliards FCFA, soit une marge nette de 33,3%. Le ROE de 15,22% est excellent, démontrant une bonne rentabilité des capitaux propres, tandis que le ROA de 1,68% est acceptable pour le secteur. Le coefficient d'exploitation de 47,19% est excellent (&lt;50%), indiquant une gestion rigoureuse des charges. Cependant, le coût du risque de 33,92% est préoccupant, signalant une dégradation de la qualité du portefeuille de crédits. Les rapports trimestriels de 2025 confirment cette tendance : le T1 2025 (PNB +2,3%, RN -16,6%) et le S1 2025 (PNB +1,4%, RN -46,5%) montrent une stagnation de l'activité et un effondrement de la rentabilité dû à une explosion des provisions (+1336%). Le rapport du T3 2025 (PNB +0,85%, RN -27,7%) confirme la pression persistante du coût du risque. Enfin, le rapport du T1 2026 (PNB -10,75%, RN -12,99%) indique une contraction de l'activité, malgré une croissance des dépôts de 6,3%. On estime que l'exercice 2026 pourrait voir un PNB en légère baisse et un résultat net sous pression, à moins d'un assainissement rapide du portefeuille de crédits.</w:t>
      </w:r>
    </w:p>
    <w:p>
      <w:pPr>
        <w:spacing w:after="120" w:line="276" w:lineRule="auto"/>
      </w:pPr>
      <w:r>
        <w:t>---</w:t>
      </w:r>
    </w:p>
    <w:p>
      <w:pPr>
        <w:spacing w:after="120" w:line="276" w:lineRule="auto"/>
      </w:pPr>
      <w:r>
        <w:t>### PARTIE 4 : CONCLUSION D'INVESTISSEMENT</w:t>
      </w:r>
    </w:p>
    <w:p>
      <w:pPr>
        <w:spacing w:after="120" w:line="276" w:lineRule="auto"/>
      </w:pPr>
      <w:r>
        <w:t>La valorisation de BOABF (PER 16,2x, P/B 2,47x) est exigeante, intégrant une prime de croissance qui contraste avec la stagnation du PNB et la chute du résultat net observée depuis 2025. Le comportement du cours (+34,22% sur 100 jours) a été très positif, mais la volatilité élevée (28,5%) et les statistiques (skewness positif) suggèrent un risque de correction. Les signaux techniques sont divergents : la tendance de fond reste haussière (MM), mais les indicateurs de momentum (MACD, Stochastique) signalent un essoufflement. Les fondamentaux sont solides (ROE &gt;15%, coefficient d'exploitation &lt;50%) mais le coût du risque élevé et la baisse du T1 2026 sont des points de vigilance majeurs. Les prédictions IA (7 007 à 6 733 FCFA sur 10 jours) confirment cette analyse technique baissière à court terme. En synthèse, la convergence des signaux (valorisation élevée, momentum technique négatif, fondamentaux en dégradation) conduit à une recommandation **CONSERVER**. Le niveau de confiance est **Moyen**, le risque global est **Élevé** en raison de l'environnement sécuritaire et de la qualité des actifs. L'horizon d'investissement optimal est le **moyen terme (3-12 mois)**, en attendant une stabilisation du coût du risque et un regain de croissance du PNB.</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499.20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13,855 titres</w:t>
            </w:r>
          </w:p>
        </w:tc>
        <w:tc>
          <w:tcPr>
            <w:tcW w:type="dxa" w:w="2268"/>
            <w:shd w:fill="FFF2CC" w:val="clear"/>
          </w:tcPr>
          <w:p>
            <w:r>
              <w:rPr>
                <w:b/>
                <w:color w:val="503200"/>
                <w:sz w:val="16"/>
              </w:rPr>
              <w:t xml:space="preserve">Cours actuel : </w:t>
            </w:r>
            <w:r>
              <w:rPr>
                <w:color w:val="000000"/>
                <w:sz w:val="17"/>
              </w:rPr>
              <w:t>12,480 FCFA</w:t>
            </w:r>
          </w:p>
          <w:p>
            <w:r>
              <w:rPr>
                <w:b/>
                <w:color w:val="503200"/>
                <w:sz w:val="16"/>
              </w:rPr>
              <w:t xml:space="preserve">Var. 100 jours : </w:t>
            </w:r>
            <w:r>
              <w:rPr>
                <w:b/>
                <w:color w:val="007800"/>
                <w:sz w:val="17"/>
              </w:rPr>
              <w:t>+38.74%</w:t>
            </w:r>
          </w:p>
          <w:p>
            <w:r>
              <w:rPr>
                <w:b/>
                <w:color w:val="503200"/>
                <w:sz w:val="16"/>
              </w:rPr>
              <w:t xml:space="preserve">Plus haut 100j : </w:t>
            </w:r>
            <w:r>
              <w:rPr>
                <w:color w:val="000000"/>
                <w:sz w:val="17"/>
              </w:rPr>
              <w:t>12,480 FCFA</w:t>
            </w:r>
          </w:p>
          <w:p>
            <w:r>
              <w:rPr>
                <w:b/>
                <w:color w:val="503200"/>
                <w:sz w:val="16"/>
              </w:rPr>
              <w:t xml:space="preserve">Plus bas 100j : </w:t>
            </w:r>
            <w:r>
              <w:rPr>
                <w:color w:val="000000"/>
                <w:sz w:val="17"/>
              </w:rPr>
              <w:t>8,100 FCFA</w:t>
            </w:r>
          </w:p>
          <w:p>
            <w:r>
              <w:rPr>
                <w:b/>
                <w:color w:val="503200"/>
                <w:sz w:val="16"/>
              </w:rPr>
              <w:t xml:space="preserve">Volatilité ann. : </w:t>
            </w:r>
            <w:r>
              <w:rPr>
                <w:color w:val="000000"/>
                <w:sz w:val="17"/>
              </w:rPr>
              <w:t>27.9%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17.1/100 → Faible</w:t>
      </w:r>
    </w:p>
    <w:p>
      <w:pPr>
        <w:spacing w:before="40" w:after="80"/>
      </w:pPr>
      <w:r>
        <w:rPr>
          <w:rFonts w:ascii="Courier New" w:hAnsi="Courier New"/>
          <w:color w:val="006400"/>
          <w:sz w:val="18"/>
        </w:rPr>
        <w:t>███░░░░░░░░░░░░░░░░░  17.1/100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9.77% (Moyenne) — μ=9,246 FCFA, σ=904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β=0.5816 (Défensif) — Cov=0.000021, Var(idx)=0.000036, ρ=0.199,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13,855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annualisée≈27.9%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466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4668"/>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2026-08-13</w:t>
            </w:r>
          </w:p>
        </w:tc>
        <w:tc>
          <w:tcPr>
            <w:tcW w:type="dxa" w:w="1440"/>
            <w:shd w:fill="FFDCE0" w:val="clear"/>
          </w:tcPr>
          <w:p>
            <w:r>
              <w:rPr>
                <w:sz w:val="17"/>
              </w:rPr>
              <w:t>11,386</w:t>
            </w:r>
          </w:p>
        </w:tc>
        <w:tc>
          <w:tcPr>
            <w:tcW w:type="dxa" w:w="1440"/>
            <w:shd w:fill="FFDCE0" w:val="clear"/>
          </w:tcPr>
          <w:p>
            <w:r>
              <w:rPr>
                <w:b/>
                <w:sz w:val="17"/>
              </w:rPr>
              <w:t>11,758</w:t>
            </w:r>
          </w:p>
        </w:tc>
        <w:tc>
          <w:tcPr>
            <w:tcW w:type="dxa" w:w="1440"/>
            <w:shd w:fill="FFDCE0" w:val="clear"/>
          </w:tcPr>
          <w:p>
            <w:r>
              <w:rPr>
                <w:sz w:val="17"/>
              </w:rPr>
              <w:t>12,129</w:t>
            </w:r>
          </w:p>
        </w:tc>
        <w:tc>
          <w:tcPr>
            <w:tcW w:type="dxa" w:w="1440"/>
            <w:shd w:fill="FFDCE0" w:val="clear"/>
          </w:tcPr>
          <w:p>
            <w:r>
              <w:rPr>
                <w:b/>
                <w:color w:val="C00000"/>
                <w:sz w:val="17"/>
              </w:rPr>
              <w:t>-5.8%</w:t>
            </w:r>
          </w:p>
        </w:tc>
      </w:tr>
      <w:tr>
        <w:tc>
          <w:tcPr>
            <w:tcW w:type="dxa" w:w="1440"/>
            <w:shd w:fill="FFDCE0" w:val="clear"/>
          </w:tcPr>
          <w:p>
            <w:r>
              <w:rPr>
                <w:sz w:val="17"/>
              </w:rPr>
              <w:t>J+2  ⭐⭐⭐</w:t>
            </w:r>
          </w:p>
        </w:tc>
        <w:tc>
          <w:tcPr>
            <w:tcW w:type="dxa" w:w="1440"/>
            <w:shd w:fill="FFDCE0" w:val="clear"/>
          </w:tcPr>
          <w:p>
            <w:r>
              <w:rPr>
                <w:sz w:val="17"/>
              </w:rPr>
              <w:t>2026-08-14</w:t>
            </w:r>
          </w:p>
        </w:tc>
        <w:tc>
          <w:tcPr>
            <w:tcW w:type="dxa" w:w="1440"/>
            <w:shd w:fill="FFDCE0" w:val="clear"/>
          </w:tcPr>
          <w:p>
            <w:r>
              <w:rPr>
                <w:sz w:val="17"/>
              </w:rPr>
              <w:t>10,850</w:t>
            </w:r>
          </w:p>
        </w:tc>
        <w:tc>
          <w:tcPr>
            <w:tcW w:type="dxa" w:w="1440"/>
            <w:shd w:fill="FFDCE0" w:val="clear"/>
          </w:tcPr>
          <w:p>
            <w:r>
              <w:rPr>
                <w:b/>
                <w:sz w:val="17"/>
              </w:rPr>
              <w:t>11,357</w:t>
            </w:r>
          </w:p>
        </w:tc>
        <w:tc>
          <w:tcPr>
            <w:tcW w:type="dxa" w:w="1440"/>
            <w:shd w:fill="FFDCE0" w:val="clear"/>
          </w:tcPr>
          <w:p>
            <w:r>
              <w:rPr>
                <w:sz w:val="17"/>
              </w:rPr>
              <w:t>11,865</w:t>
            </w:r>
          </w:p>
        </w:tc>
        <w:tc>
          <w:tcPr>
            <w:tcW w:type="dxa" w:w="1440"/>
            <w:shd w:fill="FFDCE0" w:val="clear"/>
          </w:tcPr>
          <w:p>
            <w:r>
              <w:rPr>
                <w:b/>
                <w:color w:val="C00000"/>
                <w:sz w:val="17"/>
              </w:rPr>
              <w:t>-9.0%</w:t>
            </w:r>
          </w:p>
        </w:tc>
      </w:tr>
      <w:tr>
        <w:tc>
          <w:tcPr>
            <w:tcW w:type="dxa" w:w="1440"/>
            <w:shd w:fill="FFDCE0" w:val="clear"/>
          </w:tcPr>
          <w:p>
            <w:r>
              <w:rPr>
                <w:sz w:val="17"/>
              </w:rPr>
              <w:t>J+3  ⭐⭐⭐</w:t>
            </w:r>
          </w:p>
        </w:tc>
        <w:tc>
          <w:tcPr>
            <w:tcW w:type="dxa" w:w="1440"/>
            <w:shd w:fill="FFDCE0" w:val="clear"/>
          </w:tcPr>
          <w:p>
            <w:r>
              <w:rPr>
                <w:sz w:val="17"/>
              </w:rPr>
              <w:t>2026-08-17</w:t>
            </w:r>
          </w:p>
        </w:tc>
        <w:tc>
          <w:tcPr>
            <w:tcW w:type="dxa" w:w="1440"/>
            <w:shd w:fill="FFDCE0" w:val="clear"/>
          </w:tcPr>
          <w:p>
            <w:r>
              <w:rPr>
                <w:sz w:val="17"/>
              </w:rPr>
              <w:t>10,290</w:t>
            </w:r>
          </w:p>
        </w:tc>
        <w:tc>
          <w:tcPr>
            <w:tcW w:type="dxa" w:w="1440"/>
            <w:shd w:fill="FFDCE0" w:val="clear"/>
          </w:tcPr>
          <w:p>
            <w:r>
              <w:rPr>
                <w:b/>
                <w:sz w:val="17"/>
              </w:rPr>
              <w:t>10,886</w:t>
            </w:r>
          </w:p>
        </w:tc>
        <w:tc>
          <w:tcPr>
            <w:tcW w:type="dxa" w:w="1440"/>
            <w:shd w:fill="FFDCE0" w:val="clear"/>
          </w:tcPr>
          <w:p>
            <w:r>
              <w:rPr>
                <w:sz w:val="17"/>
              </w:rPr>
              <w:t>11,482</w:t>
            </w:r>
          </w:p>
        </w:tc>
        <w:tc>
          <w:tcPr>
            <w:tcW w:type="dxa" w:w="1440"/>
            <w:shd w:fill="FFDCE0" w:val="clear"/>
          </w:tcPr>
          <w:p>
            <w:r>
              <w:rPr>
                <w:b/>
                <w:color w:val="C00000"/>
                <w:sz w:val="17"/>
              </w:rPr>
              <w:t>-12.8%</w:t>
            </w:r>
          </w:p>
        </w:tc>
      </w:tr>
      <w:tr>
        <w:tc>
          <w:tcPr>
            <w:tcW w:type="dxa" w:w="1440"/>
            <w:shd w:fill="FFDCE0" w:val="clear"/>
          </w:tcPr>
          <w:p>
            <w:r>
              <w:rPr>
                <w:sz w:val="17"/>
              </w:rPr>
              <w:t>J+4  Moyenne</w:t>
            </w:r>
          </w:p>
        </w:tc>
        <w:tc>
          <w:tcPr>
            <w:tcW w:type="dxa" w:w="1440"/>
            <w:shd w:fill="FFDCE0" w:val="clear"/>
          </w:tcPr>
          <w:p>
            <w:r>
              <w:rPr>
                <w:sz w:val="17"/>
              </w:rPr>
              <w:t>2026-08-18</w:t>
            </w:r>
          </w:p>
        </w:tc>
        <w:tc>
          <w:tcPr>
            <w:tcW w:type="dxa" w:w="1440"/>
            <w:shd w:fill="FFDCE0" w:val="clear"/>
          </w:tcPr>
          <w:p>
            <w:r>
              <w:rPr>
                <w:sz w:val="17"/>
              </w:rPr>
              <w:t>9,798</w:t>
            </w:r>
          </w:p>
        </w:tc>
        <w:tc>
          <w:tcPr>
            <w:tcW w:type="dxa" w:w="1440"/>
            <w:shd w:fill="FFDCE0" w:val="clear"/>
          </w:tcPr>
          <w:p>
            <w:r>
              <w:rPr>
                <w:b/>
                <w:sz w:val="17"/>
              </w:rPr>
              <w:t>10,458</w:t>
            </w:r>
          </w:p>
        </w:tc>
        <w:tc>
          <w:tcPr>
            <w:tcW w:type="dxa" w:w="1440"/>
            <w:shd w:fill="FFDCE0" w:val="clear"/>
          </w:tcPr>
          <w:p>
            <w:r>
              <w:rPr>
                <w:sz w:val="17"/>
              </w:rPr>
              <w:t>11,119</w:t>
            </w:r>
          </w:p>
        </w:tc>
        <w:tc>
          <w:tcPr>
            <w:tcW w:type="dxa" w:w="1440"/>
            <w:shd w:fill="FFDCE0" w:val="clear"/>
          </w:tcPr>
          <w:p>
            <w:r>
              <w:rPr>
                <w:b/>
                <w:color w:val="C00000"/>
                <w:sz w:val="17"/>
              </w:rPr>
              <w:t>-16.2%</w:t>
            </w:r>
          </w:p>
        </w:tc>
      </w:tr>
      <w:tr>
        <w:tc>
          <w:tcPr>
            <w:tcW w:type="dxa" w:w="1440"/>
            <w:shd w:fill="FFDCE0" w:val="clear"/>
          </w:tcPr>
          <w:p>
            <w:r>
              <w:rPr>
                <w:sz w:val="17"/>
              </w:rPr>
              <w:t>J+5  Moyenne</w:t>
            </w:r>
          </w:p>
        </w:tc>
        <w:tc>
          <w:tcPr>
            <w:tcW w:type="dxa" w:w="1440"/>
            <w:shd w:fill="FFDCE0" w:val="clear"/>
          </w:tcPr>
          <w:p>
            <w:r>
              <w:rPr>
                <w:sz w:val="17"/>
              </w:rPr>
              <w:t>2026-08-19</w:t>
            </w:r>
          </w:p>
        </w:tc>
        <w:tc>
          <w:tcPr>
            <w:tcW w:type="dxa" w:w="1440"/>
            <w:shd w:fill="FFDCE0" w:val="clear"/>
          </w:tcPr>
          <w:p>
            <w:r>
              <w:rPr>
                <w:sz w:val="17"/>
              </w:rPr>
              <w:t>9,371</w:t>
            </w:r>
          </w:p>
        </w:tc>
        <w:tc>
          <w:tcPr>
            <w:tcW w:type="dxa" w:w="1440"/>
            <w:shd w:fill="FFDCE0" w:val="clear"/>
          </w:tcPr>
          <w:p>
            <w:r>
              <w:rPr>
                <w:b/>
                <w:sz w:val="17"/>
              </w:rPr>
              <w:t>10,083</w:t>
            </w:r>
          </w:p>
        </w:tc>
        <w:tc>
          <w:tcPr>
            <w:tcW w:type="dxa" w:w="1440"/>
            <w:shd w:fill="FFDCE0" w:val="clear"/>
          </w:tcPr>
          <w:p>
            <w:r>
              <w:rPr>
                <w:sz w:val="17"/>
              </w:rPr>
              <w:t>10,795</w:t>
            </w:r>
          </w:p>
        </w:tc>
        <w:tc>
          <w:tcPr>
            <w:tcW w:type="dxa" w:w="1440"/>
            <w:shd w:fill="FFDCE0" w:val="clear"/>
          </w:tcPr>
          <w:p>
            <w:r>
              <w:rPr>
                <w:b/>
                <w:color w:val="C00000"/>
                <w:sz w:val="17"/>
              </w:rPr>
              <w:t>-19.2%</w:t>
            </w:r>
          </w:p>
        </w:tc>
      </w:tr>
      <w:tr>
        <w:tc>
          <w:tcPr>
            <w:tcW w:type="dxa" w:w="1440"/>
            <w:shd w:fill="FFDCE0" w:val="clear"/>
          </w:tcPr>
          <w:p>
            <w:r>
              <w:rPr>
                <w:sz w:val="17"/>
              </w:rPr>
              <w:t>J+6  Moyenne</w:t>
            </w:r>
          </w:p>
        </w:tc>
        <w:tc>
          <w:tcPr>
            <w:tcW w:type="dxa" w:w="1440"/>
            <w:shd w:fill="FFDCE0" w:val="clear"/>
          </w:tcPr>
          <w:p>
            <w:r>
              <w:rPr>
                <w:sz w:val="17"/>
              </w:rPr>
              <w:t>2026-08-20</w:t>
            </w:r>
          </w:p>
        </w:tc>
        <w:tc>
          <w:tcPr>
            <w:tcW w:type="dxa" w:w="1440"/>
            <w:shd w:fill="FFDCE0" w:val="clear"/>
          </w:tcPr>
          <w:p>
            <w:r>
              <w:rPr>
                <w:sz w:val="17"/>
              </w:rPr>
              <w:t>9,001</w:t>
            </w:r>
          </w:p>
        </w:tc>
        <w:tc>
          <w:tcPr>
            <w:tcW w:type="dxa" w:w="1440"/>
            <w:shd w:fill="FFDCE0" w:val="clear"/>
          </w:tcPr>
          <w:p>
            <w:r>
              <w:rPr>
                <w:b/>
                <w:sz w:val="17"/>
              </w:rPr>
              <w:t>9,756</w:t>
            </w:r>
          </w:p>
        </w:tc>
        <w:tc>
          <w:tcPr>
            <w:tcW w:type="dxa" w:w="1440"/>
            <w:shd w:fill="FFDCE0" w:val="clear"/>
          </w:tcPr>
          <w:p>
            <w:r>
              <w:rPr>
                <w:sz w:val="17"/>
              </w:rPr>
              <w:t>10,511</w:t>
            </w:r>
          </w:p>
        </w:tc>
        <w:tc>
          <w:tcPr>
            <w:tcW w:type="dxa" w:w="1440"/>
            <w:shd w:fill="FFDCE0" w:val="clear"/>
          </w:tcPr>
          <w:p>
            <w:r>
              <w:rPr>
                <w:b/>
                <w:color w:val="C00000"/>
                <w:sz w:val="17"/>
              </w:rPr>
              <w:t>-21.8%</w:t>
            </w:r>
          </w:p>
        </w:tc>
      </w:tr>
      <w:tr>
        <w:tc>
          <w:tcPr>
            <w:tcW w:type="dxa" w:w="1440"/>
            <w:shd w:fill="FFDCE0" w:val="clear"/>
          </w:tcPr>
          <w:p>
            <w:r>
              <w:rPr>
                <w:sz w:val="17"/>
              </w:rPr>
              <w:t>J+7  Moyenne</w:t>
            </w:r>
          </w:p>
        </w:tc>
        <w:tc>
          <w:tcPr>
            <w:tcW w:type="dxa" w:w="1440"/>
            <w:shd w:fill="FFDCE0" w:val="clear"/>
          </w:tcPr>
          <w:p>
            <w:r>
              <w:rPr>
                <w:sz w:val="17"/>
              </w:rPr>
              <w:t>2026-08-21</w:t>
            </w:r>
          </w:p>
        </w:tc>
        <w:tc>
          <w:tcPr>
            <w:tcW w:type="dxa" w:w="1440"/>
            <w:shd w:fill="FFDCE0" w:val="clear"/>
          </w:tcPr>
          <w:p>
            <w:r>
              <w:rPr>
                <w:sz w:val="17"/>
              </w:rPr>
              <w:t>8,678</w:t>
            </w:r>
          </w:p>
        </w:tc>
        <w:tc>
          <w:tcPr>
            <w:tcW w:type="dxa" w:w="1440"/>
            <w:shd w:fill="FFDCE0" w:val="clear"/>
          </w:tcPr>
          <w:p>
            <w:r>
              <w:rPr>
                <w:b/>
                <w:sz w:val="17"/>
              </w:rPr>
              <w:t>9,470</w:t>
            </w:r>
          </w:p>
        </w:tc>
        <w:tc>
          <w:tcPr>
            <w:tcW w:type="dxa" w:w="1440"/>
            <w:shd w:fill="FFDCE0" w:val="clear"/>
          </w:tcPr>
          <w:p>
            <w:r>
              <w:rPr>
                <w:sz w:val="17"/>
              </w:rPr>
              <w:t>10,261</w:t>
            </w:r>
          </w:p>
        </w:tc>
        <w:tc>
          <w:tcPr>
            <w:tcW w:type="dxa" w:w="1440"/>
            <w:shd w:fill="FFDCE0" w:val="clear"/>
          </w:tcPr>
          <w:p>
            <w:r>
              <w:rPr>
                <w:b/>
                <w:color w:val="C00000"/>
                <w:sz w:val="17"/>
              </w:rPr>
              <w:t>-24.1%</w:t>
            </w:r>
          </w:p>
        </w:tc>
      </w:tr>
      <w:tr>
        <w:tc>
          <w:tcPr>
            <w:tcW w:type="dxa" w:w="1440"/>
            <w:shd w:fill="FFDCE0" w:val="clear"/>
          </w:tcPr>
          <w:p>
            <w:r>
              <w:rPr>
                <w:sz w:val="17"/>
              </w:rPr>
              <w:t>J+8  Moyenne</w:t>
            </w:r>
          </w:p>
        </w:tc>
        <w:tc>
          <w:tcPr>
            <w:tcW w:type="dxa" w:w="1440"/>
            <w:shd w:fill="FFDCE0" w:val="clear"/>
          </w:tcPr>
          <w:p>
            <w:r>
              <w:rPr>
                <w:sz w:val="17"/>
              </w:rPr>
              <w:t>2026-08-24</w:t>
            </w:r>
          </w:p>
        </w:tc>
        <w:tc>
          <w:tcPr>
            <w:tcW w:type="dxa" w:w="1440"/>
            <w:shd w:fill="FFDCE0" w:val="clear"/>
          </w:tcPr>
          <w:p>
            <w:r>
              <w:rPr>
                <w:sz w:val="17"/>
              </w:rPr>
              <w:t>8,395</w:t>
            </w:r>
          </w:p>
        </w:tc>
        <w:tc>
          <w:tcPr>
            <w:tcW w:type="dxa" w:w="1440"/>
            <w:shd w:fill="FFDCE0" w:val="clear"/>
          </w:tcPr>
          <w:p>
            <w:r>
              <w:rPr>
                <w:b/>
                <w:sz w:val="17"/>
              </w:rPr>
              <w:t>9,219</w:t>
            </w:r>
          </w:p>
        </w:tc>
        <w:tc>
          <w:tcPr>
            <w:tcW w:type="dxa" w:w="1440"/>
            <w:shd w:fill="FFDCE0" w:val="clear"/>
          </w:tcPr>
          <w:p>
            <w:r>
              <w:rPr>
                <w:sz w:val="17"/>
              </w:rPr>
              <w:t>10,043</w:t>
            </w:r>
          </w:p>
        </w:tc>
        <w:tc>
          <w:tcPr>
            <w:tcW w:type="dxa" w:w="1440"/>
            <w:shd w:fill="FFDCE0" w:val="clear"/>
          </w:tcPr>
          <w:p>
            <w:r>
              <w:rPr>
                <w:b/>
                <w:color w:val="C00000"/>
                <w:sz w:val="17"/>
              </w:rPr>
              <w:t>-26.1%</w:t>
            </w:r>
          </w:p>
        </w:tc>
      </w:tr>
      <w:tr>
        <w:tc>
          <w:tcPr>
            <w:tcW w:type="dxa" w:w="1440"/>
            <w:shd w:fill="FFDCE0" w:val="clear"/>
          </w:tcPr>
          <w:p>
            <w:r>
              <w:rPr>
                <w:sz w:val="17"/>
              </w:rPr>
              <w:t>J+9  Moyenne</w:t>
            </w:r>
          </w:p>
        </w:tc>
        <w:tc>
          <w:tcPr>
            <w:tcW w:type="dxa" w:w="1440"/>
            <w:shd w:fill="FFDCE0" w:val="clear"/>
          </w:tcPr>
          <w:p>
            <w:r>
              <w:rPr>
                <w:sz w:val="17"/>
              </w:rPr>
              <w:t>2026-08-25</w:t>
            </w:r>
          </w:p>
        </w:tc>
        <w:tc>
          <w:tcPr>
            <w:tcW w:type="dxa" w:w="1440"/>
            <w:shd w:fill="FFDCE0" w:val="clear"/>
          </w:tcPr>
          <w:p>
            <w:r>
              <w:rPr>
                <w:sz w:val="17"/>
              </w:rPr>
              <w:t>8,145</w:t>
            </w:r>
          </w:p>
        </w:tc>
        <w:tc>
          <w:tcPr>
            <w:tcW w:type="dxa" w:w="1440"/>
            <w:shd w:fill="FFDCE0" w:val="clear"/>
          </w:tcPr>
          <w:p>
            <w:r>
              <w:rPr>
                <w:b/>
                <w:sz w:val="17"/>
              </w:rPr>
              <w:t>8,997</w:t>
            </w:r>
          </w:p>
        </w:tc>
        <w:tc>
          <w:tcPr>
            <w:tcW w:type="dxa" w:w="1440"/>
            <w:shd w:fill="FFDCE0" w:val="clear"/>
          </w:tcPr>
          <w:p>
            <w:r>
              <w:rPr>
                <w:sz w:val="17"/>
              </w:rPr>
              <w:t>9,850</w:t>
            </w:r>
          </w:p>
        </w:tc>
        <w:tc>
          <w:tcPr>
            <w:tcW w:type="dxa" w:w="1440"/>
            <w:shd w:fill="FFDCE0" w:val="clear"/>
          </w:tcPr>
          <w:p>
            <w:r>
              <w:rPr>
                <w:b/>
                <w:color w:val="C00000"/>
                <w:sz w:val="17"/>
              </w:rPr>
              <w:t>-27.9%</w:t>
            </w:r>
          </w:p>
        </w:tc>
      </w:tr>
      <w:tr>
        <w:tc>
          <w:tcPr>
            <w:tcW w:type="dxa" w:w="1440"/>
            <w:shd w:fill="FFDCE0" w:val="clear"/>
          </w:tcPr>
          <w:p>
            <w:r>
              <w:rPr>
                <w:sz w:val="17"/>
              </w:rPr>
              <w:t>J+10  Moyenne</w:t>
            </w:r>
          </w:p>
        </w:tc>
        <w:tc>
          <w:tcPr>
            <w:tcW w:type="dxa" w:w="1440"/>
            <w:shd w:fill="FFDCE0" w:val="clear"/>
          </w:tcPr>
          <w:p>
            <w:r>
              <w:rPr>
                <w:sz w:val="17"/>
              </w:rPr>
              <w:t>2026-08-27</w:t>
            </w:r>
          </w:p>
        </w:tc>
        <w:tc>
          <w:tcPr>
            <w:tcW w:type="dxa" w:w="1440"/>
            <w:shd w:fill="FFDCE0" w:val="clear"/>
          </w:tcPr>
          <w:p>
            <w:r>
              <w:rPr>
                <w:sz w:val="17"/>
              </w:rPr>
              <w:t>7,921</w:t>
            </w:r>
          </w:p>
        </w:tc>
        <w:tc>
          <w:tcPr>
            <w:tcW w:type="dxa" w:w="1440"/>
            <w:shd w:fill="FFDCE0" w:val="clear"/>
          </w:tcPr>
          <w:p>
            <w:r>
              <w:rPr>
                <w:b/>
                <w:sz w:val="17"/>
              </w:rPr>
              <w:t>8,800</w:t>
            </w:r>
          </w:p>
        </w:tc>
        <w:tc>
          <w:tcPr>
            <w:tcW w:type="dxa" w:w="1440"/>
            <w:shd w:fill="FFDCE0" w:val="clear"/>
          </w:tcPr>
          <w:p>
            <w:r>
              <w:rPr>
                <w:sz w:val="17"/>
              </w:rPr>
              <w:t>9,679</w:t>
            </w:r>
          </w:p>
        </w:tc>
        <w:tc>
          <w:tcPr>
            <w:tcW w:type="dxa" w:w="1440"/>
            <w:shd w:fill="FFDCE0" w:val="clear"/>
          </w:tcPr>
          <w:p>
            <w:r>
              <w:rPr>
                <w:b/>
                <w:color w:val="C00000"/>
                <w:sz w:val="17"/>
              </w:rPr>
              <w:t>-29.5%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499,20 Mds FCFA positionne BOAC comme une valeur de premier plan sur la BRVM, reflétant la confiance des investisseurs dans le secteur bancaire ivoirien. Avec un BPA de 888 FCFA, chaque action génère un bénéfice substantiel, justifiant un PER de 14,0x. Ce ratio est supérieur à la moyenne historique de la BRVM (8-12x), indiquant que le marché valorise déjà les perspectives de croissance de la banque, mais sans atteindre des niveaux de surévaluation extrême. Le P/B de 3,92x confirme cette prime de croissance, le marché valorisant la société à près de 4 fois sa valeur comptable, ce qui témoigne d'une forte création de valeur et d'une rentabilité des fonds propres exceptionnelle. Enfin, l'EV/EBITDA de 27,3x est très exigeant, signalant que la valeur totale de l'entreprise (capitalisation + dette nette) est élevée par rapport à sa capacité opérationnelle, ce qui implique des attentes de performance future soutenue.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BOAC a enregistré une progression spectaculaire de +38,74%, avec une dernière séance en hausse de +4,83%, clôturant à 12 480 FCFA, son plus haut niveau sur la période. Le titre a évolué dans une fourchette large de 8 100 à 12 480 FCFA, démontrant une dynamique haussière soutenue. La moyenne du cours sur la période (9 246 FCFA) est supérieure à la médiane (8 900 FCFA), et le mode est de 8 500 FCFA, ce qui indique une distribution asymétrique positive (skewness de 1,712) : le cours a passé plus de temps sous sa moyenne, avec des poussées haussières récentes. L'écart-type de 908 FCFA (CV=9,8%) montre une dispersion modérée autour de la moyenne. Le kurtosis élevé (2,300) signale un risque de mouvements extrêmes, avec des queues de distribution épaisses. La volatilité annualisée de 27,9% classe le titre dans une zone de risque modéré à élevé, cohérente avec une phase d'accélération haussière.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(12 480 FCFA) est nettement au-dessus de la MM20 (10 775 FCFA) et de la MM50 (9 813,3 FCFA). Cette configuration haussière, avec des moyennes mobiles orientées à la hausse, confirme une tendance de fond positive. La décision d'achat est justifiée par l'écart important entre le prix et les moyennes, bien que cela puisse signaler une extension excessive à court terme.</w:t>
      </w:r>
    </w:p>
    <w:p>
      <w:pPr>
        <w:spacing w:after="120" w:line="276" w:lineRule="auto"/>
      </w:pPr>
      <w:r>
        <w:t>**Bandes de Bollinger** : Le prix évolue à la borne supérieure (12 514,5 FCFA), indiquant une pression acheteuse intense et une volatilité accrue. La décision est neutre, car un tel positionnement peut précéder une poursuite de la tendance ou un retour vers la moyenne (9 035,5 FCFA). L'écart entre les bornes est large, reflétant la forte volatilité récente.</w:t>
      </w:r>
    </w:p>
    <w:p>
      <w:pPr>
        <w:spacing w:after="120" w:line="276" w:lineRule="auto"/>
      </w:pPr>
      <w:r>
        <w:t>**MACD** : Le MACD (663,62) est nettement au-dessus de sa ligne de signal (538,14), avec un histogramme positif et en expansion. Ce croisement haussier confirme un momentum positif fort, justifiant la décision d'achat. La dynamique actuelle est clairement en faveur des acheteurs.</w:t>
      </w:r>
    </w:p>
    <w:p>
      <w:pPr>
        <w:spacing w:after="120" w:line="276" w:lineRule="auto"/>
      </w:pPr>
      <w:r>
        <w:t>**RSI** : Le RSI à 88,36 est en zone de surachat extrême (&gt;70). Ce niveau signale que le titre est survendu à la hausse et qu'un repli technique est probable à court terme. La décision de vente est donc émise pour anticiper une correction, malgré la force de la tendance.</w:t>
      </w:r>
    </w:p>
    <w:p>
      <w:pPr>
        <w:spacing w:after="120" w:line="276" w:lineRule="auto"/>
      </w:pPr>
      <w:r>
        <w:t>**Stochastique** : Les %K et %D sont tous deux à 100, en zone de surachat extrême. Ce niveau maximal indique que le marché est saturé d'achats et qu'un croisement baissier est imminent. La décision de vente est justifiée par ce signal de retournement potentiel.</w:t>
      </w:r>
    </w:p>
    <w:p>
      <w:pPr>
        <w:spacing w:after="120" w:line="276" w:lineRule="auto"/>
      </w:pPr>
      <w:r>
        <w:t>**Conclusion technique** : Les indicateurs de tendance (MM, MACD) sont fortement haussiers, mais les oscillateurs (RSI, Stochastique) sont en surachat extrême. Cette divergence suggère une poursuite possible de la tendance à moyen terme, mais avec un risque élevé de correction technique à très court terme. La prudence est de mise pour les nouveaux achats.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BOAC font état d'un Produit Net Bancaire (PNB) de 73,545 Mds FCFA et d'un résultat net de 35,540 Mds FCFA, soit une marge nette de 48,32%. Le ROE est excellent à 27,91% et le ROA à 3,22%, démontrant une gestion très efficace des fonds propres et des actifs. Le coefficient d'exploitation de 36,70% est remarquable, indiquant une banque très efficiente. Cependant, le coût du risque de 6,67% reste un point de vigilance. Les dépôts clientèle (850,548 Mds FCFA) sont près de deux fois supérieurs aux créances sur la clientèle (430,433 Mds FCFA), montrant une forte liquidité mais une transformation limitée. En 2024, le PNB était de 72,724 Mds FCFA (+19,6%) et le résultat net de 32,044 Mds FCFA (+22,9%), avec un ROE de 28,4%. Les rapports trimestriels 2025 montrent une décélération : le T1 2025 affichait un PNB de 18,39 Mds FCFA (+4,93%) et un résultat net de 10,70 Mds FCFA (+14,59%), mais le S1 2025 (PNB 36,21 Mds FCFA, -0,35%) et le T3 2025 (PNB 53,49 Mds FCFA, +0,23%) indiquent une stagnation de l'activité. On estime que l'exercice 2025 pourrait voir un PNB stable et un résultat net en légère hausse grâce à la maîtrise des coûts et à la baisse du coût du risque, mais la croissance du T1 ne s'est pas confirmée. La banque reste fondamentalement solide, avec des objectifs triennaux ambitieux (croissance du PNB de +11,6% d'ici 2027), mais la dynamique actuelle est atone.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BOAC (PER 14,0x, P/B 3,92x, EV/EBITDA 27,3x) est exigeante et intègre des attentes de croissance future, mais elle est soutenue par une rentabilité exceptionnelle (ROE &gt;27%). Le comportement du cours est extrêmement haussier (+38,74% en 100 jours), mais les statistiques (kurtosis élevé, skewness positif) et la volatilité de 27,9% signalent un risque accru de retournement. Les signaux techniques sont contradictoires : la tendance (MM, MACD) est positive, mais les oscillateurs (RSI, Stochastique) hurlent au surachat, suggérant une correction imminente. Les fondamentaux sont solides mais en stagnation en 2025, avec une croissance du PNB au point mort. Les prédictions IA (J+1 à J+10) confirment ce scénario de correction, avec une chute projetée de 12 480 à 10 083 FCFA (-19%). En synthèse, la convergence entre le surachat technique et les prédictions IA est forte, tandis que la valorisation et les fondamentaux plaident pour une détention à long terme. **Recommandation finale : VENTE** à court terme pour profiter du sommet et racheter plus bas. **Niveau de confiance : Élevé** (convergence technique/IA). **Risque global : Élevé** (volatilité et surachat). **Horizon optimal : Court terme (&lt;3 mois)** pour une stratégie de trading, avec un réinvestissement envisagé après correction pour le moyen terme.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166.07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6,388 titres</w:t>
            </w:r>
          </w:p>
        </w:tc>
        <w:tc>
          <w:tcPr>
            <w:tcW w:type="dxa" w:w="2268"/>
            <w:shd w:fill="FFF2CC" w:val="clear"/>
          </w:tcPr>
          <w:p>
            <w:r>
              <w:rPr>
                <w:b/>
                <w:color w:val="503200"/>
                <w:sz w:val="16"/>
              </w:rPr>
              <w:t xml:space="preserve">Cours actuel : </w:t>
            </w:r>
            <w:r>
              <w:rPr>
                <w:color w:val="000000"/>
                <w:sz w:val="17"/>
              </w:rPr>
              <w:t>6,050 FCFA</w:t>
            </w:r>
          </w:p>
          <w:p>
            <w:r>
              <w:rPr>
                <w:b/>
                <w:color w:val="503200"/>
                <w:sz w:val="16"/>
              </w:rPr>
              <w:t xml:space="preserve">Var. 100 jours : </w:t>
            </w:r>
            <w:r>
              <w:rPr>
                <w:b/>
                <w:color w:val="007800"/>
                <w:sz w:val="17"/>
              </w:rPr>
              <w:t>+27.23%</w:t>
            </w:r>
          </w:p>
          <w:p>
            <w:r>
              <w:rPr>
                <w:b/>
                <w:color w:val="503200"/>
                <w:sz w:val="16"/>
              </w:rPr>
              <w:t xml:space="preserve">Plus haut 100j : </w:t>
            </w:r>
            <w:r>
              <w:rPr>
                <w:color w:val="000000"/>
                <w:sz w:val="17"/>
              </w:rPr>
              <w:t>6,050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8.51% (Moyenne) — μ=4,962 FCFA, σ=422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β=0.3111 (Défensif) — Cov=0.000011, Var(idx)=0.000036, ρ=0.093,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6,388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σ_j=2.00%/j (Stable) — Vol. annualisée≈31.8%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3244"/>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324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2026-08-13</w:t>
            </w:r>
          </w:p>
        </w:tc>
        <w:tc>
          <w:tcPr>
            <w:tcW w:type="dxa" w:w="1440"/>
            <w:shd w:fill="FAFAFA" w:val="clear"/>
          </w:tcPr>
          <w:p>
            <w:r>
              <w:rPr>
                <w:sz w:val="17"/>
              </w:rPr>
              <w:t>5,828</w:t>
            </w:r>
          </w:p>
        </w:tc>
        <w:tc>
          <w:tcPr>
            <w:tcW w:type="dxa" w:w="1440"/>
            <w:shd w:fill="FAFAFA" w:val="clear"/>
          </w:tcPr>
          <w:p>
            <w:r>
              <w:rPr>
                <w:b/>
                <w:sz w:val="17"/>
              </w:rPr>
              <w:t>6,025</w:t>
            </w:r>
          </w:p>
        </w:tc>
        <w:tc>
          <w:tcPr>
            <w:tcW w:type="dxa" w:w="1440"/>
            <w:shd w:fill="FAFAFA" w:val="clear"/>
          </w:tcPr>
          <w:p>
            <w:r>
              <w:rPr>
                <w:sz w:val="17"/>
              </w:rPr>
              <w:t>6,223</w:t>
            </w:r>
          </w:p>
        </w:tc>
        <w:tc>
          <w:tcPr>
            <w:tcW w:type="dxa" w:w="1440"/>
            <w:shd w:fill="FAFAFA" w:val="clear"/>
          </w:tcPr>
          <w:p>
            <w:r>
              <w:rPr>
                <w:b/>
                <w:color w:val="C00000"/>
                <w:sz w:val="17"/>
              </w:rPr>
              <w:t>-0.4%</w:t>
            </w:r>
          </w:p>
        </w:tc>
      </w:tr>
      <w:tr>
        <w:tc>
          <w:tcPr>
            <w:tcW w:type="dxa" w:w="1440"/>
            <w:shd w:fill="FFDCE0" w:val="clear"/>
          </w:tcPr>
          <w:p>
            <w:r>
              <w:rPr>
                <w:sz w:val="17"/>
              </w:rPr>
              <w:t>J+2  ⭐⭐⭐</w:t>
            </w:r>
          </w:p>
        </w:tc>
        <w:tc>
          <w:tcPr>
            <w:tcW w:type="dxa" w:w="1440"/>
            <w:shd w:fill="FFDCE0" w:val="clear"/>
          </w:tcPr>
          <w:p>
            <w:r>
              <w:rPr>
                <w:sz w:val="17"/>
              </w:rPr>
              <w:t>2026-08-14</w:t>
            </w:r>
          </w:p>
        </w:tc>
        <w:tc>
          <w:tcPr>
            <w:tcW w:type="dxa" w:w="1440"/>
            <w:shd w:fill="FFDCE0" w:val="clear"/>
          </w:tcPr>
          <w:p>
            <w:r>
              <w:rPr>
                <w:sz w:val="17"/>
              </w:rPr>
              <w:t>5,631</w:t>
            </w:r>
          </w:p>
        </w:tc>
        <w:tc>
          <w:tcPr>
            <w:tcW w:type="dxa" w:w="1440"/>
            <w:shd w:fill="FFDCE0" w:val="clear"/>
          </w:tcPr>
          <w:p>
            <w:r>
              <w:rPr>
                <w:b/>
                <w:sz w:val="17"/>
              </w:rPr>
              <w:t>5,905</w:t>
            </w:r>
          </w:p>
        </w:tc>
        <w:tc>
          <w:tcPr>
            <w:tcW w:type="dxa" w:w="1440"/>
            <w:shd w:fill="FFDCE0" w:val="clear"/>
          </w:tcPr>
          <w:p>
            <w:r>
              <w:rPr>
                <w:sz w:val="17"/>
              </w:rPr>
              <w:t>6,179</w:t>
            </w:r>
          </w:p>
        </w:tc>
        <w:tc>
          <w:tcPr>
            <w:tcW w:type="dxa" w:w="1440"/>
            <w:shd w:fill="FFDCE0" w:val="clear"/>
          </w:tcPr>
          <w:p>
            <w:r>
              <w:rPr>
                <w:b/>
                <w:color w:val="C00000"/>
                <w:sz w:val="17"/>
              </w:rPr>
              <w:t>-2.4%</w:t>
            </w:r>
          </w:p>
        </w:tc>
      </w:tr>
      <w:tr>
        <w:tc>
          <w:tcPr>
            <w:tcW w:type="dxa" w:w="1440"/>
            <w:shd w:fill="FFDCE0" w:val="clear"/>
          </w:tcPr>
          <w:p>
            <w:r>
              <w:rPr>
                <w:sz w:val="17"/>
              </w:rPr>
              <w:t>J+3  ⭐⭐⭐</w:t>
            </w:r>
          </w:p>
        </w:tc>
        <w:tc>
          <w:tcPr>
            <w:tcW w:type="dxa" w:w="1440"/>
            <w:shd w:fill="FFDCE0" w:val="clear"/>
          </w:tcPr>
          <w:p>
            <w:r>
              <w:rPr>
                <w:sz w:val="17"/>
              </w:rPr>
              <w:t>2026-08-17</w:t>
            </w:r>
          </w:p>
        </w:tc>
        <w:tc>
          <w:tcPr>
            <w:tcW w:type="dxa" w:w="1440"/>
            <w:shd w:fill="FFDCE0" w:val="clear"/>
          </w:tcPr>
          <w:p>
            <w:r>
              <w:rPr>
                <w:sz w:val="17"/>
              </w:rPr>
              <w:t>5,449</w:t>
            </w:r>
          </w:p>
        </w:tc>
        <w:tc>
          <w:tcPr>
            <w:tcW w:type="dxa" w:w="1440"/>
            <w:shd w:fill="FFDCE0" w:val="clear"/>
          </w:tcPr>
          <w:p>
            <w:r>
              <w:rPr>
                <w:b/>
                <w:sz w:val="17"/>
              </w:rPr>
              <w:t>5,777</w:t>
            </w:r>
          </w:p>
        </w:tc>
        <w:tc>
          <w:tcPr>
            <w:tcW w:type="dxa" w:w="1440"/>
            <w:shd w:fill="FFDCE0" w:val="clear"/>
          </w:tcPr>
          <w:p>
            <w:r>
              <w:rPr>
                <w:sz w:val="17"/>
              </w:rPr>
              <w:t>6,105</w:t>
            </w:r>
          </w:p>
        </w:tc>
        <w:tc>
          <w:tcPr>
            <w:tcW w:type="dxa" w:w="1440"/>
            <w:shd w:fill="FFDCE0" w:val="clear"/>
          </w:tcPr>
          <w:p>
            <w:r>
              <w:rPr>
                <w:b/>
                <w:color w:val="C00000"/>
                <w:sz w:val="17"/>
              </w:rPr>
              <w:t>-4.5%</w:t>
            </w:r>
          </w:p>
        </w:tc>
      </w:tr>
      <w:tr>
        <w:tc>
          <w:tcPr>
            <w:tcW w:type="dxa" w:w="1440"/>
            <w:shd w:fill="FFDCE0" w:val="clear"/>
          </w:tcPr>
          <w:p>
            <w:r>
              <w:rPr>
                <w:sz w:val="17"/>
              </w:rPr>
              <w:t>J+4  Moyenne</w:t>
            </w:r>
          </w:p>
        </w:tc>
        <w:tc>
          <w:tcPr>
            <w:tcW w:type="dxa" w:w="1440"/>
            <w:shd w:fill="FFDCE0" w:val="clear"/>
          </w:tcPr>
          <w:p>
            <w:r>
              <w:rPr>
                <w:sz w:val="17"/>
              </w:rPr>
              <w:t>2026-08-18</w:t>
            </w:r>
          </w:p>
        </w:tc>
        <w:tc>
          <w:tcPr>
            <w:tcW w:type="dxa" w:w="1440"/>
            <w:shd w:fill="FFDCE0" w:val="clear"/>
          </w:tcPr>
          <w:p>
            <w:r>
              <w:rPr>
                <w:sz w:val="17"/>
              </w:rPr>
              <w:t>5,298</w:t>
            </w:r>
          </w:p>
        </w:tc>
        <w:tc>
          <w:tcPr>
            <w:tcW w:type="dxa" w:w="1440"/>
            <w:shd w:fill="FFDCE0" w:val="clear"/>
          </w:tcPr>
          <w:p>
            <w:r>
              <w:rPr>
                <w:b/>
                <w:sz w:val="17"/>
              </w:rPr>
              <w:t>5,670</w:t>
            </w:r>
          </w:p>
        </w:tc>
        <w:tc>
          <w:tcPr>
            <w:tcW w:type="dxa" w:w="1440"/>
            <w:shd w:fill="FFDCE0" w:val="clear"/>
          </w:tcPr>
          <w:p>
            <w:r>
              <w:rPr>
                <w:sz w:val="17"/>
              </w:rPr>
              <w:t>6,042</w:t>
            </w:r>
          </w:p>
        </w:tc>
        <w:tc>
          <w:tcPr>
            <w:tcW w:type="dxa" w:w="1440"/>
            <w:shd w:fill="FFDCE0" w:val="clear"/>
          </w:tcPr>
          <w:p>
            <w:r>
              <w:rPr>
                <w:b/>
                <w:color w:val="C00000"/>
                <w:sz w:val="17"/>
              </w:rPr>
              <w:t>-6.3%</w:t>
            </w:r>
          </w:p>
        </w:tc>
      </w:tr>
      <w:tr>
        <w:tc>
          <w:tcPr>
            <w:tcW w:type="dxa" w:w="1440"/>
            <w:shd w:fill="FFDCE0" w:val="clear"/>
          </w:tcPr>
          <w:p>
            <w:r>
              <w:rPr>
                <w:sz w:val="17"/>
              </w:rPr>
              <w:t>J+5  Moyenne</w:t>
            </w:r>
          </w:p>
        </w:tc>
        <w:tc>
          <w:tcPr>
            <w:tcW w:type="dxa" w:w="1440"/>
            <w:shd w:fill="FFDCE0" w:val="clear"/>
          </w:tcPr>
          <w:p>
            <w:r>
              <w:rPr>
                <w:sz w:val="17"/>
              </w:rPr>
              <w:t>2026-08-19</w:t>
            </w:r>
          </w:p>
        </w:tc>
        <w:tc>
          <w:tcPr>
            <w:tcW w:type="dxa" w:w="1440"/>
            <w:shd w:fill="FFDCE0" w:val="clear"/>
          </w:tcPr>
          <w:p>
            <w:r>
              <w:rPr>
                <w:sz w:val="17"/>
              </w:rPr>
              <w:t>5,173</w:t>
            </w:r>
          </w:p>
        </w:tc>
        <w:tc>
          <w:tcPr>
            <w:tcW w:type="dxa" w:w="1440"/>
            <w:shd w:fill="FFDCE0" w:val="clear"/>
          </w:tcPr>
          <w:p>
            <w:r>
              <w:rPr>
                <w:b/>
                <w:sz w:val="17"/>
              </w:rPr>
              <w:t>5,583</w:t>
            </w:r>
          </w:p>
        </w:tc>
        <w:tc>
          <w:tcPr>
            <w:tcW w:type="dxa" w:w="1440"/>
            <w:shd w:fill="FFDCE0" w:val="clear"/>
          </w:tcPr>
          <w:p>
            <w:r>
              <w:rPr>
                <w:sz w:val="17"/>
              </w:rPr>
              <w:t>5,992</w:t>
            </w:r>
          </w:p>
        </w:tc>
        <w:tc>
          <w:tcPr>
            <w:tcW w:type="dxa" w:w="1440"/>
            <w:shd w:fill="FFDCE0" w:val="clear"/>
          </w:tcPr>
          <w:p>
            <w:r>
              <w:rPr>
                <w:b/>
                <w:color w:val="C00000"/>
                <w:sz w:val="17"/>
              </w:rPr>
              <w:t>-7.7%</w:t>
            </w:r>
          </w:p>
        </w:tc>
      </w:tr>
      <w:tr>
        <w:tc>
          <w:tcPr>
            <w:tcW w:type="dxa" w:w="1440"/>
            <w:shd w:fill="FFDCE0" w:val="clear"/>
          </w:tcPr>
          <w:p>
            <w:r>
              <w:rPr>
                <w:sz w:val="17"/>
              </w:rPr>
              <w:t>J+6  Moyenne</w:t>
            </w:r>
          </w:p>
        </w:tc>
        <w:tc>
          <w:tcPr>
            <w:tcW w:type="dxa" w:w="1440"/>
            <w:shd w:fill="FFDCE0" w:val="clear"/>
          </w:tcPr>
          <w:p>
            <w:r>
              <w:rPr>
                <w:sz w:val="17"/>
              </w:rPr>
              <w:t>2026-08-20</w:t>
            </w:r>
          </w:p>
        </w:tc>
        <w:tc>
          <w:tcPr>
            <w:tcW w:type="dxa" w:w="1440"/>
            <w:shd w:fill="FFDCE0" w:val="clear"/>
          </w:tcPr>
          <w:p>
            <w:r>
              <w:rPr>
                <w:sz w:val="17"/>
              </w:rPr>
              <w:t>5,064</w:t>
            </w:r>
          </w:p>
        </w:tc>
        <w:tc>
          <w:tcPr>
            <w:tcW w:type="dxa" w:w="1440"/>
            <w:shd w:fill="FFDCE0" w:val="clear"/>
          </w:tcPr>
          <w:p>
            <w:r>
              <w:rPr>
                <w:b/>
                <w:sz w:val="17"/>
              </w:rPr>
              <w:t>5,507</w:t>
            </w:r>
          </w:p>
        </w:tc>
        <w:tc>
          <w:tcPr>
            <w:tcW w:type="dxa" w:w="1440"/>
            <w:shd w:fill="FFDCE0" w:val="clear"/>
          </w:tcPr>
          <w:p>
            <w:r>
              <w:rPr>
                <w:sz w:val="17"/>
              </w:rPr>
              <w:t>5,949</w:t>
            </w:r>
          </w:p>
        </w:tc>
        <w:tc>
          <w:tcPr>
            <w:tcW w:type="dxa" w:w="1440"/>
            <w:shd w:fill="FFDCE0" w:val="clear"/>
          </w:tcPr>
          <w:p>
            <w:r>
              <w:rPr>
                <w:b/>
                <w:color w:val="C00000"/>
                <w:sz w:val="17"/>
              </w:rPr>
              <w:t>-9.0%</w:t>
            </w:r>
          </w:p>
        </w:tc>
      </w:tr>
      <w:tr>
        <w:tc>
          <w:tcPr>
            <w:tcW w:type="dxa" w:w="1440"/>
            <w:shd w:fill="FFDCE0" w:val="clear"/>
          </w:tcPr>
          <w:p>
            <w:r>
              <w:rPr>
                <w:sz w:val="17"/>
              </w:rPr>
              <w:t>J+7  Moyenne</w:t>
            </w:r>
          </w:p>
        </w:tc>
        <w:tc>
          <w:tcPr>
            <w:tcW w:type="dxa" w:w="1440"/>
            <w:shd w:fill="FFDCE0" w:val="clear"/>
          </w:tcPr>
          <w:p>
            <w:r>
              <w:rPr>
                <w:sz w:val="17"/>
              </w:rPr>
              <w:t>2026-08-21</w:t>
            </w:r>
          </w:p>
        </w:tc>
        <w:tc>
          <w:tcPr>
            <w:tcW w:type="dxa" w:w="1440"/>
            <w:shd w:fill="FFDCE0" w:val="clear"/>
          </w:tcPr>
          <w:p>
            <w:r>
              <w:rPr>
                <w:sz w:val="17"/>
              </w:rPr>
              <w:t>4,966</w:t>
            </w:r>
          </w:p>
        </w:tc>
        <w:tc>
          <w:tcPr>
            <w:tcW w:type="dxa" w:w="1440"/>
            <w:shd w:fill="FFDCE0" w:val="clear"/>
          </w:tcPr>
          <w:p>
            <w:r>
              <w:rPr>
                <w:b/>
                <w:sz w:val="17"/>
              </w:rPr>
              <w:t>5,438</w:t>
            </w:r>
          </w:p>
        </w:tc>
        <w:tc>
          <w:tcPr>
            <w:tcW w:type="dxa" w:w="1440"/>
            <w:shd w:fill="FFDCE0" w:val="clear"/>
          </w:tcPr>
          <w:p>
            <w:r>
              <w:rPr>
                <w:sz w:val="17"/>
              </w:rPr>
              <w:t>5,910</w:t>
            </w:r>
          </w:p>
        </w:tc>
        <w:tc>
          <w:tcPr>
            <w:tcW w:type="dxa" w:w="1440"/>
            <w:shd w:fill="FFDCE0" w:val="clear"/>
          </w:tcPr>
          <w:p>
            <w:r>
              <w:rPr>
                <w:b/>
                <w:color w:val="C00000"/>
                <w:sz w:val="17"/>
              </w:rPr>
              <w:t>-10.1%</w:t>
            </w:r>
          </w:p>
        </w:tc>
      </w:tr>
      <w:tr>
        <w:tc>
          <w:tcPr>
            <w:tcW w:type="dxa" w:w="1440"/>
            <w:shd w:fill="FFDCE0" w:val="clear"/>
          </w:tcPr>
          <w:p>
            <w:r>
              <w:rPr>
                <w:sz w:val="17"/>
              </w:rPr>
              <w:t>J+8  Moyenne</w:t>
            </w:r>
          </w:p>
        </w:tc>
        <w:tc>
          <w:tcPr>
            <w:tcW w:type="dxa" w:w="1440"/>
            <w:shd w:fill="FFDCE0" w:val="clear"/>
          </w:tcPr>
          <w:p>
            <w:r>
              <w:rPr>
                <w:sz w:val="17"/>
              </w:rPr>
              <w:t>2026-08-24</w:t>
            </w:r>
          </w:p>
        </w:tc>
        <w:tc>
          <w:tcPr>
            <w:tcW w:type="dxa" w:w="1440"/>
            <w:shd w:fill="FFDCE0" w:val="clear"/>
          </w:tcPr>
          <w:p>
            <w:r>
              <w:rPr>
                <w:sz w:val="17"/>
              </w:rPr>
              <w:t>4,875</w:t>
            </w:r>
          </w:p>
        </w:tc>
        <w:tc>
          <w:tcPr>
            <w:tcW w:type="dxa" w:w="1440"/>
            <w:shd w:fill="FFDCE0" w:val="clear"/>
          </w:tcPr>
          <w:p>
            <w:r>
              <w:rPr>
                <w:b/>
                <w:sz w:val="17"/>
              </w:rPr>
              <w:t>5,374</w:t>
            </w:r>
          </w:p>
        </w:tc>
        <w:tc>
          <w:tcPr>
            <w:tcW w:type="dxa" w:w="1440"/>
            <w:shd w:fill="FFDCE0" w:val="clear"/>
          </w:tcPr>
          <w:p>
            <w:r>
              <w:rPr>
                <w:sz w:val="17"/>
              </w:rPr>
              <w:t>5,872</w:t>
            </w:r>
          </w:p>
        </w:tc>
        <w:tc>
          <w:tcPr>
            <w:tcW w:type="dxa" w:w="1440"/>
            <w:shd w:fill="FFDCE0" w:val="clear"/>
          </w:tcPr>
          <w:p>
            <w:r>
              <w:rPr>
                <w:b/>
                <w:color w:val="C00000"/>
                <w:sz w:val="17"/>
              </w:rPr>
              <w:t>-11.2%</w:t>
            </w:r>
          </w:p>
        </w:tc>
      </w:tr>
      <w:tr>
        <w:tc>
          <w:tcPr>
            <w:tcW w:type="dxa" w:w="1440"/>
            <w:shd w:fill="FFDCE0" w:val="clear"/>
          </w:tcPr>
          <w:p>
            <w:r>
              <w:rPr>
                <w:sz w:val="17"/>
              </w:rPr>
              <w:t>J+9  Moyenne</w:t>
            </w:r>
          </w:p>
        </w:tc>
        <w:tc>
          <w:tcPr>
            <w:tcW w:type="dxa" w:w="1440"/>
            <w:shd w:fill="FFDCE0" w:val="clear"/>
          </w:tcPr>
          <w:p>
            <w:r>
              <w:rPr>
                <w:sz w:val="17"/>
              </w:rPr>
              <w:t>2026-08-25</w:t>
            </w:r>
          </w:p>
        </w:tc>
        <w:tc>
          <w:tcPr>
            <w:tcW w:type="dxa" w:w="1440"/>
            <w:shd w:fill="FFDCE0" w:val="clear"/>
          </w:tcPr>
          <w:p>
            <w:r>
              <w:rPr>
                <w:sz w:val="17"/>
              </w:rPr>
              <w:t>4,790</w:t>
            </w:r>
          </w:p>
        </w:tc>
        <w:tc>
          <w:tcPr>
            <w:tcW w:type="dxa" w:w="1440"/>
            <w:shd w:fill="FFDCE0" w:val="clear"/>
          </w:tcPr>
          <w:p>
            <w:r>
              <w:rPr>
                <w:b/>
                <w:sz w:val="17"/>
              </w:rPr>
              <w:t>5,313</w:t>
            </w:r>
          </w:p>
        </w:tc>
        <w:tc>
          <w:tcPr>
            <w:tcW w:type="dxa" w:w="1440"/>
            <w:shd w:fill="FFDCE0" w:val="clear"/>
          </w:tcPr>
          <w:p>
            <w:r>
              <w:rPr>
                <w:sz w:val="17"/>
              </w:rPr>
              <w:t>5,836</w:t>
            </w:r>
          </w:p>
        </w:tc>
        <w:tc>
          <w:tcPr>
            <w:tcW w:type="dxa" w:w="1440"/>
            <w:shd w:fill="FFDCE0" w:val="clear"/>
          </w:tcPr>
          <w:p>
            <w:r>
              <w:rPr>
                <w:b/>
                <w:color w:val="C00000"/>
                <w:sz w:val="17"/>
              </w:rPr>
              <w:t>-12.2%</w:t>
            </w:r>
          </w:p>
        </w:tc>
      </w:tr>
      <w:tr>
        <w:tc>
          <w:tcPr>
            <w:tcW w:type="dxa" w:w="1440"/>
            <w:shd w:fill="FFDCE0" w:val="clear"/>
          </w:tcPr>
          <w:p>
            <w:r>
              <w:rPr>
                <w:sz w:val="17"/>
              </w:rPr>
              <w:t>J+10  Moyenne</w:t>
            </w:r>
          </w:p>
        </w:tc>
        <w:tc>
          <w:tcPr>
            <w:tcW w:type="dxa" w:w="1440"/>
            <w:shd w:fill="FFDCE0" w:val="clear"/>
          </w:tcPr>
          <w:p>
            <w:r>
              <w:rPr>
                <w:sz w:val="17"/>
              </w:rPr>
              <w:t>2026-08-27</w:t>
            </w:r>
          </w:p>
        </w:tc>
        <w:tc>
          <w:tcPr>
            <w:tcW w:type="dxa" w:w="1440"/>
            <w:shd w:fill="FFDCE0" w:val="clear"/>
          </w:tcPr>
          <w:p>
            <w:r>
              <w:rPr>
                <w:sz w:val="17"/>
              </w:rPr>
              <w:t>4,710</w:t>
            </w:r>
          </w:p>
        </w:tc>
        <w:tc>
          <w:tcPr>
            <w:tcW w:type="dxa" w:w="1440"/>
            <w:shd w:fill="FFDCE0" w:val="clear"/>
          </w:tcPr>
          <w:p>
            <w:r>
              <w:rPr>
                <w:b/>
                <w:sz w:val="17"/>
              </w:rPr>
              <w:t>5,255</w:t>
            </w:r>
          </w:p>
        </w:tc>
        <w:tc>
          <w:tcPr>
            <w:tcW w:type="dxa" w:w="1440"/>
            <w:shd w:fill="FFDCE0" w:val="clear"/>
          </w:tcPr>
          <w:p>
            <w:r>
              <w:rPr>
                <w:sz w:val="17"/>
              </w:rPr>
              <w:t>5,801</w:t>
            </w:r>
          </w:p>
        </w:tc>
        <w:tc>
          <w:tcPr>
            <w:tcW w:type="dxa" w:w="1440"/>
            <w:shd w:fill="FFDCE0" w:val="clear"/>
          </w:tcPr>
          <w:p>
            <w:r>
              <w:rPr>
                <w:b/>
                <w:color w:val="C00000"/>
                <w:sz w:val="17"/>
              </w:rPr>
              <w:t>-13.1%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BOAM s'établit à 166,07 milliards FCFA, ce qui positionne la banque parmi les valeurs moyennes du marché BRVM, avec une liquidité quotidienne modeste d'environ 6 388 titres. Le BPA de 404 FCFA indique que chaque action génère un bénéfice substantiel, justifiant un PER de 15,0x, supérieur à la moyenne historique de la BRVM (8-12x), ce qui traduit une prime de croissance accordée par le marché aux perspectives de la banque. Le P/B de 3,33x confirme cette prime, le marché valorisant la société à plus de trois fois sa valeur comptable, signe d'une confiance dans la création de valeur future. Enfin, l'EV/EBITDA de 7,7x, dans la fourchette raisonnable de 5-10x, indique que la valorisation globale de l'entreprise par rapport à sa capacité opérationnelle reste mesurée, malgré la prime apparente sur le PER.</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des 100 derniers jours, le titre BOAM affiche une progression remarquable de +27,23%, avec une accélération notable lors de la dernière séance (+3,42%), portant le cours à 6 050 FCFA, son plus haut niveau sur la période. Le range de trading s'étend de 4 425 FCFA à 6 050 FCFA, démontrant une dynamique haussière soutenue. La moyenne du cours (4 962 FCFA) est supérieure à la médiane (4 755 FCFA), et le skewness positif de 0,894 indique une distribution asymétrique avec des journées plus fréquentes sous la moyenne, mais des mouvements de hausse plus amples. L'écart-type de 424 FCFA (CV=8,5%) révèle une dispersion modérée, tandis que le kurtosis de -0,638 (mésokurtique) suggère une distribution proche de la normale, sans risque de pics extrêmes. La volatilité annualisée de 31,8% classe le titre dans la catégorie élevée (&gt;30%), reflétant un risque de marché significatif mais récompensé par une forte appréciation.</w:t>
      </w:r>
    </w:p>
    <w:p>
      <w:pPr>
        <w:spacing w:after="120" w:line="276" w:lineRule="auto" w:before="240"/>
      </w:pPr>
      <w:r>
        <w:rPr>
          <w:b/>
          <w:color w:val="003366"/>
          <w:sz w:val="24"/>
        </w:rPr>
        <w:t>**PARTIE 2 : ANALYSE TECHNIQUE DÉTAILLÉE**</w:t>
      </w:r>
    </w:p>
    <w:p>
      <w:pPr>
        <w:spacing w:after="120" w:line="276" w:lineRule="auto"/>
      </w:pPr>
      <w:r>
        <w:t>**Moyennes Mobiles** : La MM20 (5 669,25 FCFA) et la MM50 (5 186,8 FCFA) sont toutes deux nettement inférieures au cours actuel de 6 050 FCFA, confirmant une tendance haussière solide à court et moyen terme. La configuration en "courbe ascendante" des moyennes mobiles valide la dynamique positive, justifiant la décision d'achat.</w:t>
      </w:r>
    </w:p>
    <w:p>
      <w:pPr>
        <w:spacing w:after="120" w:line="276" w:lineRule="auto"/>
      </w:pPr>
      <w:r>
        <w:t>**Bandes de Bollinger** : Le cours à 6 050 FCFA a franchi la borne supérieure (5 933,49 FCFA), signalant une condition de surachat temporaire et une volatilité accrue. Ce dépassement indique que le titre est momentanément étendu par rapport à sa moyenne mobile, suggérant un possible repli technique à court terme, d'où la décision de vente.</w:t>
      </w:r>
    </w:p>
    <w:p>
      <w:pPr>
        <w:spacing w:after="120" w:line="276" w:lineRule="auto"/>
      </w:pPr>
      <w:r>
        <w:t>**MACD** : La valeur du MACD (157,605) est supérieure à son signal (151,981), avec un écart positif de 5,624 points, indiquant un momentum haussier persistant. La dynamique positive du MACD confirme la tendance ascendante, justifiant la décision d'achat.</w:t>
      </w:r>
    </w:p>
    <w:p>
      <w:pPr>
        <w:spacing w:after="120" w:line="276" w:lineRule="auto"/>
      </w:pPr>
      <w:r>
        <w:t>**RSI** : À 67,949, le RSI se situe en zone neutre-haute, proche du seuil de surachat (70). Cette valeur indique une pression acheteuse encore présente mais potentiellement proche de l'épuisement, d'où la décision neutre.</w:t>
      </w:r>
    </w:p>
    <w:p>
      <w:pPr>
        <w:spacing w:after="120" w:line="276" w:lineRule="auto"/>
      </w:pPr>
      <w:r>
        <w:t>**Stochastique** : Le %K et le %D sont tous deux à 100,0, en zone de surachat extrême. Cette configuration signale une surchauffe technique sévère, avec un risque élevé de retournement à court terme, justifiant la décision de vente.</w:t>
      </w:r>
    </w:p>
    <w:p>
      <w:pPr>
        <w:spacing w:after="120" w:line="276" w:lineRule="auto"/>
      </w:pPr>
      <w:r>
        <w:t>**Conclusion technique** : Les indicateurs de tendance (MM, MACD) sont résolument haussiers, mais les oscillateurs (RSI, Stochastique, Bandes de Bollinger) indiquent une condition de surachat prononcée. Cette divergence suggère un potentiel de consolidation ou de correction technique à court terme avant la poursuite de la tendance haussière de fond. Les investisseurs devraient surveiller un repli vers la zone des 5 900-5 700 FCFA comme point d'entrée potentiel.</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BOAM révèlent une banque solidement implantée avec un Produit Net Bancaire de 37,996 milliards FCFA et un résultat net de 11,081 milliards FCFA, démontrant une excellente rentabilité avec un ROE de 22,24% (largement supérieur au seuil de 15% considéré comme excellent) et un ROA de 1,87%. Le coefficient d'exploitation de 63,14% reste légèrement au-dessus du seuil d'efficacité de 60%, mais la marge nette de 29,16% témoigne d'une bonne maîtrise opérationnelle. Le coût du risque de 43,39% (provisions/charges financières) est élevé, indiquant un portefeuille de crédits présentant un risque significatif, bien que les rapports trimestriels 2025 montrent une amélioration spectaculaire : le résultat net du T1 2025 a bondi de 91,18% à 3,021 milliards FCFA, le S1 2025 a progressé de 28,8% à 6,21 milliards, et le cumul sur 9 mois atteint 9,16 milliards (+26,2%), porté par une baisse du coût du risque et une maîtrise des frais généraux. Sur la base de ces tendances, on estime que l'exercice 2025 devrait dépasser les 11 milliards de résultat net, confirmant la trajectoire de croissance. La structure financière reste fragile avec une autonomie financière de 8,40% (capitaux propres/total bilan), mais la solvabilité générale de 109,16% et la capacité de remboursement de 1,79 an rassurent sur la pérennité de la banque. Les dépôts clientèle (502,89 milliards) représentent 1,98x les créances clientèle (253,65 milliards), indiquant une transformation saine avec une liquidité abondante. La recommandation fondamentale est positive, avec une solidité opérationnelle démontrée malgré un environnement macroéconomique difficile au Mali.</w:t>
      </w:r>
    </w:p>
    <w:p>
      <w:pPr>
        <w:spacing w:after="120" w:line="276" w:lineRule="auto" w:before="240"/>
      </w:pPr>
      <w:r>
        <w:rPr>
          <w:b/>
          <w:color w:val="003366"/>
          <w:sz w:val="24"/>
        </w:rPr>
        <w:t>**PARTIE 4 : CONCLUSION D'INVESTISSEMENT**</w:t>
      </w:r>
    </w:p>
    <w:p>
      <w:pPr>
        <w:spacing w:after="120" w:line="276" w:lineRule="auto"/>
      </w:pPr>
      <w:r>
        <w:t>La valorisation de BOAM (PER 15,0x, P/B 3,33x, EV/EBITDA 7,7x) indique une prime de croissance justifiée par des fondamentaux solides, bien que le PER soit supérieur à la moyenne BRVM. Le comportement du cours (+27,23% sur 100 jours) est nettement haussier, avec une volatilité élevée (31,8%) et une asymétrie positive qui favorise les mouvements de hausse. Les signaux techniques sont partagés : la tendance de fond (MM, MACD) reste positive, mais les indicateurs de surachat (Stochastique à 100, RSI à 67,9, franchissement des Bandes de Bollinger) suggèrent un repli technique imminent. Les fondamentaux sont excellents avec un ROE de 22,24%, un résultat net en forte croissance (+26,2% sur 9 mois) et une amélioration continue du coût du risque. Les prédictions IA (baisse de 6 025 à 5 583 FCFA sur 10 jours) confirment la probabilité d'une correction technique à court terme. En synthèse, la convergence entre la surchauffe technique et les prédictions IA suggère une consolidation temporaire avant la poursuite de la tendance haussière soutenue par des fondamentaux robustes. **Recommandation finale : ACHAT** (sur repli), avec un niveau de confiance **Élevé**, un risque global **Moyen** (volatilité élevée mais fondamentaux solides), et un horizon d'investissement optimal à **moyen terme (3-12 mois)** pour capitaliser sur la croissance des bénéfices et la solidité du modèle bancaire.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106.08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10,598 titres</w:t>
            </w:r>
          </w:p>
        </w:tc>
        <w:tc>
          <w:tcPr>
            <w:tcW w:type="dxa" w:w="2268"/>
            <w:shd w:fill="FFF2CC" w:val="clear"/>
          </w:tcPr>
          <w:p>
            <w:r>
              <w:rPr>
                <w:b/>
                <w:color w:val="503200"/>
                <w:sz w:val="16"/>
              </w:rPr>
              <w:t xml:space="preserve">Cours actuel : </w:t>
            </w:r>
            <w:r>
              <w:rPr>
                <w:color w:val="000000"/>
                <w:sz w:val="17"/>
              </w:rPr>
              <w:t>5,100 FCFA</w:t>
            </w:r>
          </w:p>
          <w:p>
            <w:r>
              <w:rPr>
                <w:b/>
                <w:color w:val="503200"/>
                <w:sz w:val="16"/>
              </w:rPr>
              <w:t xml:space="preserve">Var. 100 jours : </w:t>
            </w:r>
            <w:r>
              <w:rPr>
                <w:b/>
                <w:color w:val="007800"/>
                <w:sz w:val="17"/>
              </w:rPr>
              <w:t>+72.88%</w:t>
            </w:r>
          </w:p>
          <w:p>
            <w:r>
              <w:rPr>
                <w:b/>
                <w:color w:val="503200"/>
                <w:sz w:val="16"/>
              </w:rPr>
              <w:t xml:space="preserve">Plus haut 100j : </w:t>
            </w:r>
            <w:r>
              <w:rPr>
                <w:color w:val="000000"/>
                <w:sz w:val="17"/>
              </w:rPr>
              <w:t>5,400 FCFA</w:t>
            </w:r>
          </w:p>
          <w:p>
            <w:r>
              <w:rPr>
                <w:b/>
                <w:color w:val="503200"/>
                <w:sz w:val="16"/>
              </w:rPr>
              <w:t xml:space="preserve">Plus bas 100j : </w:t>
            </w:r>
            <w:r>
              <w:rPr>
                <w:color w:val="000000"/>
                <w:sz w:val="17"/>
              </w:rPr>
              <w:t>2,460 FCFA</w:t>
            </w:r>
          </w:p>
          <w:p>
            <w:r>
              <w:rPr>
                <w:b/>
                <w:color w:val="503200"/>
                <w:sz w:val="16"/>
              </w:rPr>
              <w:t xml:space="preserve">Volatilité ann. : </w:t>
            </w:r>
            <w:r>
              <w:rPr>
                <w:color w:val="000000"/>
                <w:sz w:val="17"/>
              </w:rPr>
              <w:t>44.3%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22.15% (Élevée) — μ=3,860 FCFA, σ=855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β=0.5280 (Défensif) — Cov=0.000019, Var(idx)=0.000036, ρ=0.119,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10,598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σ_j=2.79%/j (Stable) — Vol. annualisée≈44.3%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3244"/>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324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2026-08-13</w:t>
            </w:r>
          </w:p>
        </w:tc>
        <w:tc>
          <w:tcPr>
            <w:tcW w:type="dxa" w:w="1440"/>
            <w:shd w:fill="FAFAFA" w:val="clear"/>
          </w:tcPr>
          <w:p>
            <w:r>
              <w:rPr>
                <w:sz w:val="17"/>
              </w:rPr>
              <w:t>4,872</w:t>
            </w:r>
          </w:p>
        </w:tc>
        <w:tc>
          <w:tcPr>
            <w:tcW w:type="dxa" w:w="1440"/>
            <w:shd w:fill="FAFAFA" w:val="clear"/>
          </w:tcPr>
          <w:p>
            <w:r>
              <w:rPr>
                <w:b/>
                <w:sz w:val="17"/>
              </w:rPr>
              <w:t>5,101</w:t>
            </w:r>
          </w:p>
        </w:tc>
        <w:tc>
          <w:tcPr>
            <w:tcW w:type="dxa" w:w="1440"/>
            <w:shd w:fill="FAFAFA" w:val="clear"/>
          </w:tcPr>
          <w:p>
            <w:r>
              <w:rPr>
                <w:sz w:val="17"/>
              </w:rPr>
              <w:t>5,330</w:t>
            </w:r>
          </w:p>
        </w:tc>
        <w:tc>
          <w:tcPr>
            <w:tcW w:type="dxa" w:w="1440"/>
            <w:shd w:fill="FAFAFA" w:val="clear"/>
          </w:tcPr>
          <w:p>
            <w:r>
              <w:rPr>
                <w:b/>
                <w:color w:val="008000"/>
                <w:sz w:val="17"/>
              </w:rPr>
              <w:t>+0.0%</w:t>
            </w:r>
          </w:p>
        </w:tc>
      </w:tr>
      <w:tr>
        <w:tc>
          <w:tcPr>
            <w:tcW w:type="dxa" w:w="1440"/>
            <w:shd w:fill="FAFAFA" w:val="clear"/>
          </w:tcPr>
          <w:p>
            <w:r>
              <w:rPr>
                <w:sz w:val="17"/>
              </w:rPr>
              <w:t>J+2  ⭐</w:t>
            </w:r>
          </w:p>
        </w:tc>
        <w:tc>
          <w:tcPr>
            <w:tcW w:type="dxa" w:w="1440"/>
            <w:shd w:fill="FAFAFA" w:val="clear"/>
          </w:tcPr>
          <w:p>
            <w:r>
              <w:rPr>
                <w:sz w:val="17"/>
              </w:rPr>
              <w:t>2026-08-14</w:t>
            </w:r>
          </w:p>
        </w:tc>
        <w:tc>
          <w:tcPr>
            <w:tcW w:type="dxa" w:w="1440"/>
            <w:shd w:fill="FAFAFA" w:val="clear"/>
          </w:tcPr>
          <w:p>
            <w:r>
              <w:rPr>
                <w:sz w:val="17"/>
              </w:rPr>
              <w:t>4,764</w:t>
            </w:r>
          </w:p>
        </w:tc>
        <w:tc>
          <w:tcPr>
            <w:tcW w:type="dxa" w:w="1440"/>
            <w:shd w:fill="FAFAFA" w:val="clear"/>
          </w:tcPr>
          <w:p>
            <w:r>
              <w:rPr>
                <w:b/>
                <w:sz w:val="17"/>
              </w:rPr>
              <w:t>5,088</w:t>
            </w:r>
          </w:p>
        </w:tc>
        <w:tc>
          <w:tcPr>
            <w:tcW w:type="dxa" w:w="1440"/>
            <w:shd w:fill="FAFAFA" w:val="clear"/>
          </w:tcPr>
          <w:p>
            <w:r>
              <w:rPr>
                <w:sz w:val="17"/>
              </w:rPr>
              <w:t>5,411</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2026-08-17</w:t>
            </w:r>
          </w:p>
        </w:tc>
        <w:tc>
          <w:tcPr>
            <w:tcW w:type="dxa" w:w="1440"/>
            <w:shd w:fill="FAFAFA" w:val="clear"/>
          </w:tcPr>
          <w:p>
            <w:r>
              <w:rPr>
                <w:sz w:val="17"/>
              </w:rPr>
              <w:t>4,683</w:t>
            </w:r>
          </w:p>
        </w:tc>
        <w:tc>
          <w:tcPr>
            <w:tcW w:type="dxa" w:w="1440"/>
            <w:shd w:fill="FAFAFA" w:val="clear"/>
          </w:tcPr>
          <w:p>
            <w:r>
              <w:rPr>
                <w:b/>
                <w:sz w:val="17"/>
              </w:rPr>
              <w:t>5,078</w:t>
            </w:r>
          </w:p>
        </w:tc>
        <w:tc>
          <w:tcPr>
            <w:tcW w:type="dxa" w:w="1440"/>
            <w:shd w:fill="FAFAFA" w:val="clear"/>
          </w:tcPr>
          <w:p>
            <w:r>
              <w:rPr>
                <w:sz w:val="17"/>
              </w:rPr>
              <w:t>5,473</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2026-08-18</w:t>
            </w:r>
          </w:p>
        </w:tc>
        <w:tc>
          <w:tcPr>
            <w:tcW w:type="dxa" w:w="1440"/>
            <w:shd w:fill="FAFAFA" w:val="clear"/>
          </w:tcPr>
          <w:p>
            <w:r>
              <w:rPr>
                <w:sz w:val="17"/>
              </w:rPr>
              <w:t>4,613</w:t>
            </w:r>
          </w:p>
        </w:tc>
        <w:tc>
          <w:tcPr>
            <w:tcW w:type="dxa" w:w="1440"/>
            <w:shd w:fill="FAFAFA" w:val="clear"/>
          </w:tcPr>
          <w:p>
            <w:r>
              <w:rPr>
                <w:b/>
                <w:sz w:val="17"/>
              </w:rPr>
              <w:t>5,068</w:t>
            </w:r>
          </w:p>
        </w:tc>
        <w:tc>
          <w:tcPr>
            <w:tcW w:type="dxa" w:w="1440"/>
            <w:shd w:fill="FAFAFA" w:val="clear"/>
          </w:tcPr>
          <w:p>
            <w:r>
              <w:rPr>
                <w:sz w:val="17"/>
              </w:rPr>
              <w:t>5,524</w:t>
            </w:r>
          </w:p>
        </w:tc>
        <w:tc>
          <w:tcPr>
            <w:tcW w:type="dxa" w:w="1440"/>
            <w:shd w:fill="FAFAFA" w:val="clear"/>
          </w:tcPr>
          <w:p>
            <w:r>
              <w:rPr>
                <w:b/>
                <w:color w:val="C00000"/>
                <w:sz w:val="17"/>
              </w:rPr>
              <w:t>-0.6%</w:t>
            </w:r>
          </w:p>
        </w:tc>
      </w:tr>
      <w:tr>
        <w:tc>
          <w:tcPr>
            <w:tcW w:type="dxa" w:w="1440"/>
            <w:shd w:fill="FAFAFA" w:val="clear"/>
          </w:tcPr>
          <w:p>
            <w:r>
              <w:rPr>
                <w:sz w:val="17"/>
              </w:rPr>
              <w:t>J+5  ⭐</w:t>
            </w:r>
          </w:p>
        </w:tc>
        <w:tc>
          <w:tcPr>
            <w:tcW w:type="dxa" w:w="1440"/>
            <w:shd w:fill="FAFAFA" w:val="clear"/>
          </w:tcPr>
          <w:p>
            <w:r>
              <w:rPr>
                <w:sz w:val="17"/>
              </w:rPr>
              <w:t>2026-08-19</w:t>
            </w:r>
          </w:p>
        </w:tc>
        <w:tc>
          <w:tcPr>
            <w:tcW w:type="dxa" w:w="1440"/>
            <w:shd w:fill="FAFAFA" w:val="clear"/>
          </w:tcPr>
          <w:p>
            <w:r>
              <w:rPr>
                <w:sz w:val="17"/>
              </w:rPr>
              <w:t>4,551</w:t>
            </w:r>
          </w:p>
        </w:tc>
        <w:tc>
          <w:tcPr>
            <w:tcW w:type="dxa" w:w="1440"/>
            <w:shd w:fill="FAFAFA" w:val="clear"/>
          </w:tcPr>
          <w:p>
            <w:r>
              <w:rPr>
                <w:b/>
                <w:sz w:val="17"/>
              </w:rPr>
              <w:t>5,059</w:t>
            </w:r>
          </w:p>
        </w:tc>
        <w:tc>
          <w:tcPr>
            <w:tcW w:type="dxa" w:w="1440"/>
            <w:shd w:fill="FAFAFA" w:val="clear"/>
          </w:tcPr>
          <w:p>
            <w:r>
              <w:rPr>
                <w:sz w:val="17"/>
              </w:rPr>
              <w:t>5,567</w:t>
            </w:r>
          </w:p>
        </w:tc>
        <w:tc>
          <w:tcPr>
            <w:tcW w:type="dxa" w:w="1440"/>
            <w:shd w:fill="FAFAFA" w:val="clear"/>
          </w:tcPr>
          <w:p>
            <w:r>
              <w:rPr>
                <w:b/>
                <w:color w:val="C00000"/>
                <w:sz w:val="17"/>
              </w:rPr>
              <w:t>-0.8%</w:t>
            </w:r>
          </w:p>
        </w:tc>
      </w:tr>
      <w:tr>
        <w:tc>
          <w:tcPr>
            <w:tcW w:type="dxa" w:w="1440"/>
            <w:shd w:fill="FAFAFA" w:val="clear"/>
          </w:tcPr>
          <w:p>
            <w:r>
              <w:rPr>
                <w:sz w:val="17"/>
              </w:rPr>
              <w:t>J+6  ⭐</w:t>
            </w:r>
          </w:p>
        </w:tc>
        <w:tc>
          <w:tcPr>
            <w:tcW w:type="dxa" w:w="1440"/>
            <w:shd w:fill="FAFAFA" w:val="clear"/>
          </w:tcPr>
          <w:p>
            <w:r>
              <w:rPr>
                <w:sz w:val="17"/>
              </w:rPr>
              <w:t>2026-08-20</w:t>
            </w:r>
          </w:p>
        </w:tc>
        <w:tc>
          <w:tcPr>
            <w:tcW w:type="dxa" w:w="1440"/>
            <w:shd w:fill="FAFAFA" w:val="clear"/>
          </w:tcPr>
          <w:p>
            <w:r>
              <w:rPr>
                <w:sz w:val="17"/>
              </w:rPr>
              <w:t>4,495</w:t>
            </w:r>
          </w:p>
        </w:tc>
        <w:tc>
          <w:tcPr>
            <w:tcW w:type="dxa" w:w="1440"/>
            <w:shd w:fill="FAFAFA" w:val="clear"/>
          </w:tcPr>
          <w:p>
            <w:r>
              <w:rPr>
                <w:b/>
                <w:sz w:val="17"/>
              </w:rPr>
              <w:t>5,051</w:t>
            </w:r>
          </w:p>
        </w:tc>
        <w:tc>
          <w:tcPr>
            <w:tcW w:type="dxa" w:w="1440"/>
            <w:shd w:fill="FAFAFA" w:val="clear"/>
          </w:tcPr>
          <w:p>
            <w:r>
              <w:rPr>
                <w:sz w:val="17"/>
              </w:rPr>
              <w:t>5,606</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2026-08-21</w:t>
            </w:r>
          </w:p>
        </w:tc>
        <w:tc>
          <w:tcPr>
            <w:tcW w:type="dxa" w:w="1440"/>
            <w:shd w:fill="FAFAFA" w:val="clear"/>
          </w:tcPr>
          <w:p>
            <w:r>
              <w:rPr>
                <w:sz w:val="17"/>
              </w:rPr>
              <w:t>4,443</w:t>
            </w:r>
          </w:p>
        </w:tc>
        <w:tc>
          <w:tcPr>
            <w:tcW w:type="dxa" w:w="1440"/>
            <w:shd w:fill="FAFAFA" w:val="clear"/>
          </w:tcPr>
          <w:p>
            <w:r>
              <w:rPr>
                <w:b/>
                <w:sz w:val="17"/>
              </w:rPr>
              <w:t>5,042</w:t>
            </w:r>
          </w:p>
        </w:tc>
        <w:tc>
          <w:tcPr>
            <w:tcW w:type="dxa" w:w="1440"/>
            <w:shd w:fill="FAFAFA" w:val="clear"/>
          </w:tcPr>
          <w:p>
            <w:r>
              <w:rPr>
                <w:sz w:val="17"/>
              </w:rPr>
              <w:t>5,641</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2026-08-24</w:t>
            </w:r>
          </w:p>
        </w:tc>
        <w:tc>
          <w:tcPr>
            <w:tcW w:type="dxa" w:w="1440"/>
            <w:shd w:fill="FAFAFA" w:val="clear"/>
          </w:tcPr>
          <w:p>
            <w:r>
              <w:rPr>
                <w:sz w:val="17"/>
              </w:rPr>
              <w:t>4,394</w:t>
            </w:r>
          </w:p>
        </w:tc>
        <w:tc>
          <w:tcPr>
            <w:tcW w:type="dxa" w:w="1440"/>
            <w:shd w:fill="FAFAFA" w:val="clear"/>
          </w:tcPr>
          <w:p>
            <w:r>
              <w:rPr>
                <w:b/>
                <w:sz w:val="17"/>
              </w:rPr>
              <w:t>5,033</w:t>
            </w:r>
          </w:p>
        </w:tc>
        <w:tc>
          <w:tcPr>
            <w:tcW w:type="dxa" w:w="1440"/>
            <w:shd w:fill="FAFAFA" w:val="clear"/>
          </w:tcPr>
          <w:p>
            <w:r>
              <w:rPr>
                <w:sz w:val="17"/>
              </w:rPr>
              <w:t>5,672</w:t>
            </w:r>
          </w:p>
        </w:tc>
        <w:tc>
          <w:tcPr>
            <w:tcW w:type="dxa" w:w="1440"/>
            <w:shd w:fill="FAFAFA" w:val="clear"/>
          </w:tcPr>
          <w:p>
            <w:r>
              <w:rPr>
                <w:b/>
                <w:color w:val="C00000"/>
                <w:sz w:val="17"/>
              </w:rPr>
              <w:t>-1.3%</w:t>
            </w:r>
          </w:p>
        </w:tc>
      </w:tr>
      <w:tr>
        <w:tc>
          <w:tcPr>
            <w:tcW w:type="dxa" w:w="1440"/>
            <w:shd w:fill="FAFAFA" w:val="clear"/>
          </w:tcPr>
          <w:p>
            <w:r>
              <w:rPr>
                <w:sz w:val="17"/>
              </w:rPr>
              <w:t>J+9  ⭐</w:t>
            </w:r>
          </w:p>
        </w:tc>
        <w:tc>
          <w:tcPr>
            <w:tcW w:type="dxa" w:w="1440"/>
            <w:shd w:fill="FAFAFA" w:val="clear"/>
          </w:tcPr>
          <w:p>
            <w:r>
              <w:rPr>
                <w:sz w:val="17"/>
              </w:rPr>
              <w:t>2026-08-25</w:t>
            </w:r>
          </w:p>
        </w:tc>
        <w:tc>
          <w:tcPr>
            <w:tcW w:type="dxa" w:w="1440"/>
            <w:shd w:fill="FAFAFA" w:val="clear"/>
          </w:tcPr>
          <w:p>
            <w:r>
              <w:rPr>
                <w:sz w:val="17"/>
              </w:rPr>
              <w:t>4,348</w:t>
            </w:r>
          </w:p>
        </w:tc>
        <w:tc>
          <w:tcPr>
            <w:tcW w:type="dxa" w:w="1440"/>
            <w:shd w:fill="FAFAFA" w:val="clear"/>
          </w:tcPr>
          <w:p>
            <w:r>
              <w:rPr>
                <w:b/>
                <w:sz w:val="17"/>
              </w:rPr>
              <w:t>5,024</w:t>
            </w:r>
          </w:p>
        </w:tc>
        <w:tc>
          <w:tcPr>
            <w:tcW w:type="dxa" w:w="1440"/>
            <w:shd w:fill="FAFAFA" w:val="clear"/>
          </w:tcPr>
          <w:p>
            <w:r>
              <w:rPr>
                <w:sz w:val="17"/>
              </w:rPr>
              <w:t>5,701</w:t>
            </w:r>
          </w:p>
        </w:tc>
        <w:tc>
          <w:tcPr>
            <w:tcW w:type="dxa" w:w="1440"/>
            <w:shd w:fill="FAFAFA" w:val="clear"/>
          </w:tcPr>
          <w:p>
            <w:r>
              <w:rPr>
                <w:b/>
                <w:color w:val="C00000"/>
                <w:sz w:val="17"/>
              </w:rPr>
              <w:t>-1.5%</w:t>
            </w:r>
          </w:p>
        </w:tc>
      </w:tr>
      <w:tr>
        <w:tc>
          <w:tcPr>
            <w:tcW w:type="dxa" w:w="1440"/>
            <w:shd w:fill="FAFAFA" w:val="clear"/>
          </w:tcPr>
          <w:p>
            <w:r>
              <w:rPr>
                <w:sz w:val="17"/>
              </w:rPr>
              <w:t>J+10  ⭐</w:t>
            </w:r>
          </w:p>
        </w:tc>
        <w:tc>
          <w:tcPr>
            <w:tcW w:type="dxa" w:w="1440"/>
            <w:shd w:fill="FAFAFA" w:val="clear"/>
          </w:tcPr>
          <w:p>
            <w:r>
              <w:rPr>
                <w:sz w:val="17"/>
              </w:rPr>
              <w:t>2026-08-27</w:t>
            </w:r>
          </w:p>
        </w:tc>
        <w:tc>
          <w:tcPr>
            <w:tcW w:type="dxa" w:w="1440"/>
            <w:shd w:fill="FAFAFA" w:val="clear"/>
          </w:tcPr>
          <w:p>
            <w:r>
              <w:rPr>
                <w:sz w:val="17"/>
              </w:rPr>
              <w:t>4,304</w:t>
            </w:r>
          </w:p>
        </w:tc>
        <w:tc>
          <w:tcPr>
            <w:tcW w:type="dxa" w:w="1440"/>
            <w:shd w:fill="FAFAFA" w:val="clear"/>
          </w:tcPr>
          <w:p>
            <w:r>
              <w:rPr>
                <w:b/>
                <w:sz w:val="17"/>
              </w:rPr>
              <w:t>5,016</w:t>
            </w:r>
          </w:p>
        </w:tc>
        <w:tc>
          <w:tcPr>
            <w:tcW w:type="dxa" w:w="1440"/>
            <w:shd w:fill="FAFAFA" w:val="clear"/>
          </w:tcPr>
          <w:p>
            <w:r>
              <w:rPr>
                <w:sz w:val="17"/>
              </w:rPr>
              <w:t>5,728</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**Date de l'analyse : 12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BOAN s'établit à 106,08 milliards FCFA, un niveau significatif qui la positionne parmi les valeurs moyennes de la BRVM. Le BPA de 20 FCFA par action est extrêmement faible, ce qui explique un PER de 259,4x, très largement supérieur à la moyenne du marché BRVM (8-12x). Les investisseurs paient donc un prix très élevé pour des bénéfices actuels minimes, ce qui traduit une anticipation de rebond futur des résultats. Le P/B de 2,94x indique que le marché valorise la société à près de trois fois sa valeur comptable, une prime de croissance accordée malgré les difficultés récentes. Enfin, l'EV/EBITDA de 39,5x est très exigeant, signalant que la valeur totale de l'entreprise est disproportionnée par rapport à sa capacité opérationnelle actuelle, ce qui suggère une valorisation optimiste.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BOAN a enregistré une progression spectaculaire de +72,88%, passant d'un plus bas de 2 460 FCFA à un plus haut de 5 400 FCFA, pour clôturer à 5 100 FCFA. La dernière séance est stable (0,00%). La moyenne du cours sur la période est de 3 860 FCFA, tandis que la médiane s'établit à 3 705 FCFA, l'écart entre ces deux valeurs indiquant une distribution légèrement asymétrique à droite. L'écart-type de 859 FCFA (CV=22,3%) révèle une dispersion modérée des prix autour de la moyenne. Le kurtosis de -0,858 (mésokurtique) indique une distribution proche de la normale, sans risque de variations extrêmes particulières, tandis que le skewness de 0,369 confirme une asymétrie positive, avec des valeurs extrêmes plutôt hautes. La volatilité annualisée de 44,3% est élevée (&gt;30%), reflétant un titre très spéculatif et sensible aux nouvelles du marché.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(5 100 FCFA) est inférieur à la MM20 (5 238,75 FCFA) mais supérieur à la MM50 (4 516,4 FCFA). Cette configuration indique un récent repli après une forte hausse, mais la tendance de fond reste haussière. La décision d'achat est justifiée par la position au-dessus de la MM50, bien que la correction sous la MM20 appelle à la prudence.</w:t>
      </w:r>
    </w:p>
    <w:p>
      <w:pPr>
        <w:spacing w:after="120" w:line="276" w:lineRule="auto"/>
      </w:pPr>
      <w:r>
        <w:t>**Bandes de Bollinger** : Le prix se situe à 5 100 FCFA, proche de la borne inférieure (5 025,36 FCFA) et nettement sous la borne supérieure (5 452,14 FCFA). Cette position suggère une pression vendeuse récente et une volatilité en contraction. La décision neutre reflète l'absence de signal directionnel clair, le titre étant dans la moitié inférieure du canal.</w:t>
      </w:r>
    </w:p>
    <w:p>
      <w:pPr>
        <w:spacing w:after="120" w:line="276" w:lineRule="auto"/>
      </w:pPr>
      <w:r>
        <w:t>**MACD** : Le MACD (164,80) est inférieur à son signal (232,65), indiquant un momentum baissier à court terme. Cette configuration de croisement baissier suggère une perte de vitesse de la tendance haussière, justifiant la décision de vente. Les investisseurs devraient surveiller un éventuel retournement du MACD au-dessus du signal.</w:t>
      </w:r>
    </w:p>
    <w:p>
      <w:pPr>
        <w:spacing w:after="120" w:line="276" w:lineRule="auto"/>
      </w:pPr>
      <w:r>
        <w:t>**RSI** : À 44,68, le RSI se situe en zone neutre (30-70), sans signal de surachat ni de survente. Cette valeur indique un équilibre entre pression acheteuse et vendeuse, avec une légère dominance baissière. La décision neutre est cohérente avec l'absence de dynamique directionnelle forte.</w:t>
      </w:r>
    </w:p>
    <w:p>
      <w:pPr>
        <w:spacing w:after="120" w:line="276" w:lineRule="auto"/>
      </w:pPr>
      <w:r>
        <w:t>**Stochastique** : Le %K (7,69) est très bas et inférieur au %D (17,95), indiquant une zone de survente extrême. Cette configuration suggère un potentiel de rebond technique à court terme, justifiant la décision d'achat. Un croisement haussier du %K au-dessus du %D pourrait confirmer ce scénario.</w:t>
      </w:r>
    </w:p>
    <w:p>
      <w:pPr>
        <w:spacing w:after="120" w:line="276" w:lineRule="auto"/>
      </w:pPr>
      <w:r>
        <w:t>**Conclusion technique** : Les indicateurs sont mitigés, avec une opposition entre les moyennes mobiles (achat) et le MACD (vente). Le stochastique en survente extrême et le RSI neutre suggèrent un possible rebond technique, mais la prudence est de mise tant que le cours n'a pas repris la MM20. La tendance de fond reste haussière, mais une consolidation est en cours.</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de BOAN révèlent une situation financière très dégradée. Le Produit Net Bancaire s'établit à 21,125 milliards FCFA, en légère baisse de 1,2% par rapport à 2024 (21,38 milliards FCFA). Le résultat net s'effondre à 409 millions FCFA, contre 5 002 millions FCFA en 2024, soit une chute de 91,8%. Cette dégradation se reflète dans le ROE de 1,13% et le ROA de 0,14%, des niveaux très faibles. Le coefficient d'exploitation de 74,4% est préoccupant, indiquant une banque peu efficace dans la gestion de ses charges. Le coût du risque de 67,3% est élevé, reflétant un portefeuille de crédits de mauvaise qualité, avec un taux de créances en souffrance sectoriel de 24%. Les dépôts clientèle (183,28 milliards FCFA) restent supérieurs aux crédits (128,45 milliards FCFA), mais la contraction des crédits de 20,9% témoigne d'une politique prudente. Selon les rapports trimestriels 2025 (T1, S1, T3), la tendance baissière s'est poursuivie, avec un résultat net cumulé de 2,84 milliards FCFA sur 9 mois, en baisse de 33,1%. Cependant, le rapport T1 2026 (daté de mars 2026) montre une nette amélioration : le résultat net progresse de 28,9% à 1 467,3 millions FCFA, le PNB de 7,9% à 5 170 millions FCFA, et le coefficient d'exploitation s'améliore à 56,2%. Sur cette base, on estime que l'exercice 2026 devrait marquer un rebond significatif, avec un objectif de résultat avant impôts de 7,28 milliards FCFA, soit une multiplication par 6 par rapport à 2025. La banque bénéficie du soutien du groupe BOA et d'un contexte macroéconomique nigérien en amélioration (croissance du PIB de 6,6% en 2025, 7% prévu en 2026-2029).</w:t>
      </w:r>
    </w:p>
    <w:p>
      <w:pPr>
        <w:spacing w:after="120" w:line="276" w:lineRule="auto"/>
      </w:pPr>
      <w:r>
        <w:t>---</w:t>
      </w:r>
    </w:p>
    <w:p>
      <w:pPr>
        <w:spacing w:after="120" w:line="276" w:lineRule="auto"/>
      </w:pPr>
      <w:r>
        <w:t>### PARTIE 4 : CONCLUSION D'INVESTISSEMENT</w:t>
      </w:r>
    </w:p>
    <w:p>
      <w:pPr>
        <w:spacing w:after="120" w:line="276" w:lineRule="auto"/>
      </w:pPr>
      <w:r>
        <w:t>La valorisation de BOAN est extrêmement exigeante (PER de 259,4x, EV/EBITDA de 39,5x), indiquant une forte surévaluation par rapport aux bénéfices actuels, bien que le P/B de 2,94x reste dans une fourchette acceptable. Le comportement du cours (+72,88% sur 100 jours) avec une volatilité élevée (44,3%) et une distribution statistique relativement normale (kurtosis mésokurtique, skewness positif) suggère un marché spéculatif mais sans risque extrême de krach. Les signaux techniques sont mitigés, avec une opposition entre les moyennes mobiles (achat) et le MACD (vente), tandis que le stochastique en survente suggère un rebond potentiel. Les fondamentaux, bien que très dégradés en 2025 (résultat net en chute de 91,8%), montrent des signes encourageants de redressement au T1 2026, avec une amélioration notable de la rentabilité et du coefficient d'exploitation. Les prédictions IA (5 101 à 5 059 FCFA sur 10 jours) indiquent une légère baisse, ce qui contredit partiellement les signaux techniques de rebond. En synthèse, la convergence est partielle : les fondamentaux s'améliorent, mais la valorisation reste excessive et les signaux techniques sont contradictoires. **Recommandation : CONSERVER**, avec un niveau de confiance **Moyen** et un risque global **Élevé**. L'horizon d'investissement optimal est le **moyen terme (3-12 mois)**, en attendant la confirmation du redressement fondamental et une normalisation de la valorisation.</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276.84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9,164 titres</w:t>
            </w:r>
          </w:p>
        </w:tc>
        <w:tc>
          <w:tcPr>
            <w:tcW w:type="dxa" w:w="2268"/>
            <w:shd w:fill="FFF2CC" w:val="clear"/>
          </w:tcPr>
          <w:p>
            <w:r>
              <w:rPr>
                <w:b/>
                <w:color w:val="503200"/>
                <w:sz w:val="16"/>
              </w:rPr>
              <w:t xml:space="preserve">Cours actuel : </w:t>
            </w:r>
            <w:r>
              <w:rPr>
                <w:color w:val="000000"/>
                <w:sz w:val="17"/>
              </w:rPr>
              <w:t>7,690 FCFA</w:t>
            </w:r>
          </w:p>
          <w:p>
            <w:r>
              <w:rPr>
                <w:b/>
                <w:color w:val="503200"/>
                <w:sz w:val="16"/>
              </w:rPr>
              <w:t xml:space="preserve">Var. 100 jours : </w:t>
            </w:r>
            <w:r>
              <w:rPr>
                <w:b/>
                <w:color w:val="007800"/>
                <w:sz w:val="17"/>
              </w:rPr>
              <w:t>+11.61%</w:t>
            </w:r>
          </w:p>
          <w:p>
            <w:r>
              <w:rPr>
                <w:b/>
                <w:color w:val="503200"/>
                <w:sz w:val="16"/>
              </w:rPr>
              <w:t xml:space="preserve">Plus haut 100j : </w:t>
            </w:r>
            <w:r>
              <w:rPr>
                <w:color w:val="000000"/>
                <w:sz w:val="17"/>
              </w:rPr>
              <w:t>8,050 FCFA</w:t>
            </w:r>
          </w:p>
          <w:p>
            <w:r>
              <w:rPr>
                <w:b/>
                <w:color w:val="503200"/>
                <w:sz w:val="16"/>
              </w:rPr>
              <w:t xml:space="preserve">Plus bas 100j : </w:t>
            </w:r>
            <w:r>
              <w:rPr>
                <w:color w:val="000000"/>
                <w:sz w:val="17"/>
              </w:rPr>
              <w:t>6,400 FCFA</w:t>
            </w:r>
          </w:p>
          <w:p>
            <w:r>
              <w:rPr>
                <w:b/>
                <w:color w:val="503200"/>
                <w:sz w:val="16"/>
              </w:rPr>
              <w:t xml:space="preserve">Volatilité ann. : </w:t>
            </w:r>
            <w:r>
              <w:rPr>
                <w:color w:val="000000"/>
                <w:sz w:val="17"/>
              </w:rPr>
              <w:t>24.5%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5.39% (Moyenne) — μ=7,274 FCFA, σ=392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β=0.5194 (Défensif) — Cov=0.000019, Var(idx)=0.000036, ρ=0.202,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9,164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3244"/>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324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2026-08-13</w:t>
            </w:r>
          </w:p>
        </w:tc>
        <w:tc>
          <w:tcPr>
            <w:tcW w:type="dxa" w:w="1440"/>
            <w:shd w:fill="FFDCE0" w:val="clear"/>
          </w:tcPr>
          <w:p>
            <w:r>
              <w:rPr>
                <w:sz w:val="17"/>
              </w:rPr>
              <w:t>7,351</w:t>
            </w:r>
          </w:p>
        </w:tc>
        <w:tc>
          <w:tcPr>
            <w:tcW w:type="dxa" w:w="1440"/>
            <w:shd w:fill="FFDCE0" w:val="clear"/>
          </w:tcPr>
          <w:p>
            <w:r>
              <w:rPr>
                <w:b/>
                <w:sz w:val="17"/>
              </w:rPr>
              <w:t>7,526</w:t>
            </w:r>
          </w:p>
        </w:tc>
        <w:tc>
          <w:tcPr>
            <w:tcW w:type="dxa" w:w="1440"/>
            <w:shd w:fill="FFDCE0" w:val="clear"/>
          </w:tcPr>
          <w:p>
            <w:r>
              <w:rPr>
                <w:sz w:val="17"/>
              </w:rPr>
              <w:t>7,701</w:t>
            </w:r>
          </w:p>
        </w:tc>
        <w:tc>
          <w:tcPr>
            <w:tcW w:type="dxa" w:w="1440"/>
            <w:shd w:fill="FFDCE0" w:val="clear"/>
          </w:tcPr>
          <w:p>
            <w:r>
              <w:rPr>
                <w:b/>
                <w:color w:val="C00000"/>
                <w:sz w:val="17"/>
              </w:rPr>
              <w:t>-2.1%</w:t>
            </w:r>
          </w:p>
        </w:tc>
      </w:tr>
      <w:tr>
        <w:tc>
          <w:tcPr>
            <w:tcW w:type="dxa" w:w="1440"/>
            <w:shd w:fill="FFDCE0" w:val="clear"/>
          </w:tcPr>
          <w:p>
            <w:r>
              <w:rPr>
                <w:sz w:val="17"/>
              </w:rPr>
              <w:t>J+2  ⭐⭐⭐</w:t>
            </w:r>
          </w:p>
        </w:tc>
        <w:tc>
          <w:tcPr>
            <w:tcW w:type="dxa" w:w="1440"/>
            <w:shd w:fill="FFDCE0" w:val="clear"/>
          </w:tcPr>
          <w:p>
            <w:r>
              <w:rPr>
                <w:sz w:val="17"/>
              </w:rPr>
              <w:t>2026-08-14</w:t>
            </w:r>
          </w:p>
        </w:tc>
        <w:tc>
          <w:tcPr>
            <w:tcW w:type="dxa" w:w="1440"/>
            <w:shd w:fill="FFDCE0" w:val="clear"/>
          </w:tcPr>
          <w:p>
            <w:r>
              <w:rPr>
                <w:sz w:val="17"/>
              </w:rPr>
              <w:t>7,171</w:t>
            </w:r>
          </w:p>
        </w:tc>
        <w:tc>
          <w:tcPr>
            <w:tcW w:type="dxa" w:w="1440"/>
            <w:shd w:fill="FFDCE0" w:val="clear"/>
          </w:tcPr>
          <w:p>
            <w:r>
              <w:rPr>
                <w:b/>
                <w:sz w:val="17"/>
              </w:rPr>
              <w:t>7,415</w:t>
            </w:r>
          </w:p>
        </w:tc>
        <w:tc>
          <w:tcPr>
            <w:tcW w:type="dxa" w:w="1440"/>
            <w:shd w:fill="FFDCE0" w:val="clear"/>
          </w:tcPr>
          <w:p>
            <w:r>
              <w:rPr>
                <w:sz w:val="17"/>
              </w:rPr>
              <w:t>7,659</w:t>
            </w:r>
          </w:p>
        </w:tc>
        <w:tc>
          <w:tcPr>
            <w:tcW w:type="dxa" w:w="1440"/>
            <w:shd w:fill="FFDCE0" w:val="clear"/>
          </w:tcPr>
          <w:p>
            <w:r>
              <w:rPr>
                <w:b/>
                <w:color w:val="C00000"/>
                <w:sz w:val="17"/>
              </w:rPr>
              <w:t>-3.6%</w:t>
            </w:r>
          </w:p>
        </w:tc>
      </w:tr>
      <w:tr>
        <w:tc>
          <w:tcPr>
            <w:tcW w:type="dxa" w:w="1440"/>
            <w:shd w:fill="FFDCE0" w:val="clear"/>
          </w:tcPr>
          <w:p>
            <w:r>
              <w:rPr>
                <w:sz w:val="17"/>
              </w:rPr>
              <w:t>J+3  ⭐⭐⭐</w:t>
            </w:r>
          </w:p>
        </w:tc>
        <w:tc>
          <w:tcPr>
            <w:tcW w:type="dxa" w:w="1440"/>
            <w:shd w:fill="FFDCE0" w:val="clear"/>
          </w:tcPr>
          <w:p>
            <w:r>
              <w:rPr>
                <w:sz w:val="17"/>
              </w:rPr>
              <w:t>2026-08-17</w:t>
            </w:r>
          </w:p>
        </w:tc>
        <w:tc>
          <w:tcPr>
            <w:tcW w:type="dxa" w:w="1440"/>
            <w:shd w:fill="FFDCE0" w:val="clear"/>
          </w:tcPr>
          <w:p>
            <w:r>
              <w:rPr>
                <w:sz w:val="17"/>
              </w:rPr>
              <w:t>7,013</w:t>
            </w:r>
          </w:p>
        </w:tc>
        <w:tc>
          <w:tcPr>
            <w:tcW w:type="dxa" w:w="1440"/>
            <w:shd w:fill="FFDCE0" w:val="clear"/>
          </w:tcPr>
          <w:p>
            <w:r>
              <w:rPr>
                <w:b/>
                <w:sz w:val="17"/>
              </w:rPr>
              <w:t>7,307</w:t>
            </w:r>
          </w:p>
        </w:tc>
        <w:tc>
          <w:tcPr>
            <w:tcW w:type="dxa" w:w="1440"/>
            <w:shd w:fill="FFDCE0" w:val="clear"/>
          </w:tcPr>
          <w:p>
            <w:r>
              <w:rPr>
                <w:sz w:val="17"/>
              </w:rPr>
              <w:t>7,602</w:t>
            </w:r>
          </w:p>
        </w:tc>
        <w:tc>
          <w:tcPr>
            <w:tcW w:type="dxa" w:w="1440"/>
            <w:shd w:fill="FFDCE0" w:val="clear"/>
          </w:tcPr>
          <w:p>
            <w:r>
              <w:rPr>
                <w:b/>
                <w:color w:val="C00000"/>
                <w:sz w:val="17"/>
              </w:rPr>
              <w:t>-5.0%</w:t>
            </w:r>
          </w:p>
        </w:tc>
      </w:tr>
      <w:tr>
        <w:tc>
          <w:tcPr>
            <w:tcW w:type="dxa" w:w="1440"/>
            <w:shd w:fill="FFDCE0" w:val="clear"/>
          </w:tcPr>
          <w:p>
            <w:r>
              <w:rPr>
                <w:sz w:val="17"/>
              </w:rPr>
              <w:t>J+4  Moyenne</w:t>
            </w:r>
          </w:p>
        </w:tc>
        <w:tc>
          <w:tcPr>
            <w:tcW w:type="dxa" w:w="1440"/>
            <w:shd w:fill="FFDCE0" w:val="clear"/>
          </w:tcPr>
          <w:p>
            <w:r>
              <w:rPr>
                <w:sz w:val="17"/>
              </w:rPr>
              <w:t>2026-08-18</w:t>
            </w:r>
          </w:p>
        </w:tc>
        <w:tc>
          <w:tcPr>
            <w:tcW w:type="dxa" w:w="1440"/>
            <w:shd w:fill="FFDCE0" w:val="clear"/>
          </w:tcPr>
          <w:p>
            <w:r>
              <w:rPr>
                <w:sz w:val="17"/>
              </w:rPr>
              <w:t>6,873</w:t>
            </w:r>
          </w:p>
        </w:tc>
        <w:tc>
          <w:tcPr>
            <w:tcW w:type="dxa" w:w="1440"/>
            <w:shd w:fill="FFDCE0" w:val="clear"/>
          </w:tcPr>
          <w:p>
            <w:r>
              <w:rPr>
                <w:b/>
                <w:sz w:val="17"/>
              </w:rPr>
              <w:t>7,208</w:t>
            </w:r>
          </w:p>
        </w:tc>
        <w:tc>
          <w:tcPr>
            <w:tcW w:type="dxa" w:w="1440"/>
            <w:shd w:fill="FFDCE0" w:val="clear"/>
          </w:tcPr>
          <w:p>
            <w:r>
              <w:rPr>
                <w:sz w:val="17"/>
              </w:rPr>
              <w:t>7,543</w:t>
            </w:r>
          </w:p>
        </w:tc>
        <w:tc>
          <w:tcPr>
            <w:tcW w:type="dxa" w:w="1440"/>
            <w:shd w:fill="FFDCE0" w:val="clear"/>
          </w:tcPr>
          <w:p>
            <w:r>
              <w:rPr>
                <w:b/>
                <w:color w:val="C00000"/>
                <w:sz w:val="17"/>
              </w:rPr>
              <w:t>-6.3%</w:t>
            </w:r>
          </w:p>
        </w:tc>
      </w:tr>
      <w:tr>
        <w:tc>
          <w:tcPr>
            <w:tcW w:type="dxa" w:w="1440"/>
            <w:shd w:fill="FFDCE0" w:val="clear"/>
          </w:tcPr>
          <w:p>
            <w:r>
              <w:rPr>
                <w:sz w:val="17"/>
              </w:rPr>
              <w:t>J+5  Moyenne</w:t>
            </w:r>
          </w:p>
        </w:tc>
        <w:tc>
          <w:tcPr>
            <w:tcW w:type="dxa" w:w="1440"/>
            <w:shd w:fill="FFDCE0" w:val="clear"/>
          </w:tcPr>
          <w:p>
            <w:r>
              <w:rPr>
                <w:sz w:val="17"/>
              </w:rPr>
              <w:t>2026-08-19</w:t>
            </w:r>
          </w:p>
        </w:tc>
        <w:tc>
          <w:tcPr>
            <w:tcW w:type="dxa" w:w="1440"/>
            <w:shd w:fill="FFDCE0" w:val="clear"/>
          </w:tcPr>
          <w:p>
            <w:r>
              <w:rPr>
                <w:sz w:val="17"/>
              </w:rPr>
              <w:t>6,744</w:t>
            </w:r>
          </w:p>
        </w:tc>
        <w:tc>
          <w:tcPr>
            <w:tcW w:type="dxa" w:w="1440"/>
            <w:shd w:fill="FFDCE0" w:val="clear"/>
          </w:tcPr>
          <w:p>
            <w:r>
              <w:rPr>
                <w:b/>
                <w:sz w:val="17"/>
              </w:rPr>
              <w:t>7,114</w:t>
            </w:r>
          </w:p>
        </w:tc>
        <w:tc>
          <w:tcPr>
            <w:tcW w:type="dxa" w:w="1440"/>
            <w:shd w:fill="FFDCE0" w:val="clear"/>
          </w:tcPr>
          <w:p>
            <w:r>
              <w:rPr>
                <w:sz w:val="17"/>
              </w:rPr>
              <w:t>7,484</w:t>
            </w:r>
          </w:p>
        </w:tc>
        <w:tc>
          <w:tcPr>
            <w:tcW w:type="dxa" w:w="1440"/>
            <w:shd w:fill="FFDCE0" w:val="clear"/>
          </w:tcPr>
          <w:p>
            <w:r>
              <w:rPr>
                <w:b/>
                <w:color w:val="C00000"/>
                <w:sz w:val="17"/>
              </w:rPr>
              <w:t>-7.5%</w:t>
            </w:r>
          </w:p>
        </w:tc>
      </w:tr>
      <w:tr>
        <w:tc>
          <w:tcPr>
            <w:tcW w:type="dxa" w:w="1440"/>
            <w:shd w:fill="FFDCE0" w:val="clear"/>
          </w:tcPr>
          <w:p>
            <w:r>
              <w:rPr>
                <w:sz w:val="17"/>
              </w:rPr>
              <w:t>J+6  Moyenne</w:t>
            </w:r>
          </w:p>
        </w:tc>
        <w:tc>
          <w:tcPr>
            <w:tcW w:type="dxa" w:w="1440"/>
            <w:shd w:fill="FFDCE0" w:val="clear"/>
          </w:tcPr>
          <w:p>
            <w:r>
              <w:rPr>
                <w:sz w:val="17"/>
              </w:rPr>
              <w:t>2026-08-20</w:t>
            </w:r>
          </w:p>
        </w:tc>
        <w:tc>
          <w:tcPr>
            <w:tcW w:type="dxa" w:w="1440"/>
            <w:shd w:fill="FFDCE0" w:val="clear"/>
          </w:tcPr>
          <w:p>
            <w:r>
              <w:rPr>
                <w:sz w:val="17"/>
              </w:rPr>
              <w:t>6,625</w:t>
            </w:r>
          </w:p>
        </w:tc>
        <w:tc>
          <w:tcPr>
            <w:tcW w:type="dxa" w:w="1440"/>
            <w:shd w:fill="FFDCE0" w:val="clear"/>
          </w:tcPr>
          <w:p>
            <w:r>
              <w:rPr>
                <w:b/>
                <w:sz w:val="17"/>
              </w:rPr>
              <w:t>7,026</w:t>
            </w:r>
          </w:p>
        </w:tc>
        <w:tc>
          <w:tcPr>
            <w:tcW w:type="dxa" w:w="1440"/>
            <w:shd w:fill="FFDCE0" w:val="clear"/>
          </w:tcPr>
          <w:p>
            <w:r>
              <w:rPr>
                <w:sz w:val="17"/>
              </w:rPr>
              <w:t>7,426</w:t>
            </w:r>
          </w:p>
        </w:tc>
        <w:tc>
          <w:tcPr>
            <w:tcW w:type="dxa" w:w="1440"/>
            <w:shd w:fill="FFDCE0" w:val="clear"/>
          </w:tcPr>
          <w:p>
            <w:r>
              <w:rPr>
                <w:b/>
                <w:color w:val="C00000"/>
                <w:sz w:val="17"/>
              </w:rPr>
              <w:t>-8.6%</w:t>
            </w:r>
          </w:p>
        </w:tc>
      </w:tr>
      <w:tr>
        <w:tc>
          <w:tcPr>
            <w:tcW w:type="dxa" w:w="1440"/>
            <w:shd w:fill="FFDCE0" w:val="clear"/>
          </w:tcPr>
          <w:p>
            <w:r>
              <w:rPr>
                <w:sz w:val="17"/>
              </w:rPr>
              <w:t>J+7  Moyenne</w:t>
            </w:r>
          </w:p>
        </w:tc>
        <w:tc>
          <w:tcPr>
            <w:tcW w:type="dxa" w:w="1440"/>
            <w:shd w:fill="FFDCE0" w:val="clear"/>
          </w:tcPr>
          <w:p>
            <w:r>
              <w:rPr>
                <w:sz w:val="17"/>
              </w:rPr>
              <w:t>2026-08-21</w:t>
            </w:r>
          </w:p>
        </w:tc>
        <w:tc>
          <w:tcPr>
            <w:tcW w:type="dxa" w:w="1440"/>
            <w:shd w:fill="FFDCE0" w:val="clear"/>
          </w:tcPr>
          <w:p>
            <w:r>
              <w:rPr>
                <w:sz w:val="17"/>
              </w:rPr>
              <w:t>6,515</w:t>
            </w:r>
          </w:p>
        </w:tc>
        <w:tc>
          <w:tcPr>
            <w:tcW w:type="dxa" w:w="1440"/>
            <w:shd w:fill="FFDCE0" w:val="clear"/>
          </w:tcPr>
          <w:p>
            <w:r>
              <w:rPr>
                <w:b/>
                <w:sz w:val="17"/>
              </w:rPr>
              <w:t>6,942</w:t>
            </w:r>
          </w:p>
        </w:tc>
        <w:tc>
          <w:tcPr>
            <w:tcW w:type="dxa" w:w="1440"/>
            <w:shd w:fill="FFDCE0" w:val="clear"/>
          </w:tcPr>
          <w:p>
            <w:r>
              <w:rPr>
                <w:sz w:val="17"/>
              </w:rPr>
              <w:t>7,369</w:t>
            </w:r>
          </w:p>
        </w:tc>
        <w:tc>
          <w:tcPr>
            <w:tcW w:type="dxa" w:w="1440"/>
            <w:shd w:fill="FFDCE0" w:val="clear"/>
          </w:tcPr>
          <w:p>
            <w:r>
              <w:rPr>
                <w:b/>
                <w:color w:val="C00000"/>
                <w:sz w:val="17"/>
              </w:rPr>
              <w:t>-9.7%</w:t>
            </w:r>
          </w:p>
        </w:tc>
      </w:tr>
      <w:tr>
        <w:tc>
          <w:tcPr>
            <w:tcW w:type="dxa" w:w="1440"/>
            <w:shd w:fill="FFDCE0" w:val="clear"/>
          </w:tcPr>
          <w:p>
            <w:r>
              <w:rPr>
                <w:sz w:val="17"/>
              </w:rPr>
              <w:t>J+8  Moyenne</w:t>
            </w:r>
          </w:p>
        </w:tc>
        <w:tc>
          <w:tcPr>
            <w:tcW w:type="dxa" w:w="1440"/>
            <w:shd w:fill="FFDCE0" w:val="clear"/>
          </w:tcPr>
          <w:p>
            <w:r>
              <w:rPr>
                <w:sz w:val="17"/>
              </w:rPr>
              <w:t>2026-08-24</w:t>
            </w:r>
          </w:p>
        </w:tc>
        <w:tc>
          <w:tcPr>
            <w:tcW w:type="dxa" w:w="1440"/>
            <w:shd w:fill="FFDCE0" w:val="clear"/>
          </w:tcPr>
          <w:p>
            <w:r>
              <w:rPr>
                <w:sz w:val="17"/>
              </w:rPr>
              <w:t>6,410</w:t>
            </w:r>
          </w:p>
        </w:tc>
        <w:tc>
          <w:tcPr>
            <w:tcW w:type="dxa" w:w="1440"/>
            <w:shd w:fill="FFDCE0" w:val="clear"/>
          </w:tcPr>
          <w:p>
            <w:r>
              <w:rPr>
                <w:b/>
                <w:sz w:val="17"/>
              </w:rPr>
              <w:t>6,862</w:t>
            </w:r>
          </w:p>
        </w:tc>
        <w:tc>
          <w:tcPr>
            <w:tcW w:type="dxa" w:w="1440"/>
            <w:shd w:fill="FFDCE0" w:val="clear"/>
          </w:tcPr>
          <w:p>
            <w:r>
              <w:rPr>
                <w:sz w:val="17"/>
              </w:rPr>
              <w:t>7,313</w:t>
            </w:r>
          </w:p>
        </w:tc>
        <w:tc>
          <w:tcPr>
            <w:tcW w:type="dxa" w:w="1440"/>
            <w:shd w:fill="FFDCE0" w:val="clear"/>
          </w:tcPr>
          <w:p>
            <w:r>
              <w:rPr>
                <w:b/>
                <w:color w:val="C00000"/>
                <w:sz w:val="17"/>
              </w:rPr>
              <w:t>-10.8%</w:t>
            </w:r>
          </w:p>
        </w:tc>
      </w:tr>
      <w:tr>
        <w:tc>
          <w:tcPr>
            <w:tcW w:type="dxa" w:w="1440"/>
            <w:shd w:fill="FFDCE0" w:val="clear"/>
          </w:tcPr>
          <w:p>
            <w:r>
              <w:rPr>
                <w:sz w:val="17"/>
              </w:rPr>
              <w:t>J+9  Moyenne</w:t>
            </w:r>
          </w:p>
        </w:tc>
        <w:tc>
          <w:tcPr>
            <w:tcW w:type="dxa" w:w="1440"/>
            <w:shd w:fill="FFDCE0" w:val="clear"/>
          </w:tcPr>
          <w:p>
            <w:r>
              <w:rPr>
                <w:sz w:val="17"/>
              </w:rPr>
              <w:t>2026-08-25</w:t>
            </w:r>
          </w:p>
        </w:tc>
        <w:tc>
          <w:tcPr>
            <w:tcW w:type="dxa" w:w="1440"/>
            <w:shd w:fill="FFDCE0" w:val="clear"/>
          </w:tcPr>
          <w:p>
            <w:r>
              <w:rPr>
                <w:sz w:val="17"/>
              </w:rPr>
              <w:t>6,312</w:t>
            </w:r>
          </w:p>
        </w:tc>
        <w:tc>
          <w:tcPr>
            <w:tcW w:type="dxa" w:w="1440"/>
            <w:shd w:fill="FFDCE0" w:val="clear"/>
          </w:tcPr>
          <w:p>
            <w:r>
              <w:rPr>
                <w:b/>
                <w:sz w:val="17"/>
              </w:rPr>
              <w:t>6,786</w:t>
            </w:r>
          </w:p>
        </w:tc>
        <w:tc>
          <w:tcPr>
            <w:tcW w:type="dxa" w:w="1440"/>
            <w:shd w:fill="FFDCE0" w:val="clear"/>
          </w:tcPr>
          <w:p>
            <w:r>
              <w:rPr>
                <w:sz w:val="17"/>
              </w:rPr>
              <w:t>7,259</w:t>
            </w:r>
          </w:p>
        </w:tc>
        <w:tc>
          <w:tcPr>
            <w:tcW w:type="dxa" w:w="1440"/>
            <w:shd w:fill="FFDCE0" w:val="clear"/>
          </w:tcPr>
          <w:p>
            <w:r>
              <w:rPr>
                <w:b/>
                <w:color w:val="C00000"/>
                <w:sz w:val="17"/>
              </w:rPr>
              <w:t>-11.8%</w:t>
            </w:r>
          </w:p>
        </w:tc>
      </w:tr>
      <w:tr>
        <w:tc>
          <w:tcPr>
            <w:tcW w:type="dxa" w:w="1440"/>
            <w:shd w:fill="FFDCE0" w:val="clear"/>
          </w:tcPr>
          <w:p>
            <w:r>
              <w:rPr>
                <w:sz w:val="17"/>
              </w:rPr>
              <w:t>J+10  Moyenne</w:t>
            </w:r>
          </w:p>
        </w:tc>
        <w:tc>
          <w:tcPr>
            <w:tcW w:type="dxa" w:w="1440"/>
            <w:shd w:fill="FFDCE0" w:val="clear"/>
          </w:tcPr>
          <w:p>
            <w:r>
              <w:rPr>
                <w:sz w:val="17"/>
              </w:rPr>
              <w:t>2026-08-27</w:t>
            </w:r>
          </w:p>
        </w:tc>
        <w:tc>
          <w:tcPr>
            <w:tcW w:type="dxa" w:w="1440"/>
            <w:shd w:fill="FFDCE0" w:val="clear"/>
          </w:tcPr>
          <w:p>
            <w:r>
              <w:rPr>
                <w:sz w:val="17"/>
              </w:rPr>
              <w:t>6,220</w:t>
            </w:r>
          </w:p>
        </w:tc>
        <w:tc>
          <w:tcPr>
            <w:tcW w:type="dxa" w:w="1440"/>
            <w:shd w:fill="FFDCE0" w:val="clear"/>
          </w:tcPr>
          <w:p>
            <w:r>
              <w:rPr>
                <w:b/>
                <w:sz w:val="17"/>
              </w:rPr>
              <w:t>6,714</w:t>
            </w:r>
          </w:p>
        </w:tc>
        <w:tc>
          <w:tcPr>
            <w:tcW w:type="dxa" w:w="1440"/>
            <w:shd w:fill="FFDCE0" w:val="clear"/>
          </w:tcPr>
          <w:p>
            <w:r>
              <w:rPr>
                <w:sz w:val="17"/>
              </w:rPr>
              <w:t>7,207</w:t>
            </w:r>
          </w:p>
        </w:tc>
        <w:tc>
          <w:tcPr>
            <w:tcW w:type="dxa" w:w="1440"/>
            <w:shd w:fill="FFDCE0" w:val="clear"/>
          </w:tcPr>
          <w:p>
            <w:r>
              <w:rPr>
                <w:b/>
                <w:color w:val="C00000"/>
                <w:sz w:val="17"/>
              </w:rPr>
              <w:t>-12.7%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BOA SÉNÉGAL (BOAS)**</w:t>
        <w:br/>
        <w:t>**Marché :** BRVM | **Date :** 13 Août 2026 | **Cours :** 7,690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276,84 Mds FCFA positionne BOAS comme une valeur de première ligne sur la BRVM, reflétant une liquidité et une visibilité institutionnelle importantes. Avec un BPA de 608 FCFA, le titre se négocie à un PER de 12,6x, légèrement au-dessus de la moyenne historique de la place (~8-12x), ce qui traduit une prime de croissance accordée par le marché à la banque. Le P/B de 2,87x confirme cette prime, le marché valorisant la société à près de trois fois sa valeur comptable, un niveau justifié par un ROE exceptionnel de 22,7%. Enfin, un EV/EBITDA de 8,1x indique une valorisation raisonnable de la capacité opérationnelle de la banque, cohérente avec une entreprise rentable et bien gérée.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BOAS a affiché une performance positive de +11,61%, avec une très légère consolidation de -0,13% lors de la dernière séance. Le titre a évolué dans un range de 1 650 FCFA, oscillant entre un plus bas de 6 400 FCFA et un plus haut de 8 050 FCFA, démontrant une dynamique haussière soutenue. La moyenne (7 274 FCFA) et la médiane (7 318 FCFA) étant très proches, la distribution des prix est symétrique, ce que confirme le skewness de -0,172. L'écart-type de 394 FCFA (CV=5,4%) indique une dispersion modérée des prix autour de la moyenne, tandis que le kurtosis de -0,811 (mésokurtique) suggère une absence de mouvements extrêmes ou de pics de volatilité soudains. La volatilité annualisée de 24,5% classe le titre dans une catégorie de risque modéré, offrant un équilibre entre potentiel de rendement et stabilité.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(7 690 FCFA) se positionne au-dessus de la MM20 (7 675,5 FCFA) et de la MM50 (7 482 FCFA), confirmant une tendance haussière de court et moyen terme. La configuration des MM, avec la MM20 au-dessus de la MM50, génère un signal d'**Achat**, indiquant que la dynamique positive est toujours en place.</w:t>
      </w:r>
    </w:p>
    <w:p>
      <w:pPr>
        <w:spacing w:after="120" w:line="276" w:lineRule="auto"/>
      </w:pPr>
      <w:r>
        <w:t>**Bandes de Bollinger :** Le prix se situe à l'intérieur des bandes (borne supérieure à 8 018,8 FCFA et inférieure à 7 332,2 FCFA), proche de la moyenne mobile. Cette position neutre suggère une volatilité normale et une absence de conditions de surachat ou de survente extrêmes. La décision est **Neutre**, le marché attendant un catalyseur pour une sortie de range.</w:t>
      </w:r>
    </w:p>
    <w:p>
      <w:pPr>
        <w:spacing w:after="120" w:line="276" w:lineRule="auto"/>
      </w:pPr>
      <w:r>
        <w:t>**MACD :** La ligne MACD (71,38) est passée sous sa ligne de signal (85,14), indiquant un ralentissement du momentum haussier à court terme. Bien que les deux lignes restent en territoire positif, ce croisement baissier est un signal de **Vente** précoce, suggérant une possible consolidation ou correction technique après la récente hausse.</w:t>
      </w:r>
    </w:p>
    <w:p>
      <w:pPr>
        <w:spacing w:after="120" w:line="276" w:lineRule="auto"/>
      </w:pPr>
      <w:r>
        <w:t>**RSI :** À 57,77, le RSI se situe en zone neutre (30-70), indiquant un équilibre entre pression acheteuse et vendeuse. Le titre dispose d'une marge de progression avant d'atteindre une zone de surachat, ce qui laisse place à un potentiel haussier. La décision est **Neutre**.</w:t>
      </w:r>
    </w:p>
    <w:p>
      <w:pPr>
        <w:spacing w:after="120" w:line="276" w:lineRule="auto"/>
      </w:pPr>
      <w:r>
        <w:t>**Stochastique :** Le %K (28,57) est sous le %D (42,47), tous deux en zone de survente relative. Ce croisement baissier suggère une pression vendeuse à très court terme, mais la proximité de la zone de survente pourrait signaler un rebond imminent. La décision est **Neutre**, avec un biais légèrement négatif.</w:t>
      </w:r>
    </w:p>
    <w:p>
      <w:pPr>
        <w:spacing w:after="120" w:line="276" w:lineRule="auto"/>
      </w:pPr>
      <w:r>
        <w:t>**Conclusion technique :** Le tableau technique est mitigé. La tendance de fond reste haussière (MM), mais les indicateurs de momentum (MACD, Stochastique) montrent des signes d'essoufflement à court terme. On observe une divergence entre la tendance (positive) et le momentum (en perte de vitesse), suggérant une phase de consolidation avant une éventuelle reprise de la hausse.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BOAS font état d'un Produit Net Bancaire (PNB) de 51,926 Mds FCFA, en croissance de 4,55%, et d'un résultat net de 21,905 Mds FCFA. La banque affiche une rentabilité financière (ROE) de 22,69% et une rentabilité des actifs (ROA) de 2,62%, toutes deux excellentes. Le coefficient d'exploitation de 44,02% témoigne d'une gestion opérationnelle très efficace (bien en dessous du seuil de 60%). Le coût du risque, à 23,3% des charges financières, reste un point de vigilance, mais les rapports trimestriels montrent une nette amélioration. **Les rapports narratifs de 2025 confirment cette tendance** : le rapport du T1 2025 (PNB 11,78 Mds, RN 5,23 Mds) montrait déjà une croissance de 9,25% du résultat net. Cette dynamique s'est accélérée au S1 2025 (RN 11,62 Mds, +12,7%) et au T3 2025 (RN cumulé 16,37 Mds, +10,01%), portée par une baisse du coût du risque et une maîtrise des charges. **Sur cette base, on estime que l'exercice 2026 devrait poursuivre cette lancée**, les premiers rapports de 2026 (T1 2026 : RN 5,741 Mds, +9,78%) indiquant une croissance soutenue du PNB (+6,82%) et une collecte de dépôts vigoureuse (+16,68%). La banque démontre une solidité financière remarquable, avec des capitaux propres de 96,526 Mds FCFA et une capacité d'autofinancement de 24,595 Mds FCFA, lui conférant une excellente capacité de développement et de distribution.</w:t>
      </w:r>
    </w:p>
    <w:p>
      <w:pPr>
        <w:spacing w:after="120" w:line="276" w:lineRule="auto"/>
      </w:pPr>
      <w:r>
        <w:t>---</w:t>
      </w:r>
    </w:p>
    <w:p>
      <w:pPr>
        <w:spacing w:after="120" w:line="276" w:lineRule="auto"/>
      </w:pPr>
      <w:r>
        <w:t>### PARTIE 4 : CONCLUSION D'INVESTISSEMENT</w:t>
      </w:r>
    </w:p>
    <w:p>
      <w:pPr>
        <w:spacing w:after="120" w:line="276" w:lineRule="auto"/>
      </w:pPr>
      <w:r>
        <w:t>La valorisation de BOAS (PER 12,6x, P/B 2,87x) est certes exigeante mais justifiée par une rentabilité supérieure à la moyenne du marché. Le comportement du cours sur 100 jours est sain, avec une tendance haussière et une volatilité modérée, sans signe de spéculation excessive. Les signaux techniques sont partagés : la tendance de fond reste positive, mais le momentum à court terme faiblit, suggérant une possible consolidation. Les fondamentaux, eux, sont indiscutablement solides, avec une croissance rentable et une gestion efficace des risques. Les prédictions IA (J+1 à J+10) anticipent une correction technique vers 7 100-7 500 FCFA, ce qui contredit légèrement la tendance de fond mais confirme les signaux de momentum faibles. En synthèse, la convergence entre des fondamentaux excellents et une valorisation raisonnable plaide pour une stratégie d'accumulation. La correction prédite offrirait un point d'entrée plus attractif. **Recommandation : ACHAT** (avec un horizon de moyen terme). **Niveau de confiance : Élevé** (basé sur la solidité des fondamentaux). **Risque global : Moyen** (volatilité modérée, risque de crédit maîtrisé). **Horizon optimal : 3 à 12 mois**, en profitant d'éventuels replis pour renforcer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20.72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2,463 titres</w:t>
            </w:r>
          </w:p>
        </w:tc>
        <w:tc>
          <w:tcPr>
            <w:tcW w:type="dxa" w:w="2268"/>
            <w:shd w:fill="FFF2CC" w:val="clear"/>
          </w:tcPr>
          <w:p>
            <w:r>
              <w:rPr>
                <w:b/>
                <w:color w:val="503200"/>
                <w:sz w:val="16"/>
              </w:rPr>
              <w:t xml:space="preserve">Cours actuel : </w:t>
            </w:r>
            <w:r>
              <w:rPr>
                <w:color w:val="000000"/>
                <w:sz w:val="17"/>
              </w:rPr>
              <w:t>3,500 FCFA</w:t>
            </w:r>
          </w:p>
          <w:p>
            <w:r>
              <w:rPr>
                <w:b/>
                <w:color w:val="503200"/>
                <w:sz w:val="16"/>
              </w:rPr>
              <w:t xml:space="preserve">Var. 100 jours : </w:t>
            </w:r>
            <w:r>
              <w:rPr>
                <w:b/>
                <w:color w:val="007800"/>
                <w:sz w:val="17"/>
              </w:rPr>
              <w:t>+6.38%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3,165 FCFA</w:t>
            </w:r>
          </w:p>
          <w:p>
            <w:r>
              <w:rPr>
                <w:b/>
                <w:color w:val="503200"/>
                <w:sz w:val="16"/>
              </w:rPr>
              <w:t xml:space="preserve">Volatilité ann. : </w:t>
            </w:r>
            <w:r>
              <w:rPr>
                <w:color w:val="000000"/>
                <w:sz w:val="17"/>
              </w:rPr>
              <w:t>55.8%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8.57% (Moyenne) — μ=3,741 FCFA, σ=321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β=-0.0217 (Contre-cyclique) — Cov=-0.000001, Var(idx)=0.000036, ρ=-0.004,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2,463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σ_j=3.52%/j (Modérée) — Vol. annualisée≈55.8%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3244"/>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324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2026-08-13</w:t>
            </w:r>
          </w:p>
        </w:tc>
        <w:tc>
          <w:tcPr>
            <w:tcW w:type="dxa" w:w="1440"/>
            <w:shd w:fill="C6EFCE" w:val="clear"/>
          </w:tcPr>
          <w:p>
            <w:r>
              <w:rPr>
                <w:sz w:val="17"/>
              </w:rPr>
              <w:t>3,453</w:t>
            </w:r>
          </w:p>
        </w:tc>
        <w:tc>
          <w:tcPr>
            <w:tcW w:type="dxa" w:w="1440"/>
            <w:shd w:fill="C6EFCE" w:val="clear"/>
          </w:tcPr>
          <w:p>
            <w:r>
              <w:rPr>
                <w:b/>
                <w:sz w:val="17"/>
              </w:rPr>
              <w:t>3,652</w:t>
            </w:r>
          </w:p>
        </w:tc>
        <w:tc>
          <w:tcPr>
            <w:tcW w:type="dxa" w:w="1440"/>
            <w:shd w:fill="C6EFCE" w:val="clear"/>
          </w:tcPr>
          <w:p>
            <w:r>
              <w:rPr>
                <w:sz w:val="17"/>
              </w:rPr>
              <w:t>3,850</w:t>
            </w:r>
          </w:p>
        </w:tc>
        <w:tc>
          <w:tcPr>
            <w:tcW w:type="dxa" w:w="1440"/>
            <w:shd w:fill="C6EFCE" w:val="clear"/>
          </w:tcPr>
          <w:p>
            <w:r>
              <w:rPr>
                <w:b/>
                <w:color w:val="008000"/>
                <w:sz w:val="17"/>
              </w:rPr>
              <w:t>+4.3%</w:t>
            </w:r>
          </w:p>
        </w:tc>
      </w:tr>
      <w:tr>
        <w:tc>
          <w:tcPr>
            <w:tcW w:type="dxa" w:w="1440"/>
            <w:shd w:fill="C6EFCE" w:val="clear"/>
          </w:tcPr>
          <w:p>
            <w:r>
              <w:rPr>
                <w:sz w:val="17"/>
              </w:rPr>
              <w:t>J+2  Moyenne</w:t>
            </w:r>
          </w:p>
        </w:tc>
        <w:tc>
          <w:tcPr>
            <w:tcW w:type="dxa" w:w="1440"/>
            <w:shd w:fill="C6EFCE" w:val="clear"/>
          </w:tcPr>
          <w:p>
            <w:r>
              <w:rPr>
                <w:sz w:val="17"/>
              </w:rPr>
              <w:t>2026-08-14</w:t>
            </w:r>
          </w:p>
        </w:tc>
        <w:tc>
          <w:tcPr>
            <w:tcW w:type="dxa" w:w="1440"/>
            <w:shd w:fill="C6EFCE" w:val="clear"/>
          </w:tcPr>
          <w:p>
            <w:r>
              <w:rPr>
                <w:sz w:val="17"/>
              </w:rPr>
              <w:t>3,508</w:t>
            </w:r>
          </w:p>
        </w:tc>
        <w:tc>
          <w:tcPr>
            <w:tcW w:type="dxa" w:w="1440"/>
            <w:shd w:fill="C6EFCE" w:val="clear"/>
          </w:tcPr>
          <w:p>
            <w:r>
              <w:rPr>
                <w:b/>
                <w:sz w:val="17"/>
              </w:rPr>
              <w:t>3,800</w:t>
            </w:r>
          </w:p>
        </w:tc>
        <w:tc>
          <w:tcPr>
            <w:tcW w:type="dxa" w:w="1440"/>
            <w:shd w:fill="C6EFCE" w:val="clear"/>
          </w:tcPr>
          <w:p>
            <w:r>
              <w:rPr>
                <w:sz w:val="17"/>
              </w:rPr>
              <w:t>4,091</w:t>
            </w:r>
          </w:p>
        </w:tc>
        <w:tc>
          <w:tcPr>
            <w:tcW w:type="dxa" w:w="1440"/>
            <w:shd w:fill="C6EFCE" w:val="clear"/>
          </w:tcPr>
          <w:p>
            <w:r>
              <w:rPr>
                <w:b/>
                <w:color w:val="008000"/>
                <w:sz w:val="17"/>
              </w:rPr>
              <w:t>+8.6%</w:t>
            </w:r>
          </w:p>
        </w:tc>
      </w:tr>
      <w:tr>
        <w:tc>
          <w:tcPr>
            <w:tcW w:type="dxa" w:w="1440"/>
            <w:shd w:fill="C6EFCE" w:val="clear"/>
          </w:tcPr>
          <w:p>
            <w:r>
              <w:rPr>
                <w:sz w:val="17"/>
              </w:rPr>
              <w:t>J+3  Moyenne</w:t>
            </w:r>
          </w:p>
        </w:tc>
        <w:tc>
          <w:tcPr>
            <w:tcW w:type="dxa" w:w="1440"/>
            <w:shd w:fill="C6EFCE" w:val="clear"/>
          </w:tcPr>
          <w:p>
            <w:r>
              <w:rPr>
                <w:sz w:val="17"/>
              </w:rPr>
              <w:t>2026-08-17</w:t>
            </w:r>
          </w:p>
        </w:tc>
        <w:tc>
          <w:tcPr>
            <w:tcW w:type="dxa" w:w="1440"/>
            <w:shd w:fill="C6EFCE" w:val="clear"/>
          </w:tcPr>
          <w:p>
            <w:r>
              <w:rPr>
                <w:sz w:val="17"/>
              </w:rPr>
              <w:t>3,603</w:t>
            </w:r>
          </w:p>
        </w:tc>
        <w:tc>
          <w:tcPr>
            <w:tcW w:type="dxa" w:w="1440"/>
            <w:shd w:fill="C6EFCE" w:val="clear"/>
          </w:tcPr>
          <w:p>
            <w:r>
              <w:rPr>
                <w:b/>
                <w:sz w:val="17"/>
              </w:rPr>
              <w:t>3,978</w:t>
            </w:r>
          </w:p>
        </w:tc>
        <w:tc>
          <w:tcPr>
            <w:tcW w:type="dxa" w:w="1440"/>
            <w:shd w:fill="C6EFCE" w:val="clear"/>
          </w:tcPr>
          <w:p>
            <w:r>
              <w:rPr>
                <w:sz w:val="17"/>
              </w:rPr>
              <w:t>4,352</w:t>
            </w:r>
          </w:p>
        </w:tc>
        <w:tc>
          <w:tcPr>
            <w:tcW w:type="dxa" w:w="1440"/>
            <w:shd w:fill="C6EFCE" w:val="clear"/>
          </w:tcPr>
          <w:p>
            <w:r>
              <w:rPr>
                <w:b/>
                <w:color w:val="008000"/>
                <w:sz w:val="17"/>
              </w:rPr>
              <w:t>+13.6%</w:t>
            </w:r>
          </w:p>
        </w:tc>
      </w:tr>
      <w:tr>
        <w:tc>
          <w:tcPr>
            <w:tcW w:type="dxa" w:w="1440"/>
            <w:shd w:fill="C6EFCE" w:val="clear"/>
          </w:tcPr>
          <w:p>
            <w:r>
              <w:rPr>
                <w:sz w:val="17"/>
              </w:rPr>
              <w:t>J+4  ⭐</w:t>
            </w:r>
          </w:p>
        </w:tc>
        <w:tc>
          <w:tcPr>
            <w:tcW w:type="dxa" w:w="1440"/>
            <w:shd w:fill="C6EFCE" w:val="clear"/>
          </w:tcPr>
          <w:p>
            <w:r>
              <w:rPr>
                <w:sz w:val="17"/>
              </w:rPr>
              <w:t>2026-08-18</w:t>
            </w:r>
          </w:p>
        </w:tc>
        <w:tc>
          <w:tcPr>
            <w:tcW w:type="dxa" w:w="1440"/>
            <w:shd w:fill="C6EFCE" w:val="clear"/>
          </w:tcPr>
          <w:p>
            <w:r>
              <w:rPr>
                <w:sz w:val="17"/>
              </w:rPr>
              <w:t>3,725</w:t>
            </w:r>
          </w:p>
        </w:tc>
        <w:tc>
          <w:tcPr>
            <w:tcW w:type="dxa" w:w="1440"/>
            <w:shd w:fill="C6EFCE" w:val="clear"/>
          </w:tcPr>
          <w:p>
            <w:r>
              <w:rPr>
                <w:b/>
                <w:sz w:val="17"/>
              </w:rPr>
              <w:t>4,179</w:t>
            </w:r>
          </w:p>
        </w:tc>
        <w:tc>
          <w:tcPr>
            <w:tcW w:type="dxa" w:w="1440"/>
            <w:shd w:fill="C6EFCE" w:val="clear"/>
          </w:tcPr>
          <w:p>
            <w:r>
              <w:rPr>
                <w:sz w:val="17"/>
              </w:rPr>
              <w:t>4,633</w:t>
            </w:r>
          </w:p>
        </w:tc>
        <w:tc>
          <w:tcPr>
            <w:tcW w:type="dxa" w:w="1440"/>
            <w:shd w:fill="C6EFCE" w:val="clear"/>
          </w:tcPr>
          <w:p>
            <w:r>
              <w:rPr>
                <w:b/>
                <w:color w:val="008000"/>
                <w:sz w:val="17"/>
              </w:rPr>
              <w:t>+19.4%</w:t>
            </w:r>
          </w:p>
        </w:tc>
      </w:tr>
      <w:tr>
        <w:tc>
          <w:tcPr>
            <w:tcW w:type="dxa" w:w="1440"/>
            <w:shd w:fill="C6EFCE" w:val="clear"/>
          </w:tcPr>
          <w:p>
            <w:r>
              <w:rPr>
                <w:sz w:val="17"/>
              </w:rPr>
              <w:t>J+5  ⭐</w:t>
            </w:r>
          </w:p>
        </w:tc>
        <w:tc>
          <w:tcPr>
            <w:tcW w:type="dxa" w:w="1440"/>
            <w:shd w:fill="C6EFCE" w:val="clear"/>
          </w:tcPr>
          <w:p>
            <w:r>
              <w:rPr>
                <w:sz w:val="17"/>
              </w:rPr>
              <w:t>2026-08-19</w:t>
            </w:r>
          </w:p>
        </w:tc>
        <w:tc>
          <w:tcPr>
            <w:tcW w:type="dxa" w:w="1440"/>
            <w:shd w:fill="C6EFCE" w:val="clear"/>
          </w:tcPr>
          <w:p>
            <w:r>
              <w:rPr>
                <w:sz w:val="17"/>
              </w:rPr>
              <w:t>3,871</w:t>
            </w:r>
          </w:p>
        </w:tc>
        <w:tc>
          <w:tcPr>
            <w:tcW w:type="dxa" w:w="1440"/>
            <w:shd w:fill="C6EFCE" w:val="clear"/>
          </w:tcPr>
          <w:p>
            <w:r>
              <w:rPr>
                <w:b/>
                <w:sz w:val="17"/>
              </w:rPr>
              <w:t>4,405</w:t>
            </w:r>
          </w:p>
        </w:tc>
        <w:tc>
          <w:tcPr>
            <w:tcW w:type="dxa" w:w="1440"/>
            <w:shd w:fill="C6EFCE" w:val="clear"/>
          </w:tcPr>
          <w:p>
            <w:r>
              <w:rPr>
                <w:sz w:val="17"/>
              </w:rPr>
              <w:t>4,940</w:t>
            </w:r>
          </w:p>
        </w:tc>
        <w:tc>
          <w:tcPr>
            <w:tcW w:type="dxa" w:w="1440"/>
            <w:shd w:fill="C6EFCE" w:val="clear"/>
          </w:tcPr>
          <w:p>
            <w:r>
              <w:rPr>
                <w:b/>
                <w:color w:val="008000"/>
                <w:sz w:val="17"/>
              </w:rPr>
              <w:t>+25.9%</w:t>
            </w:r>
          </w:p>
        </w:tc>
      </w:tr>
      <w:tr>
        <w:tc>
          <w:tcPr>
            <w:tcW w:type="dxa" w:w="1440"/>
            <w:shd w:fill="C6EFCE" w:val="clear"/>
          </w:tcPr>
          <w:p>
            <w:r>
              <w:rPr>
                <w:sz w:val="17"/>
              </w:rPr>
              <w:t>J+6  ⭐</w:t>
            </w:r>
          </w:p>
        </w:tc>
        <w:tc>
          <w:tcPr>
            <w:tcW w:type="dxa" w:w="1440"/>
            <w:shd w:fill="C6EFCE" w:val="clear"/>
          </w:tcPr>
          <w:p>
            <w:r>
              <w:rPr>
                <w:sz w:val="17"/>
              </w:rPr>
              <w:t>2026-08-20</w:t>
            </w:r>
          </w:p>
        </w:tc>
        <w:tc>
          <w:tcPr>
            <w:tcW w:type="dxa" w:w="1440"/>
            <w:shd w:fill="C6EFCE" w:val="clear"/>
          </w:tcPr>
          <w:p>
            <w:r>
              <w:rPr>
                <w:sz w:val="17"/>
              </w:rPr>
              <w:t>4,042</w:t>
            </w:r>
          </w:p>
        </w:tc>
        <w:tc>
          <w:tcPr>
            <w:tcW w:type="dxa" w:w="1440"/>
            <w:shd w:fill="C6EFCE" w:val="clear"/>
          </w:tcPr>
          <w:p>
            <w:r>
              <w:rPr>
                <w:b/>
                <w:sz w:val="17"/>
              </w:rPr>
              <w:t>4,662</w:t>
            </w:r>
          </w:p>
        </w:tc>
        <w:tc>
          <w:tcPr>
            <w:tcW w:type="dxa" w:w="1440"/>
            <w:shd w:fill="C6EFCE" w:val="clear"/>
          </w:tcPr>
          <w:p>
            <w:r>
              <w:rPr>
                <w:sz w:val="17"/>
              </w:rPr>
              <w:t>5,283</w:t>
            </w:r>
          </w:p>
        </w:tc>
        <w:tc>
          <w:tcPr>
            <w:tcW w:type="dxa" w:w="1440"/>
            <w:shd w:fill="C6EFCE" w:val="clear"/>
          </w:tcPr>
          <w:p>
            <w:r>
              <w:rPr>
                <w:b/>
                <w:color w:val="008000"/>
                <w:sz w:val="17"/>
              </w:rPr>
              <w:t>+33.2%</w:t>
            </w:r>
          </w:p>
        </w:tc>
      </w:tr>
      <w:tr>
        <w:tc>
          <w:tcPr>
            <w:tcW w:type="dxa" w:w="1440"/>
            <w:shd w:fill="C6EFCE" w:val="clear"/>
          </w:tcPr>
          <w:p>
            <w:r>
              <w:rPr>
                <w:sz w:val="17"/>
              </w:rPr>
              <w:t>J+7  ⭐</w:t>
            </w:r>
          </w:p>
        </w:tc>
        <w:tc>
          <w:tcPr>
            <w:tcW w:type="dxa" w:w="1440"/>
            <w:shd w:fill="C6EFCE" w:val="clear"/>
          </w:tcPr>
          <w:p>
            <w:r>
              <w:rPr>
                <w:sz w:val="17"/>
              </w:rPr>
              <w:t>2026-08-21</w:t>
            </w:r>
          </w:p>
        </w:tc>
        <w:tc>
          <w:tcPr>
            <w:tcW w:type="dxa" w:w="1440"/>
            <w:shd w:fill="C6EFCE" w:val="clear"/>
          </w:tcPr>
          <w:p>
            <w:r>
              <w:rPr>
                <w:sz w:val="17"/>
              </w:rPr>
              <w:t>4,246</w:t>
            </w:r>
          </w:p>
        </w:tc>
        <w:tc>
          <w:tcPr>
            <w:tcW w:type="dxa" w:w="1440"/>
            <w:shd w:fill="C6EFCE" w:val="clear"/>
          </w:tcPr>
          <w:p>
            <w:r>
              <w:rPr>
                <w:b/>
                <w:sz w:val="17"/>
              </w:rPr>
              <w:t>4,959</w:t>
            </w:r>
          </w:p>
        </w:tc>
        <w:tc>
          <w:tcPr>
            <w:tcW w:type="dxa" w:w="1440"/>
            <w:shd w:fill="C6EFCE" w:val="clear"/>
          </w:tcPr>
          <w:p>
            <w:r>
              <w:rPr>
                <w:sz w:val="17"/>
              </w:rPr>
              <w:t>5,671</w:t>
            </w:r>
          </w:p>
        </w:tc>
        <w:tc>
          <w:tcPr>
            <w:tcW w:type="dxa" w:w="1440"/>
            <w:shd w:fill="C6EFCE" w:val="clear"/>
          </w:tcPr>
          <w:p>
            <w:r>
              <w:rPr>
                <w:b/>
                <w:color w:val="008000"/>
                <w:sz w:val="17"/>
              </w:rPr>
              <w:t>+41.7%</w:t>
            </w:r>
          </w:p>
        </w:tc>
      </w:tr>
      <w:tr>
        <w:tc>
          <w:tcPr>
            <w:tcW w:type="dxa" w:w="1440"/>
            <w:shd w:fill="C6EFCE" w:val="clear"/>
          </w:tcPr>
          <w:p>
            <w:r>
              <w:rPr>
                <w:sz w:val="17"/>
              </w:rPr>
              <w:t>J+8  ⭐</w:t>
            </w:r>
          </w:p>
        </w:tc>
        <w:tc>
          <w:tcPr>
            <w:tcW w:type="dxa" w:w="1440"/>
            <w:shd w:fill="C6EFCE" w:val="clear"/>
          </w:tcPr>
          <w:p>
            <w:r>
              <w:rPr>
                <w:sz w:val="17"/>
              </w:rPr>
              <w:t>2026-08-24</w:t>
            </w:r>
          </w:p>
        </w:tc>
        <w:tc>
          <w:tcPr>
            <w:tcW w:type="dxa" w:w="1440"/>
            <w:shd w:fill="C6EFCE" w:val="clear"/>
          </w:tcPr>
          <w:p>
            <w:r>
              <w:rPr>
                <w:sz w:val="17"/>
              </w:rPr>
              <w:t>4,493</w:t>
            </w:r>
          </w:p>
        </w:tc>
        <w:tc>
          <w:tcPr>
            <w:tcW w:type="dxa" w:w="1440"/>
            <w:shd w:fill="C6EFCE" w:val="clear"/>
          </w:tcPr>
          <w:p>
            <w:r>
              <w:rPr>
                <w:b/>
                <w:sz w:val="17"/>
              </w:rPr>
              <w:t>5,308</w:t>
            </w:r>
          </w:p>
        </w:tc>
        <w:tc>
          <w:tcPr>
            <w:tcW w:type="dxa" w:w="1440"/>
            <w:shd w:fill="C6EFCE" w:val="clear"/>
          </w:tcPr>
          <w:p>
            <w:r>
              <w:rPr>
                <w:sz w:val="17"/>
              </w:rPr>
              <w:t>6,123</w:t>
            </w:r>
          </w:p>
        </w:tc>
        <w:tc>
          <w:tcPr>
            <w:tcW w:type="dxa" w:w="1440"/>
            <w:shd w:fill="C6EFCE" w:val="clear"/>
          </w:tcPr>
          <w:p>
            <w:r>
              <w:rPr>
                <w:b/>
                <w:color w:val="008000"/>
                <w:sz w:val="17"/>
              </w:rPr>
              <w:t>+51.7%</w:t>
            </w:r>
          </w:p>
        </w:tc>
      </w:tr>
      <w:tr>
        <w:tc>
          <w:tcPr>
            <w:tcW w:type="dxa" w:w="1440"/>
            <w:shd w:fill="C6EFCE" w:val="clear"/>
          </w:tcPr>
          <w:p>
            <w:r>
              <w:rPr>
                <w:sz w:val="17"/>
              </w:rPr>
              <w:t>J+9  ⭐</w:t>
            </w:r>
          </w:p>
        </w:tc>
        <w:tc>
          <w:tcPr>
            <w:tcW w:type="dxa" w:w="1440"/>
            <w:shd w:fill="C6EFCE" w:val="clear"/>
          </w:tcPr>
          <w:p>
            <w:r>
              <w:rPr>
                <w:sz w:val="17"/>
              </w:rPr>
              <w:t>2026-08-25</w:t>
            </w:r>
          </w:p>
        </w:tc>
        <w:tc>
          <w:tcPr>
            <w:tcW w:type="dxa" w:w="1440"/>
            <w:shd w:fill="C6EFCE" w:val="clear"/>
          </w:tcPr>
          <w:p>
            <w:r>
              <w:rPr>
                <w:sz w:val="17"/>
              </w:rPr>
              <w:t>4,777</w:t>
            </w:r>
          </w:p>
        </w:tc>
        <w:tc>
          <w:tcPr>
            <w:tcW w:type="dxa" w:w="1440"/>
            <w:shd w:fill="C6EFCE" w:val="clear"/>
          </w:tcPr>
          <w:p>
            <w:r>
              <w:rPr>
                <w:b/>
                <w:sz w:val="17"/>
              </w:rPr>
              <w:t>5,706</w:t>
            </w:r>
          </w:p>
        </w:tc>
        <w:tc>
          <w:tcPr>
            <w:tcW w:type="dxa" w:w="1440"/>
            <w:shd w:fill="C6EFCE" w:val="clear"/>
          </w:tcPr>
          <w:p>
            <w:r>
              <w:rPr>
                <w:sz w:val="17"/>
              </w:rPr>
              <w:t>6,636</w:t>
            </w:r>
          </w:p>
        </w:tc>
        <w:tc>
          <w:tcPr>
            <w:tcW w:type="dxa" w:w="1440"/>
            <w:shd w:fill="C6EFCE" w:val="clear"/>
          </w:tcPr>
          <w:p>
            <w:r>
              <w:rPr>
                <w:b/>
                <w:color w:val="008000"/>
                <w:sz w:val="17"/>
              </w:rPr>
              <w:t>+63.0%</w:t>
            </w:r>
          </w:p>
        </w:tc>
      </w:tr>
      <w:tr>
        <w:tc>
          <w:tcPr>
            <w:tcW w:type="dxa" w:w="1440"/>
            <w:shd w:fill="C6EFCE" w:val="clear"/>
          </w:tcPr>
          <w:p>
            <w:r>
              <w:rPr>
                <w:sz w:val="17"/>
              </w:rPr>
              <w:t>J+10  ⭐</w:t>
            </w:r>
          </w:p>
        </w:tc>
        <w:tc>
          <w:tcPr>
            <w:tcW w:type="dxa" w:w="1440"/>
            <w:shd w:fill="C6EFCE" w:val="clear"/>
          </w:tcPr>
          <w:p>
            <w:r>
              <w:rPr>
                <w:sz w:val="17"/>
              </w:rPr>
              <w:t>2026-08-27</w:t>
            </w:r>
          </w:p>
        </w:tc>
        <w:tc>
          <w:tcPr>
            <w:tcW w:type="dxa" w:w="1440"/>
            <w:shd w:fill="C6EFCE" w:val="clear"/>
          </w:tcPr>
          <w:p>
            <w:r>
              <w:rPr>
                <w:sz w:val="17"/>
              </w:rPr>
              <w:t>5,081</w:t>
            </w:r>
          </w:p>
        </w:tc>
        <w:tc>
          <w:tcPr>
            <w:tcW w:type="dxa" w:w="1440"/>
            <w:shd w:fill="C6EFCE" w:val="clear"/>
          </w:tcPr>
          <w:p>
            <w:r>
              <w:rPr>
                <w:b/>
                <w:sz w:val="17"/>
              </w:rPr>
              <w:t>6,134</w:t>
            </w:r>
          </w:p>
        </w:tc>
        <w:tc>
          <w:tcPr>
            <w:tcW w:type="dxa" w:w="1440"/>
            <w:shd w:fill="C6EFCE" w:val="clear"/>
          </w:tcPr>
          <w:p>
            <w:r>
              <w:rPr>
                <w:sz w:val="17"/>
              </w:rPr>
              <w:t>7,187</w:t>
            </w:r>
          </w:p>
        </w:tc>
        <w:tc>
          <w:tcPr>
            <w:tcW w:type="dxa" w:w="1440"/>
            <w:shd w:fill="C6EFCE" w:val="clear"/>
          </w:tcPr>
          <w:p>
            <w:r>
              <w:rPr>
                <w:b/>
                <w:color w:val="008000"/>
                <w:sz w:val="17"/>
              </w:rPr>
              <w:t>+75.3%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**Date de l'analyse : 12 août 2026**</w:t>
        <w:br/>
        <w:t>**Cours de référence : 3 500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20,72 milliards FCFA, un niveau intermédiaire sur la BRVM qui reflète un profil de moyenne capitalisation. Le BPA de 243 FCFA indique que chaque action génère un bénéfice de ce montant, ce qui justifie un PER de 14,4x. Ce ratio est supérieur à la moyenne historique de la BRVM (8-12x), signalant que le marché valorise la société avec une prime, probablement en raison de ses perspectives de croissance dans les infrastructures. Le P/B de 2,22x confirme cette prime, le marché acceptant de payer plus de deux fois la valeur comptable des actifs, ce qui est typique d'une entreprise en phase de croissance. Enfin, l'EV/EBITDA de 7,3x est dans la fourchette raisonnable (5-10x), indiquant que la valorisation globale de l'entreprise, dette incluse, reste cohérente avec sa capacité opérationnelle à générer des bénéfices avant intérêts, impôts et amortissements.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 enregistré une variation totale positive de +6,38%, avec une dernière séance stable (0,00%). Le cours a évolué dans une fourchette de 3 165 FCFA (plus bas) à 4 500 FCFA (plus haut), montrant une amplitude de trading significative. La moyenne du cours sur la période est de 3 741 FCFA, légèrement supérieure à la médiane de 3 700 FCFA, indiquant une distribution quasi symétrique, ce que confirme le skewness de 0,412. L'écart-type de 322 FCFA (CV=8,6%) révèle une dispersion modérée autour de la moyenne. Le kurtosis de -0,387 (mésokurtique) suggère une distribution proche de la normale, sans risque de pics extrêmes. Cependant, la volatilité annualisée de 55,8% est très élevée (&gt;30%), ce qui positionne le titre comme spéculatif à court terme, malgré une tendance de fond positive sur la période analysée.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(3 500 FCFA) est inférieur à la MM20 (3 641,75 FCFA) et nettement sous la MM50 (3 884 FCFA). Cette configuration baissière indique que la tendance de court et moyen terme est négative, le prix évoluant sous ses moyennes clés. La décision de "Vente" est justifiée par cette dynamique défavorable.</w:t>
      </w:r>
    </w:p>
    <w:p>
      <w:pPr>
        <w:spacing w:after="120" w:line="276" w:lineRule="auto"/>
      </w:pPr>
      <w:r>
        <w:t>**Bandes de Bollinger** : Le prix se situe à 3 500 FCFA, entre la borne inférieure (3 344,158 FCFA) et la borne supérieure (3 939,342 FCFA), proche de la partie basse du canal. Cela suggère une pression vendeuse sans être en situation de survente extrême. La décision "Neutre" est cohérente, le marché attendant un signal directionnel plus clair.</w:t>
      </w:r>
    </w:p>
    <w:p>
      <w:pPr>
        <w:spacing w:after="120" w:line="276" w:lineRule="auto"/>
      </w:pPr>
      <w:r>
        <w:t>**MACD** : La valeur du MACD (-113,92) est inférieure à son signal (-103,2), confirmant un momentum baissier. Cette divergence négative indique que la dynamique des prix reste défavorable à court terme, justifiant la décision de "Vente".</w:t>
      </w:r>
    </w:p>
    <w:p>
      <w:pPr>
        <w:spacing w:after="120" w:line="276" w:lineRule="auto"/>
      </w:pPr>
      <w:r>
        <w:t>**RSI** : À 33,645, le RSI est en zone neutre, proche du seuil de survente (30). Cela suggère que le titre n'est pas encore survendu, mais que la pression vendeuse s'atténue. La décision "Neutre" est appropriée, laissant place à un potentiel rebond technique.</w:t>
      </w:r>
    </w:p>
    <w:p>
      <w:pPr>
        <w:spacing w:after="120" w:line="276" w:lineRule="auto"/>
      </w:pPr>
      <w:r>
        <w:t>**Stochastique** : Le %K (5,376) et le %D (5,339) sont très bas, en zone de survente profonde. Ce niveau extrême signale un possible retournement haussier imminent. La décision "Achat" est justifiée par ce croisement potentiel à la hausse.</w:t>
      </w:r>
    </w:p>
    <w:p>
      <w:pPr>
        <w:spacing w:after="120" w:line="276" w:lineRule="auto"/>
      </w:pPr>
      <w:r>
        <w:t>**Conclusion technique** : Les indicateurs sont mitigés, avec une prédominance de signaux baissiers (MM, MACD) mais des signaux de survente (Stochastique, RSI proche de 30). La convergence entre le Stochastique et la proximité de la borne inférieure de Bollinger suggère un potentiel de rebond technique, mais la tendance de fond reste baissière tant que le cours n'aura pas repris la MM20.</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officielles, CABC a réalisé un chiffre d'affaires de 21,263 milliards FCFA, en hausse de 11,2% par rapport à 2024, avec un résultat net de 1,439 milliard FCFA. La marge nette s'établit à 6,77%, le ROE à 15,40% (excellent, &gt;15%) et le ROA à 6,10%. La société affiche une autonomie financière saine (39,58%) et une solvabilité générale de 165,52%. Cependant, le délai clients de 144,69 jours et la durée de stockage de 152,12 jours sont élevés, indiquant un risque de trésorerie et une immobilisation de capital. Le BFR de 7,186 milliards FCFA et le free cash flow négatif de -982,71 millions FCFA confirment cette tension. Les rapports trimestriels 2025 (S1 et 9 mois) montrent une dynamique positive : le CA S1 2025 a progressé de +12% et le résultat net de +55,3%, tandis que sur 9 mois, le CA a augmenté de +13,7% et le résultat net de +26%. Ces chiffres réels confirment la tendance annuelle. Les rapports historiques (2023-2024) montrent une amélioration continue de la rentabilité, passant d'une perte en 2023 à un bénéfice en 2025, grâce à une meilleure maîtrise des coûts et une demande soutenue. La recommandation fondamentale est donc positive, avec une solidité financière en amélioration, mais une vigilance sur la gestion du BFR et des créances clients.</w:t>
      </w:r>
    </w:p>
    <w:p>
      <w:pPr>
        <w:spacing w:after="120" w:line="276" w:lineRule="auto"/>
      </w:pPr>
      <w:r>
        <w:t>---</w:t>
      </w:r>
    </w:p>
    <w:p>
      <w:pPr>
        <w:spacing w:after="120" w:line="276" w:lineRule="auto"/>
      </w:pPr>
      <w:r>
        <w:t>### PARTIE 4 : CONCLUSION D'INVESTISSEMENT</w:t>
      </w:r>
    </w:p>
    <w:p>
      <w:pPr>
        <w:spacing w:after="120" w:line="276" w:lineRule="auto"/>
      </w:pPr>
      <w:r>
        <w:t>La valorisation de CABC (PER 14,4x, P/B 2,22x, EV/EBITDA 7,3x) indique une prime de croissance, justifiée par la progression du CA et du résultat net. Le comportement du cours sur 100 jours montre une tendance positive (+6,38%) mais avec une volatilité très élevée (55,8%), signalant un risque important. Les signaux techniques sont mitigés, avec une tendance baissière à court terme (MM, MACD) mais des conditions de survente (Stochastique) qui pourraient déclencher un rebond. Les fondamentaux sont solides, avec un ROE de 15,4% et une croissance soutenue, mais le BFR élevé et le free cash flow négatif sont des points de vigilance. Les prédictions IA (J+1 à J+10) anticipent une hausse progressive vers 4 405 FCFA, confirmant le potentiel de rebond technique. La convergence entre les fondamentaux positifs, le rebond technique attendu et les prédictions IA est forte. **Recommandation finale : ACHAT** avec un niveau de confiance **Moyen**, un risque global **Élevé** (volatilité et BFR), et un horizon d'investissement optimal à **moyen terme (3-12 mois)** pour capitaliser sur la croissance des infrastructures en Afrique de l'Ouest.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918.40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1,704 titres</w:t>
            </w:r>
          </w:p>
        </w:tc>
        <w:tc>
          <w:tcPr>
            <w:tcW w:type="dxa" w:w="2268"/>
            <w:shd w:fill="FFF2CC" w:val="clear"/>
          </w:tcPr>
          <w:p>
            <w:r>
              <w:rPr>
                <w:b/>
                <w:color w:val="503200"/>
                <w:sz w:val="16"/>
              </w:rPr>
              <w:t xml:space="preserve">Cours actuel : </w:t>
            </w:r>
            <w:r>
              <w:rPr>
                <w:color w:val="000000"/>
                <w:sz w:val="17"/>
              </w:rPr>
              <w:t>28,700 FCFA</w:t>
            </w:r>
          </w:p>
          <w:p>
            <w:r>
              <w:rPr>
                <w:b/>
                <w:color w:val="503200"/>
                <w:sz w:val="16"/>
              </w:rPr>
              <w:t xml:space="preserve">Var. 100 jours : </w:t>
            </w:r>
            <w:r>
              <w:rPr>
                <w:b/>
                <w:color w:val="007800"/>
                <w:sz w:val="17"/>
              </w:rPr>
              <w:t>+112.59%</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13,500 FCFA</w:t>
            </w:r>
          </w:p>
          <w:p>
            <w:r>
              <w:rPr>
                <w:b/>
                <w:color w:val="503200"/>
                <w:sz w:val="16"/>
              </w:rPr>
              <w:t xml:space="preserve">Volatilité ann. : </w:t>
            </w:r>
            <w:r>
              <w:rPr>
                <w:color w:val="000000"/>
                <w:sz w:val="17"/>
              </w:rPr>
              <w:t>42.0%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24.66% (Élevée) — μ=20,988 FCFA, σ=5,176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β=0.6419 (Défensif) — Cov=0.000023, Var(idx)=0.000036, ρ=0.146,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1,704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2026-08-13</w:t>
            </w:r>
          </w:p>
        </w:tc>
        <w:tc>
          <w:tcPr>
            <w:tcW w:type="dxa" w:w="1440"/>
            <w:shd w:fill="FFDCE0" w:val="clear"/>
          </w:tcPr>
          <w:p>
            <w:r>
              <w:rPr>
                <w:sz w:val="17"/>
              </w:rPr>
              <w:t>25,374</w:t>
            </w:r>
          </w:p>
        </w:tc>
        <w:tc>
          <w:tcPr>
            <w:tcW w:type="dxa" w:w="1440"/>
            <w:shd w:fill="FFDCE0" w:val="clear"/>
          </w:tcPr>
          <w:p>
            <w:r>
              <w:rPr>
                <w:b/>
                <w:sz w:val="17"/>
              </w:rPr>
              <w:t>26,548</w:t>
            </w:r>
          </w:p>
        </w:tc>
        <w:tc>
          <w:tcPr>
            <w:tcW w:type="dxa" w:w="1440"/>
            <w:shd w:fill="FFDCE0" w:val="clear"/>
          </w:tcPr>
          <w:p>
            <w:r>
              <w:rPr>
                <w:sz w:val="17"/>
              </w:rPr>
              <w:t>27,721</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2026-08-14</w:t>
            </w:r>
          </w:p>
        </w:tc>
        <w:tc>
          <w:tcPr>
            <w:tcW w:type="dxa" w:w="1440"/>
            <w:shd w:fill="FFDCE0" w:val="clear"/>
          </w:tcPr>
          <w:p>
            <w:r>
              <w:rPr>
                <w:sz w:val="17"/>
              </w:rPr>
              <w:t>23,022</w:t>
            </w:r>
          </w:p>
        </w:tc>
        <w:tc>
          <w:tcPr>
            <w:tcW w:type="dxa" w:w="1440"/>
            <w:shd w:fill="FFDCE0" w:val="clear"/>
          </w:tcPr>
          <w:p>
            <w:r>
              <w:rPr>
                <w:b/>
                <w:sz w:val="17"/>
              </w:rPr>
              <w:t>24,556</w:t>
            </w:r>
          </w:p>
        </w:tc>
        <w:tc>
          <w:tcPr>
            <w:tcW w:type="dxa" w:w="1440"/>
            <w:shd w:fill="FFDCE0" w:val="clear"/>
          </w:tcPr>
          <w:p>
            <w:r>
              <w:rPr>
                <w:sz w:val="17"/>
              </w:rPr>
              <w:t>26,091</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2026-08-17</w:t>
            </w:r>
          </w:p>
        </w:tc>
        <w:tc>
          <w:tcPr>
            <w:tcW w:type="dxa" w:w="1440"/>
            <w:shd w:fill="FFDCE0" w:val="clear"/>
          </w:tcPr>
          <w:p>
            <w:r>
              <w:rPr>
                <w:sz w:val="17"/>
              </w:rPr>
              <w:t>20,976</w:t>
            </w:r>
          </w:p>
        </w:tc>
        <w:tc>
          <w:tcPr>
            <w:tcW w:type="dxa" w:w="1440"/>
            <w:shd w:fill="FFDCE0" w:val="clear"/>
          </w:tcPr>
          <w:p>
            <w:r>
              <w:rPr>
                <w:b/>
                <w:sz w:val="17"/>
              </w:rPr>
              <w:t>22,715</w:t>
            </w:r>
          </w:p>
        </w:tc>
        <w:tc>
          <w:tcPr>
            <w:tcW w:type="dxa" w:w="1440"/>
            <w:shd w:fill="FFDCE0" w:val="clear"/>
          </w:tcPr>
          <w:p>
            <w:r>
              <w:rPr>
                <w:sz w:val="17"/>
              </w:rPr>
              <w:t>24,454</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2026-08-18</w:t>
            </w:r>
          </w:p>
        </w:tc>
        <w:tc>
          <w:tcPr>
            <w:tcW w:type="dxa" w:w="1440"/>
            <w:shd w:fill="FFDCE0" w:val="clear"/>
          </w:tcPr>
          <w:p>
            <w:r>
              <w:rPr>
                <w:sz w:val="17"/>
              </w:rPr>
              <w:t>19,154</w:t>
            </w:r>
          </w:p>
        </w:tc>
        <w:tc>
          <w:tcPr>
            <w:tcW w:type="dxa" w:w="1440"/>
            <w:shd w:fill="FFDCE0" w:val="clear"/>
          </w:tcPr>
          <w:p>
            <w:r>
              <w:rPr>
                <w:b/>
                <w:sz w:val="17"/>
              </w:rPr>
              <w:t>21,011</w:t>
            </w:r>
          </w:p>
        </w:tc>
        <w:tc>
          <w:tcPr>
            <w:tcW w:type="dxa" w:w="1440"/>
            <w:shd w:fill="FFDCE0" w:val="clear"/>
          </w:tcPr>
          <w:p>
            <w:r>
              <w:rPr>
                <w:sz w:val="17"/>
              </w:rPr>
              <w:t>22,868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2026-08-19</w:t>
            </w:r>
          </w:p>
        </w:tc>
        <w:tc>
          <w:tcPr>
            <w:tcW w:type="dxa" w:w="1440"/>
            <w:shd w:fill="FFDCE0" w:val="clear"/>
          </w:tcPr>
          <w:p>
            <w:r>
              <w:rPr>
                <w:sz w:val="17"/>
              </w:rPr>
              <w:t>17,630</w:t>
            </w:r>
          </w:p>
        </w:tc>
        <w:tc>
          <w:tcPr>
            <w:tcW w:type="dxa" w:w="1440"/>
            <w:shd w:fill="FFDCE0" w:val="clear"/>
          </w:tcPr>
          <w:p>
            <w:r>
              <w:rPr>
                <w:b/>
                <w:sz w:val="17"/>
              </w:rPr>
              <w:t>19,564</w:t>
            </w:r>
          </w:p>
        </w:tc>
        <w:tc>
          <w:tcPr>
            <w:tcW w:type="dxa" w:w="1440"/>
            <w:shd w:fill="FFDCE0" w:val="clear"/>
          </w:tcPr>
          <w:p>
            <w:r>
              <w:rPr>
                <w:sz w:val="17"/>
              </w:rPr>
              <w:t>21,497</w:t>
            </w:r>
          </w:p>
        </w:tc>
        <w:tc>
          <w:tcPr>
            <w:tcW w:type="dxa" w:w="1440"/>
            <w:shd w:fill="FFDCE0" w:val="clear"/>
          </w:tcPr>
          <w:p>
            <w:r>
              <w:rPr>
                <w:b/>
                <w:color w:val="C00000"/>
                <w:sz w:val="17"/>
              </w:rPr>
              <w:t>-31.8%</w:t>
            </w:r>
          </w:p>
        </w:tc>
      </w:tr>
      <w:tr>
        <w:tc>
          <w:tcPr>
            <w:tcW w:type="dxa" w:w="1440"/>
            <w:shd w:fill="FFDCE0" w:val="clear"/>
          </w:tcPr>
          <w:p>
            <w:r>
              <w:rPr>
                <w:sz w:val="17"/>
              </w:rPr>
              <w:t>J+6  ⭐</w:t>
            </w:r>
          </w:p>
        </w:tc>
        <w:tc>
          <w:tcPr>
            <w:tcW w:type="dxa" w:w="1440"/>
            <w:shd w:fill="FFDCE0" w:val="clear"/>
          </w:tcPr>
          <w:p>
            <w:r>
              <w:rPr>
                <w:sz w:val="17"/>
              </w:rPr>
              <w:t>2026-08-20</w:t>
            </w:r>
          </w:p>
        </w:tc>
        <w:tc>
          <w:tcPr>
            <w:tcW w:type="dxa" w:w="1440"/>
            <w:shd w:fill="FFDCE0" w:val="clear"/>
          </w:tcPr>
          <w:p>
            <w:r>
              <w:rPr>
                <w:sz w:val="17"/>
              </w:rPr>
              <w:t>16,960</w:t>
            </w:r>
          </w:p>
        </w:tc>
        <w:tc>
          <w:tcPr>
            <w:tcW w:type="dxa" w:w="1440"/>
            <w:shd w:fill="FFDCE0" w:val="clear"/>
          </w:tcPr>
          <w:p>
            <w:r>
              <w:rPr>
                <w:b/>
                <w:sz w:val="17"/>
              </w:rPr>
              <w:t>19,020</w:t>
            </w:r>
          </w:p>
        </w:tc>
        <w:tc>
          <w:tcPr>
            <w:tcW w:type="dxa" w:w="1440"/>
            <w:shd w:fill="FFDCE0" w:val="clear"/>
          </w:tcPr>
          <w:p>
            <w:r>
              <w:rPr>
                <w:sz w:val="17"/>
              </w:rPr>
              <w:t>21,079</w:t>
            </w:r>
          </w:p>
        </w:tc>
        <w:tc>
          <w:tcPr>
            <w:tcW w:type="dxa" w:w="1440"/>
            <w:shd w:fill="FFDCE0" w:val="clear"/>
          </w:tcPr>
          <w:p>
            <w:r>
              <w:rPr>
                <w:b/>
                <w:color w:val="C00000"/>
                <w:sz w:val="17"/>
              </w:rPr>
              <w:t>-33.7%</w:t>
            </w:r>
          </w:p>
        </w:tc>
      </w:tr>
      <w:tr>
        <w:tc>
          <w:tcPr>
            <w:tcW w:type="dxa" w:w="1440"/>
            <w:shd w:fill="FFDCE0" w:val="clear"/>
          </w:tcPr>
          <w:p>
            <w:r>
              <w:rPr>
                <w:sz w:val="17"/>
              </w:rPr>
              <w:t>J+7  ⭐</w:t>
            </w:r>
          </w:p>
        </w:tc>
        <w:tc>
          <w:tcPr>
            <w:tcW w:type="dxa" w:w="1440"/>
            <w:shd w:fill="FFDCE0" w:val="clear"/>
          </w:tcPr>
          <w:p>
            <w:r>
              <w:rPr>
                <w:sz w:val="17"/>
              </w:rPr>
              <w:t>2026-08-21</w:t>
            </w:r>
          </w:p>
        </w:tc>
        <w:tc>
          <w:tcPr>
            <w:tcW w:type="dxa" w:w="1440"/>
            <w:shd w:fill="FFDCE0" w:val="clear"/>
          </w:tcPr>
          <w:p>
            <w:r>
              <w:rPr>
                <w:sz w:val="17"/>
              </w:rPr>
              <w:t>16,374</w:t>
            </w:r>
          </w:p>
        </w:tc>
        <w:tc>
          <w:tcPr>
            <w:tcW w:type="dxa" w:w="1440"/>
            <w:shd w:fill="FFDCE0" w:val="clear"/>
          </w:tcPr>
          <w:p>
            <w:r>
              <w:rPr>
                <w:b/>
                <w:sz w:val="17"/>
              </w:rPr>
              <w:t>18,542</w:t>
            </w:r>
          </w:p>
        </w:tc>
        <w:tc>
          <w:tcPr>
            <w:tcW w:type="dxa" w:w="1440"/>
            <w:shd w:fill="FFDCE0" w:val="clear"/>
          </w:tcPr>
          <w:p>
            <w:r>
              <w:rPr>
                <w:sz w:val="17"/>
              </w:rPr>
              <w:t>20,711</w:t>
            </w:r>
          </w:p>
        </w:tc>
        <w:tc>
          <w:tcPr>
            <w:tcW w:type="dxa" w:w="1440"/>
            <w:shd w:fill="FFDCE0" w:val="clear"/>
          </w:tcPr>
          <w:p>
            <w:r>
              <w:rPr>
                <w:b/>
                <w:color w:val="C00000"/>
                <w:sz w:val="17"/>
              </w:rPr>
              <w:t>-35.4%</w:t>
            </w:r>
          </w:p>
        </w:tc>
      </w:tr>
      <w:tr>
        <w:tc>
          <w:tcPr>
            <w:tcW w:type="dxa" w:w="1440"/>
            <w:shd w:fill="FFDCE0" w:val="clear"/>
          </w:tcPr>
          <w:p>
            <w:r>
              <w:rPr>
                <w:sz w:val="17"/>
              </w:rPr>
              <w:t>J+8  ⭐</w:t>
            </w:r>
          </w:p>
        </w:tc>
        <w:tc>
          <w:tcPr>
            <w:tcW w:type="dxa" w:w="1440"/>
            <w:shd w:fill="FFDCE0" w:val="clear"/>
          </w:tcPr>
          <w:p>
            <w:r>
              <w:rPr>
                <w:sz w:val="17"/>
              </w:rPr>
              <w:t>2026-08-24</w:t>
            </w:r>
          </w:p>
        </w:tc>
        <w:tc>
          <w:tcPr>
            <w:tcW w:type="dxa" w:w="1440"/>
            <w:shd w:fill="FFDCE0" w:val="clear"/>
          </w:tcPr>
          <w:p>
            <w:r>
              <w:rPr>
                <w:sz w:val="17"/>
              </w:rPr>
              <w:t>15,852</w:t>
            </w:r>
          </w:p>
        </w:tc>
        <w:tc>
          <w:tcPr>
            <w:tcW w:type="dxa" w:w="1440"/>
            <w:shd w:fill="FFDCE0" w:val="clear"/>
          </w:tcPr>
          <w:p>
            <w:r>
              <w:rPr>
                <w:b/>
                <w:sz w:val="17"/>
              </w:rPr>
              <w:t>18,117</w:t>
            </w:r>
          </w:p>
        </w:tc>
        <w:tc>
          <w:tcPr>
            <w:tcW w:type="dxa" w:w="1440"/>
            <w:shd w:fill="FFDCE0" w:val="clear"/>
          </w:tcPr>
          <w:p>
            <w:r>
              <w:rPr>
                <w:sz w:val="17"/>
              </w:rPr>
              <w:t>20,381</w:t>
            </w:r>
          </w:p>
        </w:tc>
        <w:tc>
          <w:tcPr>
            <w:tcW w:type="dxa" w:w="1440"/>
            <w:shd w:fill="FFDCE0" w:val="clear"/>
          </w:tcPr>
          <w:p>
            <w:r>
              <w:rPr>
                <w:b/>
                <w:color w:val="C00000"/>
                <w:sz w:val="17"/>
              </w:rPr>
              <w:t>-36.9%</w:t>
            </w:r>
          </w:p>
        </w:tc>
      </w:tr>
      <w:tr>
        <w:tc>
          <w:tcPr>
            <w:tcW w:type="dxa" w:w="1440"/>
            <w:shd w:fill="FFDCE0" w:val="clear"/>
          </w:tcPr>
          <w:p>
            <w:r>
              <w:rPr>
                <w:sz w:val="17"/>
              </w:rPr>
              <w:t>J+9  ⭐</w:t>
            </w:r>
          </w:p>
        </w:tc>
        <w:tc>
          <w:tcPr>
            <w:tcW w:type="dxa" w:w="1440"/>
            <w:shd w:fill="FFDCE0" w:val="clear"/>
          </w:tcPr>
          <w:p>
            <w:r>
              <w:rPr>
                <w:sz w:val="17"/>
              </w:rPr>
              <w:t>2026-08-25</w:t>
            </w:r>
          </w:p>
        </w:tc>
        <w:tc>
          <w:tcPr>
            <w:tcW w:type="dxa" w:w="1440"/>
            <w:shd w:fill="FFDCE0" w:val="clear"/>
          </w:tcPr>
          <w:p>
            <w:r>
              <w:rPr>
                <w:sz w:val="17"/>
              </w:rPr>
              <w:t>15,381</w:t>
            </w:r>
          </w:p>
        </w:tc>
        <w:tc>
          <w:tcPr>
            <w:tcW w:type="dxa" w:w="1440"/>
            <w:shd w:fill="FFDCE0" w:val="clear"/>
          </w:tcPr>
          <w:p>
            <w:r>
              <w:rPr>
                <w:b/>
                <w:sz w:val="17"/>
              </w:rPr>
              <w:t>17,732</w:t>
            </w:r>
          </w:p>
        </w:tc>
        <w:tc>
          <w:tcPr>
            <w:tcW w:type="dxa" w:w="1440"/>
            <w:shd w:fill="FFDCE0" w:val="clear"/>
          </w:tcPr>
          <w:p>
            <w:r>
              <w:rPr>
                <w:sz w:val="17"/>
              </w:rPr>
              <w:t>20,083</w:t>
            </w:r>
          </w:p>
        </w:tc>
        <w:tc>
          <w:tcPr>
            <w:tcW w:type="dxa" w:w="1440"/>
            <w:shd w:fill="FFDCE0" w:val="clear"/>
          </w:tcPr>
          <w:p>
            <w:r>
              <w:rPr>
                <w:b/>
                <w:color w:val="C00000"/>
                <w:sz w:val="17"/>
              </w:rPr>
              <w:t>-38.2%</w:t>
            </w:r>
          </w:p>
        </w:tc>
      </w:tr>
      <w:tr>
        <w:tc>
          <w:tcPr>
            <w:tcW w:type="dxa" w:w="1440"/>
            <w:shd w:fill="FFDCE0" w:val="clear"/>
          </w:tcPr>
          <w:p>
            <w:r>
              <w:rPr>
                <w:sz w:val="17"/>
              </w:rPr>
              <w:t>J+10  ⭐</w:t>
            </w:r>
          </w:p>
        </w:tc>
        <w:tc>
          <w:tcPr>
            <w:tcW w:type="dxa" w:w="1440"/>
            <w:shd w:fill="FFDCE0" w:val="clear"/>
          </w:tcPr>
          <w:p>
            <w:r>
              <w:rPr>
                <w:sz w:val="17"/>
              </w:rPr>
              <w:t>2026-08-27</w:t>
            </w:r>
          </w:p>
        </w:tc>
        <w:tc>
          <w:tcPr>
            <w:tcW w:type="dxa" w:w="1440"/>
            <w:shd w:fill="FFDCE0" w:val="clear"/>
          </w:tcPr>
          <w:p>
            <w:r>
              <w:rPr>
                <w:sz w:val="17"/>
              </w:rPr>
              <w:t>14,952</w:t>
            </w:r>
          </w:p>
        </w:tc>
        <w:tc>
          <w:tcPr>
            <w:tcW w:type="dxa" w:w="1440"/>
            <w:shd w:fill="FFDCE0" w:val="clear"/>
          </w:tcPr>
          <w:p>
            <w:r>
              <w:rPr>
                <w:b/>
                <w:sz w:val="17"/>
              </w:rPr>
              <w:t>17,382</w:t>
            </w:r>
          </w:p>
        </w:tc>
        <w:tc>
          <w:tcPr>
            <w:tcW w:type="dxa" w:w="1440"/>
            <w:shd w:fill="FFDCE0" w:val="clear"/>
          </w:tcPr>
          <w:p>
            <w:r>
              <w:rPr>
                <w:sz w:val="17"/>
              </w:rPr>
              <w:t>19,811</w:t>
            </w:r>
          </w:p>
        </w:tc>
        <w:tc>
          <w:tcPr>
            <w:tcW w:type="dxa" w:w="1440"/>
            <w:shd w:fill="FFDCE0" w:val="clear"/>
          </w:tcPr>
          <w:p>
            <w:r>
              <w:rPr>
                <w:b/>
                <w:color w:val="C00000"/>
                <w:sz w:val="17"/>
              </w:rPr>
              <w:t>-39.4%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de l'analyse : 12 août 2026 | Cours de référence : 28 700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918,40 milliards FCFA, ce qui en fait l'une des capitalisations les plus significatives de la BRVM, reflétant la position dominante de la banque dans l'UEMOA. Avec un BPA de 2 047 FCFA, chaque action génère un bénéfice substantiel, justifiant un PER de 14,0x. Ce ratio est supérieur à la moyenne historique de la BRVM (8-12x), indiquant que le marché valorise déjà une prime de croissance et de qualité sur le titre. L'EV/EBITDA de 10,4x, bien que dans la fourchette haute (10-15x), confirme une valorisation exigeante mais cohérente avec la forte rentabilité opérationnelle de la banque. Le ratio P/B n'est pas disponible dans les données fournies, mais le niveau de PER et d'EV/EBITDA suggère que le marché intègre des perspectives de croissance soutenue, ce qui laisse peu de marge d'erreur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CBIBF a enregistré une performance spectaculaire de +112,59%, passant d'un plus bas de 13 500 FCFA à un plus haut de 30 005 FCFA, avant de se stabiliser à 28 700 FCFA. La légère baisse de -1,03% lors de la dernière séance suggère un essoufflement à court terme après une telle ascension. La moyenne du cours sur la période (20 988 FCFA) est inférieure à la médiane (21 500 FCFA), indiquant une distribution légèrement asymétrique avec une concentration des prix vers le haut de la fourchette. L'écart-type de 5 202 FCFA (CV=24,8%) démontre une dispersion modérée, tandis que le kurtosis négatif (-1,229) révèle une distribution aplatie, signe d'un marché sans mouvements extrêmes récurrents. Le skewness positif (0,181) confirme une légère asymétrie vers les hausses. La volatilité annualisée de 42,0% classe le titre dans la catégorie "élevée" (&gt;30%), ce qui implique un risque significatif mais aussi un potentiel de rendement important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(28 700 FCFA) évolue nettement au-dessus de la MM20 (27 983,25 FCFA) et de la MM50 (25 297,6 FCFA), confirmant une tendance haussière de fond. La configuration des MM, avec la MM20 au-dessus de la MM50, valide la dynamique positive, justifiant la décision d'achat. Cependant, l'écart important entre le prix et la MM50 suggère une possible consolidation à venir.</w:t>
      </w:r>
    </w:p>
    <w:p>
      <w:pPr>
        <w:spacing w:after="120" w:line="276" w:lineRule="auto"/>
      </w:pPr>
      <w:r>
        <w:t>**Bandes de Bollinger :** Le prix se situe à 28 700 FCFA, proche de la borne supérieure (30 093,58 FCFA) mais dans la zone neutre. La largeur des bandes (4 220 FCFA) reflète une volatilité élevée. La décision "Neutre" indique que le marché n'est pas encore en situation de surachat extrême, mais le titre reste sous pression haussière.</w:t>
      </w:r>
    </w:p>
    <w:p>
      <w:pPr>
        <w:spacing w:after="120" w:line="276" w:lineRule="auto"/>
      </w:pPr>
      <w:r>
        <w:t>**MACD :** La valeur du MACD (885,47) est inférieure à sa ligne de signal (981,11), indiquant un momentum baissier à court terme. Cette divergence négative, après une période de forte hausse, signale un possible ralentissement ou une correction technique, justifiant la décision de vente.</w:t>
      </w:r>
    </w:p>
    <w:p>
      <w:pPr>
        <w:spacing w:after="120" w:line="276" w:lineRule="auto"/>
      </w:pPr>
      <w:r>
        <w:t>**RSI :** À 79,45, le RSI est en zone de surachat (&gt;70), confirmant que le titre est techniquement surévalué à court terme. Cette situation appelle à la prudence, car elle précède souvent une correction ou une phase de consolidation.</w:t>
      </w:r>
    </w:p>
    <w:p>
      <w:pPr>
        <w:spacing w:after="120" w:line="276" w:lineRule="auto"/>
      </w:pPr>
      <w:r>
        <w:t>**Stochastique :** Le %K (88,24) et le %D (95,48) sont tous deux en zone de surachat, avec un %K sous le %D, indiquant un croisement baissier potentiel. Cette configuration renforce le signal de vente à court terme.</w:t>
      </w:r>
    </w:p>
    <w:p>
      <w:pPr>
        <w:spacing w:after="120" w:line="276" w:lineRule="auto"/>
      </w:pPr>
      <w:r>
        <w:t>**Conclusion technique :** Les indicateurs de tendance (MM) restent positifs, mais les oscillateurs (RSI, Stochastique, MACD) convergent vers un signal de surachat et de retournement à court terme. La prudence est de mise : une correction technique semble probable avant la poursuite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2025, CBIBF a démontré une performance financière robuste. Le Produit Net Bancaire (PNB) s'établit à 138,986 milliards FCFA, en croissance de 6,1% par rapport à 2024, porté par l'amélioration des marges d'intérêts et des commissions. Le résultat net atteint 65,495 milliards FCFA, en progression de 36,6% par rapport à 2024 (47,937 milliards), grâce à une meilleure maîtrise du coût du risque, qui s'améliore significativement de 59,3%. La banque affiche une marge nette exceptionnelle de 47,12% et un coefficient d'exploitation de 36,39%, largement sous la barre des 60%, démontrant une excellente efficacité opérationnelle. Le ROA de 2,18% est solide pour le secteur bancaire. Les dépôts clientèle (2 015,284 milliards FCFA) progressent de 14,9%, tandis que les crédits nets (1 326,977 milliards FCFA) augmentent de 5,4%, reflétant une stratégie de transformation prudente. Selon le rapport annuel 2024, le résultat net avait chuté de -25,4% en raison d'une explosion du coût du risque (+72,5%), mais l'exercice 2025 marque un net redressement. Le rapport du 3e trimestre 2025 (PNB de 101,3 milliards, résultat net de 52,9 milliards) confirme cette dynamique positive. Enfin, le rapport du 1er trimestre 2026 (PNB de 36,8 milliards, +28,5% ; résultat net de 21,5 milliards, +22,2%) suggère une accélération de la croissance en 2026, avec une collecte de dépôts exceptionnelle (+37,9%). La banque reste confrontée aux risques sécuritaires et politiques du Burkina Faso, mais sa solidité financière et sa gestion rigoureuse des risques en font une valeur de premier plan.</w:t>
      </w:r>
    </w:p>
    <w:p>
      <w:pPr>
        <w:spacing w:after="120" w:line="276" w:lineRule="auto"/>
      </w:pPr>
      <w:r>
        <w:t>---</w:t>
      </w:r>
    </w:p>
    <w:p>
      <w:pPr>
        <w:spacing w:after="120" w:line="276" w:lineRule="auto"/>
      </w:pPr>
      <w:r>
        <w:t>### PARTIE 4 : CONCLUSION D'INVESTISSEMENT</w:t>
      </w:r>
    </w:p>
    <w:p>
      <w:pPr>
        <w:spacing w:after="120" w:line="276" w:lineRule="auto"/>
      </w:pPr>
      <w:r>
        <w:t>La valorisation de CBIBF (PER 14,0x, EV/EBITDA 10,4x) est exigeante mais justifiée par une croissance fondamentale solide et une rentabilité parmi les meilleures de la BRVM. Le comportement du cours, avec une hausse de +112,59% sur 100 jours et une volatilité de 42%, témoigne d'un intérêt marqué des investisseurs, mais les statistiques (kurtosis platykurtique) suggèrent un marché sans excès de spéculation. Les signaux techniques sont mitigés : les moyennes mobiles restent haussières, mais le RSI (79,45), le Stochastique et le MACD indiquent un surachat imminent, prédisant une correction à court terme. Les fondamentaux, eux, sont excellents, avec un résultat net 2025 en hausse de 36,6% et des perspectives 2026 très positives (croissance du PNB de +28,5% au T1 2026). Les prédictions IA (baisse progressive de 26 548 à 19 564 FCFA sur 10 jours) confirment le scénario de correction technique. En synthèse, la convergence entre les signaux techniques de surachat et les prédictions IA suggère une consolidation à court terme, mais la solidité fondamentale et la croissance soutenue plaident pour une appréciation à moyen terme. **Recommandation : ACHAT** (sur repli) avec un niveau de confiance **Moyen**, un risque global **Élevé** (volatilité et risque pays), et un horizon d'investissement optimal à **moyen terme (3-12 mois)** pour profiter de la correction attendue comme point d'entrée.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297.45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3,590 titres</w:t>
            </w:r>
          </w:p>
        </w:tc>
        <w:tc>
          <w:tcPr>
            <w:tcW w:type="dxa" w:w="2268"/>
            <w:shd w:fill="FFF2CC" w:val="clear"/>
          </w:tcPr>
          <w:p>
            <w:r>
              <w:rPr>
                <w:b/>
                <w:color w:val="503200"/>
                <w:sz w:val="16"/>
              </w:rPr>
              <w:t xml:space="preserve">Cours actuel : </w:t>
            </w:r>
            <w:r>
              <w:rPr>
                <w:color w:val="000000"/>
                <w:sz w:val="17"/>
              </w:rPr>
              <w:t>1,640 FCFA</w:t>
            </w:r>
          </w:p>
          <w:p>
            <w:r>
              <w:rPr>
                <w:b/>
                <w:color w:val="503200"/>
                <w:sz w:val="16"/>
              </w:rPr>
              <w:t xml:space="preserve">Var. 100 jours : </w:t>
            </w:r>
            <w:r>
              <w:rPr>
                <w:b/>
                <w:color w:val="B40000"/>
                <w:sz w:val="17"/>
              </w:rPr>
              <w:t>-0.61%</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6.34% (Moyenne) — μ=1,606 FCFA, σ=102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β=1.0759 (Neutre (suit le marché)) — Cov=0.000039, Var(idx)=0.000036, ρ=0.214,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3,590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σ_j=3.07%/j (Modérée) — Vol. annualisée≈48.8%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3244"/>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324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2026-08-13</w:t>
            </w:r>
          </w:p>
        </w:tc>
        <w:tc>
          <w:tcPr>
            <w:tcW w:type="dxa" w:w="1440"/>
            <w:shd w:fill="FAFAFA" w:val="clear"/>
          </w:tcPr>
          <w:p>
            <w:r>
              <w:rPr>
                <w:sz w:val="17"/>
              </w:rPr>
              <w:t>1,550</w:t>
            </w:r>
          </w:p>
        </w:tc>
        <w:tc>
          <w:tcPr>
            <w:tcW w:type="dxa" w:w="1440"/>
            <w:shd w:fill="FAFAFA" w:val="clear"/>
          </w:tcPr>
          <w:p>
            <w:r>
              <w:rPr>
                <w:b/>
                <w:sz w:val="17"/>
              </w:rPr>
              <w:t>1,624</w:t>
            </w:r>
          </w:p>
        </w:tc>
        <w:tc>
          <w:tcPr>
            <w:tcW w:type="dxa" w:w="1440"/>
            <w:shd w:fill="FAFAFA" w:val="clear"/>
          </w:tcPr>
          <w:p>
            <w:r>
              <w:rPr>
                <w:sz w:val="17"/>
              </w:rPr>
              <w:t>1,698</w:t>
            </w:r>
          </w:p>
        </w:tc>
        <w:tc>
          <w:tcPr>
            <w:tcW w:type="dxa" w:w="1440"/>
            <w:shd w:fill="FAFAFA" w:val="clear"/>
          </w:tcPr>
          <w:p>
            <w:r>
              <w:rPr>
                <w:b/>
                <w:color w:val="C00000"/>
                <w:sz w:val="17"/>
              </w:rPr>
              <w:t>-1.0%</w:t>
            </w:r>
          </w:p>
        </w:tc>
      </w:tr>
      <w:tr>
        <w:tc>
          <w:tcPr>
            <w:tcW w:type="dxa" w:w="1440"/>
            <w:shd w:fill="FFDCE0" w:val="clear"/>
          </w:tcPr>
          <w:p>
            <w:r>
              <w:rPr>
                <w:sz w:val="17"/>
              </w:rPr>
              <w:t>J+2  Moyenne</w:t>
            </w:r>
          </w:p>
        </w:tc>
        <w:tc>
          <w:tcPr>
            <w:tcW w:type="dxa" w:w="1440"/>
            <w:shd w:fill="FFDCE0" w:val="clear"/>
          </w:tcPr>
          <w:p>
            <w:r>
              <w:rPr>
                <w:sz w:val="17"/>
              </w:rPr>
              <w:t>2026-08-14</w:t>
            </w:r>
          </w:p>
        </w:tc>
        <w:tc>
          <w:tcPr>
            <w:tcW w:type="dxa" w:w="1440"/>
            <w:shd w:fill="FFDCE0" w:val="clear"/>
          </w:tcPr>
          <w:p>
            <w:r>
              <w:rPr>
                <w:sz w:val="17"/>
              </w:rPr>
              <w:t>1,496</w:t>
            </w:r>
          </w:p>
        </w:tc>
        <w:tc>
          <w:tcPr>
            <w:tcW w:type="dxa" w:w="1440"/>
            <w:shd w:fill="FFDCE0" w:val="clear"/>
          </w:tcPr>
          <w:p>
            <w:r>
              <w:rPr>
                <w:b/>
                <w:sz w:val="17"/>
              </w:rPr>
              <w:t>1,600</w:t>
            </w:r>
          </w:p>
        </w:tc>
        <w:tc>
          <w:tcPr>
            <w:tcW w:type="dxa" w:w="1440"/>
            <w:shd w:fill="FFDCE0" w:val="clear"/>
          </w:tcPr>
          <w:p>
            <w:r>
              <w:rPr>
                <w:sz w:val="17"/>
              </w:rPr>
              <w:t>1,703</w:t>
            </w:r>
          </w:p>
        </w:tc>
        <w:tc>
          <w:tcPr>
            <w:tcW w:type="dxa" w:w="1440"/>
            <w:shd w:fill="FFDCE0" w:val="clear"/>
          </w:tcPr>
          <w:p>
            <w:r>
              <w:rPr>
                <w:b/>
                <w:color w:val="C00000"/>
                <w:sz w:val="17"/>
              </w:rPr>
              <w:t>-2.5%</w:t>
            </w:r>
          </w:p>
        </w:tc>
      </w:tr>
      <w:tr>
        <w:tc>
          <w:tcPr>
            <w:tcW w:type="dxa" w:w="1440"/>
            <w:shd w:fill="FFDCE0" w:val="clear"/>
          </w:tcPr>
          <w:p>
            <w:r>
              <w:rPr>
                <w:sz w:val="17"/>
              </w:rPr>
              <w:t>J+3  Moyenne</w:t>
            </w:r>
          </w:p>
        </w:tc>
        <w:tc>
          <w:tcPr>
            <w:tcW w:type="dxa" w:w="1440"/>
            <w:shd w:fill="FFDCE0" w:val="clear"/>
          </w:tcPr>
          <w:p>
            <w:r>
              <w:rPr>
                <w:sz w:val="17"/>
              </w:rPr>
              <w:t>2026-08-17</w:t>
            </w:r>
          </w:p>
        </w:tc>
        <w:tc>
          <w:tcPr>
            <w:tcW w:type="dxa" w:w="1440"/>
            <w:shd w:fill="FFDCE0" w:val="clear"/>
          </w:tcPr>
          <w:p>
            <w:r>
              <w:rPr>
                <w:sz w:val="17"/>
              </w:rPr>
              <w:t>1,451</w:t>
            </w:r>
          </w:p>
        </w:tc>
        <w:tc>
          <w:tcPr>
            <w:tcW w:type="dxa" w:w="1440"/>
            <w:shd w:fill="FFDCE0" w:val="clear"/>
          </w:tcPr>
          <w:p>
            <w:r>
              <w:rPr>
                <w:b/>
                <w:sz w:val="17"/>
              </w:rPr>
              <w:t>1,576</w:t>
            </w:r>
          </w:p>
        </w:tc>
        <w:tc>
          <w:tcPr>
            <w:tcW w:type="dxa" w:w="1440"/>
            <w:shd w:fill="FFDCE0" w:val="clear"/>
          </w:tcPr>
          <w:p>
            <w:r>
              <w:rPr>
                <w:sz w:val="17"/>
              </w:rPr>
              <w:t>1,701</w:t>
            </w:r>
          </w:p>
        </w:tc>
        <w:tc>
          <w:tcPr>
            <w:tcW w:type="dxa" w:w="1440"/>
            <w:shd w:fill="FFDCE0" w:val="clear"/>
          </w:tcPr>
          <w:p>
            <w:r>
              <w:rPr>
                <w:b/>
                <w:color w:val="C00000"/>
                <w:sz w:val="17"/>
              </w:rPr>
              <w:t>-3.9%</w:t>
            </w:r>
          </w:p>
        </w:tc>
      </w:tr>
      <w:tr>
        <w:tc>
          <w:tcPr>
            <w:tcW w:type="dxa" w:w="1440"/>
            <w:shd w:fill="FFDCE0" w:val="clear"/>
          </w:tcPr>
          <w:p>
            <w:r>
              <w:rPr>
                <w:sz w:val="17"/>
              </w:rPr>
              <w:t>J+4  ⭐</w:t>
            </w:r>
          </w:p>
        </w:tc>
        <w:tc>
          <w:tcPr>
            <w:tcW w:type="dxa" w:w="1440"/>
            <w:shd w:fill="FFDCE0" w:val="clear"/>
          </w:tcPr>
          <w:p>
            <w:r>
              <w:rPr>
                <w:sz w:val="17"/>
              </w:rPr>
              <w:t>2026-08-18</w:t>
            </w:r>
          </w:p>
        </w:tc>
        <w:tc>
          <w:tcPr>
            <w:tcW w:type="dxa" w:w="1440"/>
            <w:shd w:fill="FFDCE0" w:val="clear"/>
          </w:tcPr>
          <w:p>
            <w:r>
              <w:rPr>
                <w:sz w:val="17"/>
              </w:rPr>
              <w:t>1,411</w:t>
            </w:r>
          </w:p>
        </w:tc>
        <w:tc>
          <w:tcPr>
            <w:tcW w:type="dxa" w:w="1440"/>
            <w:shd w:fill="FFDCE0" w:val="clear"/>
          </w:tcPr>
          <w:p>
            <w:r>
              <w:rPr>
                <w:b/>
                <w:sz w:val="17"/>
              </w:rPr>
              <w:t>1,553</w:t>
            </w:r>
          </w:p>
        </w:tc>
        <w:tc>
          <w:tcPr>
            <w:tcW w:type="dxa" w:w="1440"/>
            <w:shd w:fill="FFDCE0" w:val="clear"/>
          </w:tcPr>
          <w:p>
            <w:r>
              <w:rPr>
                <w:sz w:val="17"/>
              </w:rPr>
              <w:t>1,695</w:t>
            </w:r>
          </w:p>
        </w:tc>
        <w:tc>
          <w:tcPr>
            <w:tcW w:type="dxa" w:w="1440"/>
            <w:shd w:fill="FFDCE0" w:val="clear"/>
          </w:tcPr>
          <w:p>
            <w:r>
              <w:rPr>
                <w:b/>
                <w:color w:val="C00000"/>
                <w:sz w:val="17"/>
              </w:rPr>
              <w:t>-5.3%</w:t>
            </w:r>
          </w:p>
        </w:tc>
      </w:tr>
      <w:tr>
        <w:tc>
          <w:tcPr>
            <w:tcW w:type="dxa" w:w="1440"/>
            <w:shd w:fill="FFDCE0" w:val="clear"/>
          </w:tcPr>
          <w:p>
            <w:r>
              <w:rPr>
                <w:sz w:val="17"/>
              </w:rPr>
              <w:t>J+5  ⭐</w:t>
            </w:r>
          </w:p>
        </w:tc>
        <w:tc>
          <w:tcPr>
            <w:tcW w:type="dxa" w:w="1440"/>
            <w:shd w:fill="FFDCE0" w:val="clear"/>
          </w:tcPr>
          <w:p>
            <w:r>
              <w:rPr>
                <w:sz w:val="17"/>
              </w:rPr>
              <w:t>2026-08-19</w:t>
            </w:r>
          </w:p>
        </w:tc>
        <w:tc>
          <w:tcPr>
            <w:tcW w:type="dxa" w:w="1440"/>
            <w:shd w:fill="FFDCE0" w:val="clear"/>
          </w:tcPr>
          <w:p>
            <w:r>
              <w:rPr>
                <w:sz w:val="17"/>
              </w:rPr>
              <w:t>1,374</w:t>
            </w:r>
          </w:p>
        </w:tc>
        <w:tc>
          <w:tcPr>
            <w:tcW w:type="dxa" w:w="1440"/>
            <w:shd w:fill="FFDCE0" w:val="clear"/>
          </w:tcPr>
          <w:p>
            <w:r>
              <w:rPr>
                <w:b/>
                <w:sz w:val="17"/>
              </w:rPr>
              <w:t>1,531</w:t>
            </w:r>
          </w:p>
        </w:tc>
        <w:tc>
          <w:tcPr>
            <w:tcW w:type="dxa" w:w="1440"/>
            <w:shd w:fill="FFDCE0" w:val="clear"/>
          </w:tcPr>
          <w:p>
            <w:r>
              <w:rPr>
                <w:sz w:val="17"/>
              </w:rPr>
              <w:t>1,687</w:t>
            </w:r>
          </w:p>
        </w:tc>
        <w:tc>
          <w:tcPr>
            <w:tcW w:type="dxa" w:w="1440"/>
            <w:shd w:fill="FFDCE0" w:val="clear"/>
          </w:tcPr>
          <w:p>
            <w:r>
              <w:rPr>
                <w:b/>
                <w:color w:val="C00000"/>
                <w:sz w:val="17"/>
              </w:rPr>
              <w:t>-6.7%</w:t>
            </w:r>
          </w:p>
        </w:tc>
      </w:tr>
      <w:tr>
        <w:tc>
          <w:tcPr>
            <w:tcW w:type="dxa" w:w="1440"/>
            <w:shd w:fill="FFDCE0" w:val="clear"/>
          </w:tcPr>
          <w:p>
            <w:r>
              <w:rPr>
                <w:sz w:val="17"/>
              </w:rPr>
              <w:t>J+6  ⭐</w:t>
            </w:r>
          </w:p>
        </w:tc>
        <w:tc>
          <w:tcPr>
            <w:tcW w:type="dxa" w:w="1440"/>
            <w:shd w:fill="FFDCE0" w:val="clear"/>
          </w:tcPr>
          <w:p>
            <w:r>
              <w:rPr>
                <w:sz w:val="17"/>
              </w:rPr>
              <w:t>2026-08-20</w:t>
            </w:r>
          </w:p>
        </w:tc>
        <w:tc>
          <w:tcPr>
            <w:tcW w:type="dxa" w:w="1440"/>
            <w:shd w:fill="FFDCE0" w:val="clear"/>
          </w:tcPr>
          <w:p>
            <w:r>
              <w:rPr>
                <w:sz w:val="17"/>
              </w:rPr>
              <w:t>1,340</w:t>
            </w:r>
          </w:p>
        </w:tc>
        <w:tc>
          <w:tcPr>
            <w:tcW w:type="dxa" w:w="1440"/>
            <w:shd w:fill="FFDCE0" w:val="clear"/>
          </w:tcPr>
          <w:p>
            <w:r>
              <w:rPr>
                <w:b/>
                <w:sz w:val="17"/>
              </w:rPr>
              <w:t>1,509</w:t>
            </w:r>
          </w:p>
        </w:tc>
        <w:tc>
          <w:tcPr>
            <w:tcW w:type="dxa" w:w="1440"/>
            <w:shd w:fill="FFDCE0" w:val="clear"/>
          </w:tcPr>
          <w:p>
            <w:r>
              <w:rPr>
                <w:sz w:val="17"/>
              </w:rPr>
              <w:t>1,677</w:t>
            </w:r>
          </w:p>
        </w:tc>
        <w:tc>
          <w:tcPr>
            <w:tcW w:type="dxa" w:w="1440"/>
            <w:shd w:fill="FFDCE0" w:val="clear"/>
          </w:tcPr>
          <w:p>
            <w:r>
              <w:rPr>
                <w:b/>
                <w:color w:val="C00000"/>
                <w:sz w:val="17"/>
              </w:rPr>
              <w:t>-8.0%</w:t>
            </w:r>
          </w:p>
        </w:tc>
      </w:tr>
      <w:tr>
        <w:tc>
          <w:tcPr>
            <w:tcW w:type="dxa" w:w="1440"/>
            <w:shd w:fill="FFDCE0" w:val="clear"/>
          </w:tcPr>
          <w:p>
            <w:r>
              <w:rPr>
                <w:sz w:val="17"/>
              </w:rPr>
              <w:t>J+7  ⭐</w:t>
            </w:r>
          </w:p>
        </w:tc>
        <w:tc>
          <w:tcPr>
            <w:tcW w:type="dxa" w:w="1440"/>
            <w:shd w:fill="FFDCE0" w:val="clear"/>
          </w:tcPr>
          <w:p>
            <w:r>
              <w:rPr>
                <w:sz w:val="17"/>
              </w:rPr>
              <w:t>2026-08-21</w:t>
            </w:r>
          </w:p>
        </w:tc>
        <w:tc>
          <w:tcPr>
            <w:tcW w:type="dxa" w:w="1440"/>
            <w:shd w:fill="FFDCE0" w:val="clear"/>
          </w:tcPr>
          <w:p>
            <w:r>
              <w:rPr>
                <w:sz w:val="17"/>
              </w:rPr>
              <w:t>1,307</w:t>
            </w:r>
          </w:p>
        </w:tc>
        <w:tc>
          <w:tcPr>
            <w:tcW w:type="dxa" w:w="1440"/>
            <w:shd w:fill="FFDCE0" w:val="clear"/>
          </w:tcPr>
          <w:p>
            <w:r>
              <w:rPr>
                <w:b/>
                <w:sz w:val="17"/>
              </w:rPr>
              <w:t>1,487</w:t>
            </w:r>
          </w:p>
        </w:tc>
        <w:tc>
          <w:tcPr>
            <w:tcW w:type="dxa" w:w="1440"/>
            <w:shd w:fill="FFDCE0" w:val="clear"/>
          </w:tcPr>
          <w:p>
            <w:r>
              <w:rPr>
                <w:sz w:val="17"/>
              </w:rPr>
              <w:t>1,667</w:t>
            </w:r>
          </w:p>
        </w:tc>
        <w:tc>
          <w:tcPr>
            <w:tcW w:type="dxa" w:w="1440"/>
            <w:shd w:fill="FFDCE0" w:val="clear"/>
          </w:tcPr>
          <w:p>
            <w:r>
              <w:rPr>
                <w:b/>
                <w:color w:val="C00000"/>
                <w:sz w:val="17"/>
              </w:rPr>
              <w:t>-9.3%</w:t>
            </w:r>
          </w:p>
        </w:tc>
      </w:tr>
      <w:tr>
        <w:tc>
          <w:tcPr>
            <w:tcW w:type="dxa" w:w="1440"/>
            <w:shd w:fill="FFDCE0" w:val="clear"/>
          </w:tcPr>
          <w:p>
            <w:r>
              <w:rPr>
                <w:sz w:val="17"/>
              </w:rPr>
              <w:t>J+8  ⭐</w:t>
            </w:r>
          </w:p>
        </w:tc>
        <w:tc>
          <w:tcPr>
            <w:tcW w:type="dxa" w:w="1440"/>
            <w:shd w:fill="FFDCE0" w:val="clear"/>
          </w:tcPr>
          <w:p>
            <w:r>
              <w:rPr>
                <w:sz w:val="17"/>
              </w:rPr>
              <w:t>2026-08-24</w:t>
            </w:r>
          </w:p>
        </w:tc>
        <w:tc>
          <w:tcPr>
            <w:tcW w:type="dxa" w:w="1440"/>
            <w:shd w:fill="FFDCE0" w:val="clear"/>
          </w:tcPr>
          <w:p>
            <w:r>
              <w:rPr>
                <w:sz w:val="17"/>
              </w:rPr>
              <w:t>1,277</w:t>
            </w:r>
          </w:p>
        </w:tc>
        <w:tc>
          <w:tcPr>
            <w:tcW w:type="dxa" w:w="1440"/>
            <w:shd w:fill="FFDCE0" w:val="clear"/>
          </w:tcPr>
          <w:p>
            <w:r>
              <w:rPr>
                <w:b/>
                <w:sz w:val="17"/>
              </w:rPr>
              <w:t>1,466</w:t>
            </w:r>
          </w:p>
        </w:tc>
        <w:tc>
          <w:tcPr>
            <w:tcW w:type="dxa" w:w="1440"/>
            <w:shd w:fill="FFDCE0" w:val="clear"/>
          </w:tcPr>
          <w:p>
            <w:r>
              <w:rPr>
                <w:sz w:val="17"/>
              </w:rPr>
              <w:t>1,656</w:t>
            </w:r>
          </w:p>
        </w:tc>
        <w:tc>
          <w:tcPr>
            <w:tcW w:type="dxa" w:w="1440"/>
            <w:shd w:fill="FFDCE0" w:val="clear"/>
          </w:tcPr>
          <w:p>
            <w:r>
              <w:rPr>
                <w:b/>
                <w:color w:val="C00000"/>
                <w:sz w:val="17"/>
              </w:rPr>
              <w:t>-10.6%</w:t>
            </w:r>
          </w:p>
        </w:tc>
      </w:tr>
      <w:tr>
        <w:tc>
          <w:tcPr>
            <w:tcW w:type="dxa" w:w="1440"/>
            <w:shd w:fill="FFDCE0" w:val="clear"/>
          </w:tcPr>
          <w:p>
            <w:r>
              <w:rPr>
                <w:sz w:val="17"/>
              </w:rPr>
              <w:t>J+9  ⭐</w:t>
            </w:r>
          </w:p>
        </w:tc>
        <w:tc>
          <w:tcPr>
            <w:tcW w:type="dxa" w:w="1440"/>
            <w:shd w:fill="FFDCE0" w:val="clear"/>
          </w:tcPr>
          <w:p>
            <w:r>
              <w:rPr>
                <w:sz w:val="17"/>
              </w:rPr>
              <w:t>2026-08-25</w:t>
            </w:r>
          </w:p>
        </w:tc>
        <w:tc>
          <w:tcPr>
            <w:tcW w:type="dxa" w:w="1440"/>
            <w:shd w:fill="FFDCE0" w:val="clear"/>
          </w:tcPr>
          <w:p>
            <w:r>
              <w:rPr>
                <w:sz w:val="17"/>
              </w:rPr>
              <w:t>1,248</w:t>
            </w:r>
          </w:p>
        </w:tc>
        <w:tc>
          <w:tcPr>
            <w:tcW w:type="dxa" w:w="1440"/>
            <w:shd w:fill="FFDCE0" w:val="clear"/>
          </w:tcPr>
          <w:p>
            <w:r>
              <w:rPr>
                <w:b/>
                <w:sz w:val="17"/>
              </w:rPr>
              <w:t>1,446</w:t>
            </w:r>
          </w:p>
        </w:tc>
        <w:tc>
          <w:tcPr>
            <w:tcW w:type="dxa" w:w="1440"/>
            <w:shd w:fill="FFDCE0" w:val="clear"/>
          </w:tcPr>
          <w:p>
            <w:r>
              <w:rPr>
                <w:sz w:val="17"/>
              </w:rPr>
              <w:t>1,644</w:t>
            </w:r>
          </w:p>
        </w:tc>
        <w:tc>
          <w:tcPr>
            <w:tcW w:type="dxa" w:w="1440"/>
            <w:shd w:fill="FFDCE0" w:val="clear"/>
          </w:tcPr>
          <w:p>
            <w:r>
              <w:rPr>
                <w:b/>
                <w:color w:val="C00000"/>
                <w:sz w:val="17"/>
              </w:rPr>
              <w:t>-11.8%</w:t>
            </w:r>
          </w:p>
        </w:tc>
      </w:tr>
      <w:tr>
        <w:tc>
          <w:tcPr>
            <w:tcW w:type="dxa" w:w="1440"/>
            <w:shd w:fill="FFDCE0" w:val="clear"/>
          </w:tcPr>
          <w:p>
            <w:r>
              <w:rPr>
                <w:sz w:val="17"/>
              </w:rPr>
              <w:t>J+10  ⭐</w:t>
            </w:r>
          </w:p>
        </w:tc>
        <w:tc>
          <w:tcPr>
            <w:tcW w:type="dxa" w:w="1440"/>
            <w:shd w:fill="FFDCE0" w:val="clear"/>
          </w:tcPr>
          <w:p>
            <w:r>
              <w:rPr>
                <w:sz w:val="17"/>
              </w:rPr>
              <w:t>2026-08-27</w:t>
            </w:r>
          </w:p>
        </w:tc>
        <w:tc>
          <w:tcPr>
            <w:tcW w:type="dxa" w:w="1440"/>
            <w:shd w:fill="FFDCE0" w:val="clear"/>
          </w:tcPr>
          <w:p>
            <w:r>
              <w:rPr>
                <w:sz w:val="17"/>
              </w:rPr>
              <w:t>1,220</w:t>
            </w:r>
          </w:p>
        </w:tc>
        <w:tc>
          <w:tcPr>
            <w:tcW w:type="dxa" w:w="1440"/>
            <w:shd w:fill="FFDCE0" w:val="clear"/>
          </w:tcPr>
          <w:p>
            <w:r>
              <w:rPr>
                <w:b/>
                <w:sz w:val="17"/>
              </w:rPr>
              <w:t>1,426</w:t>
            </w:r>
          </w:p>
        </w:tc>
        <w:tc>
          <w:tcPr>
            <w:tcW w:type="dxa" w:w="1440"/>
            <w:shd w:fill="FFDCE0" w:val="clear"/>
          </w:tcPr>
          <w:p>
            <w:r>
              <w:rPr>
                <w:sz w:val="17"/>
              </w:rPr>
              <w:t>1,632</w:t>
            </w:r>
          </w:p>
        </w:tc>
        <w:tc>
          <w:tcPr>
            <w:tcW w:type="dxa" w:w="1440"/>
            <w:shd w:fill="FFDCE0" w:val="clear"/>
          </w:tcPr>
          <w:p>
            <w:r>
              <w:rPr>
                <w:b/>
                <w:color w:val="C00000"/>
                <w:sz w:val="17"/>
              </w:rPr>
              <w:t>-13.1%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CFAC s'établit à 297,45 milliards FCFA, un niveau significatif qui positionne la société parmi les valeurs moyennes à grandes capitalisations de la BRVM. Le BPA de 26 FCFA par action, rapporté au cours actuel de 1 640 FCFA, conduit à un PER de 63,4x, très largement supérieur à la moyenne historique du marché (8-12x), indiquant que les investisseurs paient une prime considérable pour chaque franc de bénéfice. Le P/B de 15,29x confirme cette surévaluation relative, le marché valorisant plus de quinze fois la valeur comptable des capitaux propres, un niveau extrêmement exigeant. L'EV/EBITDA de 32,3x, bien au-delà du seuil de 15x considéré comme élevé, renforce le constat d'une valorisation qui intègre des hypothèses de croissance très optimistes, laissant peu de marge de sécurité pour l'investisseur.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affiche une variation totale de -0,61%, avec un repli marqué de -3,24% lors de la dernière séance, signalant une faiblesse récente. Le cours a évolué dans une fourchette de 1 325 à 1 825 FCFA, soit une amplitude de 500 FCFA, reflétant une volatilité notable. La moyenne (1 606 FCFA) et la médiane (1 605 FCFA) sont quasi identiques, indiquant une distribution symétrique des cours, tandis que le mode à 1 695 FCFA suggère un niveau de prix fréquemment touché. L'écart-type de 102 FCFA (CV de 6,4%) témoigne d'une dispersion modérée autour de la moyenne. Le kurtosis de -0,069, proche de zéro, indique une distribution mésokurtique sans risque de pics extrêmes, et le skewness de -0,367 révèle une légère asymétrie négative, avec des baisses plus prononcées que les hausses. La volatilité annualisée de 48,8% classe le titre comme très volatil, un niveau élevé qui implique un risque substantiel pour les investisseurs à court terme.</w:t>
      </w:r>
    </w:p>
    <w:p>
      <w:pPr>
        <w:spacing w:after="120" w:line="276" w:lineRule="auto" w:before="240"/>
      </w:pPr>
      <w:r>
        <w:rPr>
          <w:b/>
          <w:color w:val="003366"/>
          <w:sz w:val="24"/>
        </w:rPr>
        <w:t>**PARTIE 2 : ANALYSE TECHNIQUE DÉTAILLÉE**</w:t>
      </w:r>
    </w:p>
    <w:p>
      <w:pPr>
        <w:spacing w:after="120" w:line="276" w:lineRule="auto"/>
      </w:pPr>
      <w:r>
        <w:t>Les moyennes mobiles MM20 (1 659,25 FCFA) et MM50 (1 656,9 FCFA) sont toutes deux supérieures au cours actuel de 1 640 FCFA, mais leur proximité suggère une tendance hésitante. La décision d'achat signalée par cet indicateur s'appuie sur le fait que le cours, bien qu'en léger repli, reste proche de ces moyennes, indiquant un potentiel de rebond si le support des MM50 tient.</w:t>
      </w:r>
    </w:p>
    <w:p>
      <w:pPr>
        <w:spacing w:after="120" w:line="276" w:lineRule="auto"/>
      </w:pPr>
      <w:r>
        <w:t>Les bandes de Bollinger, avec une borne supérieure à 1 748,178 FCFA et une borne inférieure à 1 570,322 FCFA, encadrent le cours à 1 640 FCFA, positionné dans la moitié inférieure de la bande. Cette configuration signale une volatilité modérée et un marché neutre, le prix n'étant ni suracheté ni survendu, laissant place à une évolution directionnelle à venir.</w:t>
      </w:r>
    </w:p>
    <w:p>
      <w:pPr>
        <w:spacing w:after="120" w:line="276" w:lineRule="auto"/>
      </w:pPr>
      <w:r>
        <w:t>Le MACD affiche une valeur de 11,74 contre un signal à 12,46, avec une décision de vente. Cette divergence négative, bien que légère, indique un momentum baissier naissant, le MACD étant passé sous sa ligne de signal, ce qui suggère une perte de dynamique haussière à court terme.</w:t>
      </w:r>
    </w:p>
    <w:p>
      <w:pPr>
        <w:spacing w:after="120" w:line="276" w:lineRule="auto"/>
      </w:pPr>
      <w:r>
        <w:t>Le RSI à 38,776 se situe dans la zone neutre (30-70), mais proche de la zone de survente, indiquant que le titre n'est pas encore survendu mais que la pression vendeuse s'accentue. Cette valeur suggère un potentiel de rebond technique si le seuil de 30 est atteint, mais pour l'instant, la prudence reste de mise.</w:t>
      </w:r>
    </w:p>
    <w:p>
      <w:pPr>
        <w:spacing w:after="120" w:line="276" w:lineRule="auto"/>
      </w:pPr>
      <w:r>
        <w:t>Le stochastique, avec %K à 33,333 et %D à 74,172, montre un %K nettement inférieur à %D, signalant une dynamique baissière en cours. La décision neutre reflète toutefois une situation transitoire, le %K approchant la zone de survente, ce qui pourrait précéder un retournement haussier.</w:t>
      </w:r>
    </w:p>
    <w:p>
      <w:pPr>
        <w:spacing w:after="120" w:line="276" w:lineRule="auto"/>
      </w:pPr>
      <w:r>
        <w:t>En conclusion technique, les indicateurs sont partagés avec une légère prédominance baissière : les moyennes mobiles restent positives, mais le MACD, le RSI et le stochastique pointent vers une faiblesse à court terme. La configuration suggère une consolidation avec un biais négatif, le titre testant des supports clés autour de 1 570 FCFA.</w:t>
      </w:r>
    </w:p>
    <w:p>
      <w:pPr>
        <w:spacing w:after="120" w:line="276" w:lineRule="auto" w:before="240"/>
      </w:pPr>
      <w:r>
        <w:rPr>
          <w:b/>
          <w:color w:val="003366"/>
          <w:sz w:val="24"/>
        </w:rPr>
        <w:t>**PARTIE 3 : ANALYSE FONDAMENTALE (SECTION CRITIQUE)**</w:t>
      </w:r>
    </w:p>
    <w:p>
      <w:pPr>
        <w:spacing w:after="120" w:line="276" w:lineRule="auto"/>
      </w:pPr>
      <w:r>
        <w:t>En 2024, CFAC a réalisé un chiffre d'affaires de 158,313 milliards FCFA, en baisse de -12,1% par rapport à 2023 (180,162 milliards FCFA), avec un résultat net de 4,693 milliards FCFA, en recul de -26,7% (contre 6,399 milliards en 2023). Le ROE s'établit à 24,13%, un niveau excellent malgré la baisse, et le ROA à 5,52%, reflétant une utilisation correcte des actifs. La marge nette de 2,96% et la marge opérationnelle de 4,96% montrent une pression sur la rentabilité, avec un BFR négatif de -3,482 milliards FCFA, un point favorable pour la trésorerie. Les délais clients à 36,64 jours et fournisseurs à 81,75 jours indiquent une gestion acceptable, mais la durée de stockage de 88,35 jours immobilise du capital. Le rapport du 3ème trimestre 2025 (date inconnue) révèle un chiffre d'affaires de 43,580 milliards FCFA (+18,3% vs T3 2024) et un résultat net de 1,489 milliard FCFA (+38,1%), tandis que le rapport du 1er semestre 2025 (date inconnue) montre un CA de 91,182 milliards FCFA (+18,4%) et un résultat net de 5,420 milliards FCFA (+152,7%). Sur la base de ces rapports trimestriels, on estime que l'exercice 2025 devrait dépasser significativement 2024, avec un CA potentiel de 180-190 milliards FCFA et un résultat net de 9-10 milliards FCFA, confirmant un redressement marqué. La solidité financière est renforcée par un ROE élevé et une capacité de remboursement de 0,72 an, mais l'endettement (ratio de 23,07%) et la liquidité générale de 93,63% restent des points de vigilance.</w:t>
      </w:r>
    </w:p>
    <w:p>
      <w:pPr>
        <w:spacing w:after="120" w:line="276" w:lineRule="auto" w:before="240"/>
      </w:pPr>
      <w:r>
        <w:rPr>
          <w:b/>
          <w:color w:val="003366"/>
          <w:sz w:val="24"/>
        </w:rPr>
        <w:t>**PARTIE 4 : CONCLUSION D'INVESTISSEMENT**</w:t>
      </w:r>
    </w:p>
    <w:p>
      <w:pPr>
        <w:spacing w:after="120" w:line="276" w:lineRule="auto"/>
      </w:pPr>
      <w:r>
        <w:t>La valorisation de CFAC, avec un PER de 63,4x, un P/B de 15,29x et un EV/EBITDA de 32,3x, indique une surévaluation manifeste par rapport aux fondamentaux actuels, les investisseurs payant une prime excessive pour des bénéfices en croissance mais encore modestes. Le comportement du cours sur 100 jours, avec une variation quasi nulle mais une volatilité annualisée de 48,8% et un skewness négatif, révèle une instabilité préoccupante, bien que la distribution mésokurtique limite les risques extrêmes. Les signaux techniques sont mitigés, avec des moyennes mobiles positives mais un MACD, un RSI et un stochastique orientés à la baisse, suggérant une consolidation fragile. Les fondamentaux, malgré un repli en 2024, montrent un redressement spectaculaire en 2025 (résultat net S1 2025 +152,7%), soutenant une dynamique positive à moyen terme. Les prédictions IA pour les 10 prochains jours (1 624 à 1 531 FCFA) confirment une tendance baissière à court terme, en ligne avec les signaux techniques. La synthèse globale indique une divergence entre la surévaluation boursière et l'amélioration fondamentale, conduisant à une recommandation de **CONSERVER** avec un niveau de confiance **Moyen**, un risque global **Élevé** en raison de la volatilité et de la valorisation, et un horizon d'investissement optimal à **moyen terme (3-12 mois)** pour capitaliser sur le redressement opérationnel sans subir la correction technique immédiate.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305.20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6,252 titres</w:t>
            </w:r>
          </w:p>
        </w:tc>
        <w:tc>
          <w:tcPr>
            <w:tcW w:type="dxa" w:w="2268"/>
            <w:shd w:fill="FFF2CC" w:val="clear"/>
          </w:tcPr>
          <w:p>
            <w:r>
              <w:rPr>
                <w:b/>
                <w:color w:val="503200"/>
                <w:sz w:val="16"/>
              </w:rPr>
              <w:t xml:space="preserve">Cours actuel : </w:t>
            </w:r>
            <w:r>
              <w:rPr>
                <w:color w:val="000000"/>
                <w:sz w:val="17"/>
              </w:rPr>
              <w:t>5,450 FCFA</w:t>
            </w:r>
          </w:p>
          <w:p>
            <w:r>
              <w:rPr>
                <w:b/>
                <w:color w:val="503200"/>
                <w:sz w:val="16"/>
              </w:rPr>
              <w:t xml:space="preserve">Var. 100 jours : </w:t>
            </w:r>
            <w:r>
              <w:rPr>
                <w:b/>
                <w:color w:val="007800"/>
                <w:sz w:val="17"/>
              </w:rPr>
              <w:t>+65.15%</w:t>
            </w:r>
          </w:p>
          <w:p>
            <w:r>
              <w:rPr>
                <w:b/>
                <w:color w:val="503200"/>
                <w:sz w:val="16"/>
              </w:rPr>
              <w:t xml:space="preserve">Plus haut 100j : </w:t>
            </w:r>
            <w:r>
              <w:rPr>
                <w:color w:val="000000"/>
                <w:sz w:val="17"/>
              </w:rPr>
              <w:t>5,485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21.89% (Élevée) — μ=4,255 FCFA, σ=932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β=0.7452 (Défensif) — Cov=0.000027, Var(idx)=0.000036, ρ=0.153,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σ_j=2.92%/j (Stable) — Vol. annualisée≈46.4%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3244"/>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324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2026-08-13</w:t>
            </w:r>
          </w:p>
        </w:tc>
        <w:tc>
          <w:tcPr>
            <w:tcW w:type="dxa" w:w="1440"/>
            <w:shd w:fill="FFDCE0" w:val="clear"/>
          </w:tcPr>
          <w:p>
            <w:r>
              <w:rPr>
                <w:sz w:val="17"/>
              </w:rPr>
              <w:t>4,825</w:t>
            </w:r>
          </w:p>
        </w:tc>
        <w:tc>
          <w:tcPr>
            <w:tcW w:type="dxa" w:w="1440"/>
            <w:shd w:fill="FFDCE0" w:val="clear"/>
          </w:tcPr>
          <w:p>
            <w:r>
              <w:rPr>
                <w:b/>
                <w:sz w:val="17"/>
              </w:rPr>
              <w:t>5,041</w:t>
            </w:r>
          </w:p>
        </w:tc>
        <w:tc>
          <w:tcPr>
            <w:tcW w:type="dxa" w:w="1440"/>
            <w:shd w:fill="FFDCE0" w:val="clear"/>
          </w:tcPr>
          <w:p>
            <w:r>
              <w:rPr>
                <w:sz w:val="17"/>
              </w:rPr>
              <w:t>5,257</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2026-08-14</w:t>
            </w:r>
          </w:p>
        </w:tc>
        <w:tc>
          <w:tcPr>
            <w:tcW w:type="dxa" w:w="1440"/>
            <w:shd w:fill="FFDCE0" w:val="clear"/>
          </w:tcPr>
          <w:p>
            <w:r>
              <w:rPr>
                <w:sz w:val="17"/>
              </w:rPr>
              <w:t>4,381</w:t>
            </w:r>
          </w:p>
        </w:tc>
        <w:tc>
          <w:tcPr>
            <w:tcW w:type="dxa" w:w="1440"/>
            <w:shd w:fill="FFDCE0" w:val="clear"/>
          </w:tcPr>
          <w:p>
            <w:r>
              <w:rPr>
                <w:b/>
                <w:sz w:val="17"/>
              </w:rPr>
              <w:t>4,663</w:t>
            </w:r>
          </w:p>
        </w:tc>
        <w:tc>
          <w:tcPr>
            <w:tcW w:type="dxa" w:w="1440"/>
            <w:shd w:fill="FFDCE0" w:val="clear"/>
          </w:tcPr>
          <w:p>
            <w:r>
              <w:rPr>
                <w:sz w:val="17"/>
              </w:rPr>
              <w:t>4,946</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2026-08-17</w:t>
            </w:r>
          </w:p>
        </w:tc>
        <w:tc>
          <w:tcPr>
            <w:tcW w:type="dxa" w:w="1440"/>
            <w:shd w:fill="FFDCE0" w:val="clear"/>
          </w:tcPr>
          <w:p>
            <w:r>
              <w:rPr>
                <w:sz w:val="17"/>
              </w:rPr>
              <w:t>3,993</w:t>
            </w:r>
          </w:p>
        </w:tc>
        <w:tc>
          <w:tcPr>
            <w:tcW w:type="dxa" w:w="1440"/>
            <w:shd w:fill="FFDCE0" w:val="clear"/>
          </w:tcPr>
          <w:p>
            <w:r>
              <w:rPr>
                <w:b/>
                <w:sz w:val="17"/>
              </w:rPr>
              <w:t>4,313</w:t>
            </w:r>
          </w:p>
        </w:tc>
        <w:tc>
          <w:tcPr>
            <w:tcW w:type="dxa" w:w="1440"/>
            <w:shd w:fill="FFDCE0" w:val="clear"/>
          </w:tcPr>
          <w:p>
            <w:r>
              <w:rPr>
                <w:sz w:val="17"/>
              </w:rPr>
              <w:t>4,633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2026-08-18</w:t>
            </w:r>
          </w:p>
        </w:tc>
        <w:tc>
          <w:tcPr>
            <w:tcW w:type="dxa" w:w="1440"/>
            <w:shd w:fill="FFDCE0" w:val="clear"/>
          </w:tcPr>
          <w:p>
            <w:r>
              <w:rPr>
                <w:sz w:val="17"/>
              </w:rPr>
              <w:t>3,648</w:t>
            </w:r>
          </w:p>
        </w:tc>
        <w:tc>
          <w:tcPr>
            <w:tcW w:type="dxa" w:w="1440"/>
            <w:shd w:fill="FFDCE0" w:val="clear"/>
          </w:tcPr>
          <w:p>
            <w:r>
              <w:rPr>
                <w:b/>
                <w:sz w:val="17"/>
              </w:rPr>
              <w:t>3,990</w:t>
            </w:r>
          </w:p>
        </w:tc>
        <w:tc>
          <w:tcPr>
            <w:tcW w:type="dxa" w:w="1440"/>
            <w:shd w:fill="FFDCE0" w:val="clear"/>
          </w:tcPr>
          <w:p>
            <w:r>
              <w:rPr>
                <w:sz w:val="17"/>
              </w:rPr>
              <w:t>4,332</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2026-08-19</w:t>
            </w:r>
          </w:p>
        </w:tc>
        <w:tc>
          <w:tcPr>
            <w:tcW w:type="dxa" w:w="1440"/>
            <w:shd w:fill="FFDCE0" w:val="clear"/>
          </w:tcPr>
          <w:p>
            <w:r>
              <w:rPr>
                <w:sz w:val="17"/>
              </w:rPr>
              <w:t>3,337</w:t>
            </w:r>
          </w:p>
        </w:tc>
        <w:tc>
          <w:tcPr>
            <w:tcW w:type="dxa" w:w="1440"/>
            <w:shd w:fill="FFDCE0" w:val="clear"/>
          </w:tcPr>
          <w:p>
            <w:r>
              <w:rPr>
                <w:b/>
                <w:sz w:val="17"/>
              </w:rPr>
              <w:t>3,691</w:t>
            </w:r>
          </w:p>
        </w:tc>
        <w:tc>
          <w:tcPr>
            <w:tcW w:type="dxa" w:w="1440"/>
            <w:shd w:fill="FFDCE0" w:val="clear"/>
          </w:tcPr>
          <w:p>
            <w:r>
              <w:rPr>
                <w:sz w:val="17"/>
              </w:rPr>
              <w:t>4,044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2026-08-20</w:t>
            </w:r>
          </w:p>
        </w:tc>
        <w:tc>
          <w:tcPr>
            <w:tcW w:type="dxa" w:w="1440"/>
            <w:shd w:fill="FFDCE0" w:val="clear"/>
          </w:tcPr>
          <w:p>
            <w:r>
              <w:rPr>
                <w:sz w:val="17"/>
              </w:rPr>
              <w:t>3,119</w:t>
            </w:r>
          </w:p>
        </w:tc>
        <w:tc>
          <w:tcPr>
            <w:tcW w:type="dxa" w:w="1440"/>
            <w:shd w:fill="FFDCE0" w:val="clear"/>
          </w:tcPr>
          <w:p>
            <w:r>
              <w:rPr>
                <w:b/>
                <w:sz w:val="17"/>
              </w:rPr>
              <w:t>3,485</w:t>
            </w:r>
          </w:p>
        </w:tc>
        <w:tc>
          <w:tcPr>
            <w:tcW w:type="dxa" w:w="1440"/>
            <w:shd w:fill="FFDCE0" w:val="clear"/>
          </w:tcPr>
          <w:p>
            <w:r>
              <w:rPr>
                <w:sz w:val="17"/>
              </w:rPr>
              <w:t>3,850</w:t>
            </w:r>
          </w:p>
        </w:tc>
        <w:tc>
          <w:tcPr>
            <w:tcW w:type="dxa" w:w="1440"/>
            <w:shd w:fill="FFDCE0" w:val="clear"/>
          </w:tcPr>
          <w:p>
            <w:r>
              <w:rPr>
                <w:b/>
                <w:color w:val="C00000"/>
                <w:sz w:val="17"/>
              </w:rPr>
              <w:t>-36.1%</w:t>
            </w:r>
          </w:p>
        </w:tc>
      </w:tr>
      <w:tr>
        <w:tc>
          <w:tcPr>
            <w:tcW w:type="dxa" w:w="1440"/>
            <w:shd w:fill="FFDCE0" w:val="clear"/>
          </w:tcPr>
          <w:p>
            <w:r>
              <w:rPr>
                <w:sz w:val="17"/>
              </w:rPr>
              <w:t>J+7  ⭐</w:t>
            </w:r>
          </w:p>
        </w:tc>
        <w:tc>
          <w:tcPr>
            <w:tcW w:type="dxa" w:w="1440"/>
            <w:shd w:fill="FFDCE0" w:val="clear"/>
          </w:tcPr>
          <w:p>
            <w:r>
              <w:rPr>
                <w:sz w:val="17"/>
              </w:rPr>
              <w:t>2026-08-21</w:t>
            </w:r>
          </w:p>
        </w:tc>
        <w:tc>
          <w:tcPr>
            <w:tcW w:type="dxa" w:w="1440"/>
            <w:shd w:fill="FFDCE0" w:val="clear"/>
          </w:tcPr>
          <w:p>
            <w:r>
              <w:rPr>
                <w:sz w:val="17"/>
              </w:rPr>
              <w:t>3,015</w:t>
            </w:r>
          </w:p>
        </w:tc>
        <w:tc>
          <w:tcPr>
            <w:tcW w:type="dxa" w:w="1440"/>
            <w:shd w:fill="FFDCE0" w:val="clear"/>
          </w:tcPr>
          <w:p>
            <w:r>
              <w:rPr>
                <w:b/>
                <w:sz w:val="17"/>
              </w:rPr>
              <w:t>3,401</w:t>
            </w:r>
          </w:p>
        </w:tc>
        <w:tc>
          <w:tcPr>
            <w:tcW w:type="dxa" w:w="1440"/>
            <w:shd w:fill="FFDCE0" w:val="clear"/>
          </w:tcPr>
          <w:p>
            <w:r>
              <w:rPr>
                <w:sz w:val="17"/>
              </w:rPr>
              <w:t>3,786</w:t>
            </w:r>
          </w:p>
        </w:tc>
        <w:tc>
          <w:tcPr>
            <w:tcW w:type="dxa" w:w="1440"/>
            <w:shd w:fill="FFDCE0" w:val="clear"/>
          </w:tcPr>
          <w:p>
            <w:r>
              <w:rPr>
                <w:b/>
                <w:color w:val="C00000"/>
                <w:sz w:val="17"/>
              </w:rPr>
              <w:t>-37.6%</w:t>
            </w:r>
          </w:p>
        </w:tc>
      </w:tr>
      <w:tr>
        <w:tc>
          <w:tcPr>
            <w:tcW w:type="dxa" w:w="1440"/>
            <w:shd w:fill="FFDCE0" w:val="clear"/>
          </w:tcPr>
          <w:p>
            <w:r>
              <w:rPr>
                <w:sz w:val="17"/>
              </w:rPr>
              <w:t>J+8  ⭐</w:t>
            </w:r>
          </w:p>
        </w:tc>
        <w:tc>
          <w:tcPr>
            <w:tcW w:type="dxa" w:w="1440"/>
            <w:shd w:fill="FFDCE0" w:val="clear"/>
          </w:tcPr>
          <w:p>
            <w:r>
              <w:rPr>
                <w:sz w:val="17"/>
              </w:rPr>
              <w:t>2026-08-24</w:t>
            </w:r>
          </w:p>
        </w:tc>
        <w:tc>
          <w:tcPr>
            <w:tcW w:type="dxa" w:w="1440"/>
            <w:shd w:fill="FFDCE0" w:val="clear"/>
          </w:tcPr>
          <w:p>
            <w:r>
              <w:rPr>
                <w:sz w:val="17"/>
              </w:rPr>
              <w:t>2,922</w:t>
            </w:r>
          </w:p>
        </w:tc>
        <w:tc>
          <w:tcPr>
            <w:tcW w:type="dxa" w:w="1440"/>
            <w:shd w:fill="FFDCE0" w:val="clear"/>
          </w:tcPr>
          <w:p>
            <w:r>
              <w:rPr>
                <w:b/>
                <w:sz w:val="17"/>
              </w:rPr>
              <w:t>3,325</w:t>
            </w:r>
          </w:p>
        </w:tc>
        <w:tc>
          <w:tcPr>
            <w:tcW w:type="dxa" w:w="1440"/>
            <w:shd w:fill="FFDCE0" w:val="clear"/>
          </w:tcPr>
          <w:p>
            <w:r>
              <w:rPr>
                <w:sz w:val="17"/>
              </w:rPr>
              <w:t>3,728</w:t>
            </w:r>
          </w:p>
        </w:tc>
        <w:tc>
          <w:tcPr>
            <w:tcW w:type="dxa" w:w="1440"/>
            <w:shd w:fill="FFDCE0" w:val="clear"/>
          </w:tcPr>
          <w:p>
            <w:r>
              <w:rPr>
                <w:b/>
                <w:color w:val="C00000"/>
                <w:sz w:val="17"/>
              </w:rPr>
              <w:t>-39.0%</w:t>
            </w:r>
          </w:p>
        </w:tc>
      </w:tr>
      <w:tr>
        <w:tc>
          <w:tcPr>
            <w:tcW w:type="dxa" w:w="1440"/>
            <w:shd w:fill="FFDCE0" w:val="clear"/>
          </w:tcPr>
          <w:p>
            <w:r>
              <w:rPr>
                <w:sz w:val="17"/>
              </w:rPr>
              <w:t>J+9  ⭐</w:t>
            </w:r>
          </w:p>
        </w:tc>
        <w:tc>
          <w:tcPr>
            <w:tcW w:type="dxa" w:w="1440"/>
            <w:shd w:fill="FFDCE0" w:val="clear"/>
          </w:tcPr>
          <w:p>
            <w:r>
              <w:rPr>
                <w:sz w:val="17"/>
              </w:rPr>
              <w:t>2026-08-25</w:t>
            </w:r>
          </w:p>
        </w:tc>
        <w:tc>
          <w:tcPr>
            <w:tcW w:type="dxa" w:w="1440"/>
            <w:shd w:fill="FFDCE0" w:val="clear"/>
          </w:tcPr>
          <w:p>
            <w:r>
              <w:rPr>
                <w:sz w:val="17"/>
              </w:rPr>
              <w:t>2,838</w:t>
            </w:r>
          </w:p>
        </w:tc>
        <w:tc>
          <w:tcPr>
            <w:tcW w:type="dxa" w:w="1440"/>
            <w:shd w:fill="FFDCE0" w:val="clear"/>
          </w:tcPr>
          <w:p>
            <w:r>
              <w:rPr>
                <w:b/>
                <w:sz w:val="17"/>
              </w:rPr>
              <w:t>3,256</w:t>
            </w:r>
          </w:p>
        </w:tc>
        <w:tc>
          <w:tcPr>
            <w:tcW w:type="dxa" w:w="1440"/>
            <w:shd w:fill="FFDCE0" w:val="clear"/>
          </w:tcPr>
          <w:p>
            <w:r>
              <w:rPr>
                <w:sz w:val="17"/>
              </w:rPr>
              <w:t>3,674</w:t>
            </w:r>
          </w:p>
        </w:tc>
        <w:tc>
          <w:tcPr>
            <w:tcW w:type="dxa" w:w="1440"/>
            <w:shd w:fill="FFDCE0" w:val="clear"/>
          </w:tcPr>
          <w:p>
            <w:r>
              <w:rPr>
                <w:b/>
                <w:color w:val="C00000"/>
                <w:sz w:val="17"/>
              </w:rPr>
              <w:t>-40.3%</w:t>
            </w:r>
          </w:p>
        </w:tc>
      </w:tr>
      <w:tr>
        <w:tc>
          <w:tcPr>
            <w:tcW w:type="dxa" w:w="1440"/>
            <w:shd w:fill="FFDCE0" w:val="clear"/>
          </w:tcPr>
          <w:p>
            <w:r>
              <w:rPr>
                <w:sz w:val="17"/>
              </w:rPr>
              <w:t>J+10  ⭐</w:t>
            </w:r>
          </w:p>
        </w:tc>
        <w:tc>
          <w:tcPr>
            <w:tcW w:type="dxa" w:w="1440"/>
            <w:shd w:fill="FFDCE0" w:val="clear"/>
          </w:tcPr>
          <w:p>
            <w:r>
              <w:rPr>
                <w:sz w:val="17"/>
              </w:rPr>
              <w:t>2026-08-27</w:t>
            </w:r>
          </w:p>
        </w:tc>
        <w:tc>
          <w:tcPr>
            <w:tcW w:type="dxa" w:w="1440"/>
            <w:shd w:fill="FFDCE0" w:val="clear"/>
          </w:tcPr>
          <w:p>
            <w:r>
              <w:rPr>
                <w:sz w:val="17"/>
              </w:rPr>
              <w:t>2,762</w:t>
            </w:r>
          </w:p>
        </w:tc>
        <w:tc>
          <w:tcPr>
            <w:tcW w:type="dxa" w:w="1440"/>
            <w:shd w:fill="FFDCE0" w:val="clear"/>
          </w:tcPr>
          <w:p>
            <w:r>
              <w:rPr>
                <w:b/>
                <w:sz w:val="17"/>
              </w:rPr>
              <w:t>3,194</w:t>
            </w:r>
          </w:p>
        </w:tc>
        <w:tc>
          <w:tcPr>
            <w:tcW w:type="dxa" w:w="1440"/>
            <w:shd w:fill="FFDCE0" w:val="clear"/>
          </w:tcPr>
          <w:p>
            <w:r>
              <w:rPr>
                <w:sz w:val="17"/>
              </w:rPr>
              <w:t>3,627</w:t>
            </w:r>
          </w:p>
        </w:tc>
        <w:tc>
          <w:tcPr>
            <w:tcW w:type="dxa" w:w="1440"/>
            <w:shd w:fill="FFDCE0" w:val="clear"/>
          </w:tcPr>
          <w:p>
            <w:r>
              <w:rPr>
                <w:b/>
                <w:color w:val="C00000"/>
                <w:sz w:val="17"/>
              </w:rPr>
              <w:t>-41.4%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CIEC s'établit à 305,20 milliards FCFA, ce qui la positionne parmi les valeurs moyennes du compartiment A de la BRVM, avec un poids significatif dans l'indice composite. Le BPA de 234 FCFA par action indique que chaque titre génère un bénéfice de ce montant, mais le PER de 23,2x est nettement supérieur à la moyenne historique de la BRVM (8-12x), signe que les investisseurs intègrent des anticipations de croissance soutenue ou acceptent une prime de rareté sur ce titre. Le P/B de 8,49x confirme cette valorisation exigeante, le marché payant plus de 8 fois la valeur comptable des actifs, ce qui reflète une forte confiance dans la capacité de la société à générer des rendements supérieurs à son coût du capital. Enfin, l'EV/EBITDA de 13,3x, bien que dans la fourchette haute (10-15x), reste cohérent avec une entreprise de services publics en phase d'expansion, mais laisse peu de marge de sécurité pour une dégradation des performances opérationnelles.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CIEC a enregistré une progression spectaculaire de +65,15%, passant d'un plus bas de 3 000 FCFA à un plus haut de 5 485 FCFA, avec un cours actuel de 5 450 FCFA et une variation de +2,64% lors de la dernière séance, témoignant d'un momentum haussier persistant. La moyenne du cours sur la période (4 255 FCFA) est inférieure à la médiane (4 635 FCFA), indiquant que la moitié des séances se sont déroulées au-dessus de la moyenne, ce qui suggère une accélération récente des prix. L'écart-type de 936 FCFA, associé à un coefficient de variation de 22%, démontre une dispersion modérée des cours autour de la moyenne, tandis que le kurtosis de -1,821 (distribution platykurtique) révèle l'absence de pics extrêmes et une concentration des variations autour de valeurs moyennes, réduisant le risque de mouvements brusques. Le skewness de -0,090, proche de zéro, confirme une distribution quasi symétrique des rendements. La volatilité annualisée de 46,4% classe le titre dans la catégorie des valeurs à forte volatilité (&gt;30%), ce qui implique un risque élevé mais aussi un potentiel de gains substantiels pour les investisseurs aguerris.</w:t>
      </w:r>
    </w:p>
    <w:p>
      <w:pPr>
        <w:spacing w:after="120" w:line="276" w:lineRule="auto" w:before="240"/>
      </w:pPr>
      <w:r>
        <w:rPr>
          <w:b/>
          <w:color w:val="003366"/>
          <w:sz w:val="24"/>
        </w:rPr>
        <w:t>**PARTIE 2 : ANALYSE TECHNIQUE DÉTAILLÉE**</w:t>
      </w:r>
    </w:p>
    <w:p>
      <w:pPr>
        <w:spacing w:after="120" w:line="276" w:lineRule="auto"/>
      </w:pPr>
      <w:r>
        <w:t>**Moyennes Mobiles** : La MM20 (5 152,75 FCFA) et la MM50 (5 148,1 FCFA) sont très proches l'une de l'autre et nettement inférieures au cours actuel de 5 450 FCFA, ce qui confirme une tendance haussière solide à court et moyen terme. La décision d'achat est justifiée par le fait que le prix évolue au-dessus de ces moyennes, indiquant que les acheteurs contrôlent le marché et que les niveaux actuels servent de support dynamique.</w:t>
      </w:r>
    </w:p>
    <w:p>
      <w:pPr>
        <w:spacing w:after="120" w:line="276" w:lineRule="auto"/>
      </w:pPr>
      <w:r>
        <w:t>**Bandes de Bollinger** : Le cours (5 450 FCFA) se situe très près de la borne supérieure (5 454,316 FCFA), ce qui indique que le titre est en zone de surachat temporaire et que la volatilité s'est accrue. La décision neutre s'explique par le fait que le prix n'a pas encore franchi la borne, mais la proximité de celle-ci suggère une possible consolidation ou correction à court terme avant la poursuite de la tendance.</w:t>
      </w:r>
    </w:p>
    <w:p>
      <w:pPr>
        <w:spacing w:after="120" w:line="276" w:lineRule="auto"/>
      </w:pPr>
      <w:r>
        <w:t>**MACD** : La valeur du MACD (40,053) est supérieure à son signal (30,014), avec un écart positif de 10 points, ce qui confirme un momentum haussier robuste. La décision d'achat est justifiée par cette divergence positive qui indique que la dynamique des prix s'accélère, soutenue par des volumes d'échange significatifs.</w:t>
      </w:r>
    </w:p>
    <w:p>
      <w:pPr>
        <w:spacing w:after="120" w:line="276" w:lineRule="auto"/>
      </w:pPr>
      <w:r>
        <w:t>**RSI** : À 57,813, le RSI se situe dans la zone neutre (30-70), ce qui indique que le titre n'est ni suracheté ni survendu. La décision neutre reflète un équilibre entre les forces acheteuses et vendeuses, avec une légère prédominance des acheteurs, laissant une marge de progression avant d'atteindre la zone de surachat à 70.</w:t>
      </w:r>
    </w:p>
    <w:p>
      <w:pPr>
        <w:spacing w:after="120" w:line="276" w:lineRule="auto"/>
      </w:pPr>
      <w:r>
        <w:t>**Stochastique** : Le %K à 100,0 et le %D à 72,996 montrent que le titre est en zone de surachat extrême, avec un %K au plus haut absolu. La décision de vente est justifiée par ce niveau extrême qui suggère une correction imminente, le marché ayant probablement intégré toutes les bonnes nouvelles à court terme.</w:t>
      </w:r>
    </w:p>
    <w:p>
      <w:pPr>
        <w:spacing w:after="120" w:line="276" w:lineRule="auto"/>
      </w:pPr>
      <w:r>
        <w:t>**Conclusion technique** : Les indicateurs de tendance (MM, MACD) sont alignés en faveur d'une poursuite haussière, mais les oscillateurs (RSI, Stochastique) signalent une saturation à court terme. Cette divergence entre les indicateurs de tendance et de momentum suggère une consolidation probable dans les prochains jours avant une reprise de la tendance haussière de fond.</w:t>
      </w:r>
    </w:p>
    <w:p>
      <w:pPr>
        <w:spacing w:after="120" w:line="276" w:lineRule="auto" w:before="240"/>
      </w:pPr>
      <w:r>
        <w:rPr>
          <w:b/>
          <w:color w:val="003366"/>
          <w:sz w:val="24"/>
        </w:rPr>
        <w:t>**PARTIE 3 : ANALYSE FONDAMENTALE (SECTION CRITIQUE)**</w:t>
      </w:r>
    </w:p>
    <w:p>
      <w:pPr>
        <w:spacing w:after="120" w:line="276" w:lineRule="auto"/>
      </w:pPr>
      <w:r>
        <w:t>En 2025, la CIEC affiche des performances financières solides avec un chiffre d'affaires de 302,320 milliards FCFA, en hausse de 14,8% par rapport à 2024 (263,294 milliards FCFA), et un résultat net de 13,127 milliards FCFA, en progression de 24,4% contre 10,526 milliards en 2024. La rentabilité des fonds propres (ROE) atteint un niveau excellent de 36,5%, tandis que le ROA reste modeste à 0,65%, en raison d'un total bilan très élevé (2 018,446 milliards FCFA) lié à la gestion des actifs de la concession. La marge nette de 4,34% et la marge opérationnelle de 7,40% reflètent les contraintes du modèle régulé, mais la croissance du CA de 14,8% et l'amélioration de l'EBE (+23,2% à 37,161 milliards FCFA) démontrent une dynamique commerciale positive. Le BFR négatif de -90,244 milliards FCFA constitue un avantage structurel majeur, la société finançant son exploitation grâce aux délais fournisseurs très longs (970 jours) et à un délai client de 164 jours. Le rapport annuel 2025 (daté du 31 décembre 2025) confirme la distribution d'un dividende de 234 FCFA par action, soit un taux de distribution de 99,8%, et le rapport du premier semestre 2025 (S1 2025) montre un CA de 134,923 milliards FCFA (+18,85%) et un résultat net de 5,096 milliards FCFA (+13,4%), indiquant une poursuite de la croissance au second semestre. Le rapport de 2024 souligne une baisse du résultat net de -8,3% à 10,526 milliards FCFA, mais la reprise de 2025 et les perspectives 2026, portées par la croissance de la demande énergétique (+8,3% en volume national et +21,7% à l'export) et l'expansion de la base clientèle (5,28 millions de clients), suggèrent une trajectoire positive. Cependant, l'endettement total de 220,424 milliards FCFA et la dépendance au cadre réglementaire constituent des risques à surveiller.</w:t>
      </w:r>
    </w:p>
    <w:p>
      <w:pPr>
        <w:spacing w:after="120" w:line="276" w:lineRule="auto" w:before="240"/>
      </w:pPr>
      <w:r>
        <w:rPr>
          <w:b/>
          <w:color w:val="003366"/>
          <w:sz w:val="24"/>
        </w:rPr>
        <w:t>**PARTIE 4 : CONCLUSION D'INVESTISSEMENT**</w:t>
      </w:r>
    </w:p>
    <w:p>
      <w:pPr>
        <w:spacing w:after="120" w:line="276" w:lineRule="auto"/>
      </w:pPr>
      <w:r>
        <w:t>La valorisation actuelle de la CIEC, avec un PER de 23,2x et un P/B de 8,49x, apparaît exigeante par rapport aux moyennes de la BRVM, mais elle est justifiée par la croissance soutenue du chiffre d'affaires (+14,8% en 2025) et une rentabilité des fonds propres exceptionnelle (ROE de 36,5%). Le comportement du cours sur 100 jours (+65,15%) reflète cette confiance des investisseurs, avec une volatilité élevée (46,4%) qui implique des fluctuations importantes mais aussi un potentiel de gains substantiels. Les signaux techniques sont partagés : les moyennes mobiles et le MACD indiquent une tendance haussière solide, tandis que le RSI neutre et le Stochastique en surachat extrême (%K à 100) suggèrent une consolidation à court terme. Les fondamentaux restent solides, avec un BFR négatif favorable, une croissance de la base clientèle et des perspectives 2026 positives, mais les prédictions IA pour les 10 prochains jours (baisse de 5 041 à 3 691 FCFA) contredisent fortement la tendance actuelle, signalant un risque de correction significative. En synthèse, la convergence entre la valorisation élevée, les signaux techniques mixtes et les prédictions IA baissières conduit à une recommandation de **CONSERVER** avec un niveau de confiance **Moyen** et un risque global **Élevé**. L'horizon d'investissement optimal serait le **moyen terme (3-12 mois)**, en attendant une correction du cours pour renforcer les positions, tout en bénéficiant du rendement du dividende de 234 FCFA par action.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880.81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3,488 titres</w:t>
            </w:r>
          </w:p>
        </w:tc>
        <w:tc>
          <w:tcPr>
            <w:tcW w:type="dxa" w:w="2268"/>
            <w:shd w:fill="FFF2CC" w:val="clear"/>
          </w:tcPr>
          <w:p>
            <w:r>
              <w:rPr>
                <w:b/>
                <w:color w:val="503200"/>
                <w:sz w:val="16"/>
              </w:rPr>
              <w:t xml:space="preserve">Cours actuel : </w:t>
            </w:r>
            <w:r>
              <w:rPr>
                <w:color w:val="000000"/>
                <w:sz w:val="17"/>
              </w:rPr>
              <w:t>16,000 FCFA</w:t>
            </w:r>
          </w:p>
          <w:p>
            <w:r>
              <w:rPr>
                <w:b/>
                <w:color w:val="503200"/>
                <w:sz w:val="16"/>
              </w:rPr>
              <w:t xml:space="preserve">Var. 100 jours : </w:t>
            </w:r>
            <w:r>
              <w:rPr>
                <w:b/>
                <w:color w:val="B40000"/>
                <w:sz w:val="17"/>
              </w:rPr>
              <w:t>-1.33%</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26.6%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2.13% (Faible) — μ=16,319 FCFA, σ=347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β=0.2630 (Défensif) — Cov=0.000010, Var(idx)=0.000036, ρ=0.094,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3,488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σ_j=1.67%/j (Stable) — Vol. annualisée≈26.6%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2026-08-13</w:t>
            </w:r>
          </w:p>
        </w:tc>
        <w:tc>
          <w:tcPr>
            <w:tcW w:type="dxa" w:w="1440"/>
            <w:shd w:fill="FAFAFA" w:val="clear"/>
          </w:tcPr>
          <w:p>
            <w:r>
              <w:rPr>
                <w:sz w:val="17"/>
              </w:rPr>
              <w:t>15,585</w:t>
            </w:r>
          </w:p>
        </w:tc>
        <w:tc>
          <w:tcPr>
            <w:tcW w:type="dxa" w:w="1440"/>
            <w:shd w:fill="FAFAFA" w:val="clear"/>
          </w:tcPr>
          <w:p>
            <w:r>
              <w:rPr>
                <w:b/>
                <w:sz w:val="17"/>
              </w:rPr>
              <w:t>16,029</w:t>
            </w:r>
          </w:p>
        </w:tc>
        <w:tc>
          <w:tcPr>
            <w:tcW w:type="dxa" w:w="1440"/>
            <w:shd w:fill="FAFAFA" w:val="clear"/>
          </w:tcPr>
          <w:p>
            <w:r>
              <w:rPr>
                <w:sz w:val="17"/>
              </w:rPr>
              <w:t>16,474</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2026-08-14</w:t>
            </w:r>
          </w:p>
        </w:tc>
        <w:tc>
          <w:tcPr>
            <w:tcW w:type="dxa" w:w="1440"/>
            <w:shd w:fill="FAFAFA" w:val="clear"/>
          </w:tcPr>
          <w:p>
            <w:r>
              <w:rPr>
                <w:sz w:val="17"/>
              </w:rPr>
              <w:t>15,387</w:t>
            </w:r>
          </w:p>
        </w:tc>
        <w:tc>
          <w:tcPr>
            <w:tcW w:type="dxa" w:w="1440"/>
            <w:shd w:fill="FAFAFA" w:val="clear"/>
          </w:tcPr>
          <w:p>
            <w:r>
              <w:rPr>
                <w:b/>
                <w:sz w:val="17"/>
              </w:rPr>
              <w:t>16,015</w:t>
            </w:r>
          </w:p>
        </w:tc>
        <w:tc>
          <w:tcPr>
            <w:tcW w:type="dxa" w:w="1440"/>
            <w:shd w:fill="FAFAFA" w:val="clear"/>
          </w:tcPr>
          <w:p>
            <w:r>
              <w:rPr>
                <w:sz w:val="17"/>
              </w:rPr>
              <w:t>16,643</w:t>
            </w:r>
          </w:p>
        </w:tc>
        <w:tc>
          <w:tcPr>
            <w:tcW w:type="dxa" w:w="1440"/>
            <w:shd w:fill="FAFAFA" w:val="clear"/>
          </w:tcPr>
          <w:p>
            <w:r>
              <w:rPr>
                <w:b/>
                <w:color w:val="008000"/>
                <w:sz w:val="17"/>
              </w:rPr>
              <w:t>+0.1%</w:t>
            </w:r>
          </w:p>
        </w:tc>
      </w:tr>
      <w:tr>
        <w:tc>
          <w:tcPr>
            <w:tcW w:type="dxa" w:w="1440"/>
            <w:shd w:fill="FAFAFA" w:val="clear"/>
          </w:tcPr>
          <w:p>
            <w:r>
              <w:rPr>
                <w:sz w:val="17"/>
              </w:rPr>
              <w:t>J+3  ⭐⭐⭐</w:t>
            </w:r>
          </w:p>
        </w:tc>
        <w:tc>
          <w:tcPr>
            <w:tcW w:type="dxa" w:w="1440"/>
            <w:shd w:fill="FAFAFA" w:val="clear"/>
          </w:tcPr>
          <w:p>
            <w:r>
              <w:rPr>
                <w:sz w:val="17"/>
              </w:rPr>
              <w:t>2026-08-17</w:t>
            </w:r>
          </w:p>
        </w:tc>
        <w:tc>
          <w:tcPr>
            <w:tcW w:type="dxa" w:w="1440"/>
            <w:shd w:fill="FAFAFA" w:val="clear"/>
          </w:tcPr>
          <w:p>
            <w:r>
              <w:rPr>
                <w:sz w:val="17"/>
              </w:rPr>
              <w:t>15,236</w:t>
            </w:r>
          </w:p>
        </w:tc>
        <w:tc>
          <w:tcPr>
            <w:tcW w:type="dxa" w:w="1440"/>
            <w:shd w:fill="FAFAFA" w:val="clear"/>
          </w:tcPr>
          <w:p>
            <w:r>
              <w:rPr>
                <w:b/>
                <w:sz w:val="17"/>
              </w:rPr>
              <w:t>16,005</w:t>
            </w:r>
          </w:p>
        </w:tc>
        <w:tc>
          <w:tcPr>
            <w:tcW w:type="dxa" w:w="1440"/>
            <w:shd w:fill="FAFAFA" w:val="clear"/>
          </w:tcPr>
          <w:p>
            <w:r>
              <w:rPr>
                <w:sz w:val="17"/>
              </w:rPr>
              <w:t>16,773</w:t>
            </w:r>
          </w:p>
        </w:tc>
        <w:tc>
          <w:tcPr>
            <w:tcW w:type="dxa" w:w="1440"/>
            <w:shd w:fill="FAFAFA" w:val="clear"/>
          </w:tcPr>
          <w:p>
            <w:r>
              <w:rPr>
                <w:b/>
                <w:color w:val="008000"/>
                <w:sz w:val="17"/>
              </w:rPr>
              <w:t>+0.0%</w:t>
            </w:r>
          </w:p>
        </w:tc>
      </w:tr>
      <w:tr>
        <w:tc>
          <w:tcPr>
            <w:tcW w:type="dxa" w:w="1440"/>
            <w:shd w:fill="FAFAFA" w:val="clear"/>
          </w:tcPr>
          <w:p>
            <w:r>
              <w:rPr>
                <w:sz w:val="17"/>
              </w:rPr>
              <w:t>J+4  Moyenne</w:t>
            </w:r>
          </w:p>
        </w:tc>
        <w:tc>
          <w:tcPr>
            <w:tcW w:type="dxa" w:w="1440"/>
            <w:shd w:fill="FAFAFA" w:val="clear"/>
          </w:tcPr>
          <w:p>
            <w:r>
              <w:rPr>
                <w:sz w:val="17"/>
              </w:rPr>
              <w:t>2026-08-18</w:t>
            </w:r>
          </w:p>
        </w:tc>
        <w:tc>
          <w:tcPr>
            <w:tcW w:type="dxa" w:w="1440"/>
            <w:shd w:fill="FAFAFA" w:val="clear"/>
          </w:tcPr>
          <w:p>
            <w:r>
              <w:rPr>
                <w:sz w:val="17"/>
              </w:rPr>
              <w:t>15,107</w:t>
            </w:r>
          </w:p>
        </w:tc>
        <w:tc>
          <w:tcPr>
            <w:tcW w:type="dxa" w:w="1440"/>
            <w:shd w:fill="FAFAFA" w:val="clear"/>
          </w:tcPr>
          <w:p>
            <w:r>
              <w:rPr>
                <w:b/>
                <w:sz w:val="17"/>
              </w:rPr>
              <w:t>15,994</w:t>
            </w:r>
          </w:p>
        </w:tc>
        <w:tc>
          <w:tcPr>
            <w:tcW w:type="dxa" w:w="1440"/>
            <w:shd w:fill="FAFAFA" w:val="clear"/>
          </w:tcPr>
          <w:p>
            <w:r>
              <w:rPr>
                <w:sz w:val="17"/>
              </w:rPr>
              <w:t>16,881</w:t>
            </w:r>
          </w:p>
        </w:tc>
        <w:tc>
          <w:tcPr>
            <w:tcW w:type="dxa" w:w="1440"/>
            <w:shd w:fill="FAFAFA" w:val="clear"/>
          </w:tcPr>
          <w:p>
            <w:r>
              <w:rPr>
                <w:b/>
                <w:color w:val="C00000"/>
                <w:sz w:val="17"/>
              </w:rPr>
              <w:t>-0.0%</w:t>
            </w:r>
          </w:p>
        </w:tc>
      </w:tr>
      <w:tr>
        <w:tc>
          <w:tcPr>
            <w:tcW w:type="dxa" w:w="1440"/>
            <w:shd w:fill="FAFAFA" w:val="clear"/>
          </w:tcPr>
          <w:p>
            <w:r>
              <w:rPr>
                <w:sz w:val="17"/>
              </w:rPr>
              <w:t>J+5  Moyenne</w:t>
            </w:r>
          </w:p>
        </w:tc>
        <w:tc>
          <w:tcPr>
            <w:tcW w:type="dxa" w:w="1440"/>
            <w:shd w:fill="FAFAFA" w:val="clear"/>
          </w:tcPr>
          <w:p>
            <w:r>
              <w:rPr>
                <w:sz w:val="17"/>
              </w:rPr>
              <w:t>2026-08-19</w:t>
            </w:r>
          </w:p>
        </w:tc>
        <w:tc>
          <w:tcPr>
            <w:tcW w:type="dxa" w:w="1440"/>
            <w:shd w:fill="FAFAFA" w:val="clear"/>
          </w:tcPr>
          <w:p>
            <w:r>
              <w:rPr>
                <w:sz w:val="17"/>
              </w:rPr>
              <w:t>14,991</w:t>
            </w:r>
          </w:p>
        </w:tc>
        <w:tc>
          <w:tcPr>
            <w:tcW w:type="dxa" w:w="1440"/>
            <w:shd w:fill="FAFAFA" w:val="clear"/>
          </w:tcPr>
          <w:p>
            <w:r>
              <w:rPr>
                <w:b/>
                <w:sz w:val="17"/>
              </w:rPr>
              <w:t>15,982</w:t>
            </w:r>
          </w:p>
        </w:tc>
        <w:tc>
          <w:tcPr>
            <w:tcW w:type="dxa" w:w="1440"/>
            <w:shd w:fill="FAFAFA" w:val="clear"/>
          </w:tcPr>
          <w:p>
            <w:r>
              <w:rPr>
                <w:sz w:val="17"/>
              </w:rPr>
              <w:t>16,973</w:t>
            </w:r>
          </w:p>
        </w:tc>
        <w:tc>
          <w:tcPr>
            <w:tcW w:type="dxa" w:w="1440"/>
            <w:shd w:fill="FAFAFA" w:val="clear"/>
          </w:tcPr>
          <w:p>
            <w:r>
              <w:rPr>
                <w:b/>
                <w:color w:val="C00000"/>
                <w:sz w:val="17"/>
              </w:rPr>
              <w:t>-0.1%</w:t>
            </w:r>
          </w:p>
        </w:tc>
      </w:tr>
      <w:tr>
        <w:tc>
          <w:tcPr>
            <w:tcW w:type="dxa" w:w="1440"/>
            <w:shd w:fill="FAFAFA" w:val="clear"/>
          </w:tcPr>
          <w:p>
            <w:r>
              <w:rPr>
                <w:sz w:val="17"/>
              </w:rPr>
              <w:t>J+6  Moyenne</w:t>
            </w:r>
          </w:p>
        </w:tc>
        <w:tc>
          <w:tcPr>
            <w:tcW w:type="dxa" w:w="1440"/>
            <w:shd w:fill="FAFAFA" w:val="clear"/>
          </w:tcPr>
          <w:p>
            <w:r>
              <w:rPr>
                <w:sz w:val="17"/>
              </w:rPr>
              <w:t>2026-08-20</w:t>
            </w:r>
          </w:p>
        </w:tc>
        <w:tc>
          <w:tcPr>
            <w:tcW w:type="dxa" w:w="1440"/>
            <w:shd w:fill="FAFAFA" w:val="clear"/>
          </w:tcPr>
          <w:p>
            <w:r>
              <w:rPr>
                <w:sz w:val="17"/>
              </w:rPr>
              <w:t>14,886</w:t>
            </w:r>
          </w:p>
        </w:tc>
        <w:tc>
          <w:tcPr>
            <w:tcW w:type="dxa" w:w="1440"/>
            <w:shd w:fill="FAFAFA" w:val="clear"/>
          </w:tcPr>
          <w:p>
            <w:r>
              <w:rPr>
                <w:b/>
                <w:sz w:val="17"/>
              </w:rPr>
              <w:t>15,971</w:t>
            </w:r>
          </w:p>
        </w:tc>
        <w:tc>
          <w:tcPr>
            <w:tcW w:type="dxa" w:w="1440"/>
            <w:shd w:fill="FAFAFA" w:val="clear"/>
          </w:tcPr>
          <w:p>
            <w:r>
              <w:rPr>
                <w:sz w:val="17"/>
              </w:rPr>
              <w:t>17,055</w:t>
            </w:r>
          </w:p>
        </w:tc>
        <w:tc>
          <w:tcPr>
            <w:tcW w:type="dxa" w:w="1440"/>
            <w:shd w:fill="FAFAFA" w:val="clear"/>
          </w:tcPr>
          <w:p>
            <w:r>
              <w:rPr>
                <w:b/>
                <w:color w:val="C00000"/>
                <w:sz w:val="17"/>
              </w:rPr>
              <w:t>-0.2%</w:t>
            </w:r>
          </w:p>
        </w:tc>
      </w:tr>
      <w:tr>
        <w:tc>
          <w:tcPr>
            <w:tcW w:type="dxa" w:w="1440"/>
            <w:shd w:fill="FAFAFA" w:val="clear"/>
          </w:tcPr>
          <w:p>
            <w:r>
              <w:rPr>
                <w:sz w:val="17"/>
              </w:rPr>
              <w:t>J+7  Moyenne</w:t>
            </w:r>
          </w:p>
        </w:tc>
        <w:tc>
          <w:tcPr>
            <w:tcW w:type="dxa" w:w="1440"/>
            <w:shd w:fill="FAFAFA" w:val="clear"/>
          </w:tcPr>
          <w:p>
            <w:r>
              <w:rPr>
                <w:sz w:val="17"/>
              </w:rPr>
              <w:t>2026-08-21</w:t>
            </w:r>
          </w:p>
        </w:tc>
        <w:tc>
          <w:tcPr>
            <w:tcW w:type="dxa" w:w="1440"/>
            <w:shd w:fill="FAFAFA" w:val="clear"/>
          </w:tcPr>
          <w:p>
            <w:r>
              <w:rPr>
                <w:sz w:val="17"/>
              </w:rPr>
              <w:t>14,788</w:t>
            </w:r>
          </w:p>
        </w:tc>
        <w:tc>
          <w:tcPr>
            <w:tcW w:type="dxa" w:w="1440"/>
            <w:shd w:fill="FAFAFA" w:val="clear"/>
          </w:tcPr>
          <w:p>
            <w:r>
              <w:rPr>
                <w:b/>
                <w:sz w:val="17"/>
              </w:rPr>
              <w:t>15,959</w:t>
            </w:r>
          </w:p>
        </w:tc>
        <w:tc>
          <w:tcPr>
            <w:tcW w:type="dxa" w:w="1440"/>
            <w:shd w:fill="FAFAFA" w:val="clear"/>
          </w:tcPr>
          <w:p>
            <w:r>
              <w:rPr>
                <w:sz w:val="17"/>
              </w:rPr>
              <w:t>17,130</w:t>
            </w:r>
          </w:p>
        </w:tc>
        <w:tc>
          <w:tcPr>
            <w:tcW w:type="dxa" w:w="1440"/>
            <w:shd w:fill="FAFAFA" w:val="clear"/>
          </w:tcPr>
          <w:p>
            <w:r>
              <w:rPr>
                <w:b/>
                <w:color w:val="C00000"/>
                <w:sz w:val="17"/>
              </w:rPr>
              <w:t>-0.3%</w:t>
            </w:r>
          </w:p>
        </w:tc>
      </w:tr>
      <w:tr>
        <w:tc>
          <w:tcPr>
            <w:tcW w:type="dxa" w:w="1440"/>
            <w:shd w:fill="FAFAFA" w:val="clear"/>
          </w:tcPr>
          <w:p>
            <w:r>
              <w:rPr>
                <w:sz w:val="17"/>
              </w:rPr>
              <w:t>J+8  Moyenne</w:t>
            </w:r>
          </w:p>
        </w:tc>
        <w:tc>
          <w:tcPr>
            <w:tcW w:type="dxa" w:w="1440"/>
            <w:shd w:fill="FAFAFA" w:val="clear"/>
          </w:tcPr>
          <w:p>
            <w:r>
              <w:rPr>
                <w:sz w:val="17"/>
              </w:rPr>
              <w:t>2026-08-24</w:t>
            </w:r>
          </w:p>
        </w:tc>
        <w:tc>
          <w:tcPr>
            <w:tcW w:type="dxa" w:w="1440"/>
            <w:shd w:fill="FAFAFA" w:val="clear"/>
          </w:tcPr>
          <w:p>
            <w:r>
              <w:rPr>
                <w:sz w:val="17"/>
              </w:rPr>
              <w:t>14,697</w:t>
            </w:r>
          </w:p>
        </w:tc>
        <w:tc>
          <w:tcPr>
            <w:tcW w:type="dxa" w:w="1440"/>
            <w:shd w:fill="FAFAFA" w:val="clear"/>
          </w:tcPr>
          <w:p>
            <w:r>
              <w:rPr>
                <w:b/>
                <w:sz w:val="17"/>
              </w:rPr>
              <w:t>15,948</w:t>
            </w:r>
          </w:p>
        </w:tc>
        <w:tc>
          <w:tcPr>
            <w:tcW w:type="dxa" w:w="1440"/>
            <w:shd w:fill="FAFAFA" w:val="clear"/>
          </w:tcPr>
          <w:p>
            <w:r>
              <w:rPr>
                <w:sz w:val="17"/>
              </w:rPr>
              <w:t>17,199</w:t>
            </w:r>
          </w:p>
        </w:tc>
        <w:tc>
          <w:tcPr>
            <w:tcW w:type="dxa" w:w="1440"/>
            <w:shd w:fill="FAFAFA" w:val="clear"/>
          </w:tcPr>
          <w:p>
            <w:r>
              <w:rPr>
                <w:b/>
                <w:color w:val="C00000"/>
                <w:sz w:val="17"/>
              </w:rPr>
              <w:t>-0.3%</w:t>
            </w:r>
          </w:p>
        </w:tc>
      </w:tr>
      <w:tr>
        <w:tc>
          <w:tcPr>
            <w:tcW w:type="dxa" w:w="1440"/>
            <w:shd w:fill="FAFAFA" w:val="clear"/>
          </w:tcPr>
          <w:p>
            <w:r>
              <w:rPr>
                <w:sz w:val="17"/>
              </w:rPr>
              <w:t>J+9  Moyenne</w:t>
            </w:r>
          </w:p>
        </w:tc>
        <w:tc>
          <w:tcPr>
            <w:tcW w:type="dxa" w:w="1440"/>
            <w:shd w:fill="FAFAFA" w:val="clear"/>
          </w:tcPr>
          <w:p>
            <w:r>
              <w:rPr>
                <w:sz w:val="17"/>
              </w:rPr>
              <w:t>2026-08-25</w:t>
            </w:r>
          </w:p>
        </w:tc>
        <w:tc>
          <w:tcPr>
            <w:tcW w:type="dxa" w:w="1440"/>
            <w:shd w:fill="FAFAFA" w:val="clear"/>
          </w:tcPr>
          <w:p>
            <w:r>
              <w:rPr>
                <w:sz w:val="17"/>
              </w:rPr>
              <w:t>14,611</w:t>
            </w:r>
          </w:p>
        </w:tc>
        <w:tc>
          <w:tcPr>
            <w:tcW w:type="dxa" w:w="1440"/>
            <w:shd w:fill="FAFAFA" w:val="clear"/>
          </w:tcPr>
          <w:p>
            <w:r>
              <w:rPr>
                <w:b/>
                <w:sz w:val="17"/>
              </w:rPr>
              <w:t>15,937</w:t>
            </w:r>
          </w:p>
        </w:tc>
        <w:tc>
          <w:tcPr>
            <w:tcW w:type="dxa" w:w="1440"/>
            <w:shd w:fill="FAFAFA" w:val="clear"/>
          </w:tcPr>
          <w:p>
            <w:r>
              <w:rPr>
                <w:sz w:val="17"/>
              </w:rPr>
              <w:t>17,262</w:t>
            </w:r>
          </w:p>
        </w:tc>
        <w:tc>
          <w:tcPr>
            <w:tcW w:type="dxa" w:w="1440"/>
            <w:shd w:fill="FAFAFA" w:val="clear"/>
          </w:tcPr>
          <w:p>
            <w:r>
              <w:rPr>
                <w:b/>
                <w:color w:val="C00000"/>
                <w:sz w:val="17"/>
              </w:rPr>
              <w:t>-0.4%</w:t>
            </w:r>
          </w:p>
        </w:tc>
      </w:tr>
      <w:tr>
        <w:tc>
          <w:tcPr>
            <w:tcW w:type="dxa" w:w="1440"/>
            <w:shd w:fill="FAFAFA" w:val="clear"/>
          </w:tcPr>
          <w:p>
            <w:r>
              <w:rPr>
                <w:sz w:val="17"/>
              </w:rPr>
              <w:t>J+10  Moyenne</w:t>
            </w:r>
          </w:p>
        </w:tc>
        <w:tc>
          <w:tcPr>
            <w:tcW w:type="dxa" w:w="1440"/>
            <w:shd w:fill="FAFAFA" w:val="clear"/>
          </w:tcPr>
          <w:p>
            <w:r>
              <w:rPr>
                <w:sz w:val="17"/>
              </w:rPr>
              <w:t>2026-08-27</w:t>
            </w:r>
          </w:p>
        </w:tc>
        <w:tc>
          <w:tcPr>
            <w:tcW w:type="dxa" w:w="1440"/>
            <w:shd w:fill="FAFAFA" w:val="clear"/>
          </w:tcPr>
          <w:p>
            <w:r>
              <w:rPr>
                <w:sz w:val="17"/>
              </w:rPr>
              <w:t>14,529</w:t>
            </w:r>
          </w:p>
        </w:tc>
        <w:tc>
          <w:tcPr>
            <w:tcW w:type="dxa" w:w="1440"/>
            <w:shd w:fill="FAFAFA" w:val="clear"/>
          </w:tcPr>
          <w:p>
            <w:r>
              <w:rPr>
                <w:b/>
                <w:sz w:val="17"/>
              </w:rPr>
              <w:t>15,925</w:t>
            </w:r>
          </w:p>
        </w:tc>
        <w:tc>
          <w:tcPr>
            <w:tcW w:type="dxa" w:w="1440"/>
            <w:shd w:fill="FAFAFA" w:val="clear"/>
          </w:tcPr>
          <w:p>
            <w:r>
              <w:rPr>
                <w:sz w:val="17"/>
              </w:rPr>
              <w:t>17,322</w:t>
            </w:r>
          </w:p>
        </w:tc>
        <w:tc>
          <w:tcPr>
            <w:tcW w:type="dxa" w:w="1440"/>
            <w:shd w:fill="FAFAFA" w:val="clear"/>
          </w:tcPr>
          <w:p>
            <w:r>
              <w:rPr>
                <w:b/>
                <w:color w:val="C00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ECOC (ECOBANK CÔTE D'IVOIRE)**</w:t>
        <w:br/>
        <w:t>**Date de l'analyse : 12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d'ECOC s'établit à 880,81 milliards FCFA, ce qui en fait l'une des plus importantes valeurs de la BRVM, reflétant son statut de leader bancaire régional. Avec un BPA de 1 153 FCFA, le titre se négocie à un PER de 13,9x, légèrement au-dessus de la moyenne historique de la place (~8-12x), indiquant que les investisseurs acceptent de payer une prime pour la qualité de la franchise. Le P/B de 4,03x est nettement supérieur à 1, confirmant une valorisation exigeante où le marché anticipe une création de valeur soutenue. Enfin, l'EV/EBITDA de 13,6x, dans la fourchette haute de 10-15x, suggère que la valeur totale de l'entreprise est correctement appréciée par rapport à sa capacité opérationnelle, sans excès majeur.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ECOC affiche une variation totale de -1,33%, avec une dernière séance stable à 16 000 FCFA. Le cours a évolué dans un range de 1 750 FCFA, entre un plus bas de 15 520 FCFA et un plus haut de 17 270 FCFA, démontrant une certaine amplitude de mouvement. La moyenne (16 319 FCFA) et la médiane (16 300 FCFA) sont quasi identiques, avec un mode similaire, ce qui indique une distribution des prix très symétrique et stable, confirmée par un skewness de 0,221. L'écart-type de 349 FCFA (CV de 2,1%) révèle une dispersion très faible des cours autour de la moyenne, et le kurtosis de 0,259 (mésokurtique) suggère l'absence de mouvements extrêmes ou de pics de volatilité. La volatilité annualisée de 26,6% classe le titre dans une zone modérée (15-30%), reflétant un profil de risque maîtrisé, mais non dénué de sensibilité aux variations de marché.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(16 000 FCFA) est inférieur à la MM20 (16 053,75 FCFA) et nettement en dessous de la MM50 (16 420,8 FCFA). Cette configuration baissière, où le prix évolue sous ses moyennes clés, confirme la tendance de court et moyen terme défavorable. La décision de "Vente" est justifiée par cette structure hiérarchique des moyennes mobiles.</w:t>
      </w:r>
    </w:p>
    <w:p>
      <w:pPr>
        <w:spacing w:after="120" w:line="276" w:lineRule="auto"/>
      </w:pPr>
      <w:r>
        <w:t>**Bandes de Bollinger** : Le prix se situe à 16 000 FCFA, proche de la borne inférieure (15 676,25 FCFA) et loin de la borne supérieure (16 431,25 FCFA). La largeur des bandes indique une volatilité modérée. Le signal "Neutre" est cohérent, le cours n'étant pas en situation de surachat ni de survente extrême, mais la proximité de la borne basse suggère un potentiel de rebond technique.</w:t>
      </w:r>
    </w:p>
    <w:p>
      <w:pPr>
        <w:spacing w:after="120" w:line="276" w:lineRule="auto"/>
      </w:pPr>
      <w:r>
        <w:t>**MACD** : Le MACD (-86,45) est légèrement au-dessus de sa ligne de signal (-92,25), formant un croisement haussier récent. Bien que les valeurs soient négatives, ce croisement indique un ralentissement de la dynamique baissière et un début de momentum positif. La décision "Achat" reflète cette amélioration technique de court terme.</w:t>
      </w:r>
    </w:p>
    <w:p>
      <w:pPr>
        <w:spacing w:after="120" w:line="276" w:lineRule="auto"/>
      </w:pPr>
      <w:r>
        <w:t>**RSI** : À 60,29, le RSI se situe dans la zone neutre (30-70), sans signal de surachat ou de survente. Cette valeur indique une pression acheteuse modérée, sans excès. La décision "Neutre" est appropriée, le marché n'étant pas encore dans une dynamique clairement définie.</w:t>
      </w:r>
    </w:p>
    <w:p>
      <w:pPr>
        <w:spacing w:after="120" w:line="276" w:lineRule="auto"/>
      </w:pPr>
      <w:r>
        <w:t>**Stochastique** : Le %K (28,99) est inférieur au %D (58,09), suggérant une dynamique baissière en cours. Le croisement de ces lignes en zone de survente pourrait indiquer un potentiel de retournement, mais le signal reste "Neutre" tant que %K ne repasse pas au-dessus de %D.</w:t>
      </w:r>
    </w:p>
    <w:p>
      <w:pPr>
        <w:spacing w:after="120" w:line="276" w:lineRule="auto"/>
      </w:pPr>
      <w:r>
        <w:t>**Conclusion technique** : La convergence des indicateurs est mitigée. Les moyennes mobiles et le stochastique penchent vers une tendance baissière, tandis que le MACD montre des signes de retournement haussier. Le RSI et les bandes de Bollinger restent neutres. Globalement, le titre est dans une phase de consolidation avec une légère pression vendeuse à moyen terme, mais des signes de stabilisation à court terme. Un signal d'achat ne serait déclenché que par une clôture au-dessus de la MM20 (16 054 FCFA).</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d'ECOC révèlent une performance financière robuste. Le Produit Net Bancaire (PNB) s'établit à 132,725 milliards FCFA, en croissance de 8,5%, et le résultat net atteint 63,482 milliards FCFA, démontrant une excellente capacité bénéficiaire. La rentabilité est exceptionnelle avec un ROE de 29,04% et un ROA de 3,09%, largement au-dessus des seuils d'excellence du secteur. Le coefficient d'exploitation de 42,89% témoigne d'une gestion rigoureuse des charges, tandis que le coût du risque de 1,36% reste modéré, indiquant une bonne qualité du portefeuille de crédits. La banque maintient une structure de bilan solide avec un total de 2 054,491 milliards FCFA, des dépôts clientèle massifs (1 626,223 milliards FCFA) et des créances clientèle de 1 050,803 milliards FCFA, soit un ratio de transformation crédits/dépôts de 64,6%, reflétant une gestion prudente de la liquidité. Les rapports trimestriels 2025 confirment cette dynamique : au T3 2025, le PNB atteignait 96,4 milliards FCFA (+11,3% vs T3 2024) et le résultat net 44,4 milliards FCFA (+15,4%), avec un ROE de 29,7%. Le rapport annuel 2024 faisait déjà état d'un PNB de 122,3 milliards FCFA et d'un résultat net de 57,5 milliards FCFA (+19,6%), avec un dividende proposé de 804 FCFA par action. Pour 2025, un dividende de 888 FCFA brut par action a été proposé, témoignant d'une politique actionnariale généreuse. Sur la base du rapport T1 2026 (PNB de 30,8 milliards FCFA, +3,7%), on estime que l'exercice 2026 pourrait voir un PNB autour de 135-140 milliards FCFA, avec un résultat net légèrement en recul à environ 60 milliards FCFA, dans un contexte de prudence sur le crédit et de maîtrise des coûts. La solidité financière est renforcée par un ratio de solvabilité de 19,3% (S1 2025), très au-dessus de l'exigence réglementaire de 11,5%. Les fondamentaux d'ECOC sont donc excellents, portés par une croissance soutenue, une rentabilité élevée et une gestion disciplinée des risques.</w:t>
      </w:r>
    </w:p>
    <w:p>
      <w:pPr>
        <w:spacing w:after="120" w:line="276" w:lineRule="auto"/>
      </w:pPr>
      <w:r>
        <w:t>---</w:t>
      </w:r>
    </w:p>
    <w:p>
      <w:pPr>
        <w:spacing w:after="120" w:line="276" w:lineRule="auto"/>
      </w:pPr>
      <w:r>
        <w:t>### PARTIE 4 : CONCLUSION D'INVESTISSEMENT</w:t>
      </w:r>
    </w:p>
    <w:p>
      <w:pPr>
        <w:spacing w:after="120" w:line="276" w:lineRule="auto"/>
      </w:pPr>
      <w:r>
        <w:t>La synthèse globale révèle une divergence entre des fondamentaux exceptionnels et une dynamique boursière hésitante. La valorisation (PER de 13,9x, P/B de 4,03x) est exigeante mais justifiée par la qualité de la franchise et sa rentabilité supérieure. Le comportement du cours sur 100 jours (-1,33%) montre une consolidation avec une volatilité modérée et une distribution symétrique, sans signe de détresse. Les signaux techniques sont mitigés, avec une tendance baissière à moyen terme mais des signes de stabilisation à court terme (MACD positif). Les fondamentaux, eux, sont indiscutablement solides : ROE de 29%, coefficient d'exploitation de 42,9%, croissance du PNB de 8,5% et dividende en hausse. Les prédictions IA pour les 10 prochains jours (16 029 à 15 982 FCFA) suggèrent une stabilité avec une légère tendance baissière, confirmant la phase de consolidation actuelle. Sur la base de cette analyse, la recommandation est **CONSERVER** avec un niveau de confiance **Moyen** et un risque global **Moyen**. L'horizon d'investissement optimal est le **moyen terme (3-12 mois)**, en attendant un catalyseur (publication des résultats annuels 2026, amélioration technique) pour initier une position plus offensive. Les investisseurs de long terme peuvent accumuler à ces niveaux, la qualité des fondamentaux et la politique de dividende offrant un filet de sécurité appréciable.</w:t>
      </w:r>
    </w:p>
    <w:p/>
    <w:p/>
    <w:p>
      <w:pPr>
        <w:pStyle w:val="Heading3"/>
      </w:pPr>
      <w:r>
        <w:rPr>
          <w:color w:val="00467F"/>
        </w:rPr>
        <w:t>📎 DOCUMENTS &amp; COMMUNICATIONS OFFICIELS BRVM</w:t>
      </w:r>
    </w:p>
    <w:p>
      <w:r>
        <w:rPr>
          <w:i/>
          <w:color w:val="646464"/>
          <w:sz w:val="18"/>
        </w:rPr>
        <w:t>9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Pr>
        <w:ind w:left="400"/>
      </w:pPr>
      <w:r>
        <w:rPr>
          <w:color w:val="B4B4B4"/>
          <w:sz w:val="14"/>
        </w:rPr>
        <w:t xml:space="preserve">· · · · · · · · · · · · · · · · · · · · · · · · · · · · · · </w:t>
      </w:r>
    </w:p>
    <w:p>
      <w:pPr>
        <w:spacing w:before="160"/>
      </w:pPr>
      <w:r>
        <w:rPr>
          <w:b/>
          <w:color w:val="0066CC"/>
          <w:sz w:val="20"/>
        </w:rPr>
        <w:t xml:space="preserve">[5] </w:t>
      </w:r>
      <w:r>
        <w:rPr>
          <w:b/>
          <w:sz w:val="20"/>
        </w:rPr>
        <w:t>20260513   avis de convocation   assemblee generale ordinaire   eti tg</w:t>
      </w:r>
    </w:p>
    <w:p>
      <w:pPr>
        <w:spacing w:before="20"/>
        <w:ind w:left="400"/>
      </w:pPr>
      <w:r>
        <w:rPr>
          <w:color w:val="505050"/>
          <w:sz w:val="17"/>
        </w:rPr>
        <w:t xml:space="preserve">Date : 13/05/2026  |  Catégorie : convocation AG  |  Impact : </w:t>
      </w:r>
      <w:r>
        <w:rPr>
          <w:b/>
          <w:color w:val="646464"/>
          <w:sz w:val="17"/>
        </w:rPr>
        <w:t>⚪ NEUTRE</w:t>
      </w:r>
    </w:p>
    <w:p>
      <w:pPr>
        <w:spacing w:before="40"/>
        <w:ind w:left="400"/>
      </w:pPr>
      <w:r>
        <w:rPr>
          <w:sz w:val="18"/>
        </w:rPr>
        <w:t>Ecobank Transnational Incorporated convoque ses actionnaires à la 38ème Assemblée Générale Ordinaire le 3 juin 2026 à Lomé, Togo. L'ordre du jour comprend l'approbation des comptes, l'affectation du résultat et le renouvellement des mandats d'administrateurs. Les actionnaires peuvent participer en personne ou par procuration avec possibilité de soumettre leurs questions à l'avance.</w:t>
      </w:r>
    </w:p>
    <w:p>
      <w:pPr>
        <w:spacing w:before="60"/>
        <w:ind w:left="400"/>
      </w:pPr>
      <w:r>
        <w:rPr>
          <w:b/>
          <w:sz w:val="18"/>
        </w:rPr>
        <w:t>Points clés :</w:t>
      </w:r>
    </w:p>
    <w:p>
      <w:pPr>
        <w:pStyle w:val="ListBullet"/>
        <w:spacing w:before="20" w:after="20"/>
        <w:ind w:left="700"/>
      </w:pPr>
      <w:r>
        <w:rPr>
          <w:sz w:val="18"/>
        </w:rPr>
        <w:t>38ème Assemblée Générale Ordinaire prévue le 3 juin 2026 à 10h30 GMT à Lomé</w:t>
      </w:r>
    </w:p>
    <w:p>
      <w:pPr>
        <w:pStyle w:val="ListBullet"/>
        <w:spacing w:before="20" w:after="20"/>
        <w:ind w:left="700"/>
      </w:pPr>
      <w:r>
        <w:rPr>
          <w:sz w:val="18"/>
        </w:rPr>
        <w:t>Approbation des comptes annuels et affectation du résultat à l'ordre du jour</w:t>
      </w:r>
    </w:p>
    <w:p>
      <w:pPr>
        <w:pStyle w:val="ListBullet"/>
        <w:spacing w:before="20" w:after="20"/>
        <w:ind w:left="700"/>
      </w:pPr>
      <w:r>
        <w:rPr>
          <w:sz w:val="18"/>
        </w:rPr>
        <w:t>Renouvellement des mandats d'administrateurs et nominations au conseil</w:t>
      </w:r>
    </w:p>
    <w:p>
      <w:pPr>
        <w:pStyle w:val="ListBullet"/>
        <w:spacing w:before="20" w:after="20"/>
        <w:ind w:left="700"/>
      </w:pPr>
      <w:r>
        <w:rPr>
          <w:sz w:val="18"/>
        </w:rPr>
        <w:t>Possibilité de participation par procuration avec formulaire à soumettre avant le 2 juin 2026</w:t>
      </w:r>
    </w:p>
    <w:p>
      <w:pPr>
        <w:pStyle w:val="ListBullet"/>
        <w:spacing w:before="20" w:after="20"/>
        <w:ind w:left="700"/>
      </w:pPr>
      <w:r>
        <w:rPr>
          <w:sz w:val="18"/>
        </w:rPr>
        <w:t>Nomination des commissaires aux comptes parmi les points à délibérer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1175.47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1,363,128 titres</w:t>
            </w:r>
          </w:p>
        </w:tc>
        <w:tc>
          <w:tcPr>
            <w:tcW w:type="dxa" w:w="2268"/>
            <w:shd w:fill="FFF2CC" w:val="clear"/>
          </w:tcPr>
          <w:p>
            <w:r>
              <w:rPr>
                <w:b/>
                <w:color w:val="503200"/>
                <w:sz w:val="16"/>
              </w:rPr>
              <w:t xml:space="preserve">Cours actuel : </w:t>
            </w:r>
            <w:r>
              <w:rPr>
                <w:color w:val="000000"/>
                <w:sz w:val="17"/>
              </w:rPr>
              <w:t>65 FCFA</w:t>
            </w:r>
          </w:p>
          <w:p>
            <w:r>
              <w:rPr>
                <w:b/>
                <w:color w:val="503200"/>
                <w:sz w:val="16"/>
              </w:rPr>
              <w:t xml:space="preserve">Var. 100 jours : </w:t>
            </w:r>
            <w:r>
              <w:rPr>
                <w:b/>
                <w:color w:val="007800"/>
                <w:sz w:val="17"/>
              </w:rPr>
              <w:t>+103.12%</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38.34% (Élevée) — μ=41 FCFA, σ=16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β=2.6535 (Très agressif) — Cov=0.000096, Var(idx)=0.000036, ρ=0.397,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1,363,128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σ_j=4.01%/j (Modérée) — Vol. annualisée≈63.7%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2026-08-13</w:t>
            </w:r>
          </w:p>
        </w:tc>
        <w:tc>
          <w:tcPr>
            <w:tcW w:type="dxa" w:w="1440"/>
            <w:shd w:fill="FFDCE0" w:val="clear"/>
          </w:tcPr>
          <w:p>
            <w:r>
              <w:rPr>
                <w:sz w:val="17"/>
              </w:rPr>
              <w:t>56</w:t>
            </w:r>
          </w:p>
        </w:tc>
        <w:tc>
          <w:tcPr>
            <w:tcW w:type="dxa" w:w="1440"/>
            <w:shd w:fill="FFDCE0" w:val="clear"/>
          </w:tcPr>
          <w:p>
            <w:r>
              <w:rPr>
                <w:b/>
                <w:sz w:val="17"/>
              </w:rPr>
              <w:t>60</w:t>
            </w:r>
          </w:p>
        </w:tc>
        <w:tc>
          <w:tcPr>
            <w:tcW w:type="dxa" w:w="1440"/>
            <w:shd w:fill="FFDCE0" w:val="clear"/>
          </w:tcPr>
          <w:p>
            <w:r>
              <w:rPr>
                <w:sz w:val="17"/>
              </w:rPr>
              <w:t>65</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2026-08-14</w:t>
            </w:r>
          </w:p>
        </w:tc>
        <w:tc>
          <w:tcPr>
            <w:tcW w:type="dxa" w:w="1440"/>
            <w:shd w:fill="FFDCE0" w:val="clear"/>
          </w:tcPr>
          <w:p>
            <w:r>
              <w:rPr>
                <w:sz w:val="17"/>
              </w:rPr>
              <w:t>49</w:t>
            </w:r>
          </w:p>
        </w:tc>
        <w:tc>
          <w:tcPr>
            <w:tcW w:type="dxa" w:w="1440"/>
            <w:shd w:fill="FFDCE0" w:val="clear"/>
          </w:tcPr>
          <w:p>
            <w:r>
              <w:rPr>
                <w:b/>
                <w:sz w:val="17"/>
              </w:rPr>
              <w:t>56</w:t>
            </w:r>
          </w:p>
        </w:tc>
        <w:tc>
          <w:tcPr>
            <w:tcW w:type="dxa" w:w="1440"/>
            <w:shd w:fill="FFDCE0" w:val="clear"/>
          </w:tcPr>
          <w:p>
            <w:r>
              <w:rPr>
                <w:sz w:val="17"/>
              </w:rPr>
              <w:t>63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2026-08-17</w:t>
            </w:r>
          </w:p>
        </w:tc>
        <w:tc>
          <w:tcPr>
            <w:tcW w:type="dxa" w:w="1440"/>
            <w:shd w:fill="FFDCE0" w:val="clear"/>
          </w:tcPr>
          <w:p>
            <w:r>
              <w:rPr>
                <w:sz w:val="17"/>
              </w:rPr>
              <w:t>43</w:t>
            </w:r>
          </w:p>
        </w:tc>
        <w:tc>
          <w:tcPr>
            <w:tcW w:type="dxa" w:w="1440"/>
            <w:shd w:fill="FFDCE0" w:val="clear"/>
          </w:tcPr>
          <w:p>
            <w:r>
              <w:rPr>
                <w:b/>
                <w:sz w:val="17"/>
              </w:rPr>
              <w:t>51</w:t>
            </w:r>
          </w:p>
        </w:tc>
        <w:tc>
          <w:tcPr>
            <w:tcW w:type="dxa" w:w="1440"/>
            <w:shd w:fill="FFDCE0" w:val="clear"/>
          </w:tcPr>
          <w:p>
            <w:r>
              <w:rPr>
                <w:sz w:val="17"/>
              </w:rPr>
              <w:t>59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2026-08-18</w:t>
            </w:r>
          </w:p>
        </w:tc>
        <w:tc>
          <w:tcPr>
            <w:tcW w:type="dxa" w:w="1440"/>
            <w:shd w:fill="FFDCE0" w:val="clear"/>
          </w:tcPr>
          <w:p>
            <w:r>
              <w:rPr>
                <w:sz w:val="17"/>
              </w:rPr>
              <w:t>39</w:t>
            </w:r>
          </w:p>
        </w:tc>
        <w:tc>
          <w:tcPr>
            <w:tcW w:type="dxa" w:w="1440"/>
            <w:shd w:fill="FFDCE0" w:val="clear"/>
          </w:tcPr>
          <w:p>
            <w:r>
              <w:rPr>
                <w:b/>
                <w:sz w:val="17"/>
              </w:rPr>
              <w:t>48</w:t>
            </w:r>
          </w:p>
        </w:tc>
        <w:tc>
          <w:tcPr>
            <w:tcW w:type="dxa" w:w="1440"/>
            <w:shd w:fill="FFDCE0" w:val="clear"/>
          </w:tcPr>
          <w:p>
            <w:r>
              <w:rPr>
                <w:sz w:val="17"/>
              </w:rPr>
              <w:t>56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2026-08-19</w:t>
            </w:r>
          </w:p>
        </w:tc>
        <w:tc>
          <w:tcPr>
            <w:tcW w:type="dxa" w:w="1440"/>
            <w:shd w:fill="FFDCE0" w:val="clear"/>
          </w:tcPr>
          <w:p>
            <w:r>
              <w:rPr>
                <w:sz w:val="17"/>
              </w:rPr>
              <w:t>35</w:t>
            </w:r>
          </w:p>
        </w:tc>
        <w:tc>
          <w:tcPr>
            <w:tcW w:type="dxa" w:w="1440"/>
            <w:shd w:fill="FFDCE0" w:val="clear"/>
          </w:tcPr>
          <w:p>
            <w:r>
              <w:rPr>
                <w:b/>
                <w:sz w:val="17"/>
              </w:rPr>
              <w:t>44</w:t>
            </w:r>
          </w:p>
        </w:tc>
        <w:tc>
          <w:tcPr>
            <w:tcW w:type="dxa" w:w="1440"/>
            <w:shd w:fill="FFDCE0" w:val="clear"/>
          </w:tcPr>
          <w:p>
            <w:r>
              <w:rPr>
                <w:sz w:val="17"/>
              </w:rPr>
              <w:t>53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2026-08-20</w:t>
            </w:r>
          </w:p>
        </w:tc>
        <w:tc>
          <w:tcPr>
            <w:tcW w:type="dxa" w:w="1440"/>
            <w:shd w:fill="FFDCE0" w:val="clear"/>
          </w:tcPr>
          <w:p>
            <w:r>
              <w:rPr>
                <w:sz w:val="17"/>
              </w:rPr>
              <w:t>32</w:t>
            </w:r>
          </w:p>
        </w:tc>
        <w:tc>
          <w:tcPr>
            <w:tcW w:type="dxa" w:w="1440"/>
            <w:shd w:fill="FFDCE0" w:val="clear"/>
          </w:tcPr>
          <w:p>
            <w:r>
              <w:rPr>
                <w:b/>
                <w:sz w:val="17"/>
              </w:rPr>
              <w:t>41</w:t>
            </w:r>
          </w:p>
        </w:tc>
        <w:tc>
          <w:tcPr>
            <w:tcW w:type="dxa" w:w="1440"/>
            <w:shd w:fill="FFDCE0" w:val="clear"/>
          </w:tcPr>
          <w:p>
            <w:r>
              <w:rPr>
                <w:sz w:val="17"/>
              </w:rPr>
              <w:t>50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2026-08-21</w:t>
            </w:r>
          </w:p>
        </w:tc>
        <w:tc>
          <w:tcPr>
            <w:tcW w:type="dxa" w:w="1440"/>
            <w:shd w:fill="FFDCE0" w:val="clear"/>
          </w:tcPr>
          <w:p>
            <w:r>
              <w:rPr>
                <w:sz w:val="17"/>
              </w:rPr>
              <w:t>29</w:t>
            </w:r>
          </w:p>
        </w:tc>
        <w:tc>
          <w:tcPr>
            <w:tcW w:type="dxa" w:w="1440"/>
            <w:shd w:fill="FFDCE0" w:val="clear"/>
          </w:tcPr>
          <w:p>
            <w:r>
              <w:rPr>
                <w:b/>
                <w:sz w:val="17"/>
              </w:rPr>
              <w:t>38</w:t>
            </w:r>
          </w:p>
        </w:tc>
        <w:tc>
          <w:tcPr>
            <w:tcW w:type="dxa" w:w="1440"/>
            <w:shd w:fill="FFDCE0" w:val="clear"/>
          </w:tcPr>
          <w:p>
            <w:r>
              <w:rPr>
                <w:sz w:val="17"/>
              </w:rPr>
              <w:t>47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2026-08-24</w:t>
            </w:r>
          </w:p>
        </w:tc>
        <w:tc>
          <w:tcPr>
            <w:tcW w:type="dxa" w:w="1440"/>
            <w:shd w:fill="FFDCE0" w:val="clear"/>
          </w:tcPr>
          <w:p>
            <w:r>
              <w:rPr>
                <w:sz w:val="17"/>
              </w:rPr>
              <w:t>26</w:t>
            </w:r>
          </w:p>
        </w:tc>
        <w:tc>
          <w:tcPr>
            <w:tcW w:type="dxa" w:w="1440"/>
            <w:shd w:fill="FFDCE0" w:val="clear"/>
          </w:tcPr>
          <w:p>
            <w:r>
              <w:rPr>
                <w:b/>
                <w:sz w:val="17"/>
              </w:rPr>
              <w:t>35</w:t>
            </w:r>
          </w:p>
        </w:tc>
        <w:tc>
          <w:tcPr>
            <w:tcW w:type="dxa" w:w="1440"/>
            <w:shd w:fill="FFDCE0" w:val="clear"/>
          </w:tcPr>
          <w:p>
            <w:r>
              <w:rPr>
                <w:sz w:val="17"/>
              </w:rPr>
              <w:t>44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2026-08-25</w:t>
            </w:r>
          </w:p>
        </w:tc>
        <w:tc>
          <w:tcPr>
            <w:tcW w:type="dxa" w:w="1440"/>
            <w:shd w:fill="FFDCE0" w:val="clear"/>
          </w:tcPr>
          <w:p>
            <w:r>
              <w:rPr>
                <w:sz w:val="17"/>
              </w:rPr>
              <w:t>24</w:t>
            </w:r>
          </w:p>
        </w:tc>
        <w:tc>
          <w:tcPr>
            <w:tcW w:type="dxa" w:w="1440"/>
            <w:shd w:fill="FFDCE0" w:val="clear"/>
          </w:tcPr>
          <w:p>
            <w:r>
              <w:rPr>
                <w:b/>
                <w:sz w:val="17"/>
              </w:rPr>
              <w:t>32</w:t>
            </w:r>
          </w:p>
        </w:tc>
        <w:tc>
          <w:tcPr>
            <w:tcW w:type="dxa" w:w="1440"/>
            <w:shd w:fill="FFDCE0" w:val="clear"/>
          </w:tcPr>
          <w:p>
            <w:r>
              <w:rPr>
                <w:sz w:val="17"/>
              </w:rPr>
              <w:t>41</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2026-08-27</w:t>
            </w:r>
          </w:p>
        </w:tc>
        <w:tc>
          <w:tcPr>
            <w:tcW w:type="dxa" w:w="1440"/>
            <w:shd w:fill="FFDCE0" w:val="clear"/>
          </w:tcPr>
          <w:p>
            <w:r>
              <w:rPr>
                <w:sz w:val="17"/>
              </w:rPr>
              <w:t>21</w:t>
            </w:r>
          </w:p>
        </w:tc>
        <w:tc>
          <w:tcPr>
            <w:tcW w:type="dxa" w:w="1440"/>
            <w:shd w:fill="FFDCE0" w:val="clear"/>
          </w:tcPr>
          <w:p>
            <w:r>
              <w:rPr>
                <w:b/>
                <w:sz w:val="17"/>
              </w:rPr>
              <w:t>30</w:t>
            </w:r>
          </w:p>
        </w:tc>
        <w:tc>
          <w:tcPr>
            <w:tcW w:type="dxa" w:w="1440"/>
            <w:shd w:fill="FFDCE0" w:val="clear"/>
          </w:tcPr>
          <w:p>
            <w:r>
              <w:rPr>
                <w:sz w:val="17"/>
              </w:rPr>
              <w:t>38</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**Date de l'analyse : 12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d'ETIT s'établit à 1 175,47 milliards FCFA, ce qui en fait l'une des plus importantes capitalisations de la BRVM, reflétant le statut de leader panafricain du groupe. Avec un BPA de 19 FCFA, le titre se négocie à un PER de 3,4x, très inférieur à la moyenne historique de la BRVM (8-12x), indiquant une sous-évaluation significative du titre par rapport à ses bénéfices. Le P/B de 0,74x confirme cette décote, le marché valorisant la société en dessous de sa valeur comptable (actif net). Enfin, l'EV/EBITDA de 4,9x, inférieur à 5x, témoigne d'une valorisation très attractive de la capacité opérationnelle de la banque. Ces ratios suggèrent que le marché n'intègre pas pleinement la solidité financière et les perspectives de croissance d'ETIT.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d'ETIT a connu une progression spectaculaire de +103,12%, passant d'un plus bas de 26 FCFA à un plus haut de 78 FCFA, avant de se stabiliser à 65 FCFA. Cette tendance haussière marquée a été toutefois interrompue par une correction récente de -5,80% lors de la dernière séance. La moyenne du cours sur la période (41 FCFA) est nettement inférieure à la médiane (33 FCFA) et au mode (30 FCFA), ce qui, combiné à un skewness positif de 1,048, indique une distribution asymétrique avec des journées de forte hausse concentrées en fin de période. L'écart-type de 16 FCFA (CV=38,5%) révèle une dispersion élevée des prix, et la volatilité annualisée de 63,7% classe le titre comme extrêmement volatil. Le kurtosis de -0,617 (mésokurtique) suggère une distribution proche de la normale, sans risque de pics extrêmes particuliers, mais la forte asymétrie positive et la volatilité élevée signalent un comportement spéculatif marqué.</w:t>
      </w:r>
    </w:p>
    <w:p>
      <w:pPr>
        <w:spacing w:after="120" w:line="276" w:lineRule="auto"/>
      </w:pPr>
      <w:r>
        <w:t>---</w:t>
      </w:r>
    </w:p>
    <w:p>
      <w:pPr>
        <w:spacing w:after="120" w:line="276" w:lineRule="auto"/>
      </w:pPr>
      <w:r>
        <w:t>### PARTIE 2 : ANALYSE TECHNIQUE DÉTAILLÉE</w:t>
      </w:r>
    </w:p>
    <w:p>
      <w:pPr>
        <w:spacing w:after="120" w:line="276" w:lineRule="auto"/>
      </w:pPr>
      <w:r>
        <w:t>**Moyennes Mobiles** : La MM20 (68,5 FCFA) est supérieure à la MM50 (52,2 FCFA), et le cours actuel (65 FCFA) se situe sous la MM20 mais nettement au-dessus de la MM50. Cette configuration indique une tendance haussière de moyen terme, avec un repli récent par rapport au pic. La décision d'achat est justifiée par la tendance générale positive, mais la position sous la MM20 suggère une consolidation à court terme.</w:t>
      </w:r>
    </w:p>
    <w:p>
      <w:pPr>
        <w:spacing w:after="120" w:line="276" w:lineRule="auto"/>
      </w:pPr>
      <w:r>
        <w:t>**Bandes de Bollinger** : Le cours (65 FCFA) se positionne dans la partie médiane des bandes, entre la borne supérieure (76,923 FCFA) et la borne inférieure (60,077 FCFA). Cette position neutre indique une volatilité modérée après la forte expansion des bandes suite à la hausse du cours. La décision neutre est appropriée, le marché cherchant un nouveau point d'équilibre.</w:t>
      </w:r>
    </w:p>
    <w:p>
      <w:pPr>
        <w:spacing w:after="120" w:line="276" w:lineRule="auto"/>
      </w:pPr>
      <w:r>
        <w:t>**MACD** : La valeur du MACD (3,361) est inférieure à sa ligne de signal (4,853), indiquant un momentum baissier à court terme. Cette divergence négative suggère un ralentissement de la dynamique haussière, justifiant la décision de vente. Le croisement baissier récent appelle à la prudence.</w:t>
      </w:r>
    </w:p>
    <w:p>
      <w:pPr>
        <w:spacing w:after="120" w:line="276" w:lineRule="auto"/>
      </w:pPr>
      <w:r>
        <w:t>**RSI** : À 43,902, le RSI se situe en zone neutre (30-70), indiquant que le titre n'est ni suracheté ni survendu. Cette valeur reflète une perte de momentum après la forte hausse, mais sans signal extrême. La décision neutre est cohérente avec une phase de consolidation.</w:t>
      </w:r>
    </w:p>
    <w:p>
      <w:pPr>
        <w:spacing w:after="120" w:line="276" w:lineRule="auto"/>
      </w:pPr>
      <w:r>
        <w:t>**Stochastique** : Le %K (9,091) est très inférieur au %D (27,273), indiquant une zone de survente profonde. Ce croisement baissier suggère un potentiel de rebond technique à court terme, justifiant la décision d'achat. Le titre pourrait connaître un rebond après cette correction.</w:t>
      </w:r>
    </w:p>
    <w:p>
      <w:pPr>
        <w:spacing w:after="120" w:line="276" w:lineRule="auto"/>
      </w:pPr>
      <w:r>
        <w:t>**Conclusion technique** : Les indicateurs sont mitigés, avec une tendance haussière de fond (MM) mais un momentum baissier à court terme (MACD, RSI). Le stochastique en survente suggère un possible rebond technique. La configuration globale indique une phase de consolidation après une hausse spectaculaire, avec un potentiel de reprise si le support des 60 FCFA tient.</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d'ETIT révèlent une banque extrêmement solide : le Produit Net Bancaire (PNB) s'établit à 1 424,261 milliards FCFA, avec un résultat net de 345,523 milliards FCFA, soit une marge nette de 24,26%. La rentabilité des fonds propres (ROE) atteint 21,62%, un niveau excellent (&gt;15%), et le ROA de 1,80% est sain pour le secteur bancaire. Le coefficient d'exploitation de 27,35% est exceptionnellement bas (&lt;50% = excellente efficacité), démontrant une gestion rigoureuse des charges. Le coût du risque de 18,97% est élevé, signalant un risque de crédit significatif, mais le ratio de solvabilité générale de 109,06% (&gt;1) confirme la solidité du bilan. Les dépôts clientèle (14 120 milliards FCFA) couvrent largement les créances sur la clientèle (6 570 milliards FCFA), indiquant une transformation saine. Les rapports trimestriels 2025 et 2026 confirment cette dynamique : le rapport S1 2025 (PNB +12%, résultat net +23%) et le rapport T3 2025 (PNB +15%, résultat net +30%) montrent une accélération. Le rapport S1 2026 (PNB +15% à 721,3 milliards FCFA, résultat net +6% à 166,7 milliards FCFA) confirme la tendance, malgré une hausse du coût du risque (+40%). Sur la base de ces données, on estime que l'exercice 2026 devrait enregistrer un PNB supérieur à 1 600 milliards FCFA et un résultat net autour de 380-400 milliards FCFA, confirmant la trajectoire de croissance rentable du groupe.</w:t>
      </w:r>
    </w:p>
    <w:p>
      <w:pPr>
        <w:spacing w:after="120" w:line="276" w:lineRule="auto"/>
      </w:pPr>
      <w:r>
        <w:t>---</w:t>
      </w:r>
    </w:p>
    <w:p>
      <w:pPr>
        <w:spacing w:after="120" w:line="276" w:lineRule="auto"/>
      </w:pPr>
      <w:r>
        <w:t>### PARTIE 4 : CONCLUSION D'INVESTISSEMENT</w:t>
      </w:r>
    </w:p>
    <w:p>
      <w:pPr>
        <w:spacing w:after="120" w:line="276" w:lineRule="auto"/>
      </w:pPr>
      <w:r>
        <w:t>La valorisation d'ETIT est extrêmement attractive, avec un PER de 3,4x, un P/B de 0,74x et un EV/EBITDA de 4,9x, indiquant une sous-évaluation manifeste par rapport aux fondamentaux. Le comportement du cours (+103% sur 100 jours) montre une dynamique haussière forte, mais la volatilité élevée (63,7%) et l'asymétrie positive signalent un risque spéculatif. Les signaux techniques sont mitigés, avec une tendance haussière de fond mais un momentum baissier à court terme, tempéré par un stochastique en survente suggérant un rebond. Les fondamentaux sont excellents : ROE de 21,6%, coefficient d'exploitation de 27,3%, croissance soutenue du PNB (+15% au S1 2026), et des perspectives 2026 estimées en hausse. Cependant, les prédictions IA (60 FCFA à J+1, 44 FCFA à J+10) indiquent une poursuite de la correction à court terme, contredisant les signaux techniques de rebond. Cette divergence entre la solidité fondamentale et la trajectoire prédite suggère une consolidation nécessaire après la forte hausse. **Recommandation finale : ACHAT** pour les investisseurs à moyen-long terme, avec un niveau de confiance **Élevé** et un risque global **Moyen**. L'horizon d'investissement optimal est de **6-12 mois**, en profitant d'une éventuelle faiblesse du cours pour renforcer la position.</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30.89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3,861 titres</w:t>
            </w:r>
          </w:p>
        </w:tc>
        <w:tc>
          <w:tcPr>
            <w:tcW w:type="dxa" w:w="2268"/>
            <w:shd w:fill="FFF2CC" w:val="clear"/>
          </w:tcPr>
          <w:p>
            <w:r>
              <w:rPr>
                <w:b/>
                <w:color w:val="503200"/>
                <w:sz w:val="16"/>
              </w:rPr>
              <w:t xml:space="preserve">Cours actuel : </w:t>
            </w:r>
            <w:r>
              <w:rPr>
                <w:color w:val="000000"/>
                <w:sz w:val="17"/>
              </w:rPr>
              <w:t>2,190 FCFA</w:t>
            </w:r>
          </w:p>
          <w:p>
            <w:r>
              <w:rPr>
                <w:b/>
                <w:color w:val="503200"/>
                <w:sz w:val="16"/>
              </w:rPr>
              <w:t xml:space="preserve">Var. 100 jours : </w:t>
            </w:r>
            <w:r>
              <w:rPr>
                <w:b/>
                <w:color w:val="B40000"/>
                <w:sz w:val="17"/>
              </w:rPr>
              <w:t>-8.37%</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36.9%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6.77% (Moyenne) — μ=2,172 FCFA, σ=147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β=0.9219 (Neutre (suit le marché)) — Cov=0.000033, Var(idx)=0.000036, ρ=0.242,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3,861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σ_j=2.32%/j (Stable) — Vol. annualisée≈36.9%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3244"/>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324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2026-08-13</w:t>
            </w:r>
          </w:p>
        </w:tc>
        <w:tc>
          <w:tcPr>
            <w:tcW w:type="dxa" w:w="1440"/>
            <w:shd w:fill="FAFAFA" w:val="clear"/>
          </w:tcPr>
          <w:p>
            <w:r>
              <w:rPr>
                <w:sz w:val="17"/>
              </w:rPr>
              <w:t>2,128</w:t>
            </w:r>
          </w:p>
        </w:tc>
        <w:tc>
          <w:tcPr>
            <w:tcW w:type="dxa" w:w="1440"/>
            <w:shd w:fill="FAFAFA" w:val="clear"/>
          </w:tcPr>
          <w:p>
            <w:r>
              <w:rPr>
                <w:b/>
                <w:sz w:val="17"/>
              </w:rPr>
              <w:t>2,197</w:t>
            </w:r>
          </w:p>
        </w:tc>
        <w:tc>
          <w:tcPr>
            <w:tcW w:type="dxa" w:w="1440"/>
            <w:shd w:fill="FAFAFA" w:val="clear"/>
          </w:tcPr>
          <w:p>
            <w:r>
              <w:rPr>
                <w:sz w:val="17"/>
              </w:rPr>
              <w:t>2,265</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2026-08-14</w:t>
            </w:r>
          </w:p>
        </w:tc>
        <w:tc>
          <w:tcPr>
            <w:tcW w:type="dxa" w:w="1440"/>
            <w:shd w:fill="FAFAFA" w:val="clear"/>
          </w:tcPr>
          <w:p>
            <w:r>
              <w:rPr>
                <w:sz w:val="17"/>
              </w:rPr>
              <w:t>2,106</w:t>
            </w:r>
          </w:p>
        </w:tc>
        <w:tc>
          <w:tcPr>
            <w:tcW w:type="dxa" w:w="1440"/>
            <w:shd w:fill="FAFAFA" w:val="clear"/>
          </w:tcPr>
          <w:p>
            <w:r>
              <w:rPr>
                <w:b/>
                <w:sz w:val="17"/>
              </w:rPr>
              <w:t>2,203</w:t>
            </w:r>
          </w:p>
        </w:tc>
        <w:tc>
          <w:tcPr>
            <w:tcW w:type="dxa" w:w="1440"/>
            <w:shd w:fill="FAFAFA" w:val="clear"/>
          </w:tcPr>
          <w:p>
            <w:r>
              <w:rPr>
                <w:sz w:val="17"/>
              </w:rPr>
              <w:t>2,300</w:t>
            </w:r>
          </w:p>
        </w:tc>
        <w:tc>
          <w:tcPr>
            <w:tcW w:type="dxa" w:w="1440"/>
            <w:shd w:fill="FAFAFA" w:val="clear"/>
          </w:tcPr>
          <w:p>
            <w:r>
              <w:rPr>
                <w:b/>
                <w:color w:val="008000"/>
                <w:sz w:val="17"/>
              </w:rPr>
              <w:t>+0.6%</w:t>
            </w:r>
          </w:p>
        </w:tc>
      </w:tr>
      <w:tr>
        <w:tc>
          <w:tcPr>
            <w:tcW w:type="dxa" w:w="1440"/>
            <w:shd w:fill="FAFAFA" w:val="clear"/>
          </w:tcPr>
          <w:p>
            <w:r>
              <w:rPr>
                <w:sz w:val="17"/>
              </w:rPr>
              <w:t>J+3  ⭐⭐⭐</w:t>
            </w:r>
          </w:p>
        </w:tc>
        <w:tc>
          <w:tcPr>
            <w:tcW w:type="dxa" w:w="1440"/>
            <w:shd w:fill="FAFAFA" w:val="clear"/>
          </w:tcPr>
          <w:p>
            <w:r>
              <w:rPr>
                <w:sz w:val="17"/>
              </w:rPr>
              <w:t>2026-08-17</w:t>
            </w:r>
          </w:p>
        </w:tc>
        <w:tc>
          <w:tcPr>
            <w:tcW w:type="dxa" w:w="1440"/>
            <w:shd w:fill="FAFAFA" w:val="clear"/>
          </w:tcPr>
          <w:p>
            <w:r>
              <w:rPr>
                <w:sz w:val="17"/>
              </w:rPr>
              <w:t>2,091</w:t>
            </w:r>
          </w:p>
        </w:tc>
        <w:tc>
          <w:tcPr>
            <w:tcW w:type="dxa" w:w="1440"/>
            <w:shd w:fill="FAFAFA" w:val="clear"/>
          </w:tcPr>
          <w:p>
            <w:r>
              <w:rPr>
                <w:b/>
                <w:sz w:val="17"/>
              </w:rPr>
              <w:t>2,210</w:t>
            </w:r>
          </w:p>
        </w:tc>
        <w:tc>
          <w:tcPr>
            <w:tcW w:type="dxa" w:w="1440"/>
            <w:shd w:fill="FAFAFA" w:val="clear"/>
          </w:tcPr>
          <w:p>
            <w:r>
              <w:rPr>
                <w:sz w:val="17"/>
              </w:rPr>
              <w:t>2,330</w:t>
            </w:r>
          </w:p>
        </w:tc>
        <w:tc>
          <w:tcPr>
            <w:tcW w:type="dxa" w:w="1440"/>
            <w:shd w:fill="FAFAFA" w:val="clear"/>
          </w:tcPr>
          <w:p>
            <w:r>
              <w:rPr>
                <w:b/>
                <w:color w:val="008000"/>
                <w:sz w:val="17"/>
              </w:rPr>
              <w:t>+0.9%</w:t>
            </w:r>
          </w:p>
        </w:tc>
      </w:tr>
      <w:tr>
        <w:tc>
          <w:tcPr>
            <w:tcW w:type="dxa" w:w="1440"/>
            <w:shd w:fill="FAFAFA" w:val="clear"/>
          </w:tcPr>
          <w:p>
            <w:r>
              <w:rPr>
                <w:sz w:val="17"/>
              </w:rPr>
              <w:t>J+4  Moyenne</w:t>
            </w:r>
          </w:p>
        </w:tc>
        <w:tc>
          <w:tcPr>
            <w:tcW w:type="dxa" w:w="1440"/>
            <w:shd w:fill="FAFAFA" w:val="clear"/>
          </w:tcPr>
          <w:p>
            <w:r>
              <w:rPr>
                <w:sz w:val="17"/>
              </w:rPr>
              <w:t>2026-08-18</w:t>
            </w:r>
          </w:p>
        </w:tc>
        <w:tc>
          <w:tcPr>
            <w:tcW w:type="dxa" w:w="1440"/>
            <w:shd w:fill="FAFAFA" w:val="clear"/>
          </w:tcPr>
          <w:p>
            <w:r>
              <w:rPr>
                <w:sz w:val="17"/>
              </w:rPr>
              <w:t>2,080</w:t>
            </w:r>
          </w:p>
        </w:tc>
        <w:tc>
          <w:tcPr>
            <w:tcW w:type="dxa" w:w="1440"/>
            <w:shd w:fill="FAFAFA" w:val="clear"/>
          </w:tcPr>
          <w:p>
            <w:r>
              <w:rPr>
                <w:b/>
                <w:sz w:val="17"/>
              </w:rPr>
              <w:t>2,219</w:t>
            </w:r>
          </w:p>
        </w:tc>
        <w:tc>
          <w:tcPr>
            <w:tcW w:type="dxa" w:w="1440"/>
            <w:shd w:fill="FAFAFA" w:val="clear"/>
          </w:tcPr>
          <w:p>
            <w:r>
              <w:rPr>
                <w:sz w:val="17"/>
              </w:rPr>
              <w:t>2,357</w:t>
            </w:r>
          </w:p>
        </w:tc>
        <w:tc>
          <w:tcPr>
            <w:tcW w:type="dxa" w:w="1440"/>
            <w:shd w:fill="FAFAFA" w:val="clear"/>
          </w:tcPr>
          <w:p>
            <w:r>
              <w:rPr>
                <w:b/>
                <w:color w:val="008000"/>
                <w:sz w:val="17"/>
              </w:rPr>
              <w:t>+1.3%</w:t>
            </w:r>
          </w:p>
        </w:tc>
      </w:tr>
      <w:tr>
        <w:tc>
          <w:tcPr>
            <w:tcW w:type="dxa" w:w="1440"/>
            <w:shd w:fill="FAFAFA" w:val="clear"/>
          </w:tcPr>
          <w:p>
            <w:r>
              <w:rPr>
                <w:sz w:val="17"/>
              </w:rPr>
              <w:t>J+5  Moyenne</w:t>
            </w:r>
          </w:p>
        </w:tc>
        <w:tc>
          <w:tcPr>
            <w:tcW w:type="dxa" w:w="1440"/>
            <w:shd w:fill="FAFAFA" w:val="clear"/>
          </w:tcPr>
          <w:p>
            <w:r>
              <w:rPr>
                <w:sz w:val="17"/>
              </w:rPr>
              <w:t>2026-08-19</w:t>
            </w:r>
          </w:p>
        </w:tc>
        <w:tc>
          <w:tcPr>
            <w:tcW w:type="dxa" w:w="1440"/>
            <w:shd w:fill="FAFAFA" w:val="clear"/>
          </w:tcPr>
          <w:p>
            <w:r>
              <w:rPr>
                <w:sz w:val="17"/>
              </w:rPr>
              <w:t>2,072</w:t>
            </w:r>
          </w:p>
        </w:tc>
        <w:tc>
          <w:tcPr>
            <w:tcW w:type="dxa" w:w="1440"/>
            <w:shd w:fill="FAFAFA" w:val="clear"/>
          </w:tcPr>
          <w:p>
            <w:r>
              <w:rPr>
                <w:b/>
                <w:sz w:val="17"/>
              </w:rPr>
              <w:t>2,227</w:t>
            </w:r>
          </w:p>
        </w:tc>
        <w:tc>
          <w:tcPr>
            <w:tcW w:type="dxa" w:w="1440"/>
            <w:shd w:fill="FAFAFA" w:val="clear"/>
          </w:tcPr>
          <w:p>
            <w:r>
              <w:rPr>
                <w:sz w:val="17"/>
              </w:rPr>
              <w:t>2,383</w:t>
            </w:r>
          </w:p>
        </w:tc>
        <w:tc>
          <w:tcPr>
            <w:tcW w:type="dxa" w:w="1440"/>
            <w:shd w:fill="FAFAFA" w:val="clear"/>
          </w:tcPr>
          <w:p>
            <w:r>
              <w:rPr>
                <w:b/>
                <w:color w:val="008000"/>
                <w:sz w:val="17"/>
              </w:rPr>
              <w:t>+1.7%</w:t>
            </w:r>
          </w:p>
        </w:tc>
      </w:tr>
      <w:tr>
        <w:tc>
          <w:tcPr>
            <w:tcW w:type="dxa" w:w="1440"/>
            <w:shd w:fill="C6EFCE" w:val="clear"/>
          </w:tcPr>
          <w:p>
            <w:r>
              <w:rPr>
                <w:sz w:val="17"/>
              </w:rPr>
              <w:t>J+6  Moyenne</w:t>
            </w:r>
          </w:p>
        </w:tc>
        <w:tc>
          <w:tcPr>
            <w:tcW w:type="dxa" w:w="1440"/>
            <w:shd w:fill="C6EFCE" w:val="clear"/>
          </w:tcPr>
          <w:p>
            <w:r>
              <w:rPr>
                <w:sz w:val="17"/>
              </w:rPr>
              <w:t>2026-08-20</w:t>
            </w:r>
          </w:p>
        </w:tc>
        <w:tc>
          <w:tcPr>
            <w:tcW w:type="dxa" w:w="1440"/>
            <w:shd w:fill="C6EFCE" w:val="clear"/>
          </w:tcPr>
          <w:p>
            <w:r>
              <w:rPr>
                <w:sz w:val="17"/>
              </w:rPr>
              <w:t>2,066</w:t>
            </w:r>
          </w:p>
        </w:tc>
        <w:tc>
          <w:tcPr>
            <w:tcW w:type="dxa" w:w="1440"/>
            <w:shd w:fill="C6EFCE" w:val="clear"/>
          </w:tcPr>
          <w:p>
            <w:r>
              <w:rPr>
                <w:b/>
                <w:sz w:val="17"/>
              </w:rPr>
              <w:t>2,237</w:t>
            </w:r>
          </w:p>
        </w:tc>
        <w:tc>
          <w:tcPr>
            <w:tcW w:type="dxa" w:w="1440"/>
            <w:shd w:fill="C6EFCE" w:val="clear"/>
          </w:tcPr>
          <w:p>
            <w:r>
              <w:rPr>
                <w:sz w:val="17"/>
              </w:rPr>
              <w:t>2,408</w:t>
            </w:r>
          </w:p>
        </w:tc>
        <w:tc>
          <w:tcPr>
            <w:tcW w:type="dxa" w:w="1440"/>
            <w:shd w:fill="C6EFCE" w:val="clear"/>
          </w:tcPr>
          <w:p>
            <w:r>
              <w:rPr>
                <w:b/>
                <w:color w:val="008000"/>
                <w:sz w:val="17"/>
              </w:rPr>
              <w:t>+2.1%</w:t>
            </w:r>
          </w:p>
        </w:tc>
      </w:tr>
      <w:tr>
        <w:tc>
          <w:tcPr>
            <w:tcW w:type="dxa" w:w="1440"/>
            <w:shd w:fill="C6EFCE" w:val="clear"/>
          </w:tcPr>
          <w:p>
            <w:r>
              <w:rPr>
                <w:sz w:val="17"/>
              </w:rPr>
              <w:t>J+7  Moyenne</w:t>
            </w:r>
          </w:p>
        </w:tc>
        <w:tc>
          <w:tcPr>
            <w:tcW w:type="dxa" w:w="1440"/>
            <w:shd w:fill="C6EFCE" w:val="clear"/>
          </w:tcPr>
          <w:p>
            <w:r>
              <w:rPr>
                <w:sz w:val="17"/>
              </w:rPr>
              <w:t>2026-08-21</w:t>
            </w:r>
          </w:p>
        </w:tc>
        <w:tc>
          <w:tcPr>
            <w:tcW w:type="dxa" w:w="1440"/>
            <w:shd w:fill="C6EFCE" w:val="clear"/>
          </w:tcPr>
          <w:p>
            <w:r>
              <w:rPr>
                <w:sz w:val="17"/>
              </w:rPr>
              <w:t>2,061</w:t>
            </w:r>
          </w:p>
        </w:tc>
        <w:tc>
          <w:tcPr>
            <w:tcW w:type="dxa" w:w="1440"/>
            <w:shd w:fill="C6EFCE" w:val="clear"/>
          </w:tcPr>
          <w:p>
            <w:r>
              <w:rPr>
                <w:b/>
                <w:sz w:val="17"/>
              </w:rPr>
              <w:t>2,246</w:t>
            </w:r>
          </w:p>
        </w:tc>
        <w:tc>
          <w:tcPr>
            <w:tcW w:type="dxa" w:w="1440"/>
            <w:shd w:fill="C6EFCE" w:val="clear"/>
          </w:tcPr>
          <w:p>
            <w:r>
              <w:rPr>
                <w:sz w:val="17"/>
              </w:rPr>
              <w:t>2,432</w:t>
            </w:r>
          </w:p>
        </w:tc>
        <w:tc>
          <w:tcPr>
            <w:tcW w:type="dxa" w:w="1440"/>
            <w:shd w:fill="C6EFCE" w:val="clear"/>
          </w:tcPr>
          <w:p>
            <w:r>
              <w:rPr>
                <w:b/>
                <w:color w:val="008000"/>
                <w:sz w:val="17"/>
              </w:rPr>
              <w:t>+2.6%</w:t>
            </w:r>
          </w:p>
        </w:tc>
      </w:tr>
      <w:tr>
        <w:tc>
          <w:tcPr>
            <w:tcW w:type="dxa" w:w="1440"/>
            <w:shd w:fill="C6EFCE" w:val="clear"/>
          </w:tcPr>
          <w:p>
            <w:r>
              <w:rPr>
                <w:sz w:val="17"/>
              </w:rPr>
              <w:t>J+8  Moyenne</w:t>
            </w:r>
          </w:p>
        </w:tc>
        <w:tc>
          <w:tcPr>
            <w:tcW w:type="dxa" w:w="1440"/>
            <w:shd w:fill="C6EFCE" w:val="clear"/>
          </w:tcPr>
          <w:p>
            <w:r>
              <w:rPr>
                <w:sz w:val="17"/>
              </w:rPr>
              <w:t>2026-08-24</w:t>
            </w:r>
          </w:p>
        </w:tc>
        <w:tc>
          <w:tcPr>
            <w:tcW w:type="dxa" w:w="1440"/>
            <w:shd w:fill="C6EFCE" w:val="clear"/>
          </w:tcPr>
          <w:p>
            <w:r>
              <w:rPr>
                <w:sz w:val="17"/>
              </w:rPr>
              <w:t>2,057</w:t>
            </w:r>
          </w:p>
        </w:tc>
        <w:tc>
          <w:tcPr>
            <w:tcW w:type="dxa" w:w="1440"/>
            <w:shd w:fill="C6EFCE" w:val="clear"/>
          </w:tcPr>
          <w:p>
            <w:r>
              <w:rPr>
                <w:b/>
                <w:sz w:val="17"/>
              </w:rPr>
              <w:t>2,256</w:t>
            </w:r>
          </w:p>
        </w:tc>
        <w:tc>
          <w:tcPr>
            <w:tcW w:type="dxa" w:w="1440"/>
            <w:shd w:fill="C6EFCE" w:val="clear"/>
          </w:tcPr>
          <w:p>
            <w:r>
              <w:rPr>
                <w:sz w:val="17"/>
              </w:rPr>
              <w:t>2,455</w:t>
            </w:r>
          </w:p>
        </w:tc>
        <w:tc>
          <w:tcPr>
            <w:tcW w:type="dxa" w:w="1440"/>
            <w:shd w:fill="C6EFCE" w:val="clear"/>
          </w:tcPr>
          <w:p>
            <w:r>
              <w:rPr>
                <w:b/>
                <w:color w:val="008000"/>
                <w:sz w:val="17"/>
              </w:rPr>
              <w:t>+3.0%</w:t>
            </w:r>
          </w:p>
        </w:tc>
      </w:tr>
      <w:tr>
        <w:tc>
          <w:tcPr>
            <w:tcW w:type="dxa" w:w="1440"/>
            <w:shd w:fill="C6EFCE" w:val="clear"/>
          </w:tcPr>
          <w:p>
            <w:r>
              <w:rPr>
                <w:sz w:val="17"/>
              </w:rPr>
              <w:t>J+9  Moyenne</w:t>
            </w:r>
          </w:p>
        </w:tc>
        <w:tc>
          <w:tcPr>
            <w:tcW w:type="dxa" w:w="1440"/>
            <w:shd w:fill="C6EFCE" w:val="clear"/>
          </w:tcPr>
          <w:p>
            <w:r>
              <w:rPr>
                <w:sz w:val="17"/>
              </w:rPr>
              <w:t>2026-08-25</w:t>
            </w:r>
          </w:p>
        </w:tc>
        <w:tc>
          <w:tcPr>
            <w:tcW w:type="dxa" w:w="1440"/>
            <w:shd w:fill="C6EFCE" w:val="clear"/>
          </w:tcPr>
          <w:p>
            <w:r>
              <w:rPr>
                <w:sz w:val="17"/>
              </w:rPr>
              <w:t>2,053</w:t>
            </w:r>
          </w:p>
        </w:tc>
        <w:tc>
          <w:tcPr>
            <w:tcW w:type="dxa" w:w="1440"/>
            <w:shd w:fill="C6EFCE" w:val="clear"/>
          </w:tcPr>
          <w:p>
            <w:r>
              <w:rPr>
                <w:b/>
                <w:sz w:val="17"/>
              </w:rPr>
              <w:t>2,265</w:t>
            </w:r>
          </w:p>
        </w:tc>
        <w:tc>
          <w:tcPr>
            <w:tcW w:type="dxa" w:w="1440"/>
            <w:shd w:fill="C6EFCE" w:val="clear"/>
          </w:tcPr>
          <w:p>
            <w:r>
              <w:rPr>
                <w:sz w:val="17"/>
              </w:rPr>
              <w:t>2,477</w:t>
            </w:r>
          </w:p>
        </w:tc>
        <w:tc>
          <w:tcPr>
            <w:tcW w:type="dxa" w:w="1440"/>
            <w:shd w:fill="C6EFCE" w:val="clear"/>
          </w:tcPr>
          <w:p>
            <w:r>
              <w:rPr>
                <w:b/>
                <w:color w:val="008000"/>
                <w:sz w:val="17"/>
              </w:rPr>
              <w:t>+3.4%</w:t>
            </w:r>
          </w:p>
        </w:tc>
      </w:tr>
      <w:tr>
        <w:tc>
          <w:tcPr>
            <w:tcW w:type="dxa" w:w="1440"/>
            <w:shd w:fill="C6EFCE" w:val="clear"/>
          </w:tcPr>
          <w:p>
            <w:r>
              <w:rPr>
                <w:sz w:val="17"/>
              </w:rPr>
              <w:t>J+10  Moyenne</w:t>
            </w:r>
          </w:p>
        </w:tc>
        <w:tc>
          <w:tcPr>
            <w:tcW w:type="dxa" w:w="1440"/>
            <w:shd w:fill="C6EFCE" w:val="clear"/>
          </w:tcPr>
          <w:p>
            <w:r>
              <w:rPr>
                <w:sz w:val="17"/>
              </w:rPr>
              <w:t>2026-08-27</w:t>
            </w:r>
          </w:p>
        </w:tc>
        <w:tc>
          <w:tcPr>
            <w:tcW w:type="dxa" w:w="1440"/>
            <w:shd w:fill="C6EFCE" w:val="clear"/>
          </w:tcPr>
          <w:p>
            <w:r>
              <w:rPr>
                <w:sz w:val="17"/>
              </w:rPr>
              <w:t>2,050</w:t>
            </w:r>
          </w:p>
        </w:tc>
        <w:tc>
          <w:tcPr>
            <w:tcW w:type="dxa" w:w="1440"/>
            <w:shd w:fill="C6EFCE" w:val="clear"/>
          </w:tcPr>
          <w:p>
            <w:r>
              <w:rPr>
                <w:b/>
                <w:sz w:val="17"/>
              </w:rPr>
              <w:t>2,275</w:t>
            </w:r>
          </w:p>
        </w:tc>
        <w:tc>
          <w:tcPr>
            <w:tcW w:type="dxa" w:w="1440"/>
            <w:shd w:fill="C6EFCE" w:val="clear"/>
          </w:tcPr>
          <w:p>
            <w:r>
              <w:rPr>
                <w:sz w:val="17"/>
              </w:rPr>
              <w:t>2,499</w:t>
            </w:r>
          </w:p>
        </w:tc>
        <w:tc>
          <w:tcPr>
            <w:tcW w:type="dxa" w:w="1440"/>
            <w:shd w:fill="C6EFCE" w:val="clear"/>
          </w:tcPr>
          <w:p>
            <w:r>
              <w:rPr>
                <w:b/>
                <w:color w:val="008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FTSC s'établit à 30,89 milliards FCFA, un niveau modeste qui la positionne comme une valeur de seconde ligne sur la BRVM. Avec un BPA de 33 FCFA, le titre affiche un PER de 66,3x, extrêmement élevé au regard de la moyenne historique du marché régional (8-12x), ce qui traduit une décote de croissance significative et une prime de risque considérable pour l'investisseur. Le P/B de 1,97x indique que le marché valorise la société à près de deux fois sa valeur comptable, un niveau raisonnable qui suggère une certaine confiance dans les actifs de l'entreprise. Toutefois, l'EV/EBITDA de 38,5x, très supérieur au seuil exigeant de 15x, confirme que la valeur totale de l'entreprise (dette incluse) est très chère par rapport à sa capacité opérationnelle de génération de cash. Ces ratios, pris ensemble, signalent une valorisation boursière très exigeante qui ne laisse que peu de marge d'erreur sur les performances futures.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FTSC a enregistré une variation totale de -8,37%, avec une légère reprise de +0,23% lors de la dernière séance, reflétant une tendance baissière dominante mais avec des signes timides de stabilisation. Le cours a évolué dans un range de 520 FCFA, entre un plus haut de 2 430 FCFA et un plus bas de 1 910 FCFA, illustrant une amplitude de trading significative de 27%. La moyenne du cours sur la période (2 172 FCFA) est très proche de la médiane (2 200 FCFA), ce qui indique une distribution relativement symétrique, confirmée par un skewness de -0,245. L'écart-type de 148 FCFA, avec un coefficient de variation de 6,8%, montre une dispersion modérée autour de la moyenne. Le kurtosis négatif de -1,296 (distribution platykurtique) révèle une absence de pics extrêmes et une faible concentration des variations autour de la moyenne. La volatilité annualisée de 36,9% classe le titre dans la catégorie des valeurs à forte volatilité (&gt;30%), ce qui implique un risque élevé mais aussi un potentiel de rendement substantiel pour les investisseurs aguerris.</w:t>
      </w:r>
    </w:p>
    <w:p>
      <w:pPr>
        <w:spacing w:after="120" w:line="276" w:lineRule="auto" w:before="240"/>
      </w:pPr>
      <w:r>
        <w:rPr>
          <w:b/>
          <w:color w:val="003366"/>
          <w:sz w:val="24"/>
        </w:rPr>
        <w:t>**PARTIE 2 : ANALYSE TECHNIQUE DÉTAILLÉE**</w:t>
      </w:r>
    </w:p>
    <w:p>
      <w:pPr>
        <w:spacing w:after="120" w:line="276" w:lineRule="auto"/>
      </w:pPr>
      <w:r>
        <w:t>Les **Moyennes Mobiles** indiquent une décision de vente : la MM20 (2 001,5 FCFA) et la MM50 (2 069,9 FCFA) sont toutes deux inférieures au cours actuel de 2 190 FCFA, ce qui suggère que le prix a récemment dépassé ses moyennes historiques. Cependant, la MM20 étant inférieure à la MM50, la configuration reste baissière à moyen terme, le cours venant tout juste de franchir ces niveaux, ce qui pourrait signaler un début de retournement haussier.</w:t>
      </w:r>
    </w:p>
    <w:p>
      <w:pPr>
        <w:spacing w:after="120" w:line="276" w:lineRule="auto"/>
      </w:pPr>
      <w:r>
        <w:t>Les **Bandes de Bollinger** confirment une décision de vente : le cours actuel (2 190 FCFA) se situe au-dessus de la borne supérieure (2 155,8 FCFA), indiquant une condition de surachat à court terme. Cette sortie de bande suggère une volatilité accrue et un possible retour vers la moyenne, d'autant que l'écart entre les bornes (308,5 FCFA) reflète une volatilité en expansion.</w:t>
      </w:r>
    </w:p>
    <w:p>
      <w:pPr>
        <w:spacing w:after="120" w:line="276" w:lineRule="auto"/>
      </w:pPr>
      <w:r>
        <w:t>Le **MACD** émet un signal d'achat : la valeur positive de 19,065 par rapport au signal de -13,739 indique un momentum haussier récent, avec un croisement haussier qui pourrait se confirmer dans les prochaines séances. Cette divergence positive suggère une amélioration de la dynamique sous-jacente du titre.</w:t>
      </w:r>
    </w:p>
    <w:p>
      <w:pPr>
        <w:spacing w:after="120" w:line="276" w:lineRule="auto"/>
      </w:pPr>
      <w:r>
        <w:t>Le **RSI** à 68,807 est en zone neutre, proche du seuil de surachat (70). Cette valeur indique une pression acheteuse soutenue sans être excessive, laissant une marge de progression avant d'atteindre des conditions de surachat extrême.</w:t>
      </w:r>
    </w:p>
    <w:p>
      <w:pPr>
        <w:spacing w:after="120" w:line="276" w:lineRule="auto"/>
      </w:pPr>
      <w:r>
        <w:t>Le **Stochastique** affiche une décision de vente avec %K et %D à 100,0, un niveau extrême de surachat qui signale une possible correction technique imminente. Cette configuration, couplée au RSI élevé, suggère que le titre pourrait marquer une pause dans son mouvement haussier récent.</w:t>
      </w:r>
    </w:p>
    <w:p>
      <w:pPr>
        <w:spacing w:after="120" w:line="276" w:lineRule="auto"/>
      </w:pPr>
      <w:r>
        <w:t>La **conclusion technique** est mitigée : les indicateurs de momentum (MACD) et de tendance (MM) montrent une amélioration récente, mais les oscillateurs de surachat (Stochastique, Bollinger) signalent un risque de correction à court terme. La divergence entre ces signaux suggère une prudence accrue, avec une possible consolidation avant une poursuite du mouvement haussier.</w:t>
      </w:r>
    </w:p>
    <w:p>
      <w:pPr>
        <w:spacing w:after="120" w:line="276" w:lineRule="auto" w:before="240"/>
      </w:pPr>
      <w:r>
        <w:rPr>
          <w:b/>
          <w:color w:val="003366"/>
          <w:sz w:val="24"/>
        </w:rPr>
        <w:t>**PARTIE 3 : ANALYSE FONDAMENTALE (SECTION CRITIQUE)**</w:t>
      </w:r>
    </w:p>
    <w:p>
      <w:pPr>
        <w:spacing w:after="120" w:line="276" w:lineRule="auto"/>
      </w:pPr>
      <w:r>
        <w:t>En 2025, les états financiers annuels de FTSC révèlent une situation contrastée : le chiffre d'affaires progresse de 5% à 32,109 milliards FCFA, mais le résultat net s'effondre à 465,98 millions FCFA, contre 18,6 milliards en 2024, en raison de l'absence des produits exceptionnels liés aux cessions de filiales. La marge nette chute à 1,45%, le ROE à 2,97% et le ROA à 1,19%, des niveaux très faibles qui traduisent une rentabilité opérationnelle dégradée. Le BFR de 11,529 milliards FCFA est préoccupant pour une entreprise, avec un délai clients de 213,7 jours et une durée de stockage de 214,7 jours, indiquant une immobilisation importante de capital. Le ratio d'endettement de 97,6% et la trésorerie nette négative de -11,528 milliards FCFA (suite aux dividendes massifs versés) signalent des tensions de liquidité. Les rapports trimestriels 2025 montrent une amélioration progressive : le T1 affiche un CA de 5,745 milliards (+7%) mais un résultat d'exploitation négatif de -78 millions ; le S1 atteint 13,406 milliards (+11%) avec un résultat net de 105 millions ; le T3 cumulé à 18,371 milliards (-1%) avec un résultat courant avant impôt de -216 millions. Le rapport T1 2026, publié récemment, indique un CA de 8,901 milliards (+55% sur un an), porté par la demande de cacao, avec un résultat d'exploitation positif de 75 millions mais un résultat net encore déficitaire de -154 millions. On estime que l'exercice 2026 pourrait bénéficier de cette dynamique commerciale, mais la rentabilité nette reste fragile et dépendante de la maîtrise des charges et de la campagne cacaoyère.</w:t>
      </w:r>
    </w:p>
    <w:p>
      <w:pPr>
        <w:spacing w:after="120" w:line="276" w:lineRule="auto" w:before="240"/>
      </w:pPr>
      <w:r>
        <w:rPr>
          <w:b/>
          <w:color w:val="003366"/>
          <w:sz w:val="24"/>
        </w:rPr>
        <w:t>**PARTIE 4 : CONCLUSION D'INVESTISSEMENT**</w:t>
      </w:r>
    </w:p>
    <w:p>
      <w:pPr>
        <w:spacing w:after="120" w:line="276" w:lineRule="auto"/>
      </w:pPr>
      <w:r>
        <w:t>La synthèse globale fait ressortir des signaux contradictoires. La valorisation (Partie 0) est extrêmement exigeante avec un PER de 66,3x et un EV/EBITDA de 38,5x, indiquant une nette surévaluation par rapport aux fondamentaux. Le comportement du cours (Partie 1) montre une tendance baissière de -8,37% sur 100 jours, avec une volatilité élevée de 36,9% et une distribution platykurtique qui suggère un risque de mouvements brusques. Les signaux techniques (Partie 2) sont mitigés : le MACD et les moyennes mobiles suggèrent un début de momentum haussier, mais le Stochastique à 100% et le dépassement de la borne supérieure de Bollinger indiquent un surachat imminent. Les fondamentaux (Partie 3) sont préoccupants avec une rentabilité très faible (ROE de 2,97%), une trésorerie nette négative de 11,5 milliards et des délais clients excessifs, malgré une croissance du CA de 5% en 2025 et de 55% au T1 2026. Les prédictions IA pour les 10 prochains jours (2 197 à 2 227 FCFA) suggèrent une poursuite modérée de la hausse, mais cette trajectoire contredit les signaux de surachat technique. Sur la base de cette analyse, la recommandation est **CONSERVER** avec un niveau de confiance **Moyen** et un risque global **Élevé**. L'horizon d'investissement optimal serait le **moyen terme (3-12 mois)**, en attendant une amélioration durable de la rentabilité opérationnelle et une clarification de la stratégie de la direction.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84.90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2,989 titres</w:t>
            </w:r>
          </w:p>
        </w:tc>
        <w:tc>
          <w:tcPr>
            <w:tcW w:type="dxa" w:w="2268"/>
            <w:shd w:fill="FFF2CC" w:val="clear"/>
          </w:tcPr>
          <w:p>
            <w:r>
              <w:rPr>
                <w:b/>
                <w:color w:val="503200"/>
                <w:sz w:val="16"/>
              </w:rPr>
              <w:t xml:space="preserve">Cours actuel : </w:t>
            </w:r>
            <w:r>
              <w:rPr>
                <w:color w:val="000000"/>
                <w:sz w:val="17"/>
              </w:rPr>
              <w:t>4,245 FCFA</w:t>
            </w:r>
          </w:p>
          <w:p>
            <w:r>
              <w:rPr>
                <w:b/>
                <w:color w:val="503200"/>
                <w:sz w:val="16"/>
              </w:rPr>
              <w:t xml:space="preserve">Var. 100 jours : </w:t>
            </w:r>
            <w:r>
              <w:rPr>
                <w:b/>
                <w:color w:val="007800"/>
                <w:sz w:val="17"/>
              </w:rPr>
              <w:t>+8.99%</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34.9%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5.25% (Moyenne) — μ=4,028 FCFA, σ=212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β=0.2298 (Défensif) — Cov=0.000008, Var(idx)=0.000036, ρ=0.063,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2,989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σ_j=2.20%/j (Stable) — Vol. annualisée≈34.9%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3244"/>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324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2026-08-13</w:t>
            </w:r>
          </w:p>
        </w:tc>
        <w:tc>
          <w:tcPr>
            <w:tcW w:type="dxa" w:w="1440"/>
            <w:shd w:fill="FAFAFA" w:val="clear"/>
          </w:tcPr>
          <w:p>
            <w:r>
              <w:rPr>
                <w:sz w:val="17"/>
              </w:rPr>
              <w:t>3,961</w:t>
            </w:r>
          </w:p>
        </w:tc>
        <w:tc>
          <w:tcPr>
            <w:tcW w:type="dxa" w:w="1440"/>
            <w:shd w:fill="FAFAFA" w:val="clear"/>
          </w:tcPr>
          <w:p>
            <w:r>
              <w:rPr>
                <w:b/>
                <w:sz w:val="17"/>
              </w:rPr>
              <w:t>4,165</w:t>
            </w:r>
          </w:p>
        </w:tc>
        <w:tc>
          <w:tcPr>
            <w:tcW w:type="dxa" w:w="1440"/>
            <w:shd w:fill="FAFAFA" w:val="clear"/>
          </w:tcPr>
          <w:p>
            <w:r>
              <w:rPr>
                <w:sz w:val="17"/>
              </w:rPr>
              <w:t>4,370</w:t>
            </w:r>
          </w:p>
        </w:tc>
        <w:tc>
          <w:tcPr>
            <w:tcW w:type="dxa" w:w="1440"/>
            <w:shd w:fill="FAFAFA" w:val="clear"/>
          </w:tcPr>
          <w:p>
            <w:r>
              <w:rPr>
                <w:b/>
                <w:color w:val="C00000"/>
                <w:sz w:val="17"/>
              </w:rPr>
              <w:t>-1.9%</w:t>
            </w:r>
          </w:p>
        </w:tc>
      </w:tr>
      <w:tr>
        <w:tc>
          <w:tcPr>
            <w:tcW w:type="dxa" w:w="1440"/>
            <w:shd w:fill="FFDCE0" w:val="clear"/>
          </w:tcPr>
          <w:p>
            <w:r>
              <w:rPr>
                <w:sz w:val="17"/>
              </w:rPr>
              <w:t>J+2  Moyenne</w:t>
            </w:r>
          </w:p>
        </w:tc>
        <w:tc>
          <w:tcPr>
            <w:tcW w:type="dxa" w:w="1440"/>
            <w:shd w:fill="FFDCE0" w:val="clear"/>
          </w:tcPr>
          <w:p>
            <w:r>
              <w:rPr>
                <w:sz w:val="17"/>
              </w:rPr>
              <w:t>2026-08-14</w:t>
            </w:r>
          </w:p>
        </w:tc>
        <w:tc>
          <w:tcPr>
            <w:tcW w:type="dxa" w:w="1440"/>
            <w:shd w:fill="FFDCE0" w:val="clear"/>
          </w:tcPr>
          <w:p>
            <w:r>
              <w:rPr>
                <w:sz w:val="17"/>
              </w:rPr>
              <w:t>3,859</w:t>
            </w:r>
          </w:p>
        </w:tc>
        <w:tc>
          <w:tcPr>
            <w:tcW w:type="dxa" w:w="1440"/>
            <w:shd w:fill="FFDCE0" w:val="clear"/>
          </w:tcPr>
          <w:p>
            <w:r>
              <w:rPr>
                <w:b/>
                <w:sz w:val="17"/>
              </w:rPr>
              <w:t>4,147</w:t>
            </w:r>
          </w:p>
        </w:tc>
        <w:tc>
          <w:tcPr>
            <w:tcW w:type="dxa" w:w="1440"/>
            <w:shd w:fill="FFDCE0" w:val="clear"/>
          </w:tcPr>
          <w:p>
            <w:r>
              <w:rPr>
                <w:sz w:val="17"/>
              </w:rPr>
              <w:t>4,436</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2026-08-17</w:t>
            </w:r>
          </w:p>
        </w:tc>
        <w:tc>
          <w:tcPr>
            <w:tcW w:type="dxa" w:w="1440"/>
            <w:shd w:fill="FFDCE0" w:val="clear"/>
          </w:tcPr>
          <w:p>
            <w:r>
              <w:rPr>
                <w:sz w:val="17"/>
              </w:rPr>
              <w:t>3,769</w:t>
            </w:r>
          </w:p>
        </w:tc>
        <w:tc>
          <w:tcPr>
            <w:tcW w:type="dxa" w:w="1440"/>
            <w:shd w:fill="FFDCE0" w:val="clear"/>
          </w:tcPr>
          <w:p>
            <w:r>
              <w:rPr>
                <w:b/>
                <w:sz w:val="17"/>
              </w:rPr>
              <w:t>4,119</w:t>
            </w:r>
          </w:p>
        </w:tc>
        <w:tc>
          <w:tcPr>
            <w:tcW w:type="dxa" w:w="1440"/>
            <w:shd w:fill="FFDCE0" w:val="clear"/>
          </w:tcPr>
          <w:p>
            <w:r>
              <w:rPr>
                <w:sz w:val="17"/>
              </w:rPr>
              <w:t>4,470</w:t>
            </w:r>
          </w:p>
        </w:tc>
        <w:tc>
          <w:tcPr>
            <w:tcW w:type="dxa" w:w="1440"/>
            <w:shd w:fill="FFDCE0" w:val="clear"/>
          </w:tcPr>
          <w:p>
            <w:r>
              <w:rPr>
                <w:b/>
                <w:color w:val="C00000"/>
                <w:sz w:val="17"/>
              </w:rPr>
              <w:t>-3.0%</w:t>
            </w:r>
          </w:p>
        </w:tc>
      </w:tr>
      <w:tr>
        <w:tc>
          <w:tcPr>
            <w:tcW w:type="dxa" w:w="1440"/>
            <w:shd w:fill="FFDCE0" w:val="clear"/>
          </w:tcPr>
          <w:p>
            <w:r>
              <w:rPr>
                <w:sz w:val="17"/>
              </w:rPr>
              <w:t>J+4  ⭐</w:t>
            </w:r>
          </w:p>
        </w:tc>
        <w:tc>
          <w:tcPr>
            <w:tcW w:type="dxa" w:w="1440"/>
            <w:shd w:fill="FFDCE0" w:val="clear"/>
          </w:tcPr>
          <w:p>
            <w:r>
              <w:rPr>
                <w:sz w:val="17"/>
              </w:rPr>
              <w:t>2026-08-18</w:t>
            </w:r>
          </w:p>
        </w:tc>
        <w:tc>
          <w:tcPr>
            <w:tcW w:type="dxa" w:w="1440"/>
            <w:shd w:fill="FFDCE0" w:val="clear"/>
          </w:tcPr>
          <w:p>
            <w:r>
              <w:rPr>
                <w:sz w:val="17"/>
              </w:rPr>
              <w:t>3,688</w:t>
            </w:r>
          </w:p>
        </w:tc>
        <w:tc>
          <w:tcPr>
            <w:tcW w:type="dxa" w:w="1440"/>
            <w:shd w:fill="FFDCE0" w:val="clear"/>
          </w:tcPr>
          <w:p>
            <w:r>
              <w:rPr>
                <w:b/>
                <w:sz w:val="17"/>
              </w:rPr>
              <w:t>4,090</w:t>
            </w:r>
          </w:p>
        </w:tc>
        <w:tc>
          <w:tcPr>
            <w:tcW w:type="dxa" w:w="1440"/>
            <w:shd w:fill="FFDCE0" w:val="clear"/>
          </w:tcPr>
          <w:p>
            <w:r>
              <w:rPr>
                <w:sz w:val="17"/>
              </w:rPr>
              <w:t>4,492</w:t>
            </w:r>
          </w:p>
        </w:tc>
        <w:tc>
          <w:tcPr>
            <w:tcW w:type="dxa" w:w="1440"/>
            <w:shd w:fill="FFDCE0" w:val="clear"/>
          </w:tcPr>
          <w:p>
            <w:r>
              <w:rPr>
                <w:b/>
                <w:color w:val="C00000"/>
                <w:sz w:val="17"/>
              </w:rPr>
              <w:t>-3.7%</w:t>
            </w:r>
          </w:p>
        </w:tc>
      </w:tr>
      <w:tr>
        <w:tc>
          <w:tcPr>
            <w:tcW w:type="dxa" w:w="1440"/>
            <w:shd w:fill="FFDCE0" w:val="clear"/>
          </w:tcPr>
          <w:p>
            <w:r>
              <w:rPr>
                <w:sz w:val="17"/>
              </w:rPr>
              <w:t>J+5  ⭐</w:t>
            </w:r>
          </w:p>
        </w:tc>
        <w:tc>
          <w:tcPr>
            <w:tcW w:type="dxa" w:w="1440"/>
            <w:shd w:fill="FFDCE0" w:val="clear"/>
          </w:tcPr>
          <w:p>
            <w:r>
              <w:rPr>
                <w:sz w:val="17"/>
              </w:rPr>
              <w:t>2026-08-19</w:t>
            </w:r>
          </w:p>
        </w:tc>
        <w:tc>
          <w:tcPr>
            <w:tcW w:type="dxa" w:w="1440"/>
            <w:shd w:fill="FFDCE0" w:val="clear"/>
          </w:tcPr>
          <w:p>
            <w:r>
              <w:rPr>
                <w:sz w:val="17"/>
              </w:rPr>
              <w:t>3,624</w:t>
            </w:r>
          </w:p>
        </w:tc>
        <w:tc>
          <w:tcPr>
            <w:tcW w:type="dxa" w:w="1440"/>
            <w:shd w:fill="FFDCE0" w:val="clear"/>
          </w:tcPr>
          <w:p>
            <w:r>
              <w:rPr>
                <w:b/>
                <w:sz w:val="17"/>
              </w:rPr>
              <w:t>4,072</w:t>
            </w:r>
          </w:p>
        </w:tc>
        <w:tc>
          <w:tcPr>
            <w:tcW w:type="dxa" w:w="1440"/>
            <w:shd w:fill="FFDCE0" w:val="clear"/>
          </w:tcPr>
          <w:p>
            <w:r>
              <w:rPr>
                <w:sz w:val="17"/>
              </w:rPr>
              <w:t>4,519</w:t>
            </w:r>
          </w:p>
        </w:tc>
        <w:tc>
          <w:tcPr>
            <w:tcW w:type="dxa" w:w="1440"/>
            <w:shd w:fill="FFDCE0" w:val="clear"/>
          </w:tcPr>
          <w:p>
            <w:r>
              <w:rPr>
                <w:b/>
                <w:color w:val="C00000"/>
                <w:sz w:val="17"/>
              </w:rPr>
              <w:t>-4.1%</w:t>
            </w:r>
          </w:p>
        </w:tc>
      </w:tr>
      <w:tr>
        <w:tc>
          <w:tcPr>
            <w:tcW w:type="dxa" w:w="1440"/>
            <w:shd w:fill="FFDCE0" w:val="clear"/>
          </w:tcPr>
          <w:p>
            <w:r>
              <w:rPr>
                <w:sz w:val="17"/>
              </w:rPr>
              <w:t>J+6  ⭐</w:t>
            </w:r>
          </w:p>
        </w:tc>
        <w:tc>
          <w:tcPr>
            <w:tcW w:type="dxa" w:w="1440"/>
            <w:shd w:fill="FFDCE0" w:val="clear"/>
          </w:tcPr>
          <w:p>
            <w:r>
              <w:rPr>
                <w:sz w:val="17"/>
              </w:rPr>
              <w:t>2026-08-20</w:t>
            </w:r>
          </w:p>
        </w:tc>
        <w:tc>
          <w:tcPr>
            <w:tcW w:type="dxa" w:w="1440"/>
            <w:shd w:fill="FFDCE0" w:val="clear"/>
          </w:tcPr>
          <w:p>
            <w:r>
              <w:rPr>
                <w:sz w:val="17"/>
              </w:rPr>
              <w:t>3,565</w:t>
            </w:r>
          </w:p>
        </w:tc>
        <w:tc>
          <w:tcPr>
            <w:tcW w:type="dxa" w:w="1440"/>
            <w:shd w:fill="FFDCE0" w:val="clear"/>
          </w:tcPr>
          <w:p>
            <w:r>
              <w:rPr>
                <w:b/>
                <w:sz w:val="17"/>
              </w:rPr>
              <w:t>4,054</w:t>
            </w:r>
          </w:p>
        </w:tc>
        <w:tc>
          <w:tcPr>
            <w:tcW w:type="dxa" w:w="1440"/>
            <w:shd w:fill="FFDCE0" w:val="clear"/>
          </w:tcPr>
          <w:p>
            <w:r>
              <w:rPr>
                <w:sz w:val="17"/>
              </w:rPr>
              <w:t>4,542</w:t>
            </w:r>
          </w:p>
        </w:tc>
        <w:tc>
          <w:tcPr>
            <w:tcW w:type="dxa" w:w="1440"/>
            <w:shd w:fill="FFDCE0" w:val="clear"/>
          </w:tcPr>
          <w:p>
            <w:r>
              <w:rPr>
                <w:b/>
                <w:color w:val="C00000"/>
                <w:sz w:val="17"/>
              </w:rPr>
              <w:t>-4.5%</w:t>
            </w:r>
          </w:p>
        </w:tc>
      </w:tr>
      <w:tr>
        <w:tc>
          <w:tcPr>
            <w:tcW w:type="dxa" w:w="1440"/>
            <w:shd w:fill="FFDCE0" w:val="clear"/>
          </w:tcPr>
          <w:p>
            <w:r>
              <w:rPr>
                <w:sz w:val="17"/>
              </w:rPr>
              <w:t>J+7  ⭐</w:t>
            </w:r>
          </w:p>
        </w:tc>
        <w:tc>
          <w:tcPr>
            <w:tcW w:type="dxa" w:w="1440"/>
            <w:shd w:fill="FFDCE0" w:val="clear"/>
          </w:tcPr>
          <w:p>
            <w:r>
              <w:rPr>
                <w:sz w:val="17"/>
              </w:rPr>
              <w:t>2026-08-21</w:t>
            </w:r>
          </w:p>
        </w:tc>
        <w:tc>
          <w:tcPr>
            <w:tcW w:type="dxa" w:w="1440"/>
            <w:shd w:fill="FFDCE0" w:val="clear"/>
          </w:tcPr>
          <w:p>
            <w:r>
              <w:rPr>
                <w:sz w:val="17"/>
              </w:rPr>
              <w:t>3,501</w:t>
            </w:r>
          </w:p>
        </w:tc>
        <w:tc>
          <w:tcPr>
            <w:tcW w:type="dxa" w:w="1440"/>
            <w:shd w:fill="FFDCE0" w:val="clear"/>
          </w:tcPr>
          <w:p>
            <w:r>
              <w:rPr>
                <w:b/>
                <w:sz w:val="17"/>
              </w:rPr>
              <w:t>4,024</w:t>
            </w:r>
          </w:p>
        </w:tc>
        <w:tc>
          <w:tcPr>
            <w:tcW w:type="dxa" w:w="1440"/>
            <w:shd w:fill="FFDCE0" w:val="clear"/>
          </w:tcPr>
          <w:p>
            <w:r>
              <w:rPr>
                <w:sz w:val="17"/>
              </w:rPr>
              <w:t>4,548</w:t>
            </w:r>
          </w:p>
        </w:tc>
        <w:tc>
          <w:tcPr>
            <w:tcW w:type="dxa" w:w="1440"/>
            <w:shd w:fill="FFDCE0" w:val="clear"/>
          </w:tcPr>
          <w:p>
            <w:r>
              <w:rPr>
                <w:b/>
                <w:color w:val="C00000"/>
                <w:sz w:val="17"/>
              </w:rPr>
              <w:t>-5.2%</w:t>
            </w:r>
          </w:p>
        </w:tc>
      </w:tr>
      <w:tr>
        <w:tc>
          <w:tcPr>
            <w:tcW w:type="dxa" w:w="1440"/>
            <w:shd w:fill="FFDCE0" w:val="clear"/>
          </w:tcPr>
          <w:p>
            <w:r>
              <w:rPr>
                <w:sz w:val="17"/>
              </w:rPr>
              <w:t>J+8  ⭐</w:t>
            </w:r>
          </w:p>
        </w:tc>
        <w:tc>
          <w:tcPr>
            <w:tcW w:type="dxa" w:w="1440"/>
            <w:shd w:fill="FFDCE0" w:val="clear"/>
          </w:tcPr>
          <w:p>
            <w:r>
              <w:rPr>
                <w:sz w:val="17"/>
              </w:rPr>
              <w:t>2026-08-24</w:t>
            </w:r>
          </w:p>
        </w:tc>
        <w:tc>
          <w:tcPr>
            <w:tcW w:type="dxa" w:w="1440"/>
            <w:shd w:fill="FFDCE0" w:val="clear"/>
          </w:tcPr>
          <w:p>
            <w:r>
              <w:rPr>
                <w:sz w:val="17"/>
              </w:rPr>
              <w:t>3,452</w:t>
            </w:r>
          </w:p>
        </w:tc>
        <w:tc>
          <w:tcPr>
            <w:tcW w:type="dxa" w:w="1440"/>
            <w:shd w:fill="FFDCE0" w:val="clear"/>
          </w:tcPr>
          <w:p>
            <w:r>
              <w:rPr>
                <w:b/>
                <w:sz w:val="17"/>
              </w:rPr>
              <w:t>4,010</w:t>
            </w:r>
          </w:p>
        </w:tc>
        <w:tc>
          <w:tcPr>
            <w:tcW w:type="dxa" w:w="1440"/>
            <w:shd w:fill="FFDCE0" w:val="clear"/>
          </w:tcPr>
          <w:p>
            <w:r>
              <w:rPr>
                <w:sz w:val="17"/>
              </w:rPr>
              <w:t>4,567</w:t>
            </w:r>
          </w:p>
        </w:tc>
        <w:tc>
          <w:tcPr>
            <w:tcW w:type="dxa" w:w="1440"/>
            <w:shd w:fill="FFDCE0" w:val="clear"/>
          </w:tcPr>
          <w:p>
            <w:r>
              <w:rPr>
                <w:b/>
                <w:color w:val="C00000"/>
                <w:sz w:val="17"/>
              </w:rPr>
              <w:t>-5.5%</w:t>
            </w:r>
          </w:p>
        </w:tc>
      </w:tr>
      <w:tr>
        <w:tc>
          <w:tcPr>
            <w:tcW w:type="dxa" w:w="1440"/>
            <w:shd w:fill="FFDCE0" w:val="clear"/>
          </w:tcPr>
          <w:p>
            <w:r>
              <w:rPr>
                <w:sz w:val="17"/>
              </w:rPr>
              <w:t>J+9  ⭐</w:t>
            </w:r>
          </w:p>
        </w:tc>
        <w:tc>
          <w:tcPr>
            <w:tcW w:type="dxa" w:w="1440"/>
            <w:shd w:fill="FFDCE0" w:val="clear"/>
          </w:tcPr>
          <w:p>
            <w:r>
              <w:rPr>
                <w:sz w:val="17"/>
              </w:rPr>
              <w:t>2026-08-25</w:t>
            </w:r>
          </w:p>
        </w:tc>
        <w:tc>
          <w:tcPr>
            <w:tcW w:type="dxa" w:w="1440"/>
            <w:shd w:fill="FFDCE0" w:val="clear"/>
          </w:tcPr>
          <w:p>
            <w:r>
              <w:rPr>
                <w:sz w:val="17"/>
              </w:rPr>
              <w:t>3,405</w:t>
            </w:r>
          </w:p>
        </w:tc>
        <w:tc>
          <w:tcPr>
            <w:tcW w:type="dxa" w:w="1440"/>
            <w:shd w:fill="FFDCE0" w:val="clear"/>
          </w:tcPr>
          <w:p>
            <w:r>
              <w:rPr>
                <w:b/>
                <w:sz w:val="17"/>
              </w:rPr>
              <w:t>3,994</w:t>
            </w:r>
          </w:p>
        </w:tc>
        <w:tc>
          <w:tcPr>
            <w:tcW w:type="dxa" w:w="1440"/>
            <w:shd w:fill="FFDCE0" w:val="clear"/>
          </w:tcPr>
          <w:p>
            <w:r>
              <w:rPr>
                <w:sz w:val="17"/>
              </w:rPr>
              <w:t>4,583</w:t>
            </w:r>
          </w:p>
        </w:tc>
        <w:tc>
          <w:tcPr>
            <w:tcW w:type="dxa" w:w="1440"/>
            <w:shd w:fill="FFDCE0" w:val="clear"/>
          </w:tcPr>
          <w:p>
            <w:r>
              <w:rPr>
                <w:b/>
                <w:color w:val="C00000"/>
                <w:sz w:val="17"/>
              </w:rPr>
              <w:t>-5.9%</w:t>
            </w:r>
          </w:p>
        </w:tc>
      </w:tr>
      <w:tr>
        <w:tc>
          <w:tcPr>
            <w:tcW w:type="dxa" w:w="1440"/>
            <w:shd w:fill="FFDCE0" w:val="clear"/>
          </w:tcPr>
          <w:p>
            <w:r>
              <w:rPr>
                <w:sz w:val="17"/>
              </w:rPr>
              <w:t>J+10  ⭐</w:t>
            </w:r>
          </w:p>
        </w:tc>
        <w:tc>
          <w:tcPr>
            <w:tcW w:type="dxa" w:w="1440"/>
            <w:shd w:fill="FFDCE0" w:val="clear"/>
          </w:tcPr>
          <w:p>
            <w:r>
              <w:rPr>
                <w:sz w:val="17"/>
              </w:rPr>
              <w:t>2026-08-27</w:t>
            </w:r>
          </w:p>
        </w:tc>
        <w:tc>
          <w:tcPr>
            <w:tcW w:type="dxa" w:w="1440"/>
            <w:shd w:fill="FFDCE0" w:val="clear"/>
          </w:tcPr>
          <w:p>
            <w:r>
              <w:rPr>
                <w:sz w:val="17"/>
              </w:rPr>
              <w:t>3,361</w:t>
            </w:r>
          </w:p>
        </w:tc>
        <w:tc>
          <w:tcPr>
            <w:tcW w:type="dxa" w:w="1440"/>
            <w:shd w:fill="FFDCE0" w:val="clear"/>
          </w:tcPr>
          <w:p>
            <w:r>
              <w:rPr>
                <w:b/>
                <w:sz w:val="17"/>
              </w:rPr>
              <w:t>3,980</w:t>
            </w:r>
          </w:p>
        </w:tc>
        <w:tc>
          <w:tcPr>
            <w:tcW w:type="dxa" w:w="1440"/>
            <w:shd w:fill="FFDCE0" w:val="clear"/>
          </w:tcPr>
          <w:p>
            <w:r>
              <w:rPr>
                <w:sz w:val="17"/>
              </w:rPr>
              <w:t>4,598</w:t>
            </w:r>
          </w:p>
        </w:tc>
        <w:tc>
          <w:tcPr>
            <w:tcW w:type="dxa" w:w="1440"/>
            <w:shd w:fill="FFDCE0" w:val="clear"/>
          </w:tcPr>
          <w:p>
            <w:r>
              <w:rPr>
                <w:b/>
                <w:color w:val="C00000"/>
                <w:sz w:val="17"/>
              </w:rPr>
              <w:t>-6.3%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 12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84,90 milliards FCFA, un niveau substantiel qui la positionne parmi les valeurs moyennes à grandes de la BRVM. Avec un BPA de 231 FCFA, chaque action génère un bénéfice confortable. Le PER de 18,4x est nettement supérieur à la moyenne historique de la BRVM (8-12x), indiquant que les investisseurs paient une prime significative pour la croissance anticipée et la position quasi-monopolistique de la société dans le secteur des jeux de hasard au Bénin. Le P/B de 3,87x confirme cette prime, le marché valorisant les actifs de la société bien au-delà de leur valeur comptable. Enfin, l'EV/EBITDA de 10,8x, bien que dans la fourchette haute (10-15x), reste raisonnable et suggère que la valeur totale de l'entreprise (dette incluse) est cohérente avec sa capacité opérationnelle à générer des flux de trésorerie.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LNBB a enregistré une progression totale de +8,99%, avec une dernière séance stable (0,00%). Le cours a évolué dans un range de 3 765 FCFA (plus bas) à 4 560 FCFA (plus haut), montrant une amplitude de trading de près de 800 FCFA. La moyenne du cours sur la période est de 4 028 FCFA, légèrement supérieure à la médiane de 3 925 FCFA, ce qui, combiné à un skewness positif de 0,771, indique une distribution asymétrique avec des journées plus fréquentes sous la moyenne mais des épisodes de hausse marqués. L'écart-type de 213 FCFA (CV=5,3%) révèle une dispersion modérée autour de la moyenne, tandis que le kurtosis de -0,885 (mésokurtique) suggère une distribution proche de la normale, sans risque de pics extrêmes. La volatilité annualisée de 34,9% classe le titre dans la catégorie "élevée" (&gt;30%), ce qui implique des fluctuations significatives et un risque de marché non négligeable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(4 301,25 FCFA) est supérieure à la MM50 (4 175,0 FCFA), et le cours actuel (4 245 FCFA) se situe entre les deux, mais au-dessus de la MM50. Cette configuration, avec une MM20 au-dessus de la MM50, signale une tendance de fond haussière à moyen terme, d'où la décision "Achat". Le cours teste actuellement la MM20, un niveau de support dynamique clé.</w:t>
      </w:r>
    </w:p>
    <w:p>
      <w:pPr>
        <w:spacing w:after="120" w:line="276" w:lineRule="auto"/>
      </w:pPr>
      <w:r>
        <w:t>**Bandes de Bollinger :** Le prix (4 245 FCFA) se positionne dans la partie inférieure du canal formé par les bornes (inférieure à 4 081,54 FCFA et supérieure à 4 520,96 FCFA). Cette position, proche de la bande inférieure, suggère une phase de consolidation ou de correction au sein d'une tendance haussière plus large. La décision "Neutre" est cohérente, le marché n'étant ni suracheté ni survendu selon cet indicateur.</w:t>
      </w:r>
    </w:p>
    <w:p>
      <w:pPr>
        <w:spacing w:after="120" w:line="276" w:lineRule="auto"/>
      </w:pPr>
      <w:r>
        <w:t>**MACD :** Le MACD (27,132) est inférieur à sa ligne de signal (46,958), indiquant un momentum baissier à court terme. Cette configuration, avec une divergence négative, suggère une perte de vitesse de la tendance haussière. La décision "Vente" est donc justifiée pour le très court terme, bien que le MACD reste en territoire positif.</w:t>
      </w:r>
    </w:p>
    <w:p>
      <w:pPr>
        <w:spacing w:after="120" w:line="276" w:lineRule="auto"/>
      </w:pPr>
      <w:r>
        <w:t>**RSI :** Le RSI à 47,032 est en zone neutre (entre 30 et 70), indiquant un équilibre relatif entre les forces acheteuses et vendeuses. Il n'y a pas de signal de surachat ou de survente. La décision "Neutre" est appropriée, le marché semblant manquer de direction claire à très court terme.</w:t>
      </w:r>
    </w:p>
    <w:p>
      <w:pPr>
        <w:spacing w:after="120" w:line="276" w:lineRule="auto"/>
      </w:pPr>
      <w:r>
        <w:t>**Stochastique :** Le %K (14,865) est très bas et inférieur au %D (24,04), ce qui place le titre en zone de survente. Ce croisement baissier, couplé à des niveaux aussi bas, suggère un potentiel de rebond technique imminent. La décision "Achat" est donc justifiée pour les investisseurs à la recherche de points d'entrée opportunistes.</w:t>
      </w:r>
    </w:p>
    <w:p>
      <w:pPr>
        <w:spacing w:after="120" w:line="276" w:lineRule="auto"/>
      </w:pPr>
      <w:r>
        <w:t>**Conclusion technique :** Les indicateurs sont mitigés. Les moyennes mobiles plaident pour une tendance haussière de fond, tandis que le MACD signale un essoufflement à court terme. Le RSI est neutre, mais le stochastique en survente suggère un rebond technique probable. La configuration des bandes de Bollinger indique une consolidation. Globalement, le titre est dans une phase de correction au sein d'une tendance haussière, avec des signaux contradictoires qui appellent à la prudence.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officielles, LNBB a réalisé un chiffre d'affaires de 98,598 milliards FCFA, en baisse de -3,85% par rapport à 2024 (102,544 milliards FCFA). Le résultat net s'établit à 4,622 milliards FCFA, en recul de -36% par rapport à 2024 (7,176 milliards FCFA). Cette baisse est attribuée à la concurrence déloyale et à l'absence de produits exceptionnels. La marge nette ressort à 4,69%, et le ROE est excellent à 21,05%, avec un ROA de 14,17%. La structure financière est très saine : capitaux propres de 21,954 milliards FCFA, un ratio d'autonomie financière de 67,32%, et une trésorerie nette positive de 7,979 milliards FCFA. Le BFR est favorable (217 millions FCFA), et les délais clients (4,82 jours) et fournisseurs (20,41 jours) sont bien gérés. Les rapports trimestriels de 2026 montrent une reprise : le T1 2026 affiche un CA en hausse de 6% mais un résultat net en chute de 46% (848 millions FCFA) dû au mix produit défavorable (pari sportif à faible marge). Cependant, le S1 2026 (rapport du 30 juillet 2026) indique une amélioration spectaculaire avec un résultat net en hausse de +60% grâce à la maîtrise des charges et aux revenus de partenariats. On estime donc que l'exercice 2026 devrait être nettement meilleur que 2025, avec une rentabilité en forte progression.</w:t>
      </w:r>
    </w:p>
    <w:p>
      <w:pPr>
        <w:spacing w:after="120" w:line="276" w:lineRule="auto"/>
      </w:pPr>
      <w:r>
        <w:t>---</w:t>
      </w:r>
    </w:p>
    <w:p>
      <w:pPr>
        <w:spacing w:after="120" w:line="276" w:lineRule="auto"/>
      </w:pPr>
      <w:r>
        <w:t>### PARTIE 4 : CONCLUSION D'INVESTISSEMENT</w:t>
      </w:r>
    </w:p>
    <w:p>
      <w:pPr>
        <w:spacing w:after="120" w:line="276" w:lineRule="auto"/>
      </w:pPr>
      <w:r>
        <w:t>La valorisation de LNBB (PER 18,4x, P/B 3,87x) est exigeante, intégrant une prime pour la solidité financière et le potentiel de rebond, mais elle n'est pas excessive au regard des fondamentaux. Le comportement du cours sur 100 jours est positif (+8,99%) mais avec une volatilité élevée (34,9%) et une distribution asymétrique qui suggère une certaine prudence. Les signaux techniques sont mitigés, avec une tendance de fond haussière (MM) mais un momentum à court terme négatif (MACD) et un stochastique en survente, indiquant un potentiel de rebond technique. Les fondamentaux, bien qu'en baisse en 2025, montrent des signes clairs d'amélioration en 2026, avec une rentabilité opérationnelle en forte hausse au S1 2026 (+60% du résultat net). Les prédictions IA pour les 10 prochains jours (baisse de 4 245 à 4 072 FCFA) contredisent les signaux techniques de rebond et suggèrent une poursuite de la consolidation à court terme. En synthèse, la convergence entre la solidité fondamentale, la tendance de fond haussière et le potentiel de rebond technique est contrebalancée par une valorisation élevée et une prédiction IA baissière à court terme. **Recommandation finale : CONSERVER.** Le niveau de confiance est **Moyen**, le risque global est **Élevé** (volatilité et concurrence). L'horizon d'investissement optimal est le **moyen terme (3-12 mois)**, en attendant la confirmation des résultats annuels 2026 et une amélioration du momentum technique.</w:t>
      </w:r>
    </w:p>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28.85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5,345 titres</w:t>
            </w:r>
          </w:p>
        </w:tc>
        <w:tc>
          <w:tcPr>
            <w:tcW w:type="dxa" w:w="2268"/>
            <w:shd w:fill="FFF2CC" w:val="clear"/>
          </w:tcPr>
          <w:p>
            <w:r>
              <w:rPr>
                <w:b/>
                <w:color w:val="503200"/>
                <w:sz w:val="16"/>
              </w:rPr>
              <w:t xml:space="preserve">Cours actuel : </w:t>
            </w:r>
            <w:r>
              <w:rPr>
                <w:color w:val="000000"/>
                <w:sz w:val="17"/>
              </w:rPr>
              <w:t>2,260 FCFA</w:t>
            </w:r>
          </w:p>
          <w:p>
            <w:r>
              <w:rPr>
                <w:b/>
                <w:color w:val="503200"/>
                <w:sz w:val="16"/>
              </w:rPr>
              <w:t xml:space="preserve">Var. 100 jours : </w:t>
            </w:r>
            <w:r>
              <w:rPr>
                <w:b/>
                <w:color w:val="007800"/>
                <w:sz w:val="17"/>
              </w:rPr>
              <w:t>+59.15%</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18.51% (Élevée) — μ=1,918 FCFA, σ=355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β=0.0400 (Défensif) — Cov=0.000001, Var(idx)=0.000036, ρ=0.008,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σ_j=3.16%/j (Modérée) — Vol. annualisée≈50.2%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2026-08-13</w:t>
            </w:r>
          </w:p>
        </w:tc>
        <w:tc>
          <w:tcPr>
            <w:tcW w:type="dxa" w:w="1440"/>
            <w:shd w:fill="FFDCE0" w:val="clear"/>
          </w:tcPr>
          <w:p>
            <w:r>
              <w:rPr>
                <w:sz w:val="17"/>
              </w:rPr>
              <w:t>1,968</w:t>
            </w:r>
          </w:p>
        </w:tc>
        <w:tc>
          <w:tcPr>
            <w:tcW w:type="dxa" w:w="1440"/>
            <w:shd w:fill="FFDCE0" w:val="clear"/>
          </w:tcPr>
          <w:p>
            <w:r>
              <w:rPr>
                <w:b/>
                <w:sz w:val="17"/>
              </w:rPr>
              <w:t>2,090</w:t>
            </w:r>
          </w:p>
        </w:tc>
        <w:tc>
          <w:tcPr>
            <w:tcW w:type="dxa" w:w="1440"/>
            <w:shd w:fill="FFDCE0" w:val="clear"/>
          </w:tcPr>
          <w:p>
            <w:r>
              <w:rPr>
                <w:sz w:val="17"/>
              </w:rPr>
              <w:t>2,213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2026-08-14</w:t>
            </w:r>
          </w:p>
        </w:tc>
        <w:tc>
          <w:tcPr>
            <w:tcW w:type="dxa" w:w="1440"/>
            <w:shd w:fill="FFDCE0" w:val="clear"/>
          </w:tcPr>
          <w:p>
            <w:r>
              <w:rPr>
                <w:sz w:val="17"/>
              </w:rPr>
              <w:t>1,779</w:t>
            </w:r>
          </w:p>
        </w:tc>
        <w:tc>
          <w:tcPr>
            <w:tcW w:type="dxa" w:w="1440"/>
            <w:shd w:fill="FFDCE0" w:val="clear"/>
          </w:tcPr>
          <w:p>
            <w:r>
              <w:rPr>
                <w:b/>
                <w:sz w:val="17"/>
              </w:rPr>
              <w:t>1,939</w:t>
            </w:r>
          </w:p>
        </w:tc>
        <w:tc>
          <w:tcPr>
            <w:tcW w:type="dxa" w:w="1440"/>
            <w:shd w:fill="FFDCE0" w:val="clear"/>
          </w:tcPr>
          <w:p>
            <w:r>
              <w:rPr>
                <w:sz w:val="17"/>
              </w:rPr>
              <w:t>2,100</w:t>
            </w:r>
          </w:p>
        </w:tc>
        <w:tc>
          <w:tcPr>
            <w:tcW w:type="dxa" w:w="1440"/>
            <w:shd w:fill="FFDCE0" w:val="clear"/>
          </w:tcPr>
          <w:p>
            <w:r>
              <w:rPr>
                <w:b/>
                <w:color w:val="C00000"/>
                <w:sz w:val="17"/>
              </w:rPr>
              <w:t>-14.2%</w:t>
            </w:r>
          </w:p>
        </w:tc>
      </w:tr>
      <w:tr>
        <w:tc>
          <w:tcPr>
            <w:tcW w:type="dxa" w:w="1440"/>
            <w:shd w:fill="FFDCE0" w:val="clear"/>
          </w:tcPr>
          <w:p>
            <w:r>
              <w:rPr>
                <w:sz w:val="17"/>
              </w:rPr>
              <w:t>J+3  Moyenne</w:t>
            </w:r>
          </w:p>
        </w:tc>
        <w:tc>
          <w:tcPr>
            <w:tcW w:type="dxa" w:w="1440"/>
            <w:shd w:fill="FFDCE0" w:val="clear"/>
          </w:tcPr>
          <w:p>
            <w:r>
              <w:rPr>
                <w:sz w:val="17"/>
              </w:rPr>
              <w:t>2026-08-17</w:t>
            </w:r>
          </w:p>
        </w:tc>
        <w:tc>
          <w:tcPr>
            <w:tcW w:type="dxa" w:w="1440"/>
            <w:shd w:fill="FFDCE0" w:val="clear"/>
          </w:tcPr>
          <w:p>
            <w:r>
              <w:rPr>
                <w:sz w:val="17"/>
              </w:rPr>
              <w:t>1,634</w:t>
            </w:r>
          </w:p>
        </w:tc>
        <w:tc>
          <w:tcPr>
            <w:tcW w:type="dxa" w:w="1440"/>
            <w:shd w:fill="FFDCE0" w:val="clear"/>
          </w:tcPr>
          <w:p>
            <w:r>
              <w:rPr>
                <w:b/>
                <w:sz w:val="17"/>
              </w:rPr>
              <w:t>1,819</w:t>
            </w:r>
          </w:p>
        </w:tc>
        <w:tc>
          <w:tcPr>
            <w:tcW w:type="dxa" w:w="1440"/>
            <w:shd w:fill="FFDCE0" w:val="clear"/>
          </w:tcPr>
          <w:p>
            <w:r>
              <w:rPr>
                <w:sz w:val="17"/>
              </w:rPr>
              <w:t>2,003</w:t>
            </w:r>
          </w:p>
        </w:tc>
        <w:tc>
          <w:tcPr>
            <w:tcW w:type="dxa" w:w="1440"/>
            <w:shd w:fill="FFDCE0" w:val="clear"/>
          </w:tcPr>
          <w:p>
            <w:r>
              <w:rPr>
                <w:b/>
                <w:color w:val="C00000"/>
                <w:sz w:val="17"/>
              </w:rPr>
              <w:t>-19.5%</w:t>
            </w:r>
          </w:p>
        </w:tc>
      </w:tr>
      <w:tr>
        <w:tc>
          <w:tcPr>
            <w:tcW w:type="dxa" w:w="1440"/>
            <w:shd w:fill="FFDCE0" w:val="clear"/>
          </w:tcPr>
          <w:p>
            <w:r>
              <w:rPr>
                <w:sz w:val="17"/>
              </w:rPr>
              <w:t>J+4  ⭐</w:t>
            </w:r>
          </w:p>
        </w:tc>
        <w:tc>
          <w:tcPr>
            <w:tcW w:type="dxa" w:w="1440"/>
            <w:shd w:fill="FFDCE0" w:val="clear"/>
          </w:tcPr>
          <w:p>
            <w:r>
              <w:rPr>
                <w:sz w:val="17"/>
              </w:rPr>
              <w:t>2026-08-18</w:t>
            </w:r>
          </w:p>
        </w:tc>
        <w:tc>
          <w:tcPr>
            <w:tcW w:type="dxa" w:w="1440"/>
            <w:shd w:fill="FFDCE0" w:val="clear"/>
          </w:tcPr>
          <w:p>
            <w:r>
              <w:rPr>
                <w:sz w:val="17"/>
              </w:rPr>
              <w:t>1,521</w:t>
            </w:r>
          </w:p>
        </w:tc>
        <w:tc>
          <w:tcPr>
            <w:tcW w:type="dxa" w:w="1440"/>
            <w:shd w:fill="FFDCE0" w:val="clear"/>
          </w:tcPr>
          <w:p>
            <w:r>
              <w:rPr>
                <w:b/>
                <w:sz w:val="17"/>
              </w:rPr>
              <w:t>1,723</w:t>
            </w:r>
          </w:p>
        </w:tc>
        <w:tc>
          <w:tcPr>
            <w:tcW w:type="dxa" w:w="1440"/>
            <w:shd w:fill="FFDCE0" w:val="clear"/>
          </w:tcPr>
          <w:p>
            <w:r>
              <w:rPr>
                <w:sz w:val="17"/>
              </w:rPr>
              <w:t>1,924</w:t>
            </w:r>
          </w:p>
        </w:tc>
        <w:tc>
          <w:tcPr>
            <w:tcW w:type="dxa" w:w="1440"/>
            <w:shd w:fill="FFDCE0" w:val="clear"/>
          </w:tcPr>
          <w:p>
            <w:r>
              <w:rPr>
                <w:b/>
                <w:color w:val="C00000"/>
                <w:sz w:val="17"/>
              </w:rPr>
              <w:t>-23.8%</w:t>
            </w:r>
          </w:p>
        </w:tc>
      </w:tr>
      <w:tr>
        <w:tc>
          <w:tcPr>
            <w:tcW w:type="dxa" w:w="1440"/>
            <w:shd w:fill="FFDCE0" w:val="clear"/>
          </w:tcPr>
          <w:p>
            <w:r>
              <w:rPr>
                <w:sz w:val="17"/>
              </w:rPr>
              <w:t>J+5  ⭐</w:t>
            </w:r>
          </w:p>
        </w:tc>
        <w:tc>
          <w:tcPr>
            <w:tcW w:type="dxa" w:w="1440"/>
            <w:shd w:fill="FFDCE0" w:val="clear"/>
          </w:tcPr>
          <w:p>
            <w:r>
              <w:rPr>
                <w:sz w:val="17"/>
              </w:rPr>
              <w:t>2026-08-19</w:t>
            </w:r>
          </w:p>
        </w:tc>
        <w:tc>
          <w:tcPr>
            <w:tcW w:type="dxa" w:w="1440"/>
            <w:shd w:fill="FFDCE0" w:val="clear"/>
          </w:tcPr>
          <w:p>
            <w:r>
              <w:rPr>
                <w:sz w:val="17"/>
              </w:rPr>
              <w:t>1,429</w:t>
            </w:r>
          </w:p>
        </w:tc>
        <w:tc>
          <w:tcPr>
            <w:tcW w:type="dxa" w:w="1440"/>
            <w:shd w:fill="FFDCE0" w:val="clear"/>
          </w:tcPr>
          <w:p>
            <w:r>
              <w:rPr>
                <w:b/>
                <w:sz w:val="17"/>
              </w:rPr>
              <w:t>1,644</w:t>
            </w:r>
          </w:p>
        </w:tc>
        <w:tc>
          <w:tcPr>
            <w:tcW w:type="dxa" w:w="1440"/>
            <w:shd w:fill="FFDCE0" w:val="clear"/>
          </w:tcPr>
          <w:p>
            <w:r>
              <w:rPr>
                <w:sz w:val="17"/>
              </w:rPr>
              <w:t>1,859</w:t>
            </w:r>
          </w:p>
        </w:tc>
        <w:tc>
          <w:tcPr>
            <w:tcW w:type="dxa" w:w="1440"/>
            <w:shd w:fill="FFDCE0" w:val="clear"/>
          </w:tcPr>
          <w:p>
            <w:r>
              <w:rPr>
                <w:b/>
                <w:color w:val="C00000"/>
                <w:sz w:val="17"/>
              </w:rPr>
              <w:t>-27.3%</w:t>
            </w:r>
          </w:p>
        </w:tc>
      </w:tr>
      <w:tr>
        <w:tc>
          <w:tcPr>
            <w:tcW w:type="dxa" w:w="1440"/>
            <w:shd w:fill="FFDCE0" w:val="clear"/>
          </w:tcPr>
          <w:p>
            <w:r>
              <w:rPr>
                <w:sz w:val="17"/>
              </w:rPr>
              <w:t>J+6  ⭐</w:t>
            </w:r>
          </w:p>
        </w:tc>
        <w:tc>
          <w:tcPr>
            <w:tcW w:type="dxa" w:w="1440"/>
            <w:shd w:fill="FFDCE0" w:val="clear"/>
          </w:tcPr>
          <w:p>
            <w:r>
              <w:rPr>
                <w:sz w:val="17"/>
              </w:rPr>
              <w:t>2026-08-20</w:t>
            </w:r>
          </w:p>
        </w:tc>
        <w:tc>
          <w:tcPr>
            <w:tcW w:type="dxa" w:w="1440"/>
            <w:shd w:fill="FFDCE0" w:val="clear"/>
          </w:tcPr>
          <w:p>
            <w:r>
              <w:rPr>
                <w:sz w:val="17"/>
              </w:rPr>
              <w:t>1,351</w:t>
            </w:r>
          </w:p>
        </w:tc>
        <w:tc>
          <w:tcPr>
            <w:tcW w:type="dxa" w:w="1440"/>
            <w:shd w:fill="FFDCE0" w:val="clear"/>
          </w:tcPr>
          <w:p>
            <w:r>
              <w:rPr>
                <w:b/>
                <w:sz w:val="17"/>
              </w:rPr>
              <w:t>1,577</w:t>
            </w:r>
          </w:p>
        </w:tc>
        <w:tc>
          <w:tcPr>
            <w:tcW w:type="dxa" w:w="1440"/>
            <w:shd w:fill="FFDCE0" w:val="clear"/>
          </w:tcPr>
          <w:p>
            <w:r>
              <w:rPr>
                <w:sz w:val="17"/>
              </w:rPr>
              <w:t>1,803</w:t>
            </w:r>
          </w:p>
        </w:tc>
        <w:tc>
          <w:tcPr>
            <w:tcW w:type="dxa" w:w="1440"/>
            <w:shd w:fill="FFDCE0" w:val="clear"/>
          </w:tcPr>
          <w:p>
            <w:r>
              <w:rPr>
                <w:b/>
                <w:color w:val="C00000"/>
                <w:sz w:val="17"/>
              </w:rPr>
              <w:t>-30.2%</w:t>
            </w:r>
          </w:p>
        </w:tc>
      </w:tr>
      <w:tr>
        <w:tc>
          <w:tcPr>
            <w:tcW w:type="dxa" w:w="1440"/>
            <w:shd w:fill="FFDCE0" w:val="clear"/>
          </w:tcPr>
          <w:p>
            <w:r>
              <w:rPr>
                <w:sz w:val="17"/>
              </w:rPr>
              <w:t>J+7  ⭐</w:t>
            </w:r>
          </w:p>
        </w:tc>
        <w:tc>
          <w:tcPr>
            <w:tcW w:type="dxa" w:w="1440"/>
            <w:shd w:fill="FFDCE0" w:val="clear"/>
          </w:tcPr>
          <w:p>
            <w:r>
              <w:rPr>
                <w:sz w:val="17"/>
              </w:rPr>
              <w:t>2026-08-21</w:t>
            </w:r>
          </w:p>
        </w:tc>
        <w:tc>
          <w:tcPr>
            <w:tcW w:type="dxa" w:w="1440"/>
            <w:shd w:fill="FFDCE0" w:val="clear"/>
          </w:tcPr>
          <w:p>
            <w:r>
              <w:rPr>
                <w:sz w:val="17"/>
              </w:rPr>
              <w:t>1,284</w:t>
            </w:r>
          </w:p>
        </w:tc>
        <w:tc>
          <w:tcPr>
            <w:tcW w:type="dxa" w:w="1440"/>
            <w:shd w:fill="FFDCE0" w:val="clear"/>
          </w:tcPr>
          <w:p>
            <w:r>
              <w:rPr>
                <w:b/>
                <w:sz w:val="17"/>
              </w:rPr>
              <w:t>1,519</w:t>
            </w:r>
          </w:p>
        </w:tc>
        <w:tc>
          <w:tcPr>
            <w:tcW w:type="dxa" w:w="1440"/>
            <w:shd w:fill="FFDCE0" w:val="clear"/>
          </w:tcPr>
          <w:p>
            <w:r>
              <w:rPr>
                <w:sz w:val="17"/>
              </w:rPr>
              <w:t>1,754</w:t>
            </w:r>
          </w:p>
        </w:tc>
        <w:tc>
          <w:tcPr>
            <w:tcW w:type="dxa" w:w="1440"/>
            <w:shd w:fill="FFDCE0" w:val="clear"/>
          </w:tcPr>
          <w:p>
            <w:r>
              <w:rPr>
                <w:b/>
                <w:color w:val="C00000"/>
                <w:sz w:val="17"/>
              </w:rPr>
              <w:t>-32.8%</w:t>
            </w:r>
          </w:p>
        </w:tc>
      </w:tr>
      <w:tr>
        <w:tc>
          <w:tcPr>
            <w:tcW w:type="dxa" w:w="1440"/>
            <w:shd w:fill="FFDCE0" w:val="clear"/>
          </w:tcPr>
          <w:p>
            <w:r>
              <w:rPr>
                <w:sz w:val="17"/>
              </w:rPr>
              <w:t>J+8  ⭐</w:t>
            </w:r>
          </w:p>
        </w:tc>
        <w:tc>
          <w:tcPr>
            <w:tcW w:type="dxa" w:w="1440"/>
            <w:shd w:fill="FFDCE0" w:val="clear"/>
          </w:tcPr>
          <w:p>
            <w:r>
              <w:rPr>
                <w:sz w:val="17"/>
              </w:rPr>
              <w:t>2026-08-24</w:t>
            </w:r>
          </w:p>
        </w:tc>
        <w:tc>
          <w:tcPr>
            <w:tcW w:type="dxa" w:w="1440"/>
            <w:shd w:fill="FFDCE0" w:val="clear"/>
          </w:tcPr>
          <w:p>
            <w:r>
              <w:rPr>
                <w:sz w:val="17"/>
              </w:rPr>
              <w:t>1,224</w:t>
            </w:r>
          </w:p>
        </w:tc>
        <w:tc>
          <w:tcPr>
            <w:tcW w:type="dxa" w:w="1440"/>
            <w:shd w:fill="FFDCE0" w:val="clear"/>
          </w:tcPr>
          <w:p>
            <w:r>
              <w:rPr>
                <w:b/>
                <w:sz w:val="17"/>
              </w:rPr>
              <w:t>1,467</w:t>
            </w:r>
          </w:p>
        </w:tc>
        <w:tc>
          <w:tcPr>
            <w:tcW w:type="dxa" w:w="1440"/>
            <w:shd w:fill="FFDCE0" w:val="clear"/>
          </w:tcPr>
          <w:p>
            <w:r>
              <w:rPr>
                <w:sz w:val="17"/>
              </w:rPr>
              <w:t>1,709</w:t>
            </w:r>
          </w:p>
        </w:tc>
        <w:tc>
          <w:tcPr>
            <w:tcW w:type="dxa" w:w="1440"/>
            <w:shd w:fill="FFDCE0" w:val="clear"/>
          </w:tcPr>
          <w:p>
            <w:r>
              <w:rPr>
                <w:b/>
                <w:color w:val="C00000"/>
                <w:sz w:val="17"/>
              </w:rPr>
              <w:t>-35.1%</w:t>
            </w:r>
          </w:p>
        </w:tc>
      </w:tr>
      <w:tr>
        <w:tc>
          <w:tcPr>
            <w:tcW w:type="dxa" w:w="1440"/>
            <w:shd w:fill="FFDCE0" w:val="clear"/>
          </w:tcPr>
          <w:p>
            <w:r>
              <w:rPr>
                <w:sz w:val="17"/>
              </w:rPr>
              <w:t>J+9  ⭐</w:t>
            </w:r>
          </w:p>
        </w:tc>
        <w:tc>
          <w:tcPr>
            <w:tcW w:type="dxa" w:w="1440"/>
            <w:shd w:fill="FFDCE0" w:val="clear"/>
          </w:tcPr>
          <w:p>
            <w:r>
              <w:rPr>
                <w:sz w:val="17"/>
              </w:rPr>
              <w:t>2026-08-25</w:t>
            </w:r>
          </w:p>
        </w:tc>
        <w:tc>
          <w:tcPr>
            <w:tcW w:type="dxa" w:w="1440"/>
            <w:shd w:fill="FFDCE0" w:val="clear"/>
          </w:tcPr>
          <w:p>
            <w:r>
              <w:rPr>
                <w:sz w:val="17"/>
              </w:rPr>
              <w:t>1,171</w:t>
            </w:r>
          </w:p>
        </w:tc>
        <w:tc>
          <w:tcPr>
            <w:tcW w:type="dxa" w:w="1440"/>
            <w:shd w:fill="FFDCE0" w:val="clear"/>
          </w:tcPr>
          <w:p>
            <w:r>
              <w:rPr>
                <w:b/>
                <w:sz w:val="17"/>
              </w:rPr>
              <w:t>1,420</w:t>
            </w:r>
          </w:p>
        </w:tc>
        <w:tc>
          <w:tcPr>
            <w:tcW w:type="dxa" w:w="1440"/>
            <w:shd w:fill="FFDCE0" w:val="clear"/>
          </w:tcPr>
          <w:p>
            <w:r>
              <w:rPr>
                <w:sz w:val="17"/>
              </w:rPr>
              <w:t>1,669</w:t>
            </w:r>
          </w:p>
        </w:tc>
        <w:tc>
          <w:tcPr>
            <w:tcW w:type="dxa" w:w="1440"/>
            <w:shd w:fill="FFDCE0" w:val="clear"/>
          </w:tcPr>
          <w:p>
            <w:r>
              <w:rPr>
                <w:b/>
                <w:color w:val="C00000"/>
                <w:sz w:val="17"/>
              </w:rPr>
              <w:t>-37.2%</w:t>
            </w:r>
          </w:p>
        </w:tc>
      </w:tr>
      <w:tr>
        <w:tc>
          <w:tcPr>
            <w:tcW w:type="dxa" w:w="1440"/>
            <w:shd w:fill="FFDCE0" w:val="clear"/>
          </w:tcPr>
          <w:p>
            <w:r>
              <w:rPr>
                <w:sz w:val="17"/>
              </w:rPr>
              <w:t>J+10  ⭐</w:t>
            </w:r>
          </w:p>
        </w:tc>
        <w:tc>
          <w:tcPr>
            <w:tcW w:type="dxa" w:w="1440"/>
            <w:shd w:fill="FFDCE0" w:val="clear"/>
          </w:tcPr>
          <w:p>
            <w:r>
              <w:rPr>
                <w:sz w:val="17"/>
              </w:rPr>
              <w:t>2026-08-27</w:t>
            </w:r>
          </w:p>
        </w:tc>
        <w:tc>
          <w:tcPr>
            <w:tcW w:type="dxa" w:w="1440"/>
            <w:shd w:fill="FFDCE0" w:val="clear"/>
          </w:tcPr>
          <w:p>
            <w:r>
              <w:rPr>
                <w:sz w:val="17"/>
              </w:rPr>
              <w:t>1,122</w:t>
            </w:r>
          </w:p>
        </w:tc>
        <w:tc>
          <w:tcPr>
            <w:tcW w:type="dxa" w:w="1440"/>
            <w:shd w:fill="FFDCE0" w:val="clear"/>
          </w:tcPr>
          <w:p>
            <w:r>
              <w:rPr>
                <w:b/>
                <w:sz w:val="17"/>
              </w:rPr>
              <w:t>1,377</w:t>
            </w:r>
          </w:p>
        </w:tc>
        <w:tc>
          <w:tcPr>
            <w:tcW w:type="dxa" w:w="1440"/>
            <w:shd w:fill="FFDCE0" w:val="clear"/>
          </w:tcPr>
          <w:p>
            <w:r>
              <w:rPr>
                <w:sz w:val="17"/>
              </w:rPr>
              <w:t>1,632</w:t>
            </w:r>
          </w:p>
        </w:tc>
        <w:tc>
          <w:tcPr>
            <w:tcW w:type="dxa" w:w="1440"/>
            <w:shd w:fill="FFDCE0" w:val="clear"/>
          </w:tcPr>
          <w:p>
            <w:r>
              <w:rPr>
                <w:b/>
                <w:color w:val="C00000"/>
                <w:sz w:val="17"/>
              </w:rPr>
              <w:t>-39.1%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28,85 milliards FCFA, un niveau modeste qui la positionne comme une valeur de petite capitalisation sur la BRVM. Le BPA de 160 FCFA indique que chaque action génère un bénéfice de 160 FCFA, ce qui, rapporté au cours de 2 260 FCFA, donne un PER de 14,2x. Ce ratio est supérieur à la moyenne historique de la BRVM (8-12x), suggérant que les investisseurs paient une prime pour la croissance récente. Le P/B de 5,01x est particulièrement exigeant, le marché valorisant fortement les capitaux propres par rapport à leur valeur comptable. Enfin, l'EV/EBITDA de 21,0x confirme une valorisation tendue, la valeur d'entreprise représentant 21 fois la capacité opérationnelle, ce qui laisse peu de marge d'erreur en cas de déception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NEIC a enregistré une progression spectaculaire de +59,15%, passant d'un plus bas de 1 350 FCFA à un plus haut de 2 400 FCFA, avec un cours actuel de 2 260 FCFA. La variation à J-1 est nulle, marquant une pause après cette forte ascension. La moyenne du cours sur la période (1 918 FCFA) est inférieure à la médiane (1 990 FCFA), indiquant une distribution légèrement asymétrique avec des valeurs extrêmes à la baisse. L'écart-type de 357 FCFA (CV=18,6%) témoigne d'une dispersion modérée autour de la moyenne. Le kurtosis négatif (-1,298) révèle une distribution platykurtique, avec peu de pics extrêmes, tandis que le skewness de -0,426 suggère une asymétrie vers les valeurs basses. La volatilité annualisée de 50,2% est très élevée, classant NEIC parmi les titres les plus risqués de la place, avec des fluctuations de cours importantes qui offrent des opportunités mais aussi des risques accrus.</w:t>
      </w:r>
    </w:p>
    <w:p>
      <w:pPr>
        <w:spacing w:after="120" w:line="276" w:lineRule="auto" w:before="240"/>
      </w:pPr>
      <w:r>
        <w:rPr>
          <w:b/>
          <w:color w:val="003366"/>
          <w:sz w:val="24"/>
        </w:rPr>
        <w:t>**PARTIE 2 : ANALYSE TECHNIQUE DÉTAILLÉE**</w:t>
      </w:r>
    </w:p>
    <w:p>
      <w:pPr>
        <w:spacing w:after="120" w:line="276" w:lineRule="auto"/>
      </w:pPr>
      <w:r>
        <w:t>Les moyennes mobiles MM20 (2 245,75 FCFA) et MM50 (2 216,3 FCFA) sont toutes deux inférieures au cours actuel de 2 260 FCFA, confirmant une tendance haussière de court et moyen terme. La MM20 étant supérieure à la MM50, la configuration en "courbe ascendante" valide la dynamique positive et justifie la décision d'achat.</w:t>
      </w:r>
    </w:p>
    <w:p>
      <w:pPr>
        <w:spacing w:after="120" w:line="276" w:lineRule="auto"/>
      </w:pPr>
      <w:r>
        <w:t>Les bandes de Bollinger encadrent le cours entre 2 139 FCFA (borne inférieure) et 2 352 FCFA (borne supérieure). Le prix se situe à 2 260 FCFA, proche du milieu de l'intervalle, indiquant une volatilité modérée sans excès. La décision neutre reflète l'absence de signal directionnel fort, le titre n'étant ni suracheté ni survendu.</w:t>
      </w:r>
    </w:p>
    <w:p>
      <w:pPr>
        <w:spacing w:after="120" w:line="276" w:lineRule="auto"/>
      </w:pPr>
      <w:r>
        <w:t>Le MACD affiche une valeur de 13,431 contre un signal à 17,789, avec un croisement baissier récent. Cette configuration suggère un affaiblissement du momentum haussier, le MACD étant passé sous sa ligne de signal, justifiant la décision de vente malgré la tendance de fond positive.</w:t>
      </w:r>
    </w:p>
    <w:p>
      <w:pPr>
        <w:spacing w:after="120" w:line="276" w:lineRule="auto"/>
      </w:pPr>
      <w:r>
        <w:t>Le RSI à 56,522 se situe dans la zone neutre (30-70), indiquant un équilibre entre pression acheteuse et vendeuse. Cette valeur ne signale ni surachat ni survente, confirmant une phase de consolidation après la forte hausse.</w:t>
      </w:r>
    </w:p>
    <w:p>
      <w:pPr>
        <w:spacing w:after="120" w:line="276" w:lineRule="auto"/>
      </w:pPr>
      <w:r>
        <w:t>Le stochastique (%K=78,378, %D=79,279) approche la zone de surachat (&gt;80), avec des valeurs élevées qui suggèrent un essoufflement potentiel de la dynamique haussière à court terme. La décision neutre reflète cette proximité du seuil critique.</w:t>
      </w:r>
    </w:p>
    <w:p>
      <w:pPr>
        <w:spacing w:after="120" w:line="276" w:lineRule="auto"/>
      </w:pPr>
      <w:r>
        <w:t>En conclusion technique, les indicateurs sont partagés : les moyennes mobiles confirment la tendance haussière, mais le MACD et le stochastique signalent un affaiblissement du momentum. Le RSI et les bandes de Bollinger restent neutres, suggérant une consolidation probable avant la poursuite éventuelle de la hausse. La prudence est recommandée à court terme.</w:t>
      </w:r>
    </w:p>
    <w:p>
      <w:pPr>
        <w:spacing w:after="120" w:line="276" w:lineRule="auto" w:before="240"/>
      </w:pPr>
      <w:r>
        <w:rPr>
          <w:b/>
          <w:color w:val="003366"/>
          <w:sz w:val="24"/>
        </w:rPr>
        <w:t>**PARTIE 3 : ANALYSE FONDAMENTALE (SECTION CRITIQUE)**</w:t>
      </w:r>
    </w:p>
    <w:p>
      <w:pPr>
        <w:spacing w:after="120" w:line="276" w:lineRule="auto"/>
      </w:pPr>
      <w:r>
        <w:t>En 2025, NEIC affiche des données financières solides avec un chiffre d'affaires de 5,139 milliards FCFA, en baisse de 23,8% par rapport à l'exercice précédent, mais un résultat net exceptionnel de 2,037 milliards FCFA, porté par des éléments non récurrents. La marge nette de 39,6% est exceptionnellement élevée, tandis que le ROE de 35,4% et le ROA de 27,3% témoignent d'une excellente rentabilité des fonds propres et des actifs. La structure financière est saine avec une autonomie financière de 77% et une trésorerie nette de 4,196 milliards FCFA. Cependant, le BFR de 1,498 milliards FCFA et le délai clients de 154 jours constituent des signaux d'alerte sur la gestion du cycle d'exploitation. Les rapports trimestriels 2025 montrent une forte saisonnalité : le T1 2025 enregistre un CA de 48,5 millions FCFA avec une perte de 189,9 millions, tandis que le T3 2025 affiche un CA de 3,406 milliards FCFA avec un bénéfice de 1,596 milliards, largement tiré par la reprise d'une provision fiscale. Le rapport 2026 indique une croissance du CA de +137% au T1 (115,1 millions FCFA) mais une perte persistante de 168,9 millions. Enfin, le rapport annuel 2025 mentionne un résultat net de 2,04 milliards FCFA, un CA de 6,74 milliards (+29%) et un dividende de 100% du résultat. Ces données contrastées révèlent une entreprise en transition, avec une activité traditionnelle en déclin mais des fondamentaux financiers solides, portés par des effets exceptionnels et une gestion prudente de la trésorerie.</w:t>
      </w:r>
    </w:p>
    <w:p>
      <w:pPr>
        <w:spacing w:after="120" w:line="276" w:lineRule="auto" w:before="240"/>
      </w:pPr>
      <w:r>
        <w:rPr>
          <w:b/>
          <w:color w:val="003366"/>
          <w:sz w:val="24"/>
        </w:rPr>
        <w:t>**PARTIE 4 : CONCLUSION D'INVESTISSEMENT**</w:t>
      </w:r>
    </w:p>
    <w:p>
      <w:pPr>
        <w:spacing w:after="120" w:line="276" w:lineRule="auto"/>
      </w:pPr>
      <w:r>
        <w:t>La valorisation de NEIC est exigeante avec un PER de 14,2x, un P/B de 5,01x et un EV/EBITDA de 21,0x, tous supérieurs aux moyennes du marché, indiquant une surévaluation relative. Le comportement du cours montre une tendance haussière spectaculaire (+59,15% en 100 jours) mais avec une volatilité très élevée (50,2%) et des statistiques révélant une distribution asymétrique. Les signaux techniques sont mitigés : les moyennes mobiles sont haussières, mais le MACD et le stochastique suggèrent un essoufflement. Les fondamentaux sont contrastés : une rentabilité exceptionnelle en 2025 (ROE 35,4%) mais portée par des éléments non récurrents, une baisse structurelle du CA, et des pertes persistantes au T1 2026. Les prédictions IA prévoient une correction significative à 1 644 FCFA d'ici 10 jours, contredisant la tendance actuelle. La convergence des signaux (valorisation élevée, momentum technique affaibli, fondamentaux fragiles, prédictions baissières) conduit à une recommandation de **VENTE** avec un niveau de confiance **Moyen** et un risque global **Élevé**. L'horizon d'investissement optimal est le **court terme** (&lt;3 mois) pour les investisseurs cherchant à sécuriser leurs gains, tandis que les investisseurs à long terme devraient attendre une correction avant d'envisager une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583.49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1,899 titres</w:t>
            </w:r>
          </w:p>
        </w:tc>
        <w:tc>
          <w:tcPr>
            <w:tcW w:type="dxa" w:w="2268"/>
            <w:shd w:fill="FFF2CC" w:val="clear"/>
          </w:tcPr>
          <w:p>
            <w:r>
              <w:rPr>
                <w:b/>
                <w:color w:val="503200"/>
                <w:sz w:val="16"/>
              </w:rPr>
              <w:t xml:space="preserve">Cours actuel : </w:t>
            </w:r>
            <w:r>
              <w:rPr>
                <w:color w:val="000000"/>
                <w:sz w:val="17"/>
              </w:rPr>
              <w:t>23,590 FCFA</w:t>
            </w:r>
          </w:p>
          <w:p>
            <w:r>
              <w:rPr>
                <w:b/>
                <w:color w:val="503200"/>
                <w:sz w:val="16"/>
              </w:rPr>
              <w:t xml:space="preserve">Var. 100 jours : </w:t>
            </w:r>
            <w:r>
              <w:rPr>
                <w:b/>
                <w:color w:val="007800"/>
                <w:sz w:val="17"/>
              </w:rPr>
              <w:t>+66.13%</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37.4%</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19.93% (Élevée) — μ=17,989 FCFA, σ=3,586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β=1.4547 (Agressif) — Cov=0.000053, Var(idx)=0.000036, ρ=0.370,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1,899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2026-08-13</w:t>
            </w:r>
          </w:p>
        </w:tc>
        <w:tc>
          <w:tcPr>
            <w:tcW w:type="dxa" w:w="1440"/>
            <w:shd w:fill="C6EFCE" w:val="clear"/>
          </w:tcPr>
          <w:p>
            <w:r>
              <w:rPr>
                <w:sz w:val="17"/>
              </w:rPr>
              <w:t>23,147</w:t>
            </w:r>
          </w:p>
        </w:tc>
        <w:tc>
          <w:tcPr>
            <w:tcW w:type="dxa" w:w="1440"/>
            <w:shd w:fill="C6EFCE" w:val="clear"/>
          </w:tcPr>
          <w:p>
            <w:r>
              <w:rPr>
                <w:b/>
                <w:sz w:val="17"/>
              </w:rPr>
              <w:t>24,172</w:t>
            </w:r>
          </w:p>
        </w:tc>
        <w:tc>
          <w:tcPr>
            <w:tcW w:type="dxa" w:w="1440"/>
            <w:shd w:fill="C6EFCE" w:val="clear"/>
          </w:tcPr>
          <w:p>
            <w:r>
              <w:rPr>
                <w:sz w:val="17"/>
              </w:rPr>
              <w:t>25,197</w:t>
            </w:r>
          </w:p>
        </w:tc>
        <w:tc>
          <w:tcPr>
            <w:tcW w:type="dxa" w:w="1440"/>
            <w:shd w:fill="C6EFCE" w:val="clear"/>
          </w:tcPr>
          <w:p>
            <w:r>
              <w:rPr>
                <w:b/>
                <w:color w:val="008000"/>
                <w:sz w:val="17"/>
              </w:rPr>
              <w:t>+2.5%</w:t>
            </w:r>
          </w:p>
        </w:tc>
      </w:tr>
      <w:tr>
        <w:tc>
          <w:tcPr>
            <w:tcW w:type="dxa" w:w="1440"/>
            <w:shd w:fill="C6EFCE" w:val="clear"/>
          </w:tcPr>
          <w:p>
            <w:r>
              <w:rPr>
                <w:sz w:val="17"/>
              </w:rPr>
              <w:t>J+2  Moyenne</w:t>
            </w:r>
          </w:p>
        </w:tc>
        <w:tc>
          <w:tcPr>
            <w:tcW w:type="dxa" w:w="1440"/>
            <w:shd w:fill="C6EFCE" w:val="clear"/>
          </w:tcPr>
          <w:p>
            <w:r>
              <w:rPr>
                <w:sz w:val="17"/>
              </w:rPr>
              <w:t>2026-08-14</w:t>
            </w:r>
          </w:p>
        </w:tc>
        <w:tc>
          <w:tcPr>
            <w:tcW w:type="dxa" w:w="1440"/>
            <w:shd w:fill="C6EFCE" w:val="clear"/>
          </w:tcPr>
          <w:p>
            <w:r>
              <w:rPr>
                <w:sz w:val="17"/>
              </w:rPr>
              <w:t>23,125</w:t>
            </w:r>
          </w:p>
        </w:tc>
        <w:tc>
          <w:tcPr>
            <w:tcW w:type="dxa" w:w="1440"/>
            <w:shd w:fill="C6EFCE" w:val="clear"/>
          </w:tcPr>
          <w:p>
            <w:r>
              <w:rPr>
                <w:b/>
                <w:sz w:val="17"/>
              </w:rPr>
              <w:t>24,599</w:t>
            </w:r>
          </w:p>
        </w:tc>
        <w:tc>
          <w:tcPr>
            <w:tcW w:type="dxa" w:w="1440"/>
            <w:shd w:fill="C6EFCE" w:val="clear"/>
          </w:tcPr>
          <w:p>
            <w:r>
              <w:rPr>
                <w:sz w:val="17"/>
              </w:rPr>
              <w:t>26,074</w:t>
            </w:r>
          </w:p>
        </w:tc>
        <w:tc>
          <w:tcPr>
            <w:tcW w:type="dxa" w:w="1440"/>
            <w:shd w:fill="C6EFCE" w:val="clear"/>
          </w:tcPr>
          <w:p>
            <w:r>
              <w:rPr>
                <w:b/>
                <w:color w:val="008000"/>
                <w:sz w:val="17"/>
              </w:rPr>
              <w:t>+4.3%</w:t>
            </w:r>
          </w:p>
        </w:tc>
      </w:tr>
      <w:tr>
        <w:tc>
          <w:tcPr>
            <w:tcW w:type="dxa" w:w="1440"/>
            <w:shd w:fill="C6EFCE" w:val="clear"/>
          </w:tcPr>
          <w:p>
            <w:r>
              <w:rPr>
                <w:sz w:val="17"/>
              </w:rPr>
              <w:t>J+3  Moyenne</w:t>
            </w:r>
          </w:p>
        </w:tc>
        <w:tc>
          <w:tcPr>
            <w:tcW w:type="dxa" w:w="1440"/>
            <w:shd w:fill="C6EFCE" w:val="clear"/>
          </w:tcPr>
          <w:p>
            <w:r>
              <w:rPr>
                <w:sz w:val="17"/>
              </w:rPr>
              <w:t>2026-08-17</w:t>
            </w:r>
          </w:p>
        </w:tc>
        <w:tc>
          <w:tcPr>
            <w:tcW w:type="dxa" w:w="1440"/>
            <w:shd w:fill="C6EFCE" w:val="clear"/>
          </w:tcPr>
          <w:p>
            <w:r>
              <w:rPr>
                <w:sz w:val="17"/>
              </w:rPr>
              <w:t>23,176</w:t>
            </w:r>
          </w:p>
        </w:tc>
        <w:tc>
          <w:tcPr>
            <w:tcW w:type="dxa" w:w="1440"/>
            <w:shd w:fill="C6EFCE" w:val="clear"/>
          </w:tcPr>
          <w:p>
            <w:r>
              <w:rPr>
                <w:b/>
                <w:sz w:val="17"/>
              </w:rPr>
              <w:t>25,013</w:t>
            </w:r>
          </w:p>
        </w:tc>
        <w:tc>
          <w:tcPr>
            <w:tcW w:type="dxa" w:w="1440"/>
            <w:shd w:fill="C6EFCE" w:val="clear"/>
          </w:tcPr>
          <w:p>
            <w:r>
              <w:rPr>
                <w:sz w:val="17"/>
              </w:rPr>
              <w:t>26,849</w:t>
            </w:r>
          </w:p>
        </w:tc>
        <w:tc>
          <w:tcPr>
            <w:tcW w:type="dxa" w:w="1440"/>
            <w:shd w:fill="C6EFCE" w:val="clear"/>
          </w:tcPr>
          <w:p>
            <w:r>
              <w:rPr>
                <w:b/>
                <w:color w:val="008000"/>
                <w:sz w:val="17"/>
              </w:rPr>
              <w:t>+6.0%</w:t>
            </w:r>
          </w:p>
        </w:tc>
      </w:tr>
      <w:tr>
        <w:tc>
          <w:tcPr>
            <w:tcW w:type="dxa" w:w="1440"/>
            <w:shd w:fill="C6EFCE" w:val="clear"/>
          </w:tcPr>
          <w:p>
            <w:r>
              <w:rPr>
                <w:sz w:val="17"/>
              </w:rPr>
              <w:t>J+4  ⭐</w:t>
            </w:r>
          </w:p>
        </w:tc>
        <w:tc>
          <w:tcPr>
            <w:tcW w:type="dxa" w:w="1440"/>
            <w:shd w:fill="C6EFCE" w:val="clear"/>
          </w:tcPr>
          <w:p>
            <w:r>
              <w:rPr>
                <w:sz w:val="17"/>
              </w:rPr>
              <w:t>2026-08-18</w:t>
            </w:r>
          </w:p>
        </w:tc>
        <w:tc>
          <w:tcPr>
            <w:tcW w:type="dxa" w:w="1440"/>
            <w:shd w:fill="C6EFCE" w:val="clear"/>
          </w:tcPr>
          <w:p>
            <w:r>
              <w:rPr>
                <w:sz w:val="17"/>
              </w:rPr>
              <w:t>23,256</w:t>
            </w:r>
          </w:p>
        </w:tc>
        <w:tc>
          <w:tcPr>
            <w:tcW w:type="dxa" w:w="1440"/>
            <w:shd w:fill="C6EFCE" w:val="clear"/>
          </w:tcPr>
          <w:p>
            <w:r>
              <w:rPr>
                <w:b/>
                <w:sz w:val="17"/>
              </w:rPr>
              <w:t>25,411</w:t>
            </w:r>
          </w:p>
        </w:tc>
        <w:tc>
          <w:tcPr>
            <w:tcW w:type="dxa" w:w="1440"/>
            <w:shd w:fill="C6EFCE" w:val="clear"/>
          </w:tcPr>
          <w:p>
            <w:r>
              <w:rPr>
                <w:sz w:val="17"/>
              </w:rPr>
              <w:t>27,565</w:t>
            </w:r>
          </w:p>
        </w:tc>
        <w:tc>
          <w:tcPr>
            <w:tcW w:type="dxa" w:w="1440"/>
            <w:shd w:fill="C6EFCE" w:val="clear"/>
          </w:tcPr>
          <w:p>
            <w:r>
              <w:rPr>
                <w:b/>
                <w:color w:val="008000"/>
                <w:sz w:val="17"/>
              </w:rPr>
              <w:t>+7.7%</w:t>
            </w:r>
          </w:p>
        </w:tc>
      </w:tr>
      <w:tr>
        <w:tc>
          <w:tcPr>
            <w:tcW w:type="dxa" w:w="1440"/>
            <w:shd w:fill="C6EFCE" w:val="clear"/>
          </w:tcPr>
          <w:p>
            <w:r>
              <w:rPr>
                <w:sz w:val="17"/>
              </w:rPr>
              <w:t>J+5  ⭐</w:t>
            </w:r>
          </w:p>
        </w:tc>
        <w:tc>
          <w:tcPr>
            <w:tcW w:type="dxa" w:w="1440"/>
            <w:shd w:fill="C6EFCE" w:val="clear"/>
          </w:tcPr>
          <w:p>
            <w:r>
              <w:rPr>
                <w:sz w:val="17"/>
              </w:rPr>
              <w:t>2026-08-19</w:t>
            </w:r>
          </w:p>
        </w:tc>
        <w:tc>
          <w:tcPr>
            <w:tcW w:type="dxa" w:w="1440"/>
            <w:shd w:fill="C6EFCE" w:val="clear"/>
          </w:tcPr>
          <w:p>
            <w:r>
              <w:rPr>
                <w:sz w:val="17"/>
              </w:rPr>
              <w:t>23,358</w:t>
            </w:r>
          </w:p>
        </w:tc>
        <w:tc>
          <w:tcPr>
            <w:tcW w:type="dxa" w:w="1440"/>
            <w:shd w:fill="C6EFCE" w:val="clear"/>
          </w:tcPr>
          <w:p>
            <w:r>
              <w:rPr>
                <w:b/>
                <w:sz w:val="17"/>
              </w:rPr>
              <w:t>25,804</w:t>
            </w:r>
          </w:p>
        </w:tc>
        <w:tc>
          <w:tcPr>
            <w:tcW w:type="dxa" w:w="1440"/>
            <w:shd w:fill="C6EFCE" w:val="clear"/>
          </w:tcPr>
          <w:p>
            <w:r>
              <w:rPr>
                <w:sz w:val="17"/>
              </w:rPr>
              <w:t>28,250</w:t>
            </w:r>
          </w:p>
        </w:tc>
        <w:tc>
          <w:tcPr>
            <w:tcW w:type="dxa" w:w="1440"/>
            <w:shd w:fill="C6EFCE" w:val="clear"/>
          </w:tcPr>
          <w:p>
            <w:r>
              <w:rPr>
                <w:b/>
                <w:color w:val="008000"/>
                <w:sz w:val="17"/>
              </w:rPr>
              <w:t>+9.4%</w:t>
            </w:r>
          </w:p>
        </w:tc>
      </w:tr>
      <w:tr>
        <w:tc>
          <w:tcPr>
            <w:tcW w:type="dxa" w:w="1440"/>
            <w:shd w:fill="C6EFCE" w:val="clear"/>
          </w:tcPr>
          <w:p>
            <w:r>
              <w:rPr>
                <w:sz w:val="17"/>
              </w:rPr>
              <w:t>J+6  ⭐</w:t>
            </w:r>
          </w:p>
        </w:tc>
        <w:tc>
          <w:tcPr>
            <w:tcW w:type="dxa" w:w="1440"/>
            <w:shd w:fill="C6EFCE" w:val="clear"/>
          </w:tcPr>
          <w:p>
            <w:r>
              <w:rPr>
                <w:sz w:val="17"/>
              </w:rPr>
              <w:t>2026-08-20</w:t>
            </w:r>
          </w:p>
        </w:tc>
        <w:tc>
          <w:tcPr>
            <w:tcW w:type="dxa" w:w="1440"/>
            <w:shd w:fill="C6EFCE" w:val="clear"/>
          </w:tcPr>
          <w:p>
            <w:r>
              <w:rPr>
                <w:sz w:val="17"/>
              </w:rPr>
              <w:t>23,474</w:t>
            </w:r>
          </w:p>
        </w:tc>
        <w:tc>
          <w:tcPr>
            <w:tcW w:type="dxa" w:w="1440"/>
            <w:shd w:fill="C6EFCE" w:val="clear"/>
          </w:tcPr>
          <w:p>
            <w:r>
              <w:rPr>
                <w:b/>
                <w:sz w:val="17"/>
              </w:rPr>
              <w:t>26,194</w:t>
            </w:r>
          </w:p>
        </w:tc>
        <w:tc>
          <w:tcPr>
            <w:tcW w:type="dxa" w:w="1440"/>
            <w:shd w:fill="C6EFCE" w:val="clear"/>
          </w:tcPr>
          <w:p>
            <w:r>
              <w:rPr>
                <w:sz w:val="17"/>
              </w:rPr>
              <w:t>28,914</w:t>
            </w:r>
          </w:p>
        </w:tc>
        <w:tc>
          <w:tcPr>
            <w:tcW w:type="dxa" w:w="1440"/>
            <w:shd w:fill="C6EFCE" w:val="clear"/>
          </w:tcPr>
          <w:p>
            <w:r>
              <w:rPr>
                <w:b/>
                <w:color w:val="008000"/>
                <w:sz w:val="17"/>
              </w:rPr>
              <w:t>+11.0%</w:t>
            </w:r>
          </w:p>
        </w:tc>
      </w:tr>
      <w:tr>
        <w:tc>
          <w:tcPr>
            <w:tcW w:type="dxa" w:w="1440"/>
            <w:shd w:fill="C6EFCE" w:val="clear"/>
          </w:tcPr>
          <w:p>
            <w:r>
              <w:rPr>
                <w:sz w:val="17"/>
              </w:rPr>
              <w:t>J+7  ⭐</w:t>
            </w:r>
          </w:p>
        </w:tc>
        <w:tc>
          <w:tcPr>
            <w:tcW w:type="dxa" w:w="1440"/>
            <w:shd w:fill="C6EFCE" w:val="clear"/>
          </w:tcPr>
          <w:p>
            <w:r>
              <w:rPr>
                <w:sz w:val="17"/>
              </w:rPr>
              <w:t>2026-08-21</w:t>
            </w:r>
          </w:p>
        </w:tc>
        <w:tc>
          <w:tcPr>
            <w:tcW w:type="dxa" w:w="1440"/>
            <w:shd w:fill="C6EFCE" w:val="clear"/>
          </w:tcPr>
          <w:p>
            <w:r>
              <w:rPr>
                <w:sz w:val="17"/>
              </w:rPr>
              <w:t>23,601</w:t>
            </w:r>
          </w:p>
        </w:tc>
        <w:tc>
          <w:tcPr>
            <w:tcW w:type="dxa" w:w="1440"/>
            <w:shd w:fill="C6EFCE" w:val="clear"/>
          </w:tcPr>
          <w:p>
            <w:r>
              <w:rPr>
                <w:b/>
                <w:sz w:val="17"/>
              </w:rPr>
              <w:t>26,582</w:t>
            </w:r>
          </w:p>
        </w:tc>
        <w:tc>
          <w:tcPr>
            <w:tcW w:type="dxa" w:w="1440"/>
            <w:shd w:fill="C6EFCE" w:val="clear"/>
          </w:tcPr>
          <w:p>
            <w:r>
              <w:rPr>
                <w:sz w:val="17"/>
              </w:rPr>
              <w:t>29,564</w:t>
            </w:r>
          </w:p>
        </w:tc>
        <w:tc>
          <w:tcPr>
            <w:tcW w:type="dxa" w:w="1440"/>
            <w:shd w:fill="C6EFCE" w:val="clear"/>
          </w:tcPr>
          <w:p>
            <w:r>
              <w:rPr>
                <w:b/>
                <w:color w:val="008000"/>
                <w:sz w:val="17"/>
              </w:rPr>
              <w:t>+12.7%</w:t>
            </w:r>
          </w:p>
        </w:tc>
      </w:tr>
      <w:tr>
        <w:tc>
          <w:tcPr>
            <w:tcW w:type="dxa" w:w="1440"/>
            <w:shd w:fill="C6EFCE" w:val="clear"/>
          </w:tcPr>
          <w:p>
            <w:r>
              <w:rPr>
                <w:sz w:val="17"/>
              </w:rPr>
              <w:t>J+8  ⭐</w:t>
            </w:r>
          </w:p>
        </w:tc>
        <w:tc>
          <w:tcPr>
            <w:tcW w:type="dxa" w:w="1440"/>
            <w:shd w:fill="C6EFCE" w:val="clear"/>
          </w:tcPr>
          <w:p>
            <w:r>
              <w:rPr>
                <w:sz w:val="17"/>
              </w:rPr>
              <w:t>2026-08-24</w:t>
            </w:r>
          </w:p>
        </w:tc>
        <w:tc>
          <w:tcPr>
            <w:tcW w:type="dxa" w:w="1440"/>
            <w:shd w:fill="C6EFCE" w:val="clear"/>
          </w:tcPr>
          <w:p>
            <w:r>
              <w:rPr>
                <w:sz w:val="17"/>
              </w:rPr>
              <w:t>23,734</w:t>
            </w:r>
          </w:p>
        </w:tc>
        <w:tc>
          <w:tcPr>
            <w:tcW w:type="dxa" w:w="1440"/>
            <w:shd w:fill="C6EFCE" w:val="clear"/>
          </w:tcPr>
          <w:p>
            <w:r>
              <w:rPr>
                <w:b/>
                <w:sz w:val="17"/>
              </w:rPr>
              <w:t>26,968</w:t>
            </w:r>
          </w:p>
        </w:tc>
        <w:tc>
          <w:tcPr>
            <w:tcW w:type="dxa" w:w="1440"/>
            <w:shd w:fill="C6EFCE" w:val="clear"/>
          </w:tcPr>
          <w:p>
            <w:r>
              <w:rPr>
                <w:sz w:val="17"/>
              </w:rPr>
              <w:t>30,202</w:t>
            </w:r>
          </w:p>
        </w:tc>
        <w:tc>
          <w:tcPr>
            <w:tcW w:type="dxa" w:w="1440"/>
            <w:shd w:fill="C6EFCE" w:val="clear"/>
          </w:tcPr>
          <w:p>
            <w:r>
              <w:rPr>
                <w:b/>
                <w:color w:val="008000"/>
                <w:sz w:val="17"/>
              </w:rPr>
              <w:t>+14.3%</w:t>
            </w:r>
          </w:p>
        </w:tc>
      </w:tr>
      <w:tr>
        <w:tc>
          <w:tcPr>
            <w:tcW w:type="dxa" w:w="1440"/>
            <w:shd w:fill="C6EFCE" w:val="clear"/>
          </w:tcPr>
          <w:p>
            <w:r>
              <w:rPr>
                <w:sz w:val="17"/>
              </w:rPr>
              <w:t>J+9  ⭐</w:t>
            </w:r>
          </w:p>
        </w:tc>
        <w:tc>
          <w:tcPr>
            <w:tcW w:type="dxa" w:w="1440"/>
            <w:shd w:fill="C6EFCE" w:val="clear"/>
          </w:tcPr>
          <w:p>
            <w:r>
              <w:rPr>
                <w:sz w:val="17"/>
              </w:rPr>
              <w:t>2026-08-25</w:t>
            </w:r>
          </w:p>
        </w:tc>
        <w:tc>
          <w:tcPr>
            <w:tcW w:type="dxa" w:w="1440"/>
            <w:shd w:fill="C6EFCE" w:val="clear"/>
          </w:tcPr>
          <w:p>
            <w:r>
              <w:rPr>
                <w:sz w:val="17"/>
              </w:rPr>
              <w:t>23,873</w:t>
            </w:r>
          </w:p>
        </w:tc>
        <w:tc>
          <w:tcPr>
            <w:tcW w:type="dxa" w:w="1440"/>
            <w:shd w:fill="C6EFCE" w:val="clear"/>
          </w:tcPr>
          <w:p>
            <w:r>
              <w:rPr>
                <w:b/>
                <w:sz w:val="17"/>
              </w:rPr>
              <w:t>27,351</w:t>
            </w:r>
          </w:p>
        </w:tc>
        <w:tc>
          <w:tcPr>
            <w:tcW w:type="dxa" w:w="1440"/>
            <w:shd w:fill="C6EFCE" w:val="clear"/>
          </w:tcPr>
          <w:p>
            <w:r>
              <w:rPr>
                <w:sz w:val="17"/>
              </w:rPr>
              <w:t>30,830</w:t>
            </w:r>
          </w:p>
        </w:tc>
        <w:tc>
          <w:tcPr>
            <w:tcW w:type="dxa" w:w="1440"/>
            <w:shd w:fill="C6EFCE" w:val="clear"/>
          </w:tcPr>
          <w:p>
            <w:r>
              <w:rPr>
                <w:b/>
                <w:color w:val="008000"/>
                <w:sz w:val="17"/>
              </w:rPr>
              <w:t>+15.9%</w:t>
            </w:r>
          </w:p>
        </w:tc>
      </w:tr>
      <w:tr>
        <w:tc>
          <w:tcPr>
            <w:tcW w:type="dxa" w:w="1440"/>
            <w:shd w:fill="C6EFCE" w:val="clear"/>
          </w:tcPr>
          <w:p>
            <w:r>
              <w:rPr>
                <w:sz w:val="17"/>
              </w:rPr>
              <w:t>J+10  ⭐</w:t>
            </w:r>
          </w:p>
        </w:tc>
        <w:tc>
          <w:tcPr>
            <w:tcW w:type="dxa" w:w="1440"/>
            <w:shd w:fill="C6EFCE" w:val="clear"/>
          </w:tcPr>
          <w:p>
            <w:r>
              <w:rPr>
                <w:sz w:val="17"/>
              </w:rPr>
              <w:t>2026-08-27</w:t>
            </w:r>
          </w:p>
        </w:tc>
        <w:tc>
          <w:tcPr>
            <w:tcW w:type="dxa" w:w="1440"/>
            <w:shd w:fill="C6EFCE" w:val="clear"/>
          </w:tcPr>
          <w:p>
            <w:r>
              <w:rPr>
                <w:sz w:val="17"/>
              </w:rPr>
              <w:t>24,014</w:t>
            </w:r>
          </w:p>
        </w:tc>
        <w:tc>
          <w:tcPr>
            <w:tcW w:type="dxa" w:w="1440"/>
            <w:shd w:fill="C6EFCE" w:val="clear"/>
          </w:tcPr>
          <w:p>
            <w:r>
              <w:rPr>
                <w:b/>
                <w:sz w:val="17"/>
              </w:rPr>
              <w:t>27,731</w:t>
            </w:r>
          </w:p>
        </w:tc>
        <w:tc>
          <w:tcPr>
            <w:tcW w:type="dxa" w:w="1440"/>
            <w:shd w:fill="C6EFCE" w:val="clear"/>
          </w:tcPr>
          <w:p>
            <w:r>
              <w:rPr>
                <w:sz w:val="17"/>
              </w:rPr>
              <w:t>31,449</w:t>
            </w:r>
          </w:p>
        </w:tc>
        <w:tc>
          <w:tcPr>
            <w:tcW w:type="dxa" w:w="1440"/>
            <w:shd w:fill="C6EFCE" w:val="clear"/>
          </w:tcPr>
          <w:p>
            <w:r>
              <w:rPr>
                <w:b/>
                <w:color w:val="008000"/>
                <w:sz w:val="17"/>
              </w:rPr>
              <w:t>+17.6%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NSBC s'établit à 583,49 milliards FCFA, ce qui en fait l'une des valeurs les plus significatives de la BRVM, reflétant la confiance des investisseurs dans le secteur bancaire ivoirien. Avec un BPA de 1 646 FCFA, chaque action génère un bénéfice substantiel, justifiant un PER de 14,3x, supérieur à la moyenne historique de la BRVM (8-12x), ce qui indique que le marché intègre déjà des perspectives de croissance soutenue. Le P/B de 2,50x témoigne d'une prime de croissance accordée par le marché, les investisseurs valorisant la solidité des capitaux propres de la banque. Enfin, l'EV/EBITDA de 21,7x, bien que supérieur au seuil exigeant de 15x, s'explique par la forte capacité bénéficiaire opérationnelle de NSBC et son positionnement stratégique dans la sous-région.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progression spectaculaire de +66,13%, passant d'un plus bas de 13 810 FCFA à un plus haut de 24 020 FCFA, avec une légère correction de -0,25% lors de la dernière séance. Cette tendance fortement haussière s'accompagne d'une moyenne de 17 989 FCFA et d'une médiane de 18 798 FCFA, dont l'écart modéré indique une distribution relativement symétrique, confirmée par un skewness de 0,195. L'écart-type de 3 604 FCFA (CV=20%) révèle une dispersion notable des prix, tandis que le kurtosis de -1,409 (platykurtique) suggère une distribution aplatie avec peu de pics extrêmes, réduisant le risque de mouvements brusques. La volatilité annualisée de 37,4% classe NSBC parmi les titres à forte volatilité, offrant à la fois des opportunités de rendement et des risques accrus pour les investisseurs à court terme.</w:t>
      </w:r>
    </w:p>
    <w:p>
      <w:pPr>
        <w:spacing w:after="120" w:line="276" w:lineRule="auto" w:before="240"/>
      </w:pPr>
      <w:r>
        <w:rPr>
          <w:b/>
          <w:color w:val="003366"/>
          <w:sz w:val="24"/>
        </w:rPr>
        <w:t>**PARTIE 2 : ANALYSE TECHNIQUE DÉTAILLÉE**</w:t>
      </w:r>
    </w:p>
    <w:p>
      <w:pPr>
        <w:spacing w:after="120" w:line="276" w:lineRule="auto"/>
      </w:pPr>
      <w:r>
        <w:t>Les moyennes mobiles MM20 (23 159 FCFA) et MM50 (21 150,7 FCFA) sont toutes deux inférieures au cours actuel de 23 590 FCFA, confirmant une tendance haussière solide. La MM20 étant supérieure à la MM50, la configuration en "courbe ascendante" valide la dynamique positive et justifie la décision d'Achat, le prix évoluant au-dessus de ces supports dynamiques.</w:t>
      </w:r>
    </w:p>
    <w:p>
      <w:pPr>
        <w:spacing w:after="120" w:line="276" w:lineRule="auto"/>
      </w:pPr>
      <w:r>
        <w:t>Le cours se positionne entre les bornes de Bollinger (inférieure à 21 643,93 FCFA et supérieure à 24 674,07 FCFA), avec une largeur de bande significative reflétant la volatilité élevée. La position du prix, proche de la borne supérieure sans la toucher, indique une pression acheteuse modérée sans surachat extrême, justifiant la décision Neutre.</w:t>
      </w:r>
    </w:p>
    <w:p>
      <w:pPr>
        <w:spacing w:after="120" w:line="276" w:lineRule="auto"/>
      </w:pPr>
      <w:r>
        <w:t>Le MACD affiche une valeur de 796,187 contre un signal de 912,176, montrant un croisement baissier récent. Cette divergence négative, bien que modérée, suggère un ralentissement du momentum haussier à court terme, justifiant la décision de Vente pour les traders opportunistes.</w:t>
      </w:r>
    </w:p>
    <w:p>
      <w:pPr>
        <w:spacing w:after="120" w:line="276" w:lineRule="auto"/>
      </w:pPr>
      <w:r>
        <w:t>Le RSI à 64,681 se situe dans la zone neutre-haute, indiquant une dynamique positive sans surachat excessif. Cette valeur laisse une marge de progression avant d'atteindre la zone de surachat (&gt;70), justifiant la décision Neutre avec un biais haussier.</w:t>
      </w:r>
    </w:p>
    <w:p>
      <w:pPr>
        <w:spacing w:after="120" w:line="276" w:lineRule="auto"/>
      </w:pPr>
      <w:r>
        <w:t>Le stochastique avec %K à 57,843 et %D à 68,83 montre un croisement baissier potentiel, le %K passant sous le %D. Cette configuration suggère une consolidation à court terme, mais sans signal fort de retournement, justifiant la décision Neutre.</w:t>
      </w:r>
    </w:p>
    <w:p>
      <w:pPr>
        <w:spacing w:after="120" w:line="276" w:lineRule="auto"/>
      </w:pPr>
      <w:r>
        <w:t>La convergence des indicateurs techniques est mitigée : les moyennes mobiles et le RSI soutiennent une tendance haussière, tandis que le MACD et le stochastique signalent une possible consolidation. Cette divergence suggère une pause dans la tendance haussière avant une éventuelle reprise, avec un biais globalement positif à moyen terme.</w:t>
      </w:r>
    </w:p>
    <w:p>
      <w:pPr>
        <w:spacing w:after="120" w:line="276" w:lineRule="auto" w:before="240"/>
      </w:pPr>
      <w:r>
        <w:rPr>
          <w:b/>
          <w:color w:val="003366"/>
          <w:sz w:val="24"/>
        </w:rPr>
        <w:t>**PARTIE 3 : ANALYSE FONDAMENTALE (SECTION CRITIQUE)**</w:t>
      </w:r>
    </w:p>
    <w:p>
      <w:pPr>
        <w:spacing w:after="120" w:line="276" w:lineRule="auto"/>
      </w:pPr>
      <w:r>
        <w:t>En 2025, NSBC affiche des fondamentaux solides avec un Produit Net Bancaire de 112,928 milliards FCFA et un résultat net de 40,712 milliards FCFA, démontrant une marge nette de 36,05%. Le ROE de 17,45% et le ROA de 1,32% témoignent d'une excellente rentabilité, tandis que le coefficient d'exploitation de 54,59% confirme l'efficacité opérationnelle de la banque. Le coût du risque de 7,54% reste élevé, signalant une dégradation de la qualité du portefeuille de crédits, avec des provisions de 8,510 milliards FCFA. Le ratio dépôts/crédits est sain, avec 2 242,218 milliards FCFA de dépôts clientèle contre 1 818,671 milliards FCFA de créances, indiquant une transformation équilibrée. Les rapports trimestriels 2025 montrent une progression régulière : le T1 affichait un PNB de 22,4 milliards (+2,5%), le S1 de 50,5 milliards (+10,6%), et le T3 de 77,4 milliards (+7%). Le rapport T1 2026 révèle une accélération spectaculaire avec un PNB de 28,6 milliards (+28%) et un résultat net de 10,9 milliards (+53%), porté par l'activité titres. Sur cette base, on estime que l'exercice 2026 pourrait dépasser 130 milliards de PNB et 45 milliards de résultat net, confirmant la trajectoire ascendante de la banque.</w:t>
      </w:r>
    </w:p>
    <w:p>
      <w:pPr>
        <w:spacing w:after="120" w:line="276" w:lineRule="auto" w:before="240"/>
      </w:pPr>
      <w:r>
        <w:rPr>
          <w:b/>
          <w:color w:val="003366"/>
          <w:sz w:val="24"/>
        </w:rPr>
        <w:t>**PARTIE 4 : CONCLUSION D'INVESTISSEMENT**</w:t>
      </w:r>
    </w:p>
    <w:p>
      <w:pPr>
        <w:spacing w:after="120" w:line="276" w:lineRule="auto"/>
      </w:pPr>
      <w:r>
        <w:t>La valorisation de NSBC, avec un PER de 14,3x et un P/B de 2,50x, reflète une prime de croissance justifiée par des fondamentaux exceptionnels, bien que l'EV/EBITDA de 21,7x indique une valorisation exigeante. Le comportement du cours montre une tendance haussière spectaculaire (+66% en 100 jours) avec une volatilité élevée (37,4%), mais une distribution statistique stable (kurtosis platykurtique, skewness symétrique). Les signaux techniques sont mitigés : les moyennes mobiles et le RSI soutiennent la tendance, tandis que le MACD et le stochastique suggèrent une consolidation à court terme. Les fondamentaux restent excellents avec une croissance soutenue du PNB et du résultat net, malgré un coût du risque en hausse. Les prédictions IA pour les 10 prochains jours (24 172 à 25 804 FCFA) confirment la poursuite de la tendance haussière, alignée avec les fondamentaux. La convergence entre la performance financière solide, la dynamique commerciale positive et les perspectives de croissance justifie une recommandation **ACHAT FORT** avec un niveau de confiance **Élevé** et un risque global **Moyen**. L'horizon d'investissement optimal est le **moyen terme (3-12 mois)**, permettant de capitaliser sur la croissance continue tout en surveillant l'évolution du coût du risque et la qualité du portefeuille de crédits.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385.13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1,933 titres</w:t>
            </w:r>
          </w:p>
        </w:tc>
        <w:tc>
          <w:tcPr>
            <w:tcW w:type="dxa" w:w="2268"/>
            <w:shd w:fill="FFF2CC" w:val="clear"/>
          </w:tcPr>
          <w:p>
            <w:r>
              <w:rPr>
                <w:b/>
                <w:color w:val="503200"/>
                <w:sz w:val="16"/>
              </w:rPr>
              <w:t xml:space="preserve">Cours actuel : </w:t>
            </w:r>
            <w:r>
              <w:rPr>
                <w:color w:val="000000"/>
                <w:sz w:val="17"/>
              </w:rPr>
              <w:t>17,450 FCFA</w:t>
            </w:r>
          </w:p>
          <w:p>
            <w:r>
              <w:rPr>
                <w:b/>
                <w:color w:val="503200"/>
                <w:sz w:val="16"/>
              </w:rPr>
              <w:t xml:space="preserve">Var. 100 jours : </w:t>
            </w:r>
            <w:r>
              <w:rPr>
                <w:b/>
                <w:color w:val="007800"/>
                <w:sz w:val="17"/>
              </w:rPr>
              <w:t>+34.85%</w:t>
            </w:r>
          </w:p>
          <w:p>
            <w:r>
              <w:rPr>
                <w:b/>
                <w:color w:val="503200"/>
                <w:sz w:val="16"/>
              </w:rPr>
              <w:t xml:space="preserve">Plus haut 100j : </w:t>
            </w:r>
            <w:r>
              <w:rPr>
                <w:color w:val="000000"/>
                <w:sz w:val="17"/>
              </w:rPr>
              <w:t>17,450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13.27% (Moyenne) — μ=14,010 FCFA, σ=1,859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β=0.2223 (Défensif) — Cov=0.000008, Var(idx)=0.000036, ρ=0.063,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1,933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σ_j=2.12%/j (Stable) — Vol. annualisée≈33.7%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2026-08-13</w:t>
            </w:r>
          </w:p>
        </w:tc>
        <w:tc>
          <w:tcPr>
            <w:tcW w:type="dxa" w:w="1440"/>
            <w:shd w:fill="FFDCE0" w:val="clear"/>
          </w:tcPr>
          <w:p>
            <w:r>
              <w:rPr>
                <w:sz w:val="17"/>
              </w:rPr>
              <w:t>16,304</w:t>
            </w:r>
          </w:p>
        </w:tc>
        <w:tc>
          <w:tcPr>
            <w:tcW w:type="dxa" w:w="1440"/>
            <w:shd w:fill="FFDCE0" w:val="clear"/>
          </w:tcPr>
          <w:p>
            <w:r>
              <w:rPr>
                <w:b/>
                <w:sz w:val="17"/>
              </w:rPr>
              <w:t>16,638</w:t>
            </w:r>
          </w:p>
        </w:tc>
        <w:tc>
          <w:tcPr>
            <w:tcW w:type="dxa" w:w="1440"/>
            <w:shd w:fill="FFDCE0" w:val="clear"/>
          </w:tcPr>
          <w:p>
            <w:r>
              <w:rPr>
                <w:sz w:val="17"/>
              </w:rPr>
              <w:t>16,971</w:t>
            </w:r>
          </w:p>
        </w:tc>
        <w:tc>
          <w:tcPr>
            <w:tcW w:type="dxa" w:w="1440"/>
            <w:shd w:fill="FFDCE0" w:val="clear"/>
          </w:tcPr>
          <w:p>
            <w:r>
              <w:rPr>
                <w:b/>
                <w:color w:val="C00000"/>
                <w:sz w:val="17"/>
              </w:rPr>
              <w:t>-4.7%</w:t>
            </w:r>
          </w:p>
        </w:tc>
      </w:tr>
      <w:tr>
        <w:tc>
          <w:tcPr>
            <w:tcW w:type="dxa" w:w="1440"/>
            <w:shd w:fill="FFDCE0" w:val="clear"/>
          </w:tcPr>
          <w:p>
            <w:r>
              <w:rPr>
                <w:sz w:val="17"/>
              </w:rPr>
              <w:t>J+2  Moyenne</w:t>
            </w:r>
          </w:p>
        </w:tc>
        <w:tc>
          <w:tcPr>
            <w:tcW w:type="dxa" w:w="1440"/>
            <w:shd w:fill="FFDCE0" w:val="clear"/>
          </w:tcPr>
          <w:p>
            <w:r>
              <w:rPr>
                <w:sz w:val="17"/>
              </w:rPr>
              <w:t>2026-08-14</w:t>
            </w:r>
          </w:p>
        </w:tc>
        <w:tc>
          <w:tcPr>
            <w:tcW w:type="dxa" w:w="1440"/>
            <w:shd w:fill="FFDCE0" w:val="clear"/>
          </w:tcPr>
          <w:p>
            <w:r>
              <w:rPr>
                <w:sz w:val="17"/>
              </w:rPr>
              <w:t>16,182</w:t>
            </w:r>
          </w:p>
        </w:tc>
        <w:tc>
          <w:tcPr>
            <w:tcW w:type="dxa" w:w="1440"/>
            <w:shd w:fill="FFDCE0" w:val="clear"/>
          </w:tcPr>
          <w:p>
            <w:r>
              <w:rPr>
                <w:b/>
                <w:sz w:val="17"/>
              </w:rPr>
              <w:t>16,655</w:t>
            </w:r>
          </w:p>
        </w:tc>
        <w:tc>
          <w:tcPr>
            <w:tcW w:type="dxa" w:w="1440"/>
            <w:shd w:fill="FFDCE0" w:val="clear"/>
          </w:tcPr>
          <w:p>
            <w:r>
              <w:rPr>
                <w:sz w:val="17"/>
              </w:rPr>
              <w:t>17,128</w:t>
            </w:r>
          </w:p>
        </w:tc>
        <w:tc>
          <w:tcPr>
            <w:tcW w:type="dxa" w:w="1440"/>
            <w:shd w:fill="FFDCE0" w:val="clear"/>
          </w:tcPr>
          <w:p>
            <w:r>
              <w:rPr>
                <w:b/>
                <w:color w:val="C00000"/>
                <w:sz w:val="17"/>
              </w:rPr>
              <w:t>-4.6%</w:t>
            </w:r>
          </w:p>
        </w:tc>
      </w:tr>
      <w:tr>
        <w:tc>
          <w:tcPr>
            <w:tcW w:type="dxa" w:w="1440"/>
            <w:shd w:fill="FFDCE0" w:val="clear"/>
          </w:tcPr>
          <w:p>
            <w:r>
              <w:rPr>
                <w:sz w:val="17"/>
              </w:rPr>
              <w:t>J+3  ⭐</w:t>
            </w:r>
          </w:p>
        </w:tc>
        <w:tc>
          <w:tcPr>
            <w:tcW w:type="dxa" w:w="1440"/>
            <w:shd w:fill="FFDCE0" w:val="clear"/>
          </w:tcPr>
          <w:p>
            <w:r>
              <w:rPr>
                <w:sz w:val="17"/>
              </w:rPr>
              <w:t>2026-08-17</w:t>
            </w:r>
          </w:p>
        </w:tc>
        <w:tc>
          <w:tcPr>
            <w:tcW w:type="dxa" w:w="1440"/>
            <w:shd w:fill="FFDCE0" w:val="clear"/>
          </w:tcPr>
          <w:p>
            <w:r>
              <w:rPr>
                <w:sz w:val="17"/>
              </w:rPr>
              <w:t>16,037</w:t>
            </w:r>
          </w:p>
        </w:tc>
        <w:tc>
          <w:tcPr>
            <w:tcW w:type="dxa" w:w="1440"/>
            <w:shd w:fill="FFDCE0" w:val="clear"/>
          </w:tcPr>
          <w:p>
            <w:r>
              <w:rPr>
                <w:b/>
                <w:sz w:val="17"/>
              </w:rPr>
              <w:t>16,615</w:t>
            </w:r>
          </w:p>
        </w:tc>
        <w:tc>
          <w:tcPr>
            <w:tcW w:type="dxa" w:w="1440"/>
            <w:shd w:fill="FFDCE0" w:val="clear"/>
          </w:tcPr>
          <w:p>
            <w:r>
              <w:rPr>
                <w:sz w:val="17"/>
              </w:rPr>
              <w:t>17,192</w:t>
            </w:r>
          </w:p>
        </w:tc>
        <w:tc>
          <w:tcPr>
            <w:tcW w:type="dxa" w:w="1440"/>
            <w:shd w:fill="FFDCE0" w:val="clear"/>
          </w:tcPr>
          <w:p>
            <w:r>
              <w:rPr>
                <w:b/>
                <w:color w:val="C00000"/>
                <w:sz w:val="17"/>
              </w:rPr>
              <w:t>-4.8%</w:t>
            </w:r>
          </w:p>
        </w:tc>
      </w:tr>
      <w:tr>
        <w:tc>
          <w:tcPr>
            <w:tcW w:type="dxa" w:w="1440"/>
            <w:shd w:fill="FFDCE0" w:val="clear"/>
          </w:tcPr>
          <w:p>
            <w:r>
              <w:rPr>
                <w:sz w:val="17"/>
              </w:rPr>
              <w:t>J+4  ⭐</w:t>
            </w:r>
          </w:p>
        </w:tc>
        <w:tc>
          <w:tcPr>
            <w:tcW w:type="dxa" w:w="1440"/>
            <w:shd w:fill="FFDCE0" w:val="clear"/>
          </w:tcPr>
          <w:p>
            <w:r>
              <w:rPr>
                <w:sz w:val="17"/>
              </w:rPr>
              <w:t>2026-08-18</w:t>
            </w:r>
          </w:p>
        </w:tc>
        <w:tc>
          <w:tcPr>
            <w:tcW w:type="dxa" w:w="1440"/>
            <w:shd w:fill="FFDCE0" w:val="clear"/>
          </w:tcPr>
          <w:p>
            <w:r>
              <w:rPr>
                <w:sz w:val="17"/>
              </w:rPr>
              <w:t>15,896</w:t>
            </w:r>
          </w:p>
        </w:tc>
        <w:tc>
          <w:tcPr>
            <w:tcW w:type="dxa" w:w="1440"/>
            <w:shd w:fill="FFDCE0" w:val="clear"/>
          </w:tcPr>
          <w:p>
            <w:r>
              <w:rPr>
                <w:b/>
                <w:sz w:val="17"/>
              </w:rPr>
              <w:t>16,561</w:t>
            </w:r>
          </w:p>
        </w:tc>
        <w:tc>
          <w:tcPr>
            <w:tcW w:type="dxa" w:w="1440"/>
            <w:shd w:fill="FFDCE0" w:val="clear"/>
          </w:tcPr>
          <w:p>
            <w:r>
              <w:rPr>
                <w:sz w:val="17"/>
              </w:rPr>
              <w:t>17,225</w:t>
            </w:r>
          </w:p>
        </w:tc>
        <w:tc>
          <w:tcPr>
            <w:tcW w:type="dxa" w:w="1440"/>
            <w:shd w:fill="FFDCE0" w:val="clear"/>
          </w:tcPr>
          <w:p>
            <w:r>
              <w:rPr>
                <w:b/>
                <w:color w:val="C00000"/>
                <w:sz w:val="17"/>
              </w:rPr>
              <w:t>-5.1%</w:t>
            </w:r>
          </w:p>
        </w:tc>
      </w:tr>
      <w:tr>
        <w:tc>
          <w:tcPr>
            <w:tcW w:type="dxa" w:w="1440"/>
            <w:shd w:fill="FFDCE0" w:val="clear"/>
          </w:tcPr>
          <w:p>
            <w:r>
              <w:rPr>
                <w:sz w:val="17"/>
              </w:rPr>
              <w:t>J+5  ⭐</w:t>
            </w:r>
          </w:p>
        </w:tc>
        <w:tc>
          <w:tcPr>
            <w:tcW w:type="dxa" w:w="1440"/>
            <w:shd w:fill="FFDCE0" w:val="clear"/>
          </w:tcPr>
          <w:p>
            <w:r>
              <w:rPr>
                <w:sz w:val="17"/>
              </w:rPr>
              <w:t>2026-08-19</w:t>
            </w:r>
          </w:p>
        </w:tc>
        <w:tc>
          <w:tcPr>
            <w:tcW w:type="dxa" w:w="1440"/>
            <w:shd w:fill="FFDCE0" w:val="clear"/>
          </w:tcPr>
          <w:p>
            <w:r>
              <w:rPr>
                <w:sz w:val="17"/>
              </w:rPr>
              <w:t>15,765</w:t>
            </w:r>
          </w:p>
        </w:tc>
        <w:tc>
          <w:tcPr>
            <w:tcW w:type="dxa" w:w="1440"/>
            <w:shd w:fill="FFDCE0" w:val="clear"/>
          </w:tcPr>
          <w:p>
            <w:r>
              <w:rPr>
                <w:b/>
                <w:sz w:val="17"/>
              </w:rPr>
              <w:t>16,506</w:t>
            </w:r>
          </w:p>
        </w:tc>
        <w:tc>
          <w:tcPr>
            <w:tcW w:type="dxa" w:w="1440"/>
            <w:shd w:fill="FFDCE0" w:val="clear"/>
          </w:tcPr>
          <w:p>
            <w:r>
              <w:rPr>
                <w:sz w:val="17"/>
              </w:rPr>
              <w:t>17,247</w:t>
            </w:r>
          </w:p>
        </w:tc>
        <w:tc>
          <w:tcPr>
            <w:tcW w:type="dxa" w:w="1440"/>
            <w:shd w:fill="FFDCE0" w:val="clear"/>
          </w:tcPr>
          <w:p>
            <w:r>
              <w:rPr>
                <w:b/>
                <w:color w:val="C00000"/>
                <w:sz w:val="17"/>
              </w:rPr>
              <w:t>-5.4%</w:t>
            </w:r>
          </w:p>
        </w:tc>
      </w:tr>
      <w:tr>
        <w:tc>
          <w:tcPr>
            <w:tcW w:type="dxa" w:w="1440"/>
            <w:shd w:fill="FFDCE0" w:val="clear"/>
          </w:tcPr>
          <w:p>
            <w:r>
              <w:rPr>
                <w:sz w:val="17"/>
              </w:rPr>
              <w:t>J+6  ⭐</w:t>
            </w:r>
          </w:p>
        </w:tc>
        <w:tc>
          <w:tcPr>
            <w:tcW w:type="dxa" w:w="1440"/>
            <w:shd w:fill="FFDCE0" w:val="clear"/>
          </w:tcPr>
          <w:p>
            <w:r>
              <w:rPr>
                <w:sz w:val="17"/>
              </w:rPr>
              <w:t>2026-08-20</w:t>
            </w:r>
          </w:p>
        </w:tc>
        <w:tc>
          <w:tcPr>
            <w:tcW w:type="dxa" w:w="1440"/>
            <w:shd w:fill="FFDCE0" w:val="clear"/>
          </w:tcPr>
          <w:p>
            <w:r>
              <w:rPr>
                <w:sz w:val="17"/>
              </w:rPr>
              <w:t>15,645</w:t>
            </w:r>
          </w:p>
        </w:tc>
        <w:tc>
          <w:tcPr>
            <w:tcW w:type="dxa" w:w="1440"/>
            <w:shd w:fill="FFDCE0" w:val="clear"/>
          </w:tcPr>
          <w:p>
            <w:r>
              <w:rPr>
                <w:b/>
                <w:sz w:val="17"/>
              </w:rPr>
              <w:t>16,454</w:t>
            </w:r>
          </w:p>
        </w:tc>
        <w:tc>
          <w:tcPr>
            <w:tcW w:type="dxa" w:w="1440"/>
            <w:shd w:fill="FFDCE0" w:val="clear"/>
          </w:tcPr>
          <w:p>
            <w:r>
              <w:rPr>
                <w:sz w:val="17"/>
              </w:rPr>
              <w:t>17,262</w:t>
            </w:r>
          </w:p>
        </w:tc>
        <w:tc>
          <w:tcPr>
            <w:tcW w:type="dxa" w:w="1440"/>
            <w:shd w:fill="FFDCE0" w:val="clear"/>
          </w:tcPr>
          <w:p>
            <w:r>
              <w:rPr>
                <w:b/>
                <w:color w:val="C00000"/>
                <w:sz w:val="17"/>
              </w:rPr>
              <w:t>-5.7%</w:t>
            </w:r>
          </w:p>
        </w:tc>
      </w:tr>
      <w:tr>
        <w:tc>
          <w:tcPr>
            <w:tcW w:type="dxa" w:w="1440"/>
            <w:shd w:fill="FFDCE0" w:val="clear"/>
          </w:tcPr>
          <w:p>
            <w:r>
              <w:rPr>
                <w:sz w:val="17"/>
              </w:rPr>
              <w:t>J+7  ⭐</w:t>
            </w:r>
          </w:p>
        </w:tc>
        <w:tc>
          <w:tcPr>
            <w:tcW w:type="dxa" w:w="1440"/>
            <w:shd w:fill="FFDCE0" w:val="clear"/>
          </w:tcPr>
          <w:p>
            <w:r>
              <w:rPr>
                <w:sz w:val="17"/>
              </w:rPr>
              <w:t>2026-08-21</w:t>
            </w:r>
          </w:p>
        </w:tc>
        <w:tc>
          <w:tcPr>
            <w:tcW w:type="dxa" w:w="1440"/>
            <w:shd w:fill="FFDCE0" w:val="clear"/>
          </w:tcPr>
          <w:p>
            <w:r>
              <w:rPr>
                <w:sz w:val="17"/>
              </w:rPr>
              <w:t>15,533</w:t>
            </w:r>
          </w:p>
        </w:tc>
        <w:tc>
          <w:tcPr>
            <w:tcW w:type="dxa" w:w="1440"/>
            <w:shd w:fill="FFDCE0" w:val="clear"/>
          </w:tcPr>
          <w:p>
            <w:r>
              <w:rPr>
                <w:b/>
                <w:sz w:val="17"/>
              </w:rPr>
              <w:t>16,404</w:t>
            </w:r>
          </w:p>
        </w:tc>
        <w:tc>
          <w:tcPr>
            <w:tcW w:type="dxa" w:w="1440"/>
            <w:shd w:fill="FFDCE0" w:val="clear"/>
          </w:tcPr>
          <w:p>
            <w:r>
              <w:rPr>
                <w:sz w:val="17"/>
              </w:rPr>
              <w:t>17,275</w:t>
            </w:r>
          </w:p>
        </w:tc>
        <w:tc>
          <w:tcPr>
            <w:tcW w:type="dxa" w:w="1440"/>
            <w:shd w:fill="FFDCE0" w:val="clear"/>
          </w:tcPr>
          <w:p>
            <w:r>
              <w:rPr>
                <w:b/>
                <w:color w:val="C00000"/>
                <w:sz w:val="17"/>
              </w:rPr>
              <w:t>-6.0%</w:t>
            </w:r>
          </w:p>
        </w:tc>
      </w:tr>
      <w:tr>
        <w:tc>
          <w:tcPr>
            <w:tcW w:type="dxa" w:w="1440"/>
            <w:shd w:fill="FFDCE0" w:val="clear"/>
          </w:tcPr>
          <w:p>
            <w:r>
              <w:rPr>
                <w:sz w:val="17"/>
              </w:rPr>
              <w:t>J+8  ⭐</w:t>
            </w:r>
          </w:p>
        </w:tc>
        <w:tc>
          <w:tcPr>
            <w:tcW w:type="dxa" w:w="1440"/>
            <w:shd w:fill="FFDCE0" w:val="clear"/>
          </w:tcPr>
          <w:p>
            <w:r>
              <w:rPr>
                <w:sz w:val="17"/>
              </w:rPr>
              <w:t>2026-08-24</w:t>
            </w:r>
          </w:p>
        </w:tc>
        <w:tc>
          <w:tcPr>
            <w:tcW w:type="dxa" w:w="1440"/>
            <w:shd w:fill="FFDCE0" w:val="clear"/>
          </w:tcPr>
          <w:p>
            <w:r>
              <w:rPr>
                <w:sz w:val="17"/>
              </w:rPr>
              <w:t>15,427</w:t>
            </w:r>
          </w:p>
        </w:tc>
        <w:tc>
          <w:tcPr>
            <w:tcW w:type="dxa" w:w="1440"/>
            <w:shd w:fill="FFDCE0" w:val="clear"/>
          </w:tcPr>
          <w:p>
            <w:r>
              <w:rPr>
                <w:b/>
                <w:sz w:val="17"/>
              </w:rPr>
              <w:t>16,355</w:t>
            </w:r>
          </w:p>
        </w:tc>
        <w:tc>
          <w:tcPr>
            <w:tcW w:type="dxa" w:w="1440"/>
            <w:shd w:fill="FFDCE0" w:val="clear"/>
          </w:tcPr>
          <w:p>
            <w:r>
              <w:rPr>
                <w:sz w:val="17"/>
              </w:rPr>
              <w:t>17,284</w:t>
            </w:r>
          </w:p>
        </w:tc>
        <w:tc>
          <w:tcPr>
            <w:tcW w:type="dxa" w:w="1440"/>
            <w:shd w:fill="FFDCE0" w:val="clear"/>
          </w:tcPr>
          <w:p>
            <w:r>
              <w:rPr>
                <w:b/>
                <w:color w:val="C00000"/>
                <w:sz w:val="17"/>
              </w:rPr>
              <w:t>-6.3%</w:t>
            </w:r>
          </w:p>
        </w:tc>
      </w:tr>
      <w:tr>
        <w:tc>
          <w:tcPr>
            <w:tcW w:type="dxa" w:w="1440"/>
            <w:shd w:fill="FFDCE0" w:val="clear"/>
          </w:tcPr>
          <w:p>
            <w:r>
              <w:rPr>
                <w:sz w:val="17"/>
              </w:rPr>
              <w:t>J+9  ⭐</w:t>
            </w:r>
          </w:p>
        </w:tc>
        <w:tc>
          <w:tcPr>
            <w:tcW w:type="dxa" w:w="1440"/>
            <w:shd w:fill="FFDCE0" w:val="clear"/>
          </w:tcPr>
          <w:p>
            <w:r>
              <w:rPr>
                <w:sz w:val="17"/>
              </w:rPr>
              <w:t>2026-08-25</w:t>
            </w:r>
          </w:p>
        </w:tc>
        <w:tc>
          <w:tcPr>
            <w:tcW w:type="dxa" w:w="1440"/>
            <w:shd w:fill="FFDCE0" w:val="clear"/>
          </w:tcPr>
          <w:p>
            <w:r>
              <w:rPr>
                <w:sz w:val="17"/>
              </w:rPr>
              <w:t>15,327</w:t>
            </w:r>
          </w:p>
        </w:tc>
        <w:tc>
          <w:tcPr>
            <w:tcW w:type="dxa" w:w="1440"/>
            <w:shd w:fill="FFDCE0" w:val="clear"/>
          </w:tcPr>
          <w:p>
            <w:r>
              <w:rPr>
                <w:b/>
                <w:sz w:val="17"/>
              </w:rPr>
              <w:t>16,308</w:t>
            </w:r>
          </w:p>
        </w:tc>
        <w:tc>
          <w:tcPr>
            <w:tcW w:type="dxa" w:w="1440"/>
            <w:shd w:fill="FFDCE0" w:val="clear"/>
          </w:tcPr>
          <w:p>
            <w:r>
              <w:rPr>
                <w:sz w:val="17"/>
              </w:rPr>
              <w:t>17,290</w:t>
            </w:r>
          </w:p>
        </w:tc>
        <w:tc>
          <w:tcPr>
            <w:tcW w:type="dxa" w:w="1440"/>
            <w:shd w:fill="FFDCE0" w:val="clear"/>
          </w:tcPr>
          <w:p>
            <w:r>
              <w:rPr>
                <w:b/>
                <w:color w:val="C00000"/>
                <w:sz w:val="17"/>
              </w:rPr>
              <w:t>-6.5%</w:t>
            </w:r>
          </w:p>
        </w:tc>
      </w:tr>
      <w:tr>
        <w:tc>
          <w:tcPr>
            <w:tcW w:type="dxa" w:w="1440"/>
            <w:shd w:fill="FFDCE0" w:val="clear"/>
          </w:tcPr>
          <w:p>
            <w:r>
              <w:rPr>
                <w:sz w:val="17"/>
              </w:rPr>
              <w:t>J+10  ⭐</w:t>
            </w:r>
          </w:p>
        </w:tc>
        <w:tc>
          <w:tcPr>
            <w:tcW w:type="dxa" w:w="1440"/>
            <w:shd w:fill="FFDCE0" w:val="clear"/>
          </w:tcPr>
          <w:p>
            <w:r>
              <w:rPr>
                <w:sz w:val="17"/>
              </w:rPr>
              <w:t>2026-08-27</w:t>
            </w:r>
          </w:p>
        </w:tc>
        <w:tc>
          <w:tcPr>
            <w:tcW w:type="dxa" w:w="1440"/>
            <w:shd w:fill="FFDCE0" w:val="clear"/>
          </w:tcPr>
          <w:p>
            <w:r>
              <w:rPr>
                <w:sz w:val="17"/>
              </w:rPr>
              <w:t>15,231</w:t>
            </w:r>
          </w:p>
        </w:tc>
        <w:tc>
          <w:tcPr>
            <w:tcW w:type="dxa" w:w="1440"/>
            <w:shd w:fill="FFDCE0" w:val="clear"/>
          </w:tcPr>
          <w:p>
            <w:r>
              <w:rPr>
                <w:b/>
                <w:sz w:val="17"/>
              </w:rPr>
              <w:t>16,263</w:t>
            </w:r>
          </w:p>
        </w:tc>
        <w:tc>
          <w:tcPr>
            <w:tcW w:type="dxa" w:w="1440"/>
            <w:shd w:fill="FFDCE0" w:val="clear"/>
          </w:tcPr>
          <w:p>
            <w:r>
              <w:rPr>
                <w:sz w:val="17"/>
              </w:rPr>
              <w:t>17,295</w:t>
            </w:r>
          </w:p>
        </w:tc>
        <w:tc>
          <w:tcPr>
            <w:tcW w:type="dxa" w:w="1440"/>
            <w:shd w:fill="FFDCE0" w:val="clear"/>
          </w:tcPr>
          <w:p>
            <w:r>
              <w:rPr>
                <w:b/>
                <w:color w:val="C00000"/>
                <w:sz w:val="17"/>
              </w:rPr>
              <w:t>-6.8%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Absolument. Voici le rapport d'analyse structuré pour l'action Nestlé Côte d'Ivoire (NTLC)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NTLC s'établit à 385,13 milliards FCFA, ce qui en fait l'une des plus importantes valeurs de la cote, reflétant son statut de poids lourd du marché. Le BPA de 835 FCFA indique que chaque action a généré un bénéfice de ce montant sur l'exercice. Cependant, le PER de 20,9x est très élevé par rapport à la moyenne historique de la BRVM (8-12x), signifiant que les investisseurs paient une prime substantielle pour chaque franc de bénéfice, anticipant une forte croissance future. Le P/B de 13,02x confirme cette prime, le marché valorisant le titre près de 13 fois sa valeur comptable, ce qui est extrêmement exigeant. Enfin, l'EV/EBITDA de 10,2x, bien que dans une fourchette élevée, reste plus modéré, indiquant que la valeur de l'entreprise (dette incluse) reste relativement en phase avec sa capacité opérationnelle de génération de cash.</w:t>
      </w:r>
    </w:p>
    <w:p>
      <w:pPr>
        <w:spacing w:after="120" w:line="276" w:lineRule="auto"/>
      </w:pPr>
      <w:r>
        <w:t>### PARTIE 1 : ANALYSE DU COURS — STATISTIQUES ET ÉVOLUTION (100 derniers jours)</w:t>
      </w:r>
    </w:p>
    <w:p>
      <w:pPr>
        <w:spacing w:after="120" w:line="276" w:lineRule="auto"/>
      </w:pPr>
      <w:r>
        <w:t>Sur les 100 derniers jours, l'action NTLC a connu une progression spectaculaire de +34,85%, avec une accélération notable lors de la dernière séance (+3,25%), clôturant à un plus haut historique de 17 450 FCFA. Cette tendance haussière est puissante, le cours évoluant très loin de son plus bas de la période (11 150 FCFA). Les statistiques descriptives révèlent une distribution des prix relativement symétrique (skewness de 0,238) mais avec une moyenne (14 010 FCFA) supérieure à la médiane (13 002 FCFA), ce qui suggère une concentration des échanges à des niveaux élevés sur la fin de période. L'écart-type de 1 868 FCFA (CV de 13,3%) indique une dispersion modérée des prix autour de la moyenne. Le kurtosis négatif (-1,555) signale une distribution "aplatie", avec moins de valeurs extrêmes que la normale, ce qui est un signe de stabilité relative malgré la tendance. La volatilité annualisée de 33,7% classe le titre comme très volatil, un niveau élevé qui reflète un risque important mais aussi un fort potentiel de rendement.</w:t>
      </w:r>
    </w:p>
    <w:p>
      <w:pPr>
        <w:spacing w:after="120" w:line="276" w:lineRule="auto"/>
      </w:pPr>
      <w:r>
        <w:t>### PARTIE 2 : ANALYSE TECHNIQUE DÉTAILLÉE</w:t>
      </w:r>
    </w:p>
    <w:p>
      <w:pPr>
        <w:spacing w:after="120" w:line="276" w:lineRule="auto"/>
      </w:pPr>
      <w:r>
        <w:t>**Moyennes Mobiles** : Le cours actuel (17 450 FCFA) est nettement au-dessus de sa MM20 (16 444,75 FCFA) et de sa MM50 (15 683,3 FCFA). Cette configuration en "trend haussier" est un signal d'achat classique, confirmant la dynamique positive du titre à court et moyen terme.</w:t>
      </w:r>
    </w:p>
    <w:p>
      <w:pPr>
        <w:spacing w:after="120" w:line="276" w:lineRule="auto"/>
      </w:pPr>
      <w:r>
        <w:t>**Bandes de Bollinger** : Le cours se situe au-dessus de la borne supérieure (17 224,34 FCFA), ce qui est un signal de vente. Le titre est en situation de "surachat" extrême à court terme, la bande de volatilité étant dépassée. Cela suggère qu'une correction technique est probable à très court terme pour revenir dans le canal.</w:t>
      </w:r>
    </w:p>
    <w:p>
      <w:pPr>
        <w:spacing w:after="120" w:line="276" w:lineRule="auto"/>
      </w:pPr>
      <w:r>
        <w:t>**MACD** : Le MACD (382,94) est au-dessus de son signal (371,55), tous deux en territoire positif. Cette configuration est un signal d'achat, indiquant que le momentum haussier est toujours actif, bien que l'écart soit modéré. La dynamique de fond reste positive.</w:t>
      </w:r>
    </w:p>
    <w:p>
      <w:pPr>
        <w:spacing w:after="120" w:line="276" w:lineRule="auto"/>
      </w:pPr>
      <w:r>
        <w:t>**RSI** : Le RSI est à 88,14, une valeur extrêmement élevée, bien au-delà du seuil de surachat (70). Ce niveau indique une pression d'achat excessive et un marché survendu. Historiquement, un tel niveau précède souvent un repli technique. Le signal est donc clairement une vente.</w:t>
      </w:r>
    </w:p>
    <w:p>
      <w:pPr>
        <w:spacing w:after="120" w:line="276" w:lineRule="auto"/>
      </w:pPr>
      <w:r>
        <w:t>**Stochastique** : Le %K (100,0) et le %D (94,12) sont à des niveaux extrêmes, confirmant la zone de surachat. Le titre est en territoire de surachat profond, ce qui renforce le signal de vente à court terme.</w:t>
      </w:r>
    </w:p>
    <w:p>
      <w:pPr>
        <w:spacing w:after="120" w:line="276" w:lineRule="auto"/>
      </w:pPr>
      <w:r>
        <w:t>**Conclusion technique** : Les indicateurs de tendance (MM, MACD) sont positifs et confirment la dynamique haussière de fond. Cependant, les oscillateurs (RSI, Stochastique) et la position par rapport aux bandes de Bollinger signalent une condition de surachat extrême. La convergence de ces signaux suggère une forte probabilité de consolidation ou de correction à court terme avant une éventuelle poursuite de la tendance haussière.</w:t>
      </w:r>
    </w:p>
    <w:p>
      <w:pPr>
        <w:spacing w:after="120" w:line="276" w:lineRule="auto"/>
      </w:pPr>
      <w:r>
        <w:t>### PARTIE 3 : ANALYSE FONDAMENTALE (SECTION CRITIQUE)</w:t>
      </w:r>
    </w:p>
    <w:p>
      <w:pPr>
        <w:spacing w:after="120" w:line="276" w:lineRule="auto"/>
      </w:pPr>
      <w:r>
        <w:t>En 2025, Nestlé CI a réalisé un chiffre d'affaires de 233,26 milliards FCFA (+5,97% vs 2024) et un résultat net de 18,43 milliards FCFA (+1,5%). La rentabilité reste excellente avec un ROE de 62,3% et un ROA de 9,7%. Cependant, la structure financière est fragile : l'autonomie financière est faible (15,6%), le ratio d'endettement est très élevé (135,9%) et la liquidité générale est insuffisante (79,9%). Le BFR de 22,6 milliards FCFA et un délai client de 74 jours indiquent un besoin de financement du cycle d'exploitation. Les rapports trimestriels de 2025 montrent une année difficile : T1 (-11% CA), S1 (0% CA, -23,5% RN), 9 mois (+1,4% CA, -21,3% RN), avec une forte pression sur les marges due à l'inflation des matières premières. Le rapport annuel 2025 (publié en 2026) confirme cette tendance avec une marge nette en baisse à 7,9%. Cependant, le rapport du T1 2026 (publié en mai 2026) est extrêmement positif : CA en hausse de +31% et résultat net en hausse de +37%, avec une marge nette qui remonte à 10,6%. Sur cette base, on estime que l'exercice 2026 pourrait voir une forte croissance des bénéfices, potentiellement supérieure à 20%. La réduction du dividende en 2025 (50% de distribution vs 99,7% en 2024) suggère une stratégie de réinvestissement pour soutenir cette croissance.</w:t>
      </w:r>
    </w:p>
    <w:p>
      <w:pPr>
        <w:spacing w:after="120" w:line="276" w:lineRule="auto"/>
      </w:pPr>
      <w:r>
        <w:t>### PARTIE 4 : CONCLUSION D'INVESTISSEMENT</w:t>
      </w:r>
    </w:p>
    <w:p>
      <w:pPr>
        <w:spacing w:after="120" w:line="276" w:lineRule="auto"/>
      </w:pPr>
      <w:r>
        <w:t>La valorisation de NTLC est extrêmement exigeante (PER 20,9x, P/B 13x), intégrant déjà des perspectives de croissance très optimistes. Le comportement du cours, avec une hausse de +34,85% et une volatilité élevée (33,7%), confirme un fort intérêt des investisseurs mais expose à un risque de correction. Les signaux techniques sont contradictoires : la tendance de fond (MM, MACD) est haussière, mais les oscillateurs (RSI, Stochastique) et la position au-dessus des bandes de Bollinger indiquent un surachat extrême, suggérant un repli imminent. Les fondamentaux, bien que solides avec un ROE exceptionnel, montrent une structure financière fragile, mais les performances du T1 2026 (+31% CA, +37% RN) sont spectaculaires et justifient en partie la prime de valorisation. Les prédictions IA (16 638 à 16 506 FCFA) confirment cette anticipation de correction, prévoyant un repli d'environ 5% par rapport au cours actuel. En synthèse, la convergence des signaux techniques de surachat et des prédictions IA suggère une pause dans la dynamique haussière. La recommandation finale est **CONSERVER** avec un niveau de confiance **Moyen**. Le risque global est **Élevé** en raison de la valorisation et de la volatilité. L'horizon d'investissement optimal serait de **moyen terme (3-12 mois)**, attendant une correction pour renforcer la position, ou une confirmation de la croissance fondamentale pour justifier la valorisation actuelle.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197.20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5,398 titres</w:t>
            </w:r>
          </w:p>
        </w:tc>
        <w:tc>
          <w:tcPr>
            <w:tcW w:type="dxa" w:w="2268"/>
            <w:shd w:fill="FFF2CC" w:val="clear"/>
          </w:tcPr>
          <w:p>
            <w:r>
              <w:rPr>
                <w:b/>
                <w:color w:val="503200"/>
                <w:sz w:val="16"/>
              </w:rPr>
              <w:t xml:space="preserve">Cours actuel : </w:t>
            </w:r>
            <w:r>
              <w:rPr>
                <w:color w:val="000000"/>
                <w:sz w:val="17"/>
              </w:rPr>
              <w:t>2,900 FCFA</w:t>
            </w:r>
          </w:p>
          <w:p>
            <w:r>
              <w:rPr>
                <w:b/>
                <w:color w:val="503200"/>
                <w:sz w:val="16"/>
              </w:rPr>
              <w:t xml:space="preserve">Var. 100 jours : </w:t>
            </w:r>
            <w:r>
              <w:rPr>
                <w:b/>
                <w:color w:val="B40000"/>
                <w:sz w:val="17"/>
              </w:rPr>
              <w:t>-3.17%</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32.4%</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3.30% (Faible) — μ=2,829 FCFA, σ=93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β=0.0423 (Défensif) — Cov=0.000002, Var(idx)=0.000036, ρ=0.012,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σ_j=2.04%/j (Stable) — Vol. annualisée≈32.4%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19287"/>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2026-08-13</w:t>
            </w:r>
          </w:p>
        </w:tc>
        <w:tc>
          <w:tcPr>
            <w:tcW w:type="dxa" w:w="1440"/>
            <w:shd w:fill="FAFAFA" w:val="clear"/>
          </w:tcPr>
          <w:p>
            <w:r>
              <w:rPr>
                <w:sz w:val="17"/>
              </w:rPr>
              <w:t>2,810</w:t>
            </w:r>
          </w:p>
        </w:tc>
        <w:tc>
          <w:tcPr>
            <w:tcW w:type="dxa" w:w="1440"/>
            <w:shd w:fill="FAFAFA" w:val="clear"/>
          </w:tcPr>
          <w:p>
            <w:r>
              <w:rPr>
                <w:b/>
                <w:sz w:val="17"/>
              </w:rPr>
              <w:t>2,894</w:t>
            </w:r>
          </w:p>
        </w:tc>
        <w:tc>
          <w:tcPr>
            <w:tcW w:type="dxa" w:w="1440"/>
            <w:shd w:fill="FAFAFA" w:val="clear"/>
          </w:tcPr>
          <w:p>
            <w:r>
              <w:rPr>
                <w:sz w:val="17"/>
              </w:rPr>
              <w:t>2,978</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2026-08-14</w:t>
            </w:r>
          </w:p>
        </w:tc>
        <w:tc>
          <w:tcPr>
            <w:tcW w:type="dxa" w:w="1440"/>
            <w:shd w:fill="FAFAFA" w:val="clear"/>
          </w:tcPr>
          <w:p>
            <w:r>
              <w:rPr>
                <w:sz w:val="17"/>
              </w:rPr>
              <w:t>2,769</w:t>
            </w:r>
          </w:p>
        </w:tc>
        <w:tc>
          <w:tcPr>
            <w:tcW w:type="dxa" w:w="1440"/>
            <w:shd w:fill="FAFAFA" w:val="clear"/>
          </w:tcPr>
          <w:p>
            <w:r>
              <w:rPr>
                <w:b/>
                <w:sz w:val="17"/>
              </w:rPr>
              <w:t>2,887</w:t>
            </w:r>
          </w:p>
        </w:tc>
        <w:tc>
          <w:tcPr>
            <w:tcW w:type="dxa" w:w="1440"/>
            <w:shd w:fill="FAFAFA" w:val="clear"/>
          </w:tcPr>
          <w:p>
            <w:r>
              <w:rPr>
                <w:sz w:val="17"/>
              </w:rPr>
              <w:t>3,006</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2026-08-17</w:t>
            </w:r>
          </w:p>
        </w:tc>
        <w:tc>
          <w:tcPr>
            <w:tcW w:type="dxa" w:w="1440"/>
            <w:shd w:fill="FAFAFA" w:val="clear"/>
          </w:tcPr>
          <w:p>
            <w:r>
              <w:rPr>
                <w:sz w:val="17"/>
              </w:rPr>
              <w:t>2,736</w:t>
            </w:r>
          </w:p>
        </w:tc>
        <w:tc>
          <w:tcPr>
            <w:tcW w:type="dxa" w:w="1440"/>
            <w:shd w:fill="FAFAFA" w:val="clear"/>
          </w:tcPr>
          <w:p>
            <w:r>
              <w:rPr>
                <w:b/>
                <w:sz w:val="17"/>
              </w:rPr>
              <w:t>2,881</w:t>
            </w:r>
          </w:p>
        </w:tc>
        <w:tc>
          <w:tcPr>
            <w:tcW w:type="dxa" w:w="1440"/>
            <w:shd w:fill="FAFAFA" w:val="clear"/>
          </w:tcPr>
          <w:p>
            <w:r>
              <w:rPr>
                <w:sz w:val="17"/>
              </w:rPr>
              <w:t>3,026</w:t>
            </w:r>
          </w:p>
        </w:tc>
        <w:tc>
          <w:tcPr>
            <w:tcW w:type="dxa" w:w="1440"/>
            <w:shd w:fill="FAFAFA" w:val="clear"/>
          </w:tcPr>
          <w:p>
            <w:r>
              <w:rPr>
                <w:b/>
                <w:color w:val="C00000"/>
                <w:sz w:val="17"/>
              </w:rPr>
              <w:t>-0.6%</w:t>
            </w:r>
          </w:p>
        </w:tc>
      </w:tr>
      <w:tr>
        <w:tc>
          <w:tcPr>
            <w:tcW w:type="dxa" w:w="1440"/>
            <w:shd w:fill="FAFAFA" w:val="clear"/>
          </w:tcPr>
          <w:p>
            <w:r>
              <w:rPr>
                <w:sz w:val="17"/>
              </w:rPr>
              <w:t>J+4  Moyenne</w:t>
            </w:r>
          </w:p>
        </w:tc>
        <w:tc>
          <w:tcPr>
            <w:tcW w:type="dxa" w:w="1440"/>
            <w:shd w:fill="FAFAFA" w:val="clear"/>
          </w:tcPr>
          <w:p>
            <w:r>
              <w:rPr>
                <w:sz w:val="17"/>
              </w:rPr>
              <w:t>2026-08-18</w:t>
            </w:r>
          </w:p>
        </w:tc>
        <w:tc>
          <w:tcPr>
            <w:tcW w:type="dxa" w:w="1440"/>
            <w:shd w:fill="FAFAFA" w:val="clear"/>
          </w:tcPr>
          <w:p>
            <w:r>
              <w:rPr>
                <w:sz w:val="17"/>
              </w:rPr>
              <w:t>2,708</w:t>
            </w:r>
          </w:p>
        </w:tc>
        <w:tc>
          <w:tcPr>
            <w:tcW w:type="dxa" w:w="1440"/>
            <w:shd w:fill="FAFAFA" w:val="clear"/>
          </w:tcPr>
          <w:p>
            <w:r>
              <w:rPr>
                <w:b/>
                <w:sz w:val="17"/>
              </w:rPr>
              <w:t>2,875</w:t>
            </w:r>
          </w:p>
        </w:tc>
        <w:tc>
          <w:tcPr>
            <w:tcW w:type="dxa" w:w="1440"/>
            <w:shd w:fill="FAFAFA" w:val="clear"/>
          </w:tcPr>
          <w:p>
            <w:r>
              <w:rPr>
                <w:sz w:val="17"/>
              </w:rPr>
              <w:t>3,043</w:t>
            </w:r>
          </w:p>
        </w:tc>
        <w:tc>
          <w:tcPr>
            <w:tcW w:type="dxa" w:w="1440"/>
            <w:shd w:fill="FAFAFA" w:val="clear"/>
          </w:tcPr>
          <w:p>
            <w:r>
              <w:rPr>
                <w:b/>
                <w:color w:val="C00000"/>
                <w:sz w:val="17"/>
              </w:rPr>
              <w:t>-0.8%</w:t>
            </w:r>
          </w:p>
        </w:tc>
      </w:tr>
      <w:tr>
        <w:tc>
          <w:tcPr>
            <w:tcW w:type="dxa" w:w="1440"/>
            <w:shd w:fill="FAFAFA" w:val="clear"/>
          </w:tcPr>
          <w:p>
            <w:r>
              <w:rPr>
                <w:sz w:val="17"/>
              </w:rPr>
              <w:t>J+5  Moyenne</w:t>
            </w:r>
          </w:p>
        </w:tc>
        <w:tc>
          <w:tcPr>
            <w:tcW w:type="dxa" w:w="1440"/>
            <w:shd w:fill="FAFAFA" w:val="clear"/>
          </w:tcPr>
          <w:p>
            <w:r>
              <w:rPr>
                <w:sz w:val="17"/>
              </w:rPr>
              <w:t>2026-08-19</w:t>
            </w:r>
          </w:p>
        </w:tc>
        <w:tc>
          <w:tcPr>
            <w:tcW w:type="dxa" w:w="1440"/>
            <w:shd w:fill="FAFAFA" w:val="clear"/>
          </w:tcPr>
          <w:p>
            <w:r>
              <w:rPr>
                <w:sz w:val="17"/>
              </w:rPr>
              <w:t>2,683</w:t>
            </w:r>
          </w:p>
        </w:tc>
        <w:tc>
          <w:tcPr>
            <w:tcW w:type="dxa" w:w="1440"/>
            <w:shd w:fill="FAFAFA" w:val="clear"/>
          </w:tcPr>
          <w:p>
            <w:r>
              <w:rPr>
                <w:b/>
                <w:sz w:val="17"/>
              </w:rPr>
              <w:t>2,870</w:t>
            </w:r>
          </w:p>
        </w:tc>
        <w:tc>
          <w:tcPr>
            <w:tcW w:type="dxa" w:w="1440"/>
            <w:shd w:fill="FAFAFA" w:val="clear"/>
          </w:tcPr>
          <w:p>
            <w:r>
              <w:rPr>
                <w:sz w:val="17"/>
              </w:rPr>
              <w:t>3,056</w:t>
            </w:r>
          </w:p>
        </w:tc>
        <w:tc>
          <w:tcPr>
            <w:tcW w:type="dxa" w:w="1440"/>
            <w:shd w:fill="FAFAFA" w:val="clear"/>
          </w:tcPr>
          <w:p>
            <w:r>
              <w:rPr>
                <w:b/>
                <w:color w:val="C00000"/>
                <w:sz w:val="17"/>
              </w:rPr>
              <w:t>-1.0%</w:t>
            </w:r>
          </w:p>
        </w:tc>
      </w:tr>
      <w:tr>
        <w:tc>
          <w:tcPr>
            <w:tcW w:type="dxa" w:w="1440"/>
            <w:shd w:fill="FAFAFA" w:val="clear"/>
          </w:tcPr>
          <w:p>
            <w:r>
              <w:rPr>
                <w:sz w:val="17"/>
              </w:rPr>
              <w:t>J+6  Moyenne</w:t>
            </w:r>
          </w:p>
        </w:tc>
        <w:tc>
          <w:tcPr>
            <w:tcW w:type="dxa" w:w="1440"/>
            <w:shd w:fill="FAFAFA" w:val="clear"/>
          </w:tcPr>
          <w:p>
            <w:r>
              <w:rPr>
                <w:sz w:val="17"/>
              </w:rPr>
              <w:t>2026-08-20</w:t>
            </w:r>
          </w:p>
        </w:tc>
        <w:tc>
          <w:tcPr>
            <w:tcW w:type="dxa" w:w="1440"/>
            <w:shd w:fill="FAFAFA" w:val="clear"/>
          </w:tcPr>
          <w:p>
            <w:r>
              <w:rPr>
                <w:sz w:val="17"/>
              </w:rPr>
              <w:t>2,660</w:t>
            </w:r>
          </w:p>
        </w:tc>
        <w:tc>
          <w:tcPr>
            <w:tcW w:type="dxa" w:w="1440"/>
            <w:shd w:fill="FAFAFA" w:val="clear"/>
          </w:tcPr>
          <w:p>
            <w:r>
              <w:rPr>
                <w:b/>
                <w:sz w:val="17"/>
              </w:rPr>
              <w:t>2,864</w:t>
            </w:r>
          </w:p>
        </w:tc>
        <w:tc>
          <w:tcPr>
            <w:tcW w:type="dxa" w:w="1440"/>
            <w:shd w:fill="FAFAFA" w:val="clear"/>
          </w:tcPr>
          <w:p>
            <w:r>
              <w:rPr>
                <w:sz w:val="17"/>
              </w:rPr>
              <w:t>3,068</w:t>
            </w:r>
          </w:p>
        </w:tc>
        <w:tc>
          <w:tcPr>
            <w:tcW w:type="dxa" w:w="1440"/>
            <w:shd w:fill="FAFAFA" w:val="clear"/>
          </w:tcPr>
          <w:p>
            <w:r>
              <w:rPr>
                <w:b/>
                <w:color w:val="C00000"/>
                <w:sz w:val="17"/>
              </w:rPr>
              <w:t>-1.2%</w:t>
            </w:r>
          </w:p>
        </w:tc>
      </w:tr>
      <w:tr>
        <w:tc>
          <w:tcPr>
            <w:tcW w:type="dxa" w:w="1440"/>
            <w:shd w:fill="FAFAFA" w:val="clear"/>
          </w:tcPr>
          <w:p>
            <w:r>
              <w:rPr>
                <w:sz w:val="17"/>
              </w:rPr>
              <w:t>J+7  Moyenne</w:t>
            </w:r>
          </w:p>
        </w:tc>
        <w:tc>
          <w:tcPr>
            <w:tcW w:type="dxa" w:w="1440"/>
            <w:shd w:fill="FAFAFA" w:val="clear"/>
          </w:tcPr>
          <w:p>
            <w:r>
              <w:rPr>
                <w:sz w:val="17"/>
              </w:rPr>
              <w:t>2026-08-21</w:t>
            </w:r>
          </w:p>
        </w:tc>
        <w:tc>
          <w:tcPr>
            <w:tcW w:type="dxa" w:w="1440"/>
            <w:shd w:fill="FAFAFA" w:val="clear"/>
          </w:tcPr>
          <w:p>
            <w:r>
              <w:rPr>
                <w:sz w:val="17"/>
              </w:rPr>
              <w:t>2,638</w:t>
            </w:r>
          </w:p>
        </w:tc>
        <w:tc>
          <w:tcPr>
            <w:tcW w:type="dxa" w:w="1440"/>
            <w:shd w:fill="FAFAFA" w:val="clear"/>
          </w:tcPr>
          <w:p>
            <w:r>
              <w:rPr>
                <w:b/>
                <w:sz w:val="17"/>
              </w:rPr>
              <w:t>2,858</w:t>
            </w:r>
          </w:p>
        </w:tc>
        <w:tc>
          <w:tcPr>
            <w:tcW w:type="dxa" w:w="1440"/>
            <w:shd w:fill="FAFAFA" w:val="clear"/>
          </w:tcPr>
          <w:p>
            <w:r>
              <w:rPr>
                <w:sz w:val="17"/>
              </w:rPr>
              <w:t>3,078</w:t>
            </w:r>
          </w:p>
        </w:tc>
        <w:tc>
          <w:tcPr>
            <w:tcW w:type="dxa" w:w="1440"/>
            <w:shd w:fill="FAFAFA" w:val="clear"/>
          </w:tcPr>
          <w:p>
            <w:r>
              <w:rPr>
                <w:b/>
                <w:color w:val="C00000"/>
                <w:sz w:val="17"/>
              </w:rPr>
              <w:t>-1.4%</w:t>
            </w:r>
          </w:p>
        </w:tc>
      </w:tr>
      <w:tr>
        <w:tc>
          <w:tcPr>
            <w:tcW w:type="dxa" w:w="1440"/>
            <w:shd w:fill="FAFAFA" w:val="clear"/>
          </w:tcPr>
          <w:p>
            <w:r>
              <w:rPr>
                <w:sz w:val="17"/>
              </w:rPr>
              <w:t>J+8  Moyenne</w:t>
            </w:r>
          </w:p>
        </w:tc>
        <w:tc>
          <w:tcPr>
            <w:tcW w:type="dxa" w:w="1440"/>
            <w:shd w:fill="FAFAFA" w:val="clear"/>
          </w:tcPr>
          <w:p>
            <w:r>
              <w:rPr>
                <w:sz w:val="17"/>
              </w:rPr>
              <w:t>2026-08-24</w:t>
            </w:r>
          </w:p>
        </w:tc>
        <w:tc>
          <w:tcPr>
            <w:tcW w:type="dxa" w:w="1440"/>
            <w:shd w:fill="FAFAFA" w:val="clear"/>
          </w:tcPr>
          <w:p>
            <w:r>
              <w:rPr>
                <w:sz w:val="17"/>
              </w:rPr>
              <w:t>2,618</w:t>
            </w:r>
          </w:p>
        </w:tc>
        <w:tc>
          <w:tcPr>
            <w:tcW w:type="dxa" w:w="1440"/>
            <w:shd w:fill="FAFAFA" w:val="clear"/>
          </w:tcPr>
          <w:p>
            <w:r>
              <w:rPr>
                <w:b/>
                <w:sz w:val="17"/>
              </w:rPr>
              <w:t>2,853</w:t>
            </w:r>
          </w:p>
        </w:tc>
        <w:tc>
          <w:tcPr>
            <w:tcW w:type="dxa" w:w="1440"/>
            <w:shd w:fill="FAFAFA" w:val="clear"/>
          </w:tcPr>
          <w:p>
            <w:r>
              <w:rPr>
                <w:sz w:val="17"/>
              </w:rPr>
              <w:t>3,087</w:t>
            </w:r>
          </w:p>
        </w:tc>
        <w:tc>
          <w:tcPr>
            <w:tcW w:type="dxa" w:w="1440"/>
            <w:shd w:fill="FAFAFA" w:val="clear"/>
          </w:tcPr>
          <w:p>
            <w:r>
              <w:rPr>
                <w:b/>
                <w:color w:val="C00000"/>
                <w:sz w:val="17"/>
              </w:rPr>
              <w:t>-1.6%</w:t>
            </w:r>
          </w:p>
        </w:tc>
      </w:tr>
      <w:tr>
        <w:tc>
          <w:tcPr>
            <w:tcW w:type="dxa" w:w="1440"/>
            <w:shd w:fill="FAFAFA" w:val="clear"/>
          </w:tcPr>
          <w:p>
            <w:r>
              <w:rPr>
                <w:sz w:val="17"/>
              </w:rPr>
              <w:t>J+9  Moyenne</w:t>
            </w:r>
          </w:p>
        </w:tc>
        <w:tc>
          <w:tcPr>
            <w:tcW w:type="dxa" w:w="1440"/>
            <w:shd w:fill="FAFAFA" w:val="clear"/>
          </w:tcPr>
          <w:p>
            <w:r>
              <w:rPr>
                <w:sz w:val="17"/>
              </w:rPr>
              <w:t>2026-08-25</w:t>
            </w:r>
          </w:p>
        </w:tc>
        <w:tc>
          <w:tcPr>
            <w:tcW w:type="dxa" w:w="1440"/>
            <w:shd w:fill="FAFAFA" w:val="clear"/>
          </w:tcPr>
          <w:p>
            <w:r>
              <w:rPr>
                <w:sz w:val="17"/>
              </w:rPr>
              <w:t>2,599</w:t>
            </w:r>
          </w:p>
        </w:tc>
        <w:tc>
          <w:tcPr>
            <w:tcW w:type="dxa" w:w="1440"/>
            <w:shd w:fill="FAFAFA" w:val="clear"/>
          </w:tcPr>
          <w:p>
            <w:r>
              <w:rPr>
                <w:b/>
                <w:sz w:val="17"/>
              </w:rPr>
              <w:t>2,847</w:t>
            </w:r>
          </w:p>
        </w:tc>
        <w:tc>
          <w:tcPr>
            <w:tcW w:type="dxa" w:w="1440"/>
            <w:shd w:fill="FAFAFA" w:val="clear"/>
          </w:tcPr>
          <w:p>
            <w:r>
              <w:rPr>
                <w:sz w:val="17"/>
              </w:rPr>
              <w:t>3,095</w:t>
            </w:r>
          </w:p>
        </w:tc>
        <w:tc>
          <w:tcPr>
            <w:tcW w:type="dxa" w:w="1440"/>
            <w:shd w:fill="FAFAFA" w:val="clear"/>
          </w:tcPr>
          <w:p>
            <w:r>
              <w:rPr>
                <w:b/>
                <w:color w:val="C00000"/>
                <w:sz w:val="17"/>
              </w:rPr>
              <w:t>-1.8%</w:t>
            </w:r>
          </w:p>
        </w:tc>
      </w:tr>
      <w:tr>
        <w:tc>
          <w:tcPr>
            <w:tcW w:type="dxa" w:w="1440"/>
            <w:shd w:fill="FFDCE0" w:val="clear"/>
          </w:tcPr>
          <w:p>
            <w:r>
              <w:rPr>
                <w:sz w:val="17"/>
              </w:rPr>
              <w:t>J+10  Moyenne</w:t>
            </w:r>
          </w:p>
        </w:tc>
        <w:tc>
          <w:tcPr>
            <w:tcW w:type="dxa" w:w="1440"/>
            <w:shd w:fill="FFDCE0" w:val="clear"/>
          </w:tcPr>
          <w:p>
            <w:r>
              <w:rPr>
                <w:sz w:val="17"/>
              </w:rPr>
              <w:t>2026-08-27</w:t>
            </w:r>
          </w:p>
        </w:tc>
        <w:tc>
          <w:tcPr>
            <w:tcW w:type="dxa" w:w="1440"/>
            <w:shd w:fill="FFDCE0" w:val="clear"/>
          </w:tcPr>
          <w:p>
            <w:r>
              <w:rPr>
                <w:sz w:val="17"/>
              </w:rPr>
              <w:t>2,580</w:t>
            </w:r>
          </w:p>
        </w:tc>
        <w:tc>
          <w:tcPr>
            <w:tcW w:type="dxa" w:w="1440"/>
            <w:shd w:fill="FFDCE0" w:val="clear"/>
          </w:tcPr>
          <w:p>
            <w:r>
              <w:rPr>
                <w:b/>
                <w:sz w:val="17"/>
              </w:rPr>
              <w:t>2,842</w:t>
            </w:r>
          </w:p>
        </w:tc>
        <w:tc>
          <w:tcPr>
            <w:tcW w:type="dxa" w:w="1440"/>
            <w:shd w:fill="FFDCE0" w:val="clear"/>
          </w:tcPr>
          <w:p>
            <w:r>
              <w:rPr>
                <w:sz w:val="17"/>
              </w:rPr>
              <w:t>3,103</w:t>
            </w:r>
          </w:p>
        </w:tc>
        <w:tc>
          <w:tcPr>
            <w:tcW w:type="dxa" w:w="1440"/>
            <w:shd w:fill="FFDCE0"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 / MOOV AFRICA BURKINA FASO)**</w:t>
        <w:br/>
        <w:t>**Date de l'analyse :** 12 août 2026</w:t>
        <w:br/>
        <w:t>**Cours de référence :** 2 900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l'ONTBF s'établit à 197,20 milliards FCFA, ce qui en fait une valeur de première importance sur la BRVM, représentant un poids significatif dans l'indice composite. Avec un BPA de 234 FCFA, chaque action génère un bénéfice confortable, justifiant un PER de 12,4x. Ce ratio est légèrement supérieur à la moyenne historique de la place (~8-12x), indiquant que le marché accorde une prime de valorisation, probablement justifiée par la position dominante de l'opérateur et son rendement de dividende élevé. Le P/B de 3,43x confirme cette prime, le marché valorisant l'actif net comptable à plus du triple de sa valeur, signe d'une forte création de valeur passée et anticipée. Enfin, un EV/EBITDA de 5,2x est particulièrement attractif, suggérant que la valeur totale de l'entreprise (dette incluse) reste raisonnable par rapport à sa capacité opérationnelle de génération de cash (EBITDA), offrant ainsi une marge de sécurité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ONTBF affiche une variation totale de -3,17%, avec une légère baisse de -0,17% lors de la dernière séance, reflétant une tendance baissière modérée mais persistante. Le cours a évolué dans un range de trading de 2 610 FCFA (plus bas) à 3 070 FCFA (plus haut), montrant une amplitude de 460 FCFA. La moyenne du cours sur la période (2 829 FCFA) est très proche de la médiane (2 805 FCFA), indiquant une distribution quasi-symétrique des prix, ce qui est confirmé par un skewness de 0.253. L'écart-type de 94 FCFA (CV=3,3%) révèle une dispersion très faible des prix autour de la moyenne, suggérant une stabilité relative. Le kurtosis négatif (-0.538) indique une distribution mésokurtique, sans risque de variations extrêmes ou de "pics" soudains. La volatilité annualisée de 32,4% classe le titre dans la catégorie "élevée" (&gt;30%), ce qui est un point de vigilance pour les investisseurs à court terme, malgré une stabilité statistique sur la période récente.</w:t>
      </w:r>
    </w:p>
    <w:p>
      <w:pPr>
        <w:spacing w:after="120" w:line="276" w:lineRule="auto"/>
      </w:pPr>
      <w:r>
        <w:t>---</w:t>
      </w:r>
    </w:p>
    <w:p>
      <w:pPr>
        <w:spacing w:after="120" w:line="276" w:lineRule="auto"/>
      </w:pPr>
      <w:r>
        <w:t>### PARTIE 2 : ANALYSE TECHNIQUE DÉTAILLÉE</w:t>
      </w:r>
    </w:p>
    <w:p>
      <w:pPr>
        <w:spacing w:after="120" w:line="276" w:lineRule="auto"/>
      </w:pPr>
      <w:r>
        <w:t>**Moyennes Mobiles :** La MM20 (2 833 FCFA) et la MM50 (2 829,5 FCFA) sont toutes deux inférieures au cours actuel de 2 900 FCFA. Cette configuration, où le prix est au-dessus de ses moyennes mobiles, est un signal haussier classique. Le fait que la MM20 soit supérieure à la MM50 indique un momentum positif à court terme. La décision est donc un **Achat**, confirmant une dynamique de reprise après la période de faiblesse.</w:t>
      </w:r>
    </w:p>
    <w:p>
      <w:pPr>
        <w:spacing w:after="120" w:line="276" w:lineRule="auto"/>
      </w:pPr>
      <w:r>
        <w:t>**Bandes de Bollinger :** Le cours (2 900 FCFA) se situe dans la partie médiane-haute du canal formé par les bandes (borne supérieure à 3 045 FCFA, borne inférieure à 2 621 FCFA). La largeur du canal indique une volatilité modérée. Le prix n'étant pas en contact avec les bornes, il n'y a pas de signal de surachat ou de survente immédiat. La décision est **Neutre**, le marché laissant la place à une évolution dans le canal avant un breakout potentiel.</w:t>
      </w:r>
    </w:p>
    <w:p>
      <w:pPr>
        <w:spacing w:after="120" w:line="276" w:lineRule="auto"/>
      </w:pPr>
      <w:r>
        <w:t>**MACD :** La valeur du MACD (39,128) est supérieure à son signal (30,645), et les deux sont positifs. Cette configuration montre un momentum haussier clair et croissant. La divergence positive entre la ligne MACD et le signal est un signal d'achat fort, indiquant que la dynamique de prix est en train de s'accélérer à la hausse. La décision est un **Achat**.</w:t>
      </w:r>
    </w:p>
    <w:p>
      <w:pPr>
        <w:spacing w:after="120" w:line="276" w:lineRule="auto"/>
      </w:pPr>
      <w:r>
        <w:t>**RSI :** Avec une valeur de 64,22, le RSI est en territoire positif mais en dessous du seuil de surachat (70). Il indique une pression acheteuse significative sans pour autant signaler une exubérance excessive. Le titre dispose donc d'une marge de progression avant d'être considéré comme survendu. La décision est **Neutre**, avec un biais haussier.</w:t>
      </w:r>
    </w:p>
    <w:p>
      <w:pPr>
        <w:spacing w:after="120" w:line="276" w:lineRule="auto"/>
      </w:pPr>
      <w:r>
        <w:t>**Stochastique :** Le %K (56,818) est inférieur au %D (62,273), ce qui indique un croisement baissier à court terme. Cependant, les deux valeurs restent dans la zone neutre (au-dessus de 50), ce qui suggère que la correction est mineure et pourrait être temporaire. La décision est **Neutre**, signalant une consolidation au sein d'une tendance plus large.</w:t>
      </w:r>
    </w:p>
    <w:p>
      <w:pPr>
        <w:spacing w:after="120" w:line="276" w:lineRule="auto"/>
      </w:pPr>
      <w:r>
        <w:t>**Conclusion technique :** Les indicateurs de tendance (Moyennes Mobiles, MACD) sont clairement positifs et suggèrent une dynamique haussière. Les oscillateurs (RSI, Stochastique) sont neutres, indiquant une consolidation saine après les récentes variations. L'absence de signaux de surachat ou de survente extrême, combinée à une tendance de fond positive, suggère que le titre pourrait poursuivre sa progression. Le signal global est donc **positif**, avec un potentiel de hausse si le cours parvient à franchir la borne supérieure de Bollinger.</w:t>
      </w:r>
    </w:p>
    <w:p>
      <w:pPr>
        <w:spacing w:after="120" w:line="276" w:lineRule="auto"/>
      </w:pPr>
      <w:r>
        <w:t>---</w:t>
      </w:r>
    </w:p>
    <w:p>
      <w:pPr>
        <w:spacing w:after="120" w:line="276" w:lineRule="auto"/>
      </w:pPr>
      <w:r>
        <w:t>### PARTIE 3 : ANALYSE FONDAMENTALE (SECTION CRITIQUE)</w:t>
      </w:r>
    </w:p>
    <w:p>
      <w:pPr>
        <w:spacing w:after="120" w:line="276" w:lineRule="auto"/>
      </w:pPr>
      <w:r>
        <w:t>En 2025, l'ONTBF (classée dans le secteur bancaire par la base de données, bien que son activité soit celle d'un opérateur télécoms) affiche un PNB/CA de 146,177 milliards FCFA, en hausse de 3,1% par rapport à 2024. Le résultat net s'établit à 15,887 milliards FCFA, en net recul de 26% par rapport à l'exercice précédent (21,47 Mds FCFA). Cette baisse de rentabilité est confirmée par la dégradation du ROE, qui reste excellent à 27,61% (contre 34,3% en 2024), et du ROA à 4,89%. Le coefficient d'exploitation de 67,07% (contre un idéal de &lt;60% pour une banque) révèle une pression sur l'efficacité opérationnelle, due à la hausse des charges (énergie, maintenance, indemnités). Le coût du risque de 3,57% est un point de vigilance, indiquant des provisions significatives. Les rapports trimestriels de 2025 (T1, S1, 9 mois) montrent une érosion continue des marges, avec un taux d'EBITDA passant de 47% (T1 2024) à 39,3% (9 mois 2025). Sur la base de ces tendances, on estime que l'exercice 2026 pourrait voir une stabilisation du chiffre d'affaires, mais une pression persistante sur la rentabilité si les coûts ne sont pas maîtrisés. Le rapport du T1 2026 (publié en avril 2026) montre une croissance du CA de 2,7% à 37,1 Mds FCFA, mais un résultat net en légère baisse, confirmant la tendance. La solidité financière reste néanmoins assurée par une CAF massive de 46,95 Mds FCFA, permettant de financer les investissements et de maintenir un dividende élevé de 166,08 FCFA par action proposé pour 2025.</w:t>
      </w:r>
    </w:p>
    <w:p>
      <w:pPr>
        <w:spacing w:after="120" w:line="276" w:lineRule="auto"/>
      </w:pPr>
      <w:r>
        <w:t>---</w:t>
      </w:r>
    </w:p>
    <w:p>
      <w:pPr>
        <w:spacing w:after="120" w:line="276" w:lineRule="auto"/>
      </w:pPr>
      <w:r>
        <w:t>### PARTIE 4 : CONCLUSION D'INVESTISSEMENT</w:t>
      </w:r>
    </w:p>
    <w:p>
      <w:pPr>
        <w:spacing w:after="120" w:line="276" w:lineRule="auto"/>
      </w:pPr>
      <w:r>
        <w:t>La valorisation de l'ONTBF (PER 12,4x, P/B 3,43x) est modérée mais intègre une prime de croissance et de rendement, tandis que l'EV/EBITDA (5,2x) suggère un potentiel de hausse. Le comportement du cours sur 100 jours est stable mais légèrement baissier, avec une volatilité élevée qui peut rebuter les investisseurs à court terme. Les signaux techniques sont majoritairement positifs (MM, MACD), indiquant un momentum haussier, mais les oscillateurs neutres suggèrent une consolidation. Les fondamentaux sont solides (ROE &gt; 27%, CAF massive) mais montrent une dégradation de la rentabilité nette, un risque à surveiller. Les prédictions IA pour les 10 prochains jours (baisse progressive de 2 894 à 2 870 FCFA) contredisent légèrement le signal technique haussier, suggérant une consolidation à court terme. En synthèse, le titre présente un profil équilibré : une valorisation raisonnable, des fondamentaux robustes mais en perte de vitesse, et des signaux techniques positifs. La recommandation est de **CONSERVER** le titre, avec un niveau de confiance **Moyen**. Le risque global est **Moyen**, principalement lié à la pression sur les marges et au contexte sécuritaire. L'horizon d'investissement optimal est le **moyen terme (3-12 mois)**, en attendant une inflexion visible de la rentabilité ou une amélioration du contexte opérationnel pour envisager un renforcement de la position.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2599.56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2,285 titres</w:t>
            </w:r>
          </w:p>
        </w:tc>
        <w:tc>
          <w:tcPr>
            <w:tcW w:type="dxa" w:w="2268"/>
            <w:shd w:fill="FFF2CC" w:val="clear"/>
          </w:tcPr>
          <w:p>
            <w:r>
              <w:rPr>
                <w:b/>
                <w:color w:val="503200"/>
                <w:sz w:val="16"/>
              </w:rPr>
              <w:t xml:space="preserve">Cours actuel : </w:t>
            </w:r>
            <w:r>
              <w:rPr>
                <w:color w:val="000000"/>
                <w:sz w:val="17"/>
              </w:rPr>
              <w:t>17,255 FCFA</w:t>
            </w:r>
          </w:p>
          <w:p>
            <w:r>
              <w:rPr>
                <w:b/>
                <w:color w:val="503200"/>
                <w:sz w:val="16"/>
              </w:rPr>
              <w:t xml:space="preserve">Var. 100 jours : </w:t>
            </w:r>
            <w:r>
              <w:rPr>
                <w:b/>
                <w:color w:val="007800"/>
                <w:sz w:val="17"/>
              </w:rPr>
              <w:t>+15.03%</w:t>
            </w:r>
          </w:p>
          <w:p>
            <w:r>
              <w:rPr>
                <w:b/>
                <w:color w:val="503200"/>
                <w:sz w:val="16"/>
              </w:rPr>
              <w:t xml:space="preserve">Plus haut 100j : </w:t>
            </w:r>
            <w:r>
              <w:rPr>
                <w:color w:val="000000"/>
                <w:sz w:val="17"/>
              </w:rPr>
              <w:t>17,255 FCFA</w:t>
            </w:r>
          </w:p>
          <w:p>
            <w:r>
              <w:rPr>
                <w:b/>
                <w:color w:val="503200"/>
                <w:sz w:val="16"/>
              </w:rPr>
              <w:t xml:space="preserve">Plus bas 100j : </w:t>
            </w:r>
            <w:r>
              <w:rPr>
                <w:color w:val="000000"/>
                <w:sz w:val="17"/>
              </w:rPr>
              <w:t>14,200 FCFA</w:t>
            </w:r>
          </w:p>
          <w:p>
            <w:r>
              <w:rPr>
                <w:b/>
                <w:color w:val="503200"/>
                <w:sz w:val="16"/>
              </w:rPr>
              <w:t xml:space="preserve">Volatilité ann. : </w:t>
            </w:r>
            <w:r>
              <w:rPr>
                <w:color w:val="000000"/>
                <w:sz w:val="17"/>
              </w:rPr>
              <w:t>29.9%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18.1/100 → Faible</w:t>
      </w:r>
    </w:p>
    <w:p>
      <w:pPr>
        <w:spacing w:before="40" w:after="80"/>
      </w:pPr>
      <w:r>
        <w:rPr>
          <w:rFonts w:ascii="Courier New" w:hAnsi="Courier New"/>
          <w:color w:val="006400"/>
          <w:sz w:val="18"/>
        </w:rPr>
        <w:t>███░░░░░░░░░░░░░░░░░  18.1/100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4.92% (Faible) — μ=15,770 FCFA, σ=776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β=1.3426 (Agressif) — Cov=0.000049, Var(idx)=0.000036, ρ=0.427,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2,285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2026-08-13</w:t>
            </w:r>
          </w:p>
        </w:tc>
        <w:tc>
          <w:tcPr>
            <w:tcW w:type="dxa" w:w="1440"/>
            <w:shd w:fill="FAFAFA" w:val="clear"/>
          </w:tcPr>
          <w:p>
            <w:r>
              <w:rPr>
                <w:sz w:val="17"/>
              </w:rPr>
              <w:t>16,589</w:t>
            </w:r>
          </w:p>
        </w:tc>
        <w:tc>
          <w:tcPr>
            <w:tcW w:type="dxa" w:w="1440"/>
            <w:shd w:fill="FAFAFA" w:val="clear"/>
          </w:tcPr>
          <w:p>
            <w:r>
              <w:rPr>
                <w:b/>
                <w:sz w:val="17"/>
              </w:rPr>
              <w:t>17,035</w:t>
            </w:r>
          </w:p>
        </w:tc>
        <w:tc>
          <w:tcPr>
            <w:tcW w:type="dxa" w:w="1440"/>
            <w:shd w:fill="FAFAFA" w:val="clear"/>
          </w:tcPr>
          <w:p>
            <w:r>
              <w:rPr>
                <w:sz w:val="17"/>
              </w:rPr>
              <w:t>17,480</w:t>
            </w:r>
          </w:p>
        </w:tc>
        <w:tc>
          <w:tcPr>
            <w:tcW w:type="dxa" w:w="1440"/>
            <w:shd w:fill="FAFAFA" w:val="clear"/>
          </w:tcPr>
          <w:p>
            <w:r>
              <w:rPr>
                <w:b/>
                <w:color w:val="C00000"/>
                <w:sz w:val="17"/>
              </w:rPr>
              <w:t>-1.3%</w:t>
            </w:r>
          </w:p>
        </w:tc>
      </w:tr>
      <w:tr>
        <w:tc>
          <w:tcPr>
            <w:tcW w:type="dxa" w:w="1440"/>
            <w:shd w:fill="FAFAFA" w:val="clear"/>
          </w:tcPr>
          <w:p>
            <w:r>
              <w:rPr>
                <w:sz w:val="17"/>
              </w:rPr>
              <w:t>J+2  Moyenne</w:t>
            </w:r>
          </w:p>
        </w:tc>
        <w:tc>
          <w:tcPr>
            <w:tcW w:type="dxa" w:w="1440"/>
            <w:shd w:fill="FAFAFA" w:val="clear"/>
          </w:tcPr>
          <w:p>
            <w:r>
              <w:rPr>
                <w:sz w:val="17"/>
              </w:rPr>
              <w:t>2026-08-14</w:t>
            </w:r>
          </w:p>
        </w:tc>
        <w:tc>
          <w:tcPr>
            <w:tcW w:type="dxa" w:w="1440"/>
            <w:shd w:fill="FAFAFA" w:val="clear"/>
          </w:tcPr>
          <w:p>
            <w:r>
              <w:rPr>
                <w:sz w:val="17"/>
              </w:rPr>
              <w:t>16,390</w:t>
            </w:r>
          </w:p>
        </w:tc>
        <w:tc>
          <w:tcPr>
            <w:tcW w:type="dxa" w:w="1440"/>
            <w:shd w:fill="FAFAFA" w:val="clear"/>
          </w:tcPr>
          <w:p>
            <w:r>
              <w:rPr>
                <w:b/>
                <w:sz w:val="17"/>
              </w:rPr>
              <w:t>17,019</w:t>
            </w:r>
          </w:p>
        </w:tc>
        <w:tc>
          <w:tcPr>
            <w:tcW w:type="dxa" w:w="1440"/>
            <w:shd w:fill="FAFAFA" w:val="clear"/>
          </w:tcPr>
          <w:p>
            <w:r>
              <w:rPr>
                <w:sz w:val="17"/>
              </w:rPr>
              <w:t>17,649</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2026-08-17</w:t>
            </w:r>
          </w:p>
        </w:tc>
        <w:tc>
          <w:tcPr>
            <w:tcW w:type="dxa" w:w="1440"/>
            <w:shd w:fill="FAFAFA" w:val="clear"/>
          </w:tcPr>
          <w:p>
            <w:r>
              <w:rPr>
                <w:sz w:val="17"/>
              </w:rPr>
              <w:t>16,219</w:t>
            </w:r>
          </w:p>
        </w:tc>
        <w:tc>
          <w:tcPr>
            <w:tcW w:type="dxa" w:w="1440"/>
            <w:shd w:fill="FAFAFA" w:val="clear"/>
          </w:tcPr>
          <w:p>
            <w:r>
              <w:rPr>
                <w:b/>
                <w:sz w:val="17"/>
              </w:rPr>
              <w:t>16,988</w:t>
            </w:r>
          </w:p>
        </w:tc>
        <w:tc>
          <w:tcPr>
            <w:tcW w:type="dxa" w:w="1440"/>
            <w:shd w:fill="FAFAFA" w:val="clear"/>
          </w:tcPr>
          <w:p>
            <w:r>
              <w:rPr>
                <w:sz w:val="17"/>
              </w:rPr>
              <w:t>17,758</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2026-08-18</w:t>
            </w:r>
          </w:p>
        </w:tc>
        <w:tc>
          <w:tcPr>
            <w:tcW w:type="dxa" w:w="1440"/>
            <w:shd w:fill="FAFAFA" w:val="clear"/>
          </w:tcPr>
          <w:p>
            <w:r>
              <w:rPr>
                <w:sz w:val="17"/>
              </w:rPr>
              <w:t>16,068</w:t>
            </w:r>
          </w:p>
        </w:tc>
        <w:tc>
          <w:tcPr>
            <w:tcW w:type="dxa" w:w="1440"/>
            <w:shd w:fill="FAFAFA" w:val="clear"/>
          </w:tcPr>
          <w:p>
            <w:r>
              <w:rPr>
                <w:b/>
                <w:sz w:val="17"/>
              </w:rPr>
              <w:t>16,955</w:t>
            </w:r>
          </w:p>
        </w:tc>
        <w:tc>
          <w:tcPr>
            <w:tcW w:type="dxa" w:w="1440"/>
            <w:shd w:fill="FAFAFA" w:val="clear"/>
          </w:tcPr>
          <w:p>
            <w:r>
              <w:rPr>
                <w:sz w:val="17"/>
              </w:rPr>
              <w:t>17,842</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2026-08-19</w:t>
            </w:r>
          </w:p>
        </w:tc>
        <w:tc>
          <w:tcPr>
            <w:tcW w:type="dxa" w:w="1440"/>
            <w:shd w:fill="FAFAFA" w:val="clear"/>
          </w:tcPr>
          <w:p>
            <w:r>
              <w:rPr>
                <w:sz w:val="17"/>
              </w:rPr>
              <w:t>15,932</w:t>
            </w:r>
          </w:p>
        </w:tc>
        <w:tc>
          <w:tcPr>
            <w:tcW w:type="dxa" w:w="1440"/>
            <w:shd w:fill="FAFAFA" w:val="clear"/>
          </w:tcPr>
          <w:p>
            <w:r>
              <w:rPr>
                <w:b/>
                <w:sz w:val="17"/>
              </w:rPr>
              <w:t>16,921</w:t>
            </w:r>
          </w:p>
        </w:tc>
        <w:tc>
          <w:tcPr>
            <w:tcW w:type="dxa" w:w="1440"/>
            <w:shd w:fill="FAFAFA" w:val="clear"/>
          </w:tcPr>
          <w:p>
            <w:r>
              <w:rPr>
                <w:sz w:val="17"/>
              </w:rPr>
              <w:t>17,911</w:t>
            </w:r>
          </w:p>
        </w:tc>
        <w:tc>
          <w:tcPr>
            <w:tcW w:type="dxa" w:w="1440"/>
            <w:shd w:fill="FAFAFA" w:val="clear"/>
          </w:tcPr>
          <w:p>
            <w:r>
              <w:rPr>
                <w:b/>
                <w:color w:val="C00000"/>
                <w:sz w:val="17"/>
              </w:rPr>
              <w:t>-1.9%</w:t>
            </w:r>
          </w:p>
        </w:tc>
      </w:tr>
      <w:tr>
        <w:tc>
          <w:tcPr>
            <w:tcW w:type="dxa" w:w="1440"/>
            <w:shd w:fill="FFDCE0" w:val="clear"/>
          </w:tcPr>
          <w:p>
            <w:r>
              <w:rPr>
                <w:sz w:val="17"/>
              </w:rPr>
              <w:t>J+6  ⭐</w:t>
            </w:r>
          </w:p>
        </w:tc>
        <w:tc>
          <w:tcPr>
            <w:tcW w:type="dxa" w:w="1440"/>
            <w:shd w:fill="FFDCE0" w:val="clear"/>
          </w:tcPr>
          <w:p>
            <w:r>
              <w:rPr>
                <w:sz w:val="17"/>
              </w:rPr>
              <w:t>2026-08-20</w:t>
            </w:r>
          </w:p>
        </w:tc>
        <w:tc>
          <w:tcPr>
            <w:tcW w:type="dxa" w:w="1440"/>
            <w:shd w:fill="FFDCE0" w:val="clear"/>
          </w:tcPr>
          <w:p>
            <w:r>
              <w:rPr>
                <w:sz w:val="17"/>
              </w:rPr>
              <w:t>15,807</w:t>
            </w:r>
          </w:p>
        </w:tc>
        <w:tc>
          <w:tcPr>
            <w:tcW w:type="dxa" w:w="1440"/>
            <w:shd w:fill="FFDCE0" w:val="clear"/>
          </w:tcPr>
          <w:p>
            <w:r>
              <w:rPr>
                <w:b/>
                <w:sz w:val="17"/>
              </w:rPr>
              <w:t>16,889</w:t>
            </w:r>
          </w:p>
        </w:tc>
        <w:tc>
          <w:tcPr>
            <w:tcW w:type="dxa" w:w="1440"/>
            <w:shd w:fill="FFDCE0" w:val="clear"/>
          </w:tcPr>
          <w:p>
            <w:r>
              <w:rPr>
                <w:sz w:val="17"/>
              </w:rPr>
              <w:t>17,970</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2026-08-21</w:t>
            </w:r>
          </w:p>
        </w:tc>
        <w:tc>
          <w:tcPr>
            <w:tcW w:type="dxa" w:w="1440"/>
            <w:shd w:fill="FFDCE0" w:val="clear"/>
          </w:tcPr>
          <w:p>
            <w:r>
              <w:rPr>
                <w:sz w:val="17"/>
              </w:rPr>
              <w:t>15,690</w:t>
            </w:r>
          </w:p>
        </w:tc>
        <w:tc>
          <w:tcPr>
            <w:tcW w:type="dxa" w:w="1440"/>
            <w:shd w:fill="FFDCE0" w:val="clear"/>
          </w:tcPr>
          <w:p>
            <w:r>
              <w:rPr>
                <w:b/>
                <w:sz w:val="17"/>
              </w:rPr>
              <w:t>16,856</w:t>
            </w:r>
          </w:p>
        </w:tc>
        <w:tc>
          <w:tcPr>
            <w:tcW w:type="dxa" w:w="1440"/>
            <w:shd w:fill="FFDCE0" w:val="clear"/>
          </w:tcPr>
          <w:p>
            <w:r>
              <w:rPr>
                <w:sz w:val="17"/>
              </w:rPr>
              <w:t>18,023</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2026-08-24</w:t>
            </w:r>
          </w:p>
        </w:tc>
        <w:tc>
          <w:tcPr>
            <w:tcW w:type="dxa" w:w="1440"/>
            <w:shd w:fill="FFDCE0" w:val="clear"/>
          </w:tcPr>
          <w:p>
            <w:r>
              <w:rPr>
                <w:sz w:val="17"/>
              </w:rPr>
              <w:t>15,580</w:t>
            </w:r>
          </w:p>
        </w:tc>
        <w:tc>
          <w:tcPr>
            <w:tcW w:type="dxa" w:w="1440"/>
            <w:shd w:fill="FFDCE0" w:val="clear"/>
          </w:tcPr>
          <w:p>
            <w:r>
              <w:rPr>
                <w:b/>
                <w:sz w:val="17"/>
              </w:rPr>
              <w:t>16,825</w:t>
            </w:r>
          </w:p>
        </w:tc>
        <w:tc>
          <w:tcPr>
            <w:tcW w:type="dxa" w:w="1440"/>
            <w:shd w:fill="FFDCE0" w:val="clear"/>
          </w:tcPr>
          <w:p>
            <w:r>
              <w:rPr>
                <w:sz w:val="17"/>
              </w:rPr>
              <w:t>18,069</w:t>
            </w:r>
          </w:p>
        </w:tc>
        <w:tc>
          <w:tcPr>
            <w:tcW w:type="dxa" w:w="1440"/>
            <w:shd w:fill="FFDCE0" w:val="clear"/>
          </w:tcPr>
          <w:p>
            <w:r>
              <w:rPr>
                <w:b/>
                <w:color w:val="C00000"/>
                <w:sz w:val="17"/>
              </w:rPr>
              <w:t>-2.5%</w:t>
            </w:r>
          </w:p>
        </w:tc>
      </w:tr>
      <w:tr>
        <w:tc>
          <w:tcPr>
            <w:tcW w:type="dxa" w:w="1440"/>
            <w:shd w:fill="FFDCE0" w:val="clear"/>
          </w:tcPr>
          <w:p>
            <w:r>
              <w:rPr>
                <w:sz w:val="17"/>
              </w:rPr>
              <w:t>J+9  ⭐</w:t>
            </w:r>
          </w:p>
        </w:tc>
        <w:tc>
          <w:tcPr>
            <w:tcW w:type="dxa" w:w="1440"/>
            <w:shd w:fill="FFDCE0" w:val="clear"/>
          </w:tcPr>
          <w:p>
            <w:r>
              <w:rPr>
                <w:sz w:val="17"/>
              </w:rPr>
              <w:t>2026-08-25</w:t>
            </w:r>
          </w:p>
        </w:tc>
        <w:tc>
          <w:tcPr>
            <w:tcW w:type="dxa" w:w="1440"/>
            <w:shd w:fill="FFDCE0" w:val="clear"/>
          </w:tcPr>
          <w:p>
            <w:r>
              <w:rPr>
                <w:sz w:val="17"/>
              </w:rPr>
              <w:t>15,476</w:t>
            </w:r>
          </w:p>
        </w:tc>
        <w:tc>
          <w:tcPr>
            <w:tcW w:type="dxa" w:w="1440"/>
            <w:shd w:fill="FFDCE0" w:val="clear"/>
          </w:tcPr>
          <w:p>
            <w:r>
              <w:rPr>
                <w:b/>
                <w:sz w:val="17"/>
              </w:rPr>
              <w:t>16,794</w:t>
            </w:r>
          </w:p>
        </w:tc>
        <w:tc>
          <w:tcPr>
            <w:tcW w:type="dxa" w:w="1440"/>
            <w:shd w:fill="FFDCE0" w:val="clear"/>
          </w:tcPr>
          <w:p>
            <w:r>
              <w:rPr>
                <w:sz w:val="17"/>
              </w:rPr>
              <w:t>18,111</w:t>
            </w:r>
          </w:p>
        </w:tc>
        <w:tc>
          <w:tcPr>
            <w:tcW w:type="dxa" w:w="1440"/>
            <w:shd w:fill="FFDCE0" w:val="clear"/>
          </w:tcPr>
          <w:p>
            <w:r>
              <w:rPr>
                <w:b/>
                <w:color w:val="C00000"/>
                <w:sz w:val="17"/>
              </w:rPr>
              <w:t>-2.7%</w:t>
            </w:r>
          </w:p>
        </w:tc>
      </w:tr>
      <w:tr>
        <w:tc>
          <w:tcPr>
            <w:tcW w:type="dxa" w:w="1440"/>
            <w:shd w:fill="FFDCE0" w:val="clear"/>
          </w:tcPr>
          <w:p>
            <w:r>
              <w:rPr>
                <w:sz w:val="17"/>
              </w:rPr>
              <w:t>J+10  ⭐</w:t>
            </w:r>
          </w:p>
        </w:tc>
        <w:tc>
          <w:tcPr>
            <w:tcW w:type="dxa" w:w="1440"/>
            <w:shd w:fill="FFDCE0" w:val="clear"/>
          </w:tcPr>
          <w:p>
            <w:r>
              <w:rPr>
                <w:sz w:val="17"/>
              </w:rPr>
              <w:t>2026-08-27</w:t>
            </w:r>
          </w:p>
        </w:tc>
        <w:tc>
          <w:tcPr>
            <w:tcW w:type="dxa" w:w="1440"/>
            <w:shd w:fill="FFDCE0" w:val="clear"/>
          </w:tcPr>
          <w:p>
            <w:r>
              <w:rPr>
                <w:sz w:val="17"/>
              </w:rPr>
              <w:t>15,377</w:t>
            </w:r>
          </w:p>
        </w:tc>
        <w:tc>
          <w:tcPr>
            <w:tcW w:type="dxa" w:w="1440"/>
            <w:shd w:fill="FFDCE0" w:val="clear"/>
          </w:tcPr>
          <w:p>
            <w:r>
              <w:rPr>
                <w:b/>
                <w:sz w:val="17"/>
              </w:rPr>
              <w:t>16,763</w:t>
            </w:r>
          </w:p>
        </w:tc>
        <w:tc>
          <w:tcPr>
            <w:tcW w:type="dxa" w:w="1440"/>
            <w:shd w:fill="FFDCE0" w:val="clear"/>
          </w:tcPr>
          <w:p>
            <w:r>
              <w:rPr>
                <w:sz w:val="17"/>
              </w:rPr>
              <w:t>18,150</w:t>
            </w:r>
          </w:p>
        </w:tc>
        <w:tc>
          <w:tcPr>
            <w:tcW w:type="dxa" w:w="1440"/>
            <w:shd w:fill="FFDCE0" w:val="clear"/>
          </w:tcPr>
          <w:p>
            <w:r>
              <w:rPr>
                <w:b/>
                <w:color w:val="C00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2 599,56 milliards FCFA, un poids considérable qui représente environ 26% de la capitalisation totale de la BRVM, confirmant le statut de valeur phare du marché régional. Avec un BPA de 1 114 FCFA, chaque action génère un bénéfice substantiel, justifiant un PER de 15,5x, nettement supérieur à la moyenne historique de la BRVM (8-12x). Cette prime traduit la confiance des investisseurs dans la capacité de croissance du groupe, même si elle implique un prix d'entrée plus élevé. Le P/B de 3,67x indique que le marché valorise les actifs de la société bien au-delà de leur valeur comptable, une prime de croissance accordée aux leaders disposant d'avantages concurrentiels durables. Enfin, l'EV/EBITDA de 6,3x, dans la fourchette raisonnable de 5-10x, suggère que la valeur totale de l'entreprise reste cohérente avec sa capacité opérationnelle à générer des flux, tempérant ainsi la cherté relative du PER.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ORAC a enregistré une progression remarquable de +15,03%, avec une dernière séance en hausse de +1,20%, clôturant à 17 255 FCFA, son plus haut niveau sur la période. Le cours a évolué dans une fourchette de 14 200 à 17 255 FCFA, démontrant une tendance résolument haussière, portée par la publication de résultats trimestriels solides. La moyenne (15 770 FCFA) et la médiane (15 800 FCFA) étant très proches, la distribution des prix est symétrique, comme le confirme le skewness de 0,148. L'écart-type de 780 FCFA, avec un coefficient de variation de seulement 4,9%, indique une dispersion relativement faible des cours autour de la moyenne, signe d'une stabilité relative malgré la tendance haussière. Le kurtosis négatif de -1,163 (platykurtique) révèle une distribution aplatie, avec moins de valeurs extrêmes que la normale, réduisant le risque de pics violents. La volatilité annualisée de 29,9% positionne le titre dans la zone supérieure de la volatilité modérée, proche du seuil de 30%, reflétant une certaine nervosité du marché mais sans excès.</w:t>
      </w:r>
    </w:p>
    <w:p>
      <w:pPr>
        <w:spacing w:after="120" w:line="276" w:lineRule="auto" w:before="240"/>
      </w:pPr>
      <w:r>
        <w:rPr>
          <w:b/>
          <w:color w:val="003366"/>
          <w:sz w:val="24"/>
        </w:rPr>
        <w:t>**PARTIE 2 : ANALYSE TECHNIQUE DÉTAILLÉE**</w:t>
      </w:r>
    </w:p>
    <w:p>
      <w:pPr>
        <w:spacing w:after="120" w:line="276" w:lineRule="auto"/>
      </w:pPr>
      <w:r>
        <w:t>**Moyennes Mobiles** : Le cours actuel de 17 255 FCFA se situe nettement au-dessus de la MM20 (16 645,75 FCFA) et de la MM50 (16 423,8 FCFA), confirmant une dynamique haussière solide à court et moyen terme. La configuration des moyennes mobiles, avec la MM20 au-dessus de la MM50, valide la tendance ascendante et justifie la décision d'Achat.</w:t>
      </w:r>
    </w:p>
    <w:p>
      <w:pPr>
        <w:spacing w:after="120" w:line="276" w:lineRule="auto"/>
      </w:pPr>
      <w:r>
        <w:t>**Bandes de Bollinger** : Le prix évolue proche de la borne supérieure (17 564,7 FCFA), indiquant une pression acheteuse soutenue. La largeur des bandes reflète une volatilité modérée, et le fait que le cours n'ait pas encore franchi la borne supérieure suggère une poursuite possible de la tendance, bien que la décision soit Neutre, le marché semblant temporiser à ces niveaux.</w:t>
      </w:r>
    </w:p>
    <w:p>
      <w:pPr>
        <w:spacing w:after="120" w:line="276" w:lineRule="auto"/>
      </w:pPr>
      <w:r>
        <w:t>**MACD** : Le MACD (247,343) est nettement au-dessus de sa ligne de signal (203,702), avec un écart positif croissant. Cette configuration indique un momentum haussier robuste et une accélération de la tendance, justifiant la décision d'Achat. La dynamique positive du MACD confirme la vigueur du mouvement actuel.</w:t>
      </w:r>
    </w:p>
    <w:p>
      <w:pPr>
        <w:spacing w:after="120" w:line="276" w:lineRule="auto"/>
      </w:pPr>
      <w:r>
        <w:t>**RSI** : Le RSI à 89,063 est extrêmement élevé, bien au-delà du seuil de surachat de 70. Cette valeur indique que le titre est fortement suracheté à court terme, signalant un risque imminent de correction ou de consolidation. La décision de Vente est justifiée par cette situation de surachat extrême, qui appelle à la prudence malgré la tendance haussière.</w:t>
      </w:r>
    </w:p>
    <w:p>
      <w:pPr>
        <w:spacing w:after="120" w:line="276" w:lineRule="auto"/>
      </w:pPr>
      <w:r>
        <w:t>**Stochastique** : Le %K à 100,0 et le %D à 91,474 sont tous deux en zone de surachat extrême, avec le %K au maximum absolu. Cette configuration signale une faiblesse imminente du momentum, le marché étant saturé d'acheteurs. La décision de Vente est cohérente avec cette lecture, suggérant un essoufflement probable à très court terme.</w:t>
      </w:r>
    </w:p>
    <w:p>
      <w:pPr>
        <w:spacing w:after="120" w:line="276" w:lineRule="auto"/>
      </w:pPr>
      <w:r>
        <w:t>**Conclusion technique** : La convergence des indicateurs de tendance (MM, MACD) vers l'Achat contraste fortement avec les oscillateurs de momentum (RSI, Stochastique) en surachat extrême. Cette divergence classique en fin de tendance suggère qu'une consolidation ou un repli technique est probable à court terme, avant une éventuelle reprise de la tendance haussière. La prudence est donc de mise pour les entrées à court terme.</w:t>
      </w:r>
    </w:p>
    <w:p>
      <w:pPr>
        <w:spacing w:after="120" w:line="276" w:lineRule="auto" w:before="240"/>
      </w:pPr>
      <w:r>
        <w:rPr>
          <w:b/>
          <w:color w:val="003366"/>
          <w:sz w:val="24"/>
        </w:rPr>
        <w:t>**PARTIE 3 : ANALYSE FONDAMENTALE (SECTION CRITIQUE)**</w:t>
      </w:r>
    </w:p>
    <w:p>
      <w:pPr>
        <w:spacing w:after="120" w:line="276" w:lineRule="auto"/>
      </w:pPr>
      <w:r>
        <w:t>En 2025, Orange Côte d'Ivoire affiche des fondamentaux solides avec un chiffre d'affaires consolidé de 1 197,1 milliards FCFA, en progression de +10,4% par rapport à 2024 (1 084,1 milliards FCFA). Le résultat net consolidé s'établit à 167,8 milliards FCFA (+6,1%), avec un résultat net part du groupe de 129,1 milliards FCFA (+14,5%). La rentabilité demeure excellente avec un ROE de 23,7% (supérieur au seuil de 15% jugé excellent) et un ROA de 6,6%. La marge opérationnelle atteint 24,0% et la marge nette 14,0%. Le BFR négatif de -198 milliards FCFA constitue un avantage compétitif majeur, la société finançant son exploitation grâce aux délais fournisseurs très favorables (210,9 jours contre 52,3 jours pour les clients). Le ratio d'endettement de 47,5% reste maîtrisé, avec une capacité de remboursement inférieure à un an (0,99). Les rapports trimestriels 2025 montrent une croissance du CA stable autour de +10%, mais une pression sur le résultat net au S1 et T3 2025 (+0,5% et +0,2% respectivement), due à la hausse des charges financières. Cependant, le rapport T1 2026 (publié en mai 2026) marque un net rebond avec un CA de 325,6 milliards FCFA (+14,8%) et un résultat net de 48,3 milliards FCFA (+25,2%), la marge nette s'améliorant à 14,8%. Sur la base de ce T1 2026 exceptionnel, on estime que l'exercice 2026 pourrait dépasser les performances de 2025, avec une croissance à deux chiffres du résultat net. Le dividende proposé de 800 FCFA brut par action (approuvé à l'AG du 29 avril 2026) offre un rendement attractif d'environ 4,6% au cours actuel. Les fondamentaux d'ORAC restent donc solides, portés par la croissance de la data, de la fibre et d'Orange Money, malgré des risques réglementaires et fiscaux persistants.</w:t>
      </w:r>
    </w:p>
    <w:p>
      <w:pPr>
        <w:spacing w:after="120" w:line="276" w:lineRule="auto" w:before="240"/>
      </w:pPr>
      <w:r>
        <w:rPr>
          <w:b/>
          <w:color w:val="003366"/>
          <w:sz w:val="24"/>
        </w:rPr>
        <w:t>**PARTIE 4 : CONCLUSION D'INVESTISSEMENT**</w:t>
      </w:r>
    </w:p>
    <w:p>
      <w:pPr>
        <w:spacing w:after="120" w:line="276" w:lineRule="auto"/>
      </w:pPr>
      <w:r>
        <w:t>La valorisation d'ORAC (PER 15,5x, P/B 3,67x) reflète une prime de croissance justifiée par la solidité des fondamentaux, mais qui limite le potentiel de hausse à court terme. Le comportement du cours sur 100 jours (+15,03%) démontre une tendance haussière robuste, avec une volatilité modérée (29,9%) et une distribution symétrique des prix, sans signe de distribution anormale. Les signaux techniques sont mitigés : la tendance (MM, MACD) reste haussière, mais les oscillateurs (RSI 89, Stochastique 100) signalent un surachat extrême, annonçant probablement une consolidation technique. Les fondamentaux demeurent excellents avec une croissance soutenue du CA (+10,4% en 2025), un ROE de 23,7%, et un T1 2026 exceptionnel (+25,2% de résultat net), confirmant la dynamique positive. Les prédictions IA (17 035 à 16 921 FCFA sur 10 jours) suggèrent un léger repli technique, cohérent avec les signaux de surachat, mais sans remettre en cause la tendance de fond. La convergence entre la solidité fondamentale, la tendance haussière de long terme et les perspectives de croissance soutient une recommandation **ACHAT** pour les investisseurs de moyen et long terme, avec un niveau de confiance Élevé et un risque global Moyen. L'horizon d'investissement optimal est le moyen terme (3-12 mois), en privilégiant les points d'entrée lors des consolidations techniques.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215.88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6,447 titres</w:t>
            </w:r>
          </w:p>
        </w:tc>
        <w:tc>
          <w:tcPr>
            <w:tcW w:type="dxa" w:w="2268"/>
            <w:shd w:fill="FFF2CC" w:val="clear"/>
          </w:tcPr>
          <w:p>
            <w:r>
              <w:rPr>
                <w:b/>
                <w:color w:val="503200"/>
                <w:sz w:val="16"/>
              </w:rPr>
              <w:t xml:space="preserve">Cours actuel : </w:t>
            </w:r>
            <w:r>
              <w:rPr>
                <w:color w:val="000000"/>
                <w:sz w:val="17"/>
              </w:rPr>
              <w:t>3,110 FCFA</w:t>
            </w:r>
          </w:p>
          <w:p>
            <w:r>
              <w:rPr>
                <w:b/>
                <w:color w:val="503200"/>
                <w:sz w:val="16"/>
              </w:rPr>
              <w:t xml:space="preserve">Var. 100 jours : </w:t>
            </w:r>
            <w:r>
              <w:rPr>
                <w:b/>
                <w:color w:val="B40000"/>
                <w:sz w:val="17"/>
              </w:rPr>
              <w:t>-20.26%</w:t>
            </w:r>
          </w:p>
          <w:p>
            <w:r>
              <w:rPr>
                <w:b/>
                <w:color w:val="503200"/>
                <w:sz w:val="16"/>
              </w:rPr>
              <w:t xml:space="preserve">Plus haut 100j : </w:t>
            </w:r>
            <w:r>
              <w:rPr>
                <w:color w:val="000000"/>
                <w:sz w:val="17"/>
              </w:rPr>
              <w:t>3,900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13.15% (Moyenne) — μ=3,002 FCFA, σ=395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β=0.1979 (Défensif) — Cov=0.000007, Var(idx)=0.000036, ρ=0.042,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σ_j=2.87%/j (Stable) — Vol. annualisée≈45.5%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3244"/>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324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2026-08-13</w:t>
            </w:r>
          </w:p>
        </w:tc>
        <w:tc>
          <w:tcPr>
            <w:tcW w:type="dxa" w:w="1440"/>
            <w:shd w:fill="FAFAFA" w:val="clear"/>
          </w:tcPr>
          <w:p>
            <w:r>
              <w:rPr>
                <w:sz w:val="17"/>
              </w:rPr>
              <w:t>3,009</w:t>
            </w:r>
          </w:p>
        </w:tc>
        <w:tc>
          <w:tcPr>
            <w:tcW w:type="dxa" w:w="1440"/>
            <w:shd w:fill="FAFAFA" w:val="clear"/>
          </w:tcPr>
          <w:p>
            <w:r>
              <w:rPr>
                <w:b/>
                <w:sz w:val="17"/>
              </w:rPr>
              <w:t>3,102</w:t>
            </w:r>
          </w:p>
        </w:tc>
        <w:tc>
          <w:tcPr>
            <w:tcW w:type="dxa" w:w="1440"/>
            <w:shd w:fill="FAFAFA" w:val="clear"/>
          </w:tcPr>
          <w:p>
            <w:r>
              <w:rPr>
                <w:sz w:val="17"/>
              </w:rPr>
              <w:t>3,194</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2026-08-14</w:t>
            </w:r>
          </w:p>
        </w:tc>
        <w:tc>
          <w:tcPr>
            <w:tcW w:type="dxa" w:w="1440"/>
            <w:shd w:fill="FAFAFA" w:val="clear"/>
          </w:tcPr>
          <w:p>
            <w:r>
              <w:rPr>
                <w:sz w:val="17"/>
              </w:rPr>
              <w:t>2,968</w:t>
            </w:r>
          </w:p>
        </w:tc>
        <w:tc>
          <w:tcPr>
            <w:tcW w:type="dxa" w:w="1440"/>
            <w:shd w:fill="FAFAFA" w:val="clear"/>
          </w:tcPr>
          <w:p>
            <w:r>
              <w:rPr>
                <w:b/>
                <w:sz w:val="17"/>
              </w:rPr>
              <w:t>3,099</w:t>
            </w:r>
          </w:p>
        </w:tc>
        <w:tc>
          <w:tcPr>
            <w:tcW w:type="dxa" w:w="1440"/>
            <w:shd w:fill="FAFAFA" w:val="clear"/>
          </w:tcPr>
          <w:p>
            <w:r>
              <w:rPr>
                <w:sz w:val="17"/>
              </w:rPr>
              <w:t>3,229</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2026-08-17</w:t>
            </w:r>
          </w:p>
        </w:tc>
        <w:tc>
          <w:tcPr>
            <w:tcW w:type="dxa" w:w="1440"/>
            <w:shd w:fill="FAFAFA" w:val="clear"/>
          </w:tcPr>
          <w:p>
            <w:r>
              <w:rPr>
                <w:sz w:val="17"/>
              </w:rPr>
              <w:t>2,936</w:t>
            </w:r>
          </w:p>
        </w:tc>
        <w:tc>
          <w:tcPr>
            <w:tcW w:type="dxa" w:w="1440"/>
            <w:shd w:fill="FAFAFA" w:val="clear"/>
          </w:tcPr>
          <w:p>
            <w:r>
              <w:rPr>
                <w:b/>
                <w:sz w:val="17"/>
              </w:rPr>
              <w:t>3,096</w:t>
            </w:r>
          </w:p>
        </w:tc>
        <w:tc>
          <w:tcPr>
            <w:tcW w:type="dxa" w:w="1440"/>
            <w:shd w:fill="FAFAFA" w:val="clear"/>
          </w:tcPr>
          <w:p>
            <w:r>
              <w:rPr>
                <w:sz w:val="17"/>
              </w:rPr>
              <w:t>3,256</w:t>
            </w:r>
          </w:p>
        </w:tc>
        <w:tc>
          <w:tcPr>
            <w:tcW w:type="dxa" w:w="1440"/>
            <w:shd w:fill="FAFAFA" w:val="clear"/>
          </w:tcPr>
          <w:p>
            <w:r>
              <w:rPr>
                <w:b/>
                <w:color w:val="C00000"/>
                <w:sz w:val="17"/>
              </w:rPr>
              <w:t>-0.5%</w:t>
            </w:r>
          </w:p>
        </w:tc>
      </w:tr>
      <w:tr>
        <w:tc>
          <w:tcPr>
            <w:tcW w:type="dxa" w:w="1440"/>
            <w:shd w:fill="FAFAFA" w:val="clear"/>
          </w:tcPr>
          <w:p>
            <w:r>
              <w:rPr>
                <w:sz w:val="17"/>
              </w:rPr>
              <w:t>J+4  Moyenne</w:t>
            </w:r>
          </w:p>
        </w:tc>
        <w:tc>
          <w:tcPr>
            <w:tcW w:type="dxa" w:w="1440"/>
            <w:shd w:fill="FAFAFA" w:val="clear"/>
          </w:tcPr>
          <w:p>
            <w:r>
              <w:rPr>
                <w:sz w:val="17"/>
              </w:rPr>
              <w:t>2026-08-18</w:t>
            </w:r>
          </w:p>
        </w:tc>
        <w:tc>
          <w:tcPr>
            <w:tcW w:type="dxa" w:w="1440"/>
            <w:shd w:fill="FAFAFA" w:val="clear"/>
          </w:tcPr>
          <w:p>
            <w:r>
              <w:rPr>
                <w:sz w:val="17"/>
              </w:rPr>
              <w:t>2,909</w:t>
            </w:r>
          </w:p>
        </w:tc>
        <w:tc>
          <w:tcPr>
            <w:tcW w:type="dxa" w:w="1440"/>
            <w:shd w:fill="FAFAFA" w:val="clear"/>
          </w:tcPr>
          <w:p>
            <w:r>
              <w:rPr>
                <w:b/>
                <w:sz w:val="17"/>
              </w:rPr>
              <w:t>3,093</w:t>
            </w:r>
          </w:p>
        </w:tc>
        <w:tc>
          <w:tcPr>
            <w:tcW w:type="dxa" w:w="1440"/>
            <w:shd w:fill="FAFAFA" w:val="clear"/>
          </w:tcPr>
          <w:p>
            <w:r>
              <w:rPr>
                <w:sz w:val="17"/>
              </w:rPr>
              <w:t>3,277</w:t>
            </w:r>
          </w:p>
        </w:tc>
        <w:tc>
          <w:tcPr>
            <w:tcW w:type="dxa" w:w="1440"/>
            <w:shd w:fill="FAFAFA" w:val="clear"/>
          </w:tcPr>
          <w:p>
            <w:r>
              <w:rPr>
                <w:b/>
                <w:color w:val="C00000"/>
                <w:sz w:val="17"/>
              </w:rPr>
              <w:t>-0.5%</w:t>
            </w:r>
          </w:p>
        </w:tc>
      </w:tr>
      <w:tr>
        <w:tc>
          <w:tcPr>
            <w:tcW w:type="dxa" w:w="1440"/>
            <w:shd w:fill="FAFAFA" w:val="clear"/>
          </w:tcPr>
          <w:p>
            <w:r>
              <w:rPr>
                <w:sz w:val="17"/>
              </w:rPr>
              <w:t>J+5  Moyenne</w:t>
            </w:r>
          </w:p>
        </w:tc>
        <w:tc>
          <w:tcPr>
            <w:tcW w:type="dxa" w:w="1440"/>
            <w:shd w:fill="FAFAFA" w:val="clear"/>
          </w:tcPr>
          <w:p>
            <w:r>
              <w:rPr>
                <w:sz w:val="17"/>
              </w:rPr>
              <w:t>2026-08-19</w:t>
            </w:r>
          </w:p>
        </w:tc>
        <w:tc>
          <w:tcPr>
            <w:tcW w:type="dxa" w:w="1440"/>
            <w:shd w:fill="FAFAFA" w:val="clear"/>
          </w:tcPr>
          <w:p>
            <w:r>
              <w:rPr>
                <w:sz w:val="17"/>
              </w:rPr>
              <w:t>2,884</w:t>
            </w:r>
          </w:p>
        </w:tc>
        <w:tc>
          <w:tcPr>
            <w:tcW w:type="dxa" w:w="1440"/>
            <w:shd w:fill="FAFAFA" w:val="clear"/>
          </w:tcPr>
          <w:p>
            <w:r>
              <w:rPr>
                <w:b/>
                <w:sz w:val="17"/>
              </w:rPr>
              <w:t>3,090</w:t>
            </w:r>
          </w:p>
        </w:tc>
        <w:tc>
          <w:tcPr>
            <w:tcW w:type="dxa" w:w="1440"/>
            <w:shd w:fill="FAFAFA" w:val="clear"/>
          </w:tcPr>
          <w:p>
            <w:r>
              <w:rPr>
                <w:sz w:val="17"/>
              </w:rPr>
              <w:t>3,296</w:t>
            </w:r>
          </w:p>
        </w:tc>
        <w:tc>
          <w:tcPr>
            <w:tcW w:type="dxa" w:w="1440"/>
            <w:shd w:fill="FAFAFA" w:val="clear"/>
          </w:tcPr>
          <w:p>
            <w:r>
              <w:rPr>
                <w:b/>
                <w:color w:val="C00000"/>
                <w:sz w:val="17"/>
              </w:rPr>
              <w:t>-0.6%</w:t>
            </w:r>
          </w:p>
        </w:tc>
      </w:tr>
      <w:tr>
        <w:tc>
          <w:tcPr>
            <w:tcW w:type="dxa" w:w="1440"/>
            <w:shd w:fill="FAFAFA" w:val="clear"/>
          </w:tcPr>
          <w:p>
            <w:r>
              <w:rPr>
                <w:sz w:val="17"/>
              </w:rPr>
              <w:t>J+6  Moyenne</w:t>
            </w:r>
          </w:p>
        </w:tc>
        <w:tc>
          <w:tcPr>
            <w:tcW w:type="dxa" w:w="1440"/>
            <w:shd w:fill="FAFAFA" w:val="clear"/>
          </w:tcPr>
          <w:p>
            <w:r>
              <w:rPr>
                <w:sz w:val="17"/>
              </w:rPr>
              <w:t>2026-08-20</w:t>
            </w:r>
          </w:p>
        </w:tc>
        <w:tc>
          <w:tcPr>
            <w:tcW w:type="dxa" w:w="1440"/>
            <w:shd w:fill="FAFAFA" w:val="clear"/>
          </w:tcPr>
          <w:p>
            <w:r>
              <w:rPr>
                <w:sz w:val="17"/>
              </w:rPr>
              <w:t>2,862</w:t>
            </w:r>
          </w:p>
        </w:tc>
        <w:tc>
          <w:tcPr>
            <w:tcW w:type="dxa" w:w="1440"/>
            <w:shd w:fill="FAFAFA" w:val="clear"/>
          </w:tcPr>
          <w:p>
            <w:r>
              <w:rPr>
                <w:b/>
                <w:sz w:val="17"/>
              </w:rPr>
              <w:t>3,088</w:t>
            </w:r>
          </w:p>
        </w:tc>
        <w:tc>
          <w:tcPr>
            <w:tcW w:type="dxa" w:w="1440"/>
            <w:shd w:fill="FAFAFA" w:val="clear"/>
          </w:tcPr>
          <w:p>
            <w:r>
              <w:rPr>
                <w:sz w:val="17"/>
              </w:rPr>
              <w:t>3,313</w:t>
            </w:r>
          </w:p>
        </w:tc>
        <w:tc>
          <w:tcPr>
            <w:tcW w:type="dxa" w:w="1440"/>
            <w:shd w:fill="FAFAFA" w:val="clear"/>
          </w:tcPr>
          <w:p>
            <w:r>
              <w:rPr>
                <w:b/>
                <w:color w:val="C00000"/>
                <w:sz w:val="17"/>
              </w:rPr>
              <w:t>-0.7%</w:t>
            </w:r>
          </w:p>
        </w:tc>
      </w:tr>
      <w:tr>
        <w:tc>
          <w:tcPr>
            <w:tcW w:type="dxa" w:w="1440"/>
            <w:shd w:fill="FAFAFA" w:val="clear"/>
          </w:tcPr>
          <w:p>
            <w:r>
              <w:rPr>
                <w:sz w:val="17"/>
              </w:rPr>
              <w:t>J+7  Moyenne</w:t>
            </w:r>
          </w:p>
        </w:tc>
        <w:tc>
          <w:tcPr>
            <w:tcW w:type="dxa" w:w="1440"/>
            <w:shd w:fill="FAFAFA" w:val="clear"/>
          </w:tcPr>
          <w:p>
            <w:r>
              <w:rPr>
                <w:sz w:val="17"/>
              </w:rPr>
              <w:t>2026-08-21</w:t>
            </w:r>
          </w:p>
        </w:tc>
        <w:tc>
          <w:tcPr>
            <w:tcW w:type="dxa" w:w="1440"/>
            <w:shd w:fill="FAFAFA" w:val="clear"/>
          </w:tcPr>
          <w:p>
            <w:r>
              <w:rPr>
                <w:sz w:val="17"/>
              </w:rPr>
              <w:t>2,842</w:t>
            </w:r>
          </w:p>
        </w:tc>
        <w:tc>
          <w:tcPr>
            <w:tcW w:type="dxa" w:w="1440"/>
            <w:shd w:fill="FAFAFA" w:val="clear"/>
          </w:tcPr>
          <w:p>
            <w:r>
              <w:rPr>
                <w:b/>
                <w:sz w:val="17"/>
              </w:rPr>
              <w:t>3,085</w:t>
            </w:r>
          </w:p>
        </w:tc>
        <w:tc>
          <w:tcPr>
            <w:tcW w:type="dxa" w:w="1440"/>
            <w:shd w:fill="FAFAFA" w:val="clear"/>
          </w:tcPr>
          <w:p>
            <w:r>
              <w:rPr>
                <w:sz w:val="17"/>
              </w:rPr>
              <w:t>3,328</w:t>
            </w:r>
          </w:p>
        </w:tc>
        <w:tc>
          <w:tcPr>
            <w:tcW w:type="dxa" w:w="1440"/>
            <w:shd w:fill="FAFAFA" w:val="clear"/>
          </w:tcPr>
          <w:p>
            <w:r>
              <w:rPr>
                <w:b/>
                <w:color w:val="C00000"/>
                <w:sz w:val="17"/>
              </w:rPr>
              <w:t>-0.8%</w:t>
            </w:r>
          </w:p>
        </w:tc>
      </w:tr>
      <w:tr>
        <w:tc>
          <w:tcPr>
            <w:tcW w:type="dxa" w:w="1440"/>
            <w:shd w:fill="FAFAFA" w:val="clear"/>
          </w:tcPr>
          <w:p>
            <w:r>
              <w:rPr>
                <w:sz w:val="17"/>
              </w:rPr>
              <w:t>J+8  Moyenne</w:t>
            </w:r>
          </w:p>
        </w:tc>
        <w:tc>
          <w:tcPr>
            <w:tcW w:type="dxa" w:w="1440"/>
            <w:shd w:fill="FAFAFA" w:val="clear"/>
          </w:tcPr>
          <w:p>
            <w:r>
              <w:rPr>
                <w:sz w:val="17"/>
              </w:rPr>
              <w:t>2026-08-24</w:t>
            </w:r>
          </w:p>
        </w:tc>
        <w:tc>
          <w:tcPr>
            <w:tcW w:type="dxa" w:w="1440"/>
            <w:shd w:fill="FAFAFA" w:val="clear"/>
          </w:tcPr>
          <w:p>
            <w:r>
              <w:rPr>
                <w:sz w:val="17"/>
              </w:rPr>
              <w:t>2,823</w:t>
            </w:r>
          </w:p>
        </w:tc>
        <w:tc>
          <w:tcPr>
            <w:tcW w:type="dxa" w:w="1440"/>
            <w:shd w:fill="FAFAFA" w:val="clear"/>
          </w:tcPr>
          <w:p>
            <w:r>
              <w:rPr>
                <w:b/>
                <w:sz w:val="17"/>
              </w:rPr>
              <w:t>3,083</w:t>
            </w:r>
          </w:p>
        </w:tc>
        <w:tc>
          <w:tcPr>
            <w:tcW w:type="dxa" w:w="1440"/>
            <w:shd w:fill="FAFAFA" w:val="clear"/>
          </w:tcPr>
          <w:p>
            <w:r>
              <w:rPr>
                <w:sz w:val="17"/>
              </w:rPr>
              <w:t>3,343</w:t>
            </w:r>
          </w:p>
        </w:tc>
        <w:tc>
          <w:tcPr>
            <w:tcW w:type="dxa" w:w="1440"/>
            <w:shd w:fill="FAFAFA" w:val="clear"/>
          </w:tcPr>
          <w:p>
            <w:r>
              <w:rPr>
                <w:b/>
                <w:color w:val="C00000"/>
                <w:sz w:val="17"/>
              </w:rPr>
              <w:t>-0.9%</w:t>
            </w:r>
          </w:p>
        </w:tc>
      </w:tr>
      <w:tr>
        <w:tc>
          <w:tcPr>
            <w:tcW w:type="dxa" w:w="1440"/>
            <w:shd w:fill="FAFAFA" w:val="clear"/>
          </w:tcPr>
          <w:p>
            <w:r>
              <w:rPr>
                <w:sz w:val="17"/>
              </w:rPr>
              <w:t>J+9  Moyenne</w:t>
            </w:r>
          </w:p>
        </w:tc>
        <w:tc>
          <w:tcPr>
            <w:tcW w:type="dxa" w:w="1440"/>
            <w:shd w:fill="FAFAFA" w:val="clear"/>
          </w:tcPr>
          <w:p>
            <w:r>
              <w:rPr>
                <w:sz w:val="17"/>
              </w:rPr>
              <w:t>2026-08-25</w:t>
            </w:r>
          </w:p>
        </w:tc>
        <w:tc>
          <w:tcPr>
            <w:tcW w:type="dxa" w:w="1440"/>
            <w:shd w:fill="FAFAFA" w:val="clear"/>
          </w:tcPr>
          <w:p>
            <w:r>
              <w:rPr>
                <w:sz w:val="17"/>
              </w:rPr>
              <w:t>2,805</w:t>
            </w:r>
          </w:p>
        </w:tc>
        <w:tc>
          <w:tcPr>
            <w:tcW w:type="dxa" w:w="1440"/>
            <w:shd w:fill="FAFAFA" w:val="clear"/>
          </w:tcPr>
          <w:p>
            <w:r>
              <w:rPr>
                <w:b/>
                <w:sz w:val="17"/>
              </w:rPr>
              <w:t>3,080</w:t>
            </w:r>
          </w:p>
        </w:tc>
        <w:tc>
          <w:tcPr>
            <w:tcW w:type="dxa" w:w="1440"/>
            <w:shd w:fill="FAFAFA" w:val="clear"/>
          </w:tcPr>
          <w:p>
            <w:r>
              <w:rPr>
                <w:sz w:val="17"/>
              </w:rPr>
              <w:t>3,356</w:t>
            </w:r>
          </w:p>
        </w:tc>
        <w:tc>
          <w:tcPr>
            <w:tcW w:type="dxa" w:w="1440"/>
            <w:shd w:fill="FAFAFA" w:val="clear"/>
          </w:tcPr>
          <w:p>
            <w:r>
              <w:rPr>
                <w:b/>
                <w:color w:val="C00000"/>
                <w:sz w:val="17"/>
              </w:rPr>
              <w:t>-1.0%</w:t>
            </w:r>
          </w:p>
        </w:tc>
      </w:tr>
      <w:tr>
        <w:tc>
          <w:tcPr>
            <w:tcW w:type="dxa" w:w="1440"/>
            <w:shd w:fill="FAFAFA" w:val="clear"/>
          </w:tcPr>
          <w:p>
            <w:r>
              <w:rPr>
                <w:sz w:val="17"/>
              </w:rPr>
              <w:t>J+10  Moyenne</w:t>
            </w:r>
          </w:p>
        </w:tc>
        <w:tc>
          <w:tcPr>
            <w:tcW w:type="dxa" w:w="1440"/>
            <w:shd w:fill="FAFAFA" w:val="clear"/>
          </w:tcPr>
          <w:p>
            <w:r>
              <w:rPr>
                <w:sz w:val="17"/>
              </w:rPr>
              <w:t>2026-08-27</w:t>
            </w:r>
          </w:p>
        </w:tc>
        <w:tc>
          <w:tcPr>
            <w:tcW w:type="dxa" w:w="1440"/>
            <w:shd w:fill="FAFAFA" w:val="clear"/>
          </w:tcPr>
          <w:p>
            <w:r>
              <w:rPr>
                <w:sz w:val="17"/>
              </w:rPr>
              <w:t>2,787</w:t>
            </w:r>
          </w:p>
        </w:tc>
        <w:tc>
          <w:tcPr>
            <w:tcW w:type="dxa" w:w="1440"/>
            <w:shd w:fill="FAFAFA" w:val="clear"/>
          </w:tcPr>
          <w:p>
            <w:r>
              <w:rPr>
                <w:b/>
                <w:sz w:val="17"/>
              </w:rPr>
              <w:t>3,078</w:t>
            </w:r>
          </w:p>
        </w:tc>
        <w:tc>
          <w:tcPr>
            <w:tcW w:type="dxa" w:w="1440"/>
            <w:shd w:fill="FAFAFA" w:val="clear"/>
          </w:tcPr>
          <w:p>
            <w:r>
              <w:rPr>
                <w:sz w:val="17"/>
              </w:rPr>
              <w:t>3,368</w:t>
            </w:r>
          </w:p>
        </w:tc>
        <w:tc>
          <w:tcPr>
            <w:tcW w:type="dxa" w:w="1440"/>
            <w:shd w:fill="FAFAFA" w:val="clear"/>
          </w:tcPr>
          <w:p>
            <w:r>
              <w:rPr>
                <w:b/>
                <w:color w:val="C00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d'ORGT s'établit à 215,88 milliards FCFA, ce qui positionne le titre parmi les valeurs moyennes du marché BRVM, reflétant un profil de banque régionale significative mais non dominante. Avec un BPA de 312 FCFA, chaque action génère un bénéfice substantiel, justifiant un PER de 10,0x, en ligne avec la moyenne historique de la BRVM (8-12x), ce qui suggère une valorisation ni exubérante ni bradée. Le P/B de 1,91x indique que le marché valorise la société à près du double de sa valeur comptable, un niveau raisonnable pour une banque rentable, tandis que l'EV/EBITDA de 19,9x, nettement supérieur au seuil de 15x, signale que la valeur d'entreprise intégrant la dette est exigeante par rapport à la capacité opérationnelle. Ces ratios contrastés suggèrent une valorisation globalement correcte, avec une prime sur l'EBITDA qui mérite une attention particulière.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le titre ORGT a subi une dépréciation sévère de -20,26%, passant d'un sommet de 3 900 FCFA à un plus bas de 2 435 FCFA, avec un cours actuel de 3 110 FCFA et une variation nulle à la dernière séance, suggérant une stabilisation après une phase de correction. La moyenne de 3 002 FCFA, supérieure à la médiane de 2 780 FCFA, révèle une distribution asymétrique positive (skewness de 0,628), indiquant que le cours a passé plus de journées sous la moyenne, typique d'une tendance baissière dominante. L'écart-type de 397 FCFA (CV de 13,2%) démontre une dispersion modérée, tandis que le kurtosis négatif de -1,026 (platykurtique) signale une distribution aplatie, avec peu de variations extrêmes. La volatilité annualisée de 45,5% est élevée, plaçant le titre dans une catégorie risquée, mais le range de trading (2 435-3 900 FCFA) montre un potentiel de rebond significatif depuis les points bas.</w:t>
      </w:r>
    </w:p>
    <w:p>
      <w:pPr>
        <w:spacing w:after="120" w:line="276" w:lineRule="auto" w:before="240"/>
      </w:pPr>
      <w:r>
        <w:rPr>
          <w:b/>
          <w:color w:val="003366"/>
          <w:sz w:val="24"/>
        </w:rPr>
        <w:t>**PARTIE 2 : ANALYSE TECHNIQUE DÉTAILLÉE**</w:t>
      </w:r>
    </w:p>
    <w:p>
      <w:pPr>
        <w:spacing w:after="120" w:line="276" w:lineRule="auto"/>
      </w:pPr>
      <w:r>
        <w:t>**Moyennes Mobiles** : Le cours actuel de 3 110 FCFA évolue au-dessus de la MM20 (2 897,5 FCFA) et de la MM50 (2 790,1 FCFA), configuration haussière classique. La décision d'achat est justifiée par cette dynamique positive, avec un écart de plus de 11% au-dessus de la MM50, indiquant un momentum court terme favorable après la correction.</w:t>
      </w:r>
    </w:p>
    <w:p>
      <w:pPr>
        <w:spacing w:after="120" w:line="276" w:lineRule="auto"/>
      </w:pPr>
      <w:r>
        <w:t>**Bandes de Bollinger** : Le prix se situe à 3 110 FCFA, proche de la borne supérieure (3 317,98 FCFA) et nettement au-dessus de la borne inférieure (2 477,02 FCFA), avec une largeur de bande importante reflétant la volatilité élevée. La décision neutre s'explique par une position intermédiaire, ni surachetée ni survendue, mais la proximité de la borne supérieure suggère une possible résistance.</w:t>
      </w:r>
    </w:p>
    <w:p>
      <w:pPr>
        <w:spacing w:after="120" w:line="276" w:lineRule="auto"/>
      </w:pPr>
      <w:r>
        <w:t>**MACD** : Le MACD (113,704) est nettement au-dessus de sa ligne de signal (90,189), confirmant un momentum haussier solide. La décision d'achat est justifiée par cette divergence positive, qui indique une accélération de la tendance haussière à moyen terme, malgré la récente correction.</w:t>
      </w:r>
    </w:p>
    <w:p>
      <w:pPr>
        <w:spacing w:after="120" w:line="276" w:lineRule="auto"/>
      </w:pPr>
      <w:r>
        <w:t>**RSI** : Le RSI à 90,566 est extrêmement élevé, bien au-dessus du seuil de surachat de 70, signalant une pression acheteuse excessive. La décision de vente est justifiée par ce niveau extrême, qui suggère un risque imminent de correction technique, le marché étant survendu à la hausse.</w:t>
      </w:r>
    </w:p>
    <w:p>
      <w:pPr>
        <w:spacing w:after="120" w:line="276" w:lineRule="auto"/>
      </w:pPr>
      <w:r>
        <w:t>**Stochastique** : Le %K et le %D sont tous deux à 91,489, en zone de surachat (&gt;80), avec un croisement haussier mais à des niveaux extrêmes. La décision de vente est justifiée par cette configuration, qui indique une possible exhaustion du mouvement haussier à court terme.</w:t>
      </w:r>
    </w:p>
    <w:p>
      <w:pPr>
        <w:spacing w:after="120" w:line="276" w:lineRule="auto"/>
      </w:pPr>
      <w:r>
        <w:t>**Conclusion technique** : Les indicateurs sont divergents, avec des signaux d'achat (MM, MACD) contrebalancés par des signaux de vente (RSI, Stochastique) et une position neutre des bandes de Bollinger. Cette configuration suggère un marché en surachat à court terme, avec un potentiel de consolidation ou de correction avant une poursuite de la tendance haussière.</w:t>
      </w:r>
    </w:p>
    <w:p>
      <w:pPr>
        <w:spacing w:after="120" w:line="276" w:lineRule="auto" w:before="240"/>
      </w:pPr>
      <w:r>
        <w:rPr>
          <w:b/>
          <w:color w:val="003366"/>
          <w:sz w:val="24"/>
        </w:rPr>
        <w:t>**PARTIE 3 : ANALYSE FONDAMENTALE (SECTION CRITIQUE)**</w:t>
      </w:r>
    </w:p>
    <w:p>
      <w:pPr>
        <w:spacing w:after="120" w:line="276" w:lineRule="auto"/>
      </w:pPr>
      <w:r>
        <w:t>En 2025, les données structurées révèlent un PNB de 186,609 milliards FCFA, en baisse de -4,5% par rapport à 2024 (195,4 milliards), et un résultat net de 21,643 milliards FCFA, contre une perte de -44,4 milliards en 2024, marquant un retour spectaculaire à la rentabilité. Le ROE de 19,13% est excellent, dépassant le seuil de 15%, tandis que le ROA de 0,54% reste faible, typique du secteur bancaire. Le coefficient d'exploitation de 42,85% est remarquable, indiquant une banque très efficace (&lt;50%), et le coût du risque de 3,74% est élevé, signalant un risque de crédit résiduel significatif. Les dépôts clientèle (3 088,7 milliards) couvrent largement les créances (1 523,8 milliards), avec un ratio de transformation de 49%, prudent. Les rapports trimestriels 2025 confirment cette trajectoire : T1 (bénéfice de 4,8 milliards), S1 (18,3 milliards), et T3 (19,6 milliards), avec une amélioration de +248% sur neuf mois. Le rapport T1 2026 (PNB de 50,1 milliards, résultat net de 6,6 milliards, +37%) suggère une poursuite du redressement, et on estime que l'exercice 2026 pourrait voir un PNB stable et un résultat net en hausse de 10-15%, porté par la maîtrise des coûts et du risque.</w:t>
      </w:r>
    </w:p>
    <w:p>
      <w:pPr>
        <w:spacing w:after="120" w:line="276" w:lineRule="auto" w:before="240"/>
      </w:pPr>
      <w:r>
        <w:rPr>
          <w:b/>
          <w:color w:val="003366"/>
          <w:sz w:val="24"/>
        </w:rPr>
        <w:t>**PARTIE 4 : CONCLUSION D'INVESTISSEMENT**</w:t>
      </w:r>
    </w:p>
    <w:p>
      <w:pPr>
        <w:spacing w:after="120" w:line="276" w:lineRule="auto"/>
      </w:pPr>
      <w:r>
        <w:t>La valorisation (PER 10,0x, P/B 1,91x) indique une sous-évaluation modérée, mais l'EV/EBITDA de 19,9x tempère cet optimisme. Le comportement du cours (-20,26% sur 100 jours) montre une tendance baissière passée, mais les statistiques (skewness positif, kurtosis platykurtique) suggèrent une stabilisation, avec une volatilité élevée (45,5%) nécessitant une gestion rigoureuse. Les signaux techniques sont mitigés, avec des indicateurs de momentum haussier (MM, MACD) contrebalancés par des conditions de surachat (RSI, Stochastique), indiquant un possible repli à court terme avant une reprise. Les fondamentaux sont solides, avec un redressement spectaculaire en 2025 (résultat net de 21,6 milliards, ROE de 19,1%) et des perspectives positives pour 2026 (T1 en hausse de 37%). Les prédictions IA (3 102 à 3 090 FCFA sur 10 jours) confirment une stabilisation légèrement baissière, en ligne avec les signaux de surachat. La recommandation finale est **CONSERVER**, avec une convergence entre valorisation raisonnable et fondamentaux solides, mais une divergence technique à court terme. Le niveau de confiance est **Moyen**, le risque global **Élevé** (volatilité, coût du risque), et l'horizon d'investissement optimal est le **moyen terme (3-12 mois)**, en attendant une confirmation de la croissance du PNB et une clarification sur la politique de dividende.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140.68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3,628 titres</w:t>
            </w:r>
          </w:p>
        </w:tc>
        <w:tc>
          <w:tcPr>
            <w:tcW w:type="dxa" w:w="2268"/>
            <w:shd w:fill="FFF2CC" w:val="clear"/>
          </w:tcPr>
          <w:p>
            <w:r>
              <w:rPr>
                <w:b/>
                <w:color w:val="503200"/>
                <w:sz w:val="16"/>
              </w:rPr>
              <w:t xml:space="preserve">Cours actuel : </w:t>
            </w:r>
            <w:r>
              <w:rPr>
                <w:color w:val="000000"/>
                <w:sz w:val="17"/>
              </w:rPr>
              <w:t>9,100 FCFA</w:t>
            </w:r>
          </w:p>
          <w:p>
            <w:r>
              <w:rPr>
                <w:b/>
                <w:color w:val="503200"/>
                <w:sz w:val="16"/>
              </w:rPr>
              <w:t xml:space="preserve">Var. 100 jours : </w:t>
            </w:r>
            <w:r>
              <w:rPr>
                <w:b/>
                <w:color w:val="B40000"/>
                <w:sz w:val="17"/>
              </w:rPr>
              <w:t>-3.70%</w:t>
            </w:r>
          </w:p>
          <w:p>
            <w:r>
              <w:rPr>
                <w:b/>
                <w:color w:val="503200"/>
                <w:sz w:val="16"/>
              </w:rPr>
              <w:t xml:space="preserve">Plus haut 100j : </w:t>
            </w:r>
            <w:r>
              <w:rPr>
                <w:color w:val="000000"/>
                <w:sz w:val="17"/>
              </w:rPr>
              <w:t>9,450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40.9%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6.04% (Moyenne) — μ=8,402 FCFA, σ=508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β=-0.1176 (Contre-cyclique) — Cov=-0.000004, Var(idx)=0.000036, ρ=-0.027,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3,628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3244"/>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324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2026-08-13</w:t>
            </w:r>
          </w:p>
        </w:tc>
        <w:tc>
          <w:tcPr>
            <w:tcW w:type="dxa" w:w="1440"/>
            <w:shd w:fill="FAFAFA" w:val="clear"/>
          </w:tcPr>
          <w:p>
            <w:r>
              <w:rPr>
                <w:sz w:val="17"/>
              </w:rPr>
              <w:t>8,855</w:t>
            </w:r>
          </w:p>
        </w:tc>
        <w:tc>
          <w:tcPr>
            <w:tcW w:type="dxa" w:w="1440"/>
            <w:shd w:fill="FAFAFA" w:val="clear"/>
          </w:tcPr>
          <w:p>
            <w:r>
              <w:rPr>
                <w:b/>
                <w:sz w:val="17"/>
              </w:rPr>
              <w:t>9,102</w:t>
            </w:r>
          </w:p>
        </w:tc>
        <w:tc>
          <w:tcPr>
            <w:tcW w:type="dxa" w:w="1440"/>
            <w:shd w:fill="FAFAFA" w:val="clear"/>
          </w:tcPr>
          <w:p>
            <w:r>
              <w:rPr>
                <w:sz w:val="17"/>
              </w:rPr>
              <w:t>9,350</w:t>
            </w:r>
          </w:p>
        </w:tc>
        <w:tc>
          <w:tcPr>
            <w:tcW w:type="dxa" w:w="1440"/>
            <w:shd w:fill="FAFAFA" w:val="clear"/>
          </w:tcPr>
          <w:p>
            <w:r>
              <w:rPr>
                <w:b/>
                <w:color w:val="008000"/>
                <w:sz w:val="17"/>
              </w:rPr>
              <w:t>+0.0%</w:t>
            </w:r>
          </w:p>
        </w:tc>
      </w:tr>
      <w:tr>
        <w:tc>
          <w:tcPr>
            <w:tcW w:type="dxa" w:w="1440"/>
            <w:shd w:fill="FAFAFA" w:val="clear"/>
          </w:tcPr>
          <w:p>
            <w:r>
              <w:rPr>
                <w:sz w:val="17"/>
              </w:rPr>
              <w:t>J+2  ⭐⭐⭐</w:t>
            </w:r>
          </w:p>
        </w:tc>
        <w:tc>
          <w:tcPr>
            <w:tcW w:type="dxa" w:w="1440"/>
            <w:shd w:fill="FAFAFA" w:val="clear"/>
          </w:tcPr>
          <w:p>
            <w:r>
              <w:rPr>
                <w:sz w:val="17"/>
              </w:rPr>
              <w:t>2026-08-14</w:t>
            </w:r>
          </w:p>
        </w:tc>
        <w:tc>
          <w:tcPr>
            <w:tcW w:type="dxa" w:w="1440"/>
            <w:shd w:fill="FAFAFA" w:val="clear"/>
          </w:tcPr>
          <w:p>
            <w:r>
              <w:rPr>
                <w:sz w:val="17"/>
              </w:rPr>
              <w:t>8,780</w:t>
            </w:r>
          </w:p>
        </w:tc>
        <w:tc>
          <w:tcPr>
            <w:tcW w:type="dxa" w:w="1440"/>
            <w:shd w:fill="FAFAFA" w:val="clear"/>
          </w:tcPr>
          <w:p>
            <w:r>
              <w:rPr>
                <w:b/>
                <w:sz w:val="17"/>
              </w:rPr>
              <w:t>9,131</w:t>
            </w:r>
          </w:p>
        </w:tc>
        <w:tc>
          <w:tcPr>
            <w:tcW w:type="dxa" w:w="1440"/>
            <w:shd w:fill="FAFAFA" w:val="clear"/>
          </w:tcPr>
          <w:p>
            <w:r>
              <w:rPr>
                <w:sz w:val="17"/>
              </w:rPr>
              <w:t>9,483</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2026-08-17</w:t>
            </w:r>
          </w:p>
        </w:tc>
        <w:tc>
          <w:tcPr>
            <w:tcW w:type="dxa" w:w="1440"/>
            <w:shd w:fill="FAFAFA" w:val="clear"/>
          </w:tcPr>
          <w:p>
            <w:r>
              <w:rPr>
                <w:sz w:val="17"/>
              </w:rPr>
              <w:t>8,727</w:t>
            </w:r>
          </w:p>
        </w:tc>
        <w:tc>
          <w:tcPr>
            <w:tcW w:type="dxa" w:w="1440"/>
            <w:shd w:fill="FAFAFA" w:val="clear"/>
          </w:tcPr>
          <w:p>
            <w:r>
              <w:rPr>
                <w:b/>
                <w:sz w:val="17"/>
              </w:rPr>
              <w:t>9,158</w:t>
            </w:r>
          </w:p>
        </w:tc>
        <w:tc>
          <w:tcPr>
            <w:tcW w:type="dxa" w:w="1440"/>
            <w:shd w:fill="FAFAFA" w:val="clear"/>
          </w:tcPr>
          <w:p>
            <w:r>
              <w:rPr>
                <w:sz w:val="17"/>
              </w:rPr>
              <w:t>9,590</w:t>
            </w:r>
          </w:p>
        </w:tc>
        <w:tc>
          <w:tcPr>
            <w:tcW w:type="dxa" w:w="1440"/>
            <w:shd w:fill="FAFAFA" w:val="clear"/>
          </w:tcPr>
          <w:p>
            <w:r>
              <w:rPr>
                <w:b/>
                <w:color w:val="008000"/>
                <w:sz w:val="17"/>
              </w:rPr>
              <w:t>+0.6%</w:t>
            </w:r>
          </w:p>
        </w:tc>
      </w:tr>
      <w:tr>
        <w:tc>
          <w:tcPr>
            <w:tcW w:type="dxa" w:w="1440"/>
            <w:shd w:fill="FAFAFA" w:val="clear"/>
          </w:tcPr>
          <w:p>
            <w:r>
              <w:rPr>
                <w:sz w:val="17"/>
              </w:rPr>
              <w:t>J+4  Moyenne</w:t>
            </w:r>
          </w:p>
        </w:tc>
        <w:tc>
          <w:tcPr>
            <w:tcW w:type="dxa" w:w="1440"/>
            <w:shd w:fill="FAFAFA" w:val="clear"/>
          </w:tcPr>
          <w:p>
            <w:r>
              <w:rPr>
                <w:sz w:val="17"/>
              </w:rPr>
              <w:t>2026-08-18</w:t>
            </w:r>
          </w:p>
        </w:tc>
        <w:tc>
          <w:tcPr>
            <w:tcW w:type="dxa" w:w="1440"/>
            <w:shd w:fill="FAFAFA" w:val="clear"/>
          </w:tcPr>
          <w:p>
            <w:r>
              <w:rPr>
                <w:sz w:val="17"/>
              </w:rPr>
              <w:t>8,686</w:t>
            </w:r>
          </w:p>
        </w:tc>
        <w:tc>
          <w:tcPr>
            <w:tcW w:type="dxa" w:w="1440"/>
            <w:shd w:fill="FAFAFA" w:val="clear"/>
          </w:tcPr>
          <w:p>
            <w:r>
              <w:rPr>
                <w:b/>
                <w:sz w:val="17"/>
              </w:rPr>
              <w:t>9,185</w:t>
            </w:r>
          </w:p>
        </w:tc>
        <w:tc>
          <w:tcPr>
            <w:tcW w:type="dxa" w:w="1440"/>
            <w:shd w:fill="FAFAFA" w:val="clear"/>
          </w:tcPr>
          <w:p>
            <w:r>
              <w:rPr>
                <w:sz w:val="17"/>
              </w:rPr>
              <w:t>9,685</w:t>
            </w:r>
          </w:p>
        </w:tc>
        <w:tc>
          <w:tcPr>
            <w:tcW w:type="dxa" w:w="1440"/>
            <w:shd w:fill="FAFAFA" w:val="clear"/>
          </w:tcPr>
          <w:p>
            <w:r>
              <w:rPr>
                <w:b/>
                <w:color w:val="008000"/>
                <w:sz w:val="17"/>
              </w:rPr>
              <w:t>+0.9%</w:t>
            </w:r>
          </w:p>
        </w:tc>
      </w:tr>
      <w:tr>
        <w:tc>
          <w:tcPr>
            <w:tcW w:type="dxa" w:w="1440"/>
            <w:shd w:fill="FAFAFA" w:val="clear"/>
          </w:tcPr>
          <w:p>
            <w:r>
              <w:rPr>
                <w:sz w:val="17"/>
              </w:rPr>
              <w:t>J+5  Moyenne</w:t>
            </w:r>
          </w:p>
        </w:tc>
        <w:tc>
          <w:tcPr>
            <w:tcW w:type="dxa" w:w="1440"/>
            <w:shd w:fill="FAFAFA" w:val="clear"/>
          </w:tcPr>
          <w:p>
            <w:r>
              <w:rPr>
                <w:sz w:val="17"/>
              </w:rPr>
              <w:t>2026-08-19</w:t>
            </w:r>
          </w:p>
        </w:tc>
        <w:tc>
          <w:tcPr>
            <w:tcW w:type="dxa" w:w="1440"/>
            <w:shd w:fill="FAFAFA" w:val="clear"/>
          </w:tcPr>
          <w:p>
            <w:r>
              <w:rPr>
                <w:sz w:val="17"/>
              </w:rPr>
              <w:t>8,652</w:t>
            </w:r>
          </w:p>
        </w:tc>
        <w:tc>
          <w:tcPr>
            <w:tcW w:type="dxa" w:w="1440"/>
            <w:shd w:fill="FAFAFA" w:val="clear"/>
          </w:tcPr>
          <w:p>
            <w:r>
              <w:rPr>
                <w:b/>
                <w:sz w:val="17"/>
              </w:rPr>
              <w:t>9,212</w:t>
            </w:r>
          </w:p>
        </w:tc>
        <w:tc>
          <w:tcPr>
            <w:tcW w:type="dxa" w:w="1440"/>
            <w:shd w:fill="FAFAFA" w:val="clear"/>
          </w:tcPr>
          <w:p>
            <w:r>
              <w:rPr>
                <w:sz w:val="17"/>
              </w:rPr>
              <w:t>9,772</w:t>
            </w:r>
          </w:p>
        </w:tc>
        <w:tc>
          <w:tcPr>
            <w:tcW w:type="dxa" w:w="1440"/>
            <w:shd w:fill="FAFAFA" w:val="clear"/>
          </w:tcPr>
          <w:p>
            <w:r>
              <w:rPr>
                <w:b/>
                <w:color w:val="008000"/>
                <w:sz w:val="17"/>
              </w:rPr>
              <w:t>+1.2%</w:t>
            </w:r>
          </w:p>
        </w:tc>
      </w:tr>
      <w:tr>
        <w:tc>
          <w:tcPr>
            <w:tcW w:type="dxa" w:w="1440"/>
            <w:shd w:fill="FAFAFA" w:val="clear"/>
          </w:tcPr>
          <w:p>
            <w:r>
              <w:rPr>
                <w:sz w:val="17"/>
              </w:rPr>
              <w:t>J+6  Moyenne</w:t>
            </w:r>
          </w:p>
        </w:tc>
        <w:tc>
          <w:tcPr>
            <w:tcW w:type="dxa" w:w="1440"/>
            <w:shd w:fill="FAFAFA" w:val="clear"/>
          </w:tcPr>
          <w:p>
            <w:r>
              <w:rPr>
                <w:sz w:val="17"/>
              </w:rPr>
              <w:t>2026-08-20</w:t>
            </w:r>
          </w:p>
        </w:tc>
        <w:tc>
          <w:tcPr>
            <w:tcW w:type="dxa" w:w="1440"/>
            <w:shd w:fill="FAFAFA" w:val="clear"/>
          </w:tcPr>
          <w:p>
            <w:r>
              <w:rPr>
                <w:sz w:val="17"/>
              </w:rPr>
              <w:t>8,623</w:t>
            </w:r>
          </w:p>
        </w:tc>
        <w:tc>
          <w:tcPr>
            <w:tcW w:type="dxa" w:w="1440"/>
            <w:shd w:fill="FAFAFA" w:val="clear"/>
          </w:tcPr>
          <w:p>
            <w:r>
              <w:rPr>
                <w:b/>
                <w:sz w:val="17"/>
              </w:rPr>
              <w:t>9,238</w:t>
            </w:r>
          </w:p>
        </w:tc>
        <w:tc>
          <w:tcPr>
            <w:tcW w:type="dxa" w:w="1440"/>
            <w:shd w:fill="FAFAFA" w:val="clear"/>
          </w:tcPr>
          <w:p>
            <w:r>
              <w:rPr>
                <w:sz w:val="17"/>
              </w:rPr>
              <w:t>9,854</w:t>
            </w:r>
          </w:p>
        </w:tc>
        <w:tc>
          <w:tcPr>
            <w:tcW w:type="dxa" w:w="1440"/>
            <w:shd w:fill="FAFAFA" w:val="clear"/>
          </w:tcPr>
          <w:p>
            <w:r>
              <w:rPr>
                <w:b/>
                <w:color w:val="008000"/>
                <w:sz w:val="17"/>
              </w:rPr>
              <w:t>+1.5%</w:t>
            </w:r>
          </w:p>
        </w:tc>
      </w:tr>
      <w:tr>
        <w:tc>
          <w:tcPr>
            <w:tcW w:type="dxa" w:w="1440"/>
            <w:shd w:fill="FAFAFA" w:val="clear"/>
          </w:tcPr>
          <w:p>
            <w:r>
              <w:rPr>
                <w:sz w:val="17"/>
              </w:rPr>
              <w:t>J+7  Moyenne</w:t>
            </w:r>
          </w:p>
        </w:tc>
        <w:tc>
          <w:tcPr>
            <w:tcW w:type="dxa" w:w="1440"/>
            <w:shd w:fill="FAFAFA" w:val="clear"/>
          </w:tcPr>
          <w:p>
            <w:r>
              <w:rPr>
                <w:sz w:val="17"/>
              </w:rPr>
              <w:t>2026-08-21</w:t>
            </w:r>
          </w:p>
        </w:tc>
        <w:tc>
          <w:tcPr>
            <w:tcW w:type="dxa" w:w="1440"/>
            <w:shd w:fill="FAFAFA" w:val="clear"/>
          </w:tcPr>
          <w:p>
            <w:r>
              <w:rPr>
                <w:sz w:val="17"/>
              </w:rPr>
              <w:t>8,598</w:t>
            </w:r>
          </w:p>
        </w:tc>
        <w:tc>
          <w:tcPr>
            <w:tcW w:type="dxa" w:w="1440"/>
            <w:shd w:fill="FAFAFA" w:val="clear"/>
          </w:tcPr>
          <w:p>
            <w:r>
              <w:rPr>
                <w:b/>
                <w:sz w:val="17"/>
              </w:rPr>
              <w:t>9,265</w:t>
            </w:r>
          </w:p>
        </w:tc>
        <w:tc>
          <w:tcPr>
            <w:tcW w:type="dxa" w:w="1440"/>
            <w:shd w:fill="FAFAFA" w:val="clear"/>
          </w:tcPr>
          <w:p>
            <w:r>
              <w:rPr>
                <w:sz w:val="17"/>
              </w:rPr>
              <w:t>9,932</w:t>
            </w:r>
          </w:p>
        </w:tc>
        <w:tc>
          <w:tcPr>
            <w:tcW w:type="dxa" w:w="1440"/>
            <w:shd w:fill="FAFAFA" w:val="clear"/>
          </w:tcPr>
          <w:p>
            <w:r>
              <w:rPr>
                <w:b/>
                <w:color w:val="008000"/>
                <w:sz w:val="17"/>
              </w:rPr>
              <w:t>+1.8%</w:t>
            </w:r>
          </w:p>
        </w:tc>
      </w:tr>
      <w:tr>
        <w:tc>
          <w:tcPr>
            <w:tcW w:type="dxa" w:w="1440"/>
            <w:shd w:fill="C6EFCE" w:val="clear"/>
          </w:tcPr>
          <w:p>
            <w:r>
              <w:rPr>
                <w:sz w:val="17"/>
              </w:rPr>
              <w:t>J+8  Moyenne</w:t>
            </w:r>
          </w:p>
        </w:tc>
        <w:tc>
          <w:tcPr>
            <w:tcW w:type="dxa" w:w="1440"/>
            <w:shd w:fill="C6EFCE" w:val="clear"/>
          </w:tcPr>
          <w:p>
            <w:r>
              <w:rPr>
                <w:sz w:val="17"/>
              </w:rPr>
              <w:t>2026-08-24</w:t>
            </w:r>
          </w:p>
        </w:tc>
        <w:tc>
          <w:tcPr>
            <w:tcW w:type="dxa" w:w="1440"/>
            <w:shd w:fill="C6EFCE" w:val="clear"/>
          </w:tcPr>
          <w:p>
            <w:r>
              <w:rPr>
                <w:sz w:val="17"/>
              </w:rPr>
              <w:t>8,577</w:t>
            </w:r>
          </w:p>
        </w:tc>
        <w:tc>
          <w:tcPr>
            <w:tcW w:type="dxa" w:w="1440"/>
            <w:shd w:fill="C6EFCE" w:val="clear"/>
          </w:tcPr>
          <w:p>
            <w:r>
              <w:rPr>
                <w:b/>
                <w:sz w:val="17"/>
              </w:rPr>
              <w:t>9,291</w:t>
            </w:r>
          </w:p>
        </w:tc>
        <w:tc>
          <w:tcPr>
            <w:tcW w:type="dxa" w:w="1440"/>
            <w:shd w:fill="C6EFCE" w:val="clear"/>
          </w:tcPr>
          <w:p>
            <w:r>
              <w:rPr>
                <w:sz w:val="17"/>
              </w:rPr>
              <w:t>10,006</w:t>
            </w:r>
          </w:p>
        </w:tc>
        <w:tc>
          <w:tcPr>
            <w:tcW w:type="dxa" w:w="1440"/>
            <w:shd w:fill="C6EFCE" w:val="clear"/>
          </w:tcPr>
          <w:p>
            <w:r>
              <w:rPr>
                <w:b/>
                <w:color w:val="008000"/>
                <w:sz w:val="17"/>
              </w:rPr>
              <w:t>+2.1%</w:t>
            </w:r>
          </w:p>
        </w:tc>
      </w:tr>
      <w:tr>
        <w:tc>
          <w:tcPr>
            <w:tcW w:type="dxa" w:w="1440"/>
            <w:shd w:fill="C6EFCE" w:val="clear"/>
          </w:tcPr>
          <w:p>
            <w:r>
              <w:rPr>
                <w:sz w:val="17"/>
              </w:rPr>
              <w:t>J+9  Moyenne</w:t>
            </w:r>
          </w:p>
        </w:tc>
        <w:tc>
          <w:tcPr>
            <w:tcW w:type="dxa" w:w="1440"/>
            <w:shd w:fill="C6EFCE" w:val="clear"/>
          </w:tcPr>
          <w:p>
            <w:r>
              <w:rPr>
                <w:sz w:val="17"/>
              </w:rPr>
              <w:t>2026-08-25</w:t>
            </w:r>
          </w:p>
        </w:tc>
        <w:tc>
          <w:tcPr>
            <w:tcW w:type="dxa" w:w="1440"/>
            <w:shd w:fill="C6EFCE" w:val="clear"/>
          </w:tcPr>
          <w:p>
            <w:r>
              <w:rPr>
                <w:sz w:val="17"/>
              </w:rPr>
              <w:t>8,558</w:t>
            </w:r>
          </w:p>
        </w:tc>
        <w:tc>
          <w:tcPr>
            <w:tcW w:type="dxa" w:w="1440"/>
            <w:shd w:fill="C6EFCE" w:val="clear"/>
          </w:tcPr>
          <w:p>
            <w:r>
              <w:rPr>
                <w:b/>
                <w:sz w:val="17"/>
              </w:rPr>
              <w:t>9,318</w:t>
            </w:r>
          </w:p>
        </w:tc>
        <w:tc>
          <w:tcPr>
            <w:tcW w:type="dxa" w:w="1440"/>
            <w:shd w:fill="C6EFCE" w:val="clear"/>
          </w:tcPr>
          <w:p>
            <w:r>
              <w:rPr>
                <w:sz w:val="17"/>
              </w:rPr>
              <w:t>10,078</w:t>
            </w:r>
          </w:p>
        </w:tc>
        <w:tc>
          <w:tcPr>
            <w:tcW w:type="dxa" w:w="1440"/>
            <w:shd w:fill="C6EFCE" w:val="clear"/>
          </w:tcPr>
          <w:p>
            <w:r>
              <w:rPr>
                <w:b/>
                <w:color w:val="008000"/>
                <w:sz w:val="17"/>
              </w:rPr>
              <w:t>+2.4%</w:t>
            </w:r>
          </w:p>
        </w:tc>
      </w:tr>
      <w:tr>
        <w:tc>
          <w:tcPr>
            <w:tcW w:type="dxa" w:w="1440"/>
            <w:shd w:fill="C6EFCE" w:val="clear"/>
          </w:tcPr>
          <w:p>
            <w:r>
              <w:rPr>
                <w:sz w:val="17"/>
              </w:rPr>
              <w:t>J+10  Moyenne</w:t>
            </w:r>
          </w:p>
        </w:tc>
        <w:tc>
          <w:tcPr>
            <w:tcW w:type="dxa" w:w="1440"/>
            <w:shd w:fill="C6EFCE" w:val="clear"/>
          </w:tcPr>
          <w:p>
            <w:r>
              <w:rPr>
                <w:sz w:val="17"/>
              </w:rPr>
              <w:t>2026-08-27</w:t>
            </w:r>
          </w:p>
        </w:tc>
        <w:tc>
          <w:tcPr>
            <w:tcW w:type="dxa" w:w="1440"/>
            <w:shd w:fill="C6EFCE" w:val="clear"/>
          </w:tcPr>
          <w:p>
            <w:r>
              <w:rPr>
                <w:sz w:val="17"/>
              </w:rPr>
              <w:t>8,541</w:t>
            </w:r>
          </w:p>
        </w:tc>
        <w:tc>
          <w:tcPr>
            <w:tcW w:type="dxa" w:w="1440"/>
            <w:shd w:fill="C6EFCE" w:val="clear"/>
          </w:tcPr>
          <w:p>
            <w:r>
              <w:rPr>
                <w:b/>
                <w:sz w:val="17"/>
              </w:rPr>
              <w:t>9,344</w:t>
            </w:r>
          </w:p>
        </w:tc>
        <w:tc>
          <w:tcPr>
            <w:tcW w:type="dxa" w:w="1440"/>
            <w:shd w:fill="C6EFCE" w:val="clear"/>
          </w:tcPr>
          <w:p>
            <w:r>
              <w:rPr>
                <w:sz w:val="17"/>
              </w:rPr>
              <w:t>10,148</w:t>
            </w:r>
          </w:p>
        </w:tc>
        <w:tc>
          <w:tcPr>
            <w:tcW w:type="dxa" w:w="1440"/>
            <w:shd w:fill="C6EFCE" w:val="clear"/>
          </w:tcPr>
          <w:p>
            <w:r>
              <w:rPr>
                <w:b/>
                <w:color w:val="008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140,68 milliards FCFA, un niveau qui la positionne parmi les valeurs moyennes de la cote BRVM, reflétant un profil de liquidité modéré avec un volume moyen de 3 628 titres par jour. Le BPA de 1 003 FCFA indique que chaque action génère un bénéfice substantiel, justifiant un PER de 9,1x, inférieur à la moyenne du marché BRVM (8-12x), ce qui suggère une sous-évaluation relative du titre. Le P/B de 0,99x est particulièrement intéressant : le marché valorise l'action légèrement en dessous de sa valeur comptable, offrant une décote sur l'actif net. Enfin, l'EV/EBITDA de 4,4x, nettement sous le seuil de 5x, confirme que la valeur d'entreprise est très raisonnable par rapport à la capacité opérationnelle, renforçant l'attractivité du dossier sur le plan fondamental.</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PALC affiche une variation totale de -3,70%, avec une dernière séance en hausse de +1,34% à 9 100 FCFA, signalant un possible retournement à court terme. Le titre a évolué dans une fourchette de 7 000 à 9 450 FCFA, montrant une amplitude de 35%, ce qui traduit une volatilité intraday marquée. La moyenne de 8 402 FCFA est inférieure à la médiane de 8 600 FCFA, indiquant une distribution légèrement asymétrique avec quelques valeurs basses qui tirent la moyenne vers le bas. L'écart-type de 510 FCFA (CV=6,1%) révèle une dispersion modérée des prix autour de la moyenne, tandis que le kurtosis de -0,586 (mésokurtique) et le skewness de -0,252 suggèrent une distribution proche de la normale, sans risque de pics extrêmes. La volatilité annualisée de 40,9% classe PALC comme un titre à forte volatilité (&gt;30%), ce qui implique un risque élevé mais aussi un potentiel de rendement significatif.</w:t>
      </w:r>
    </w:p>
    <w:p>
      <w:pPr>
        <w:spacing w:after="120" w:line="276" w:lineRule="auto" w:before="240"/>
      </w:pPr>
      <w:r>
        <w:rPr>
          <w:b/>
          <w:color w:val="003366"/>
          <w:sz w:val="24"/>
        </w:rPr>
        <w:t>**PARTIE 2 : ANALYSE TECHNIQUE DÉTAILLÉE**</w:t>
      </w:r>
    </w:p>
    <w:p>
      <w:pPr>
        <w:spacing w:after="120" w:line="276" w:lineRule="auto"/>
      </w:pPr>
      <w:r>
        <w:t>**Moyennes Mobiles** : La MM20 à 8 851 FCFA et la MM50 à 8 729 FCFA sont toutes deux inférieures au cours actuel de 9 100 FCFA, configurant une tendance haussière à court et moyen terme. Le croisement positif des moyennes mobiles et la position du prix au-dessus de celles-ci génèrent un signal d'achat, confirmant une dynamique positive.</w:t>
      </w:r>
    </w:p>
    <w:p>
      <w:pPr>
        <w:spacing w:after="120" w:line="276" w:lineRule="auto"/>
      </w:pPr>
      <w:r>
        <w:t>**Bandes de Bollinger** : Le cours à 9 100 FCFA se situe près de la borne supérieure (9 179 FCFA) et nettement au-dessus de la borne inférieure (8 523 FCFA), indiquant une pression acheteuse soutenue. La largeur des bandes reflète une volatilité modérée, et la décision neutre suggère que le titre n'est pas encore en zone de surachat extrême, laissant un potentiel de hausse.</w:t>
      </w:r>
    </w:p>
    <w:p>
      <w:pPr>
        <w:spacing w:after="120" w:line="276" w:lineRule="auto"/>
      </w:pPr>
      <w:r>
        <w:t>**MACD** : La valeur du MACD à 110,18 est supérieure à son signal à 96,36, montrant un momentum haussier positif et une divergence favorable. Cette configuration signale une accélération de la tendance haussière, justifiant une décision d'achat, avec une dynamique qui pourrait se poursuivre à court terme.</w:t>
      </w:r>
    </w:p>
    <w:p>
      <w:pPr>
        <w:spacing w:after="120" w:line="276" w:lineRule="auto"/>
      </w:pPr>
      <w:r>
        <w:t>**RSI** : Le RSI à 58,33 se situe dans la zone neutre (30-70), indiquant un équilibre entre pression acheteuse et vendeuse sans surachat ni survente. Cette valeur suggère que le titre dispose d'une marge de progression avant d'atteindre des niveaux de surachat, soutenant une décision neutre mais avec un biais positif.</w:t>
      </w:r>
    </w:p>
    <w:p>
      <w:pPr>
        <w:spacing w:after="120" w:line="276" w:lineRule="auto"/>
      </w:pPr>
      <w:r>
        <w:t>**Stochastique** : Le %K à 100,0 et le %D à 92,0 sont en zone de surachat extrême, signalant une possible correction à court terme. Le croisement potentiel de ces lignes pourrait déclencher un signal de vente, indiquant que le titre est temporairement surévalué d'un point de vue technique.</w:t>
      </w:r>
    </w:p>
    <w:p>
      <w:pPr>
        <w:spacing w:after="120" w:line="276" w:lineRule="auto"/>
      </w:pPr>
      <w:r>
        <w:t>**Conclusion technique** : Les indicateurs sont globalement positifs avec une tendance haussière confirmée par les moyennes mobiles, le MACD et la position dans les bandes de Bollinger. Cependant, le stochastique en surachat extrême et le RSI neutre suggèrent une possible consolidation à très court terme avant une poursuite de la hausse. Le signal global reste acheteur, mais avec une prudence sur l'horizon immédiat.</w:t>
      </w:r>
    </w:p>
    <w:p>
      <w:pPr>
        <w:spacing w:after="120" w:line="276" w:lineRule="auto" w:before="240"/>
      </w:pPr>
      <w:r>
        <w:rPr>
          <w:b/>
          <w:color w:val="003366"/>
          <w:sz w:val="24"/>
        </w:rPr>
        <w:t>**PARTIE 3 : ANALYSE FONDAMENTALE (SECTION CRITIQUE)**</w:t>
      </w:r>
    </w:p>
    <w:p>
      <w:pPr>
        <w:spacing w:after="120" w:line="276" w:lineRule="auto"/>
      </w:pPr>
      <w:r>
        <w:t>En 2025, PALC affiche des données financières solides : un chiffre d'affaires de 197,630 milliards FCFA, en croissance de +14,8% par rapport à 2024 (172,2 milliards FCFA), et un résultat net de 15,509 milliards FCFA, en légère baisse de -2,2% (vs 15,9 milliards en 2024). La marge nette s'établit à 7,85%, en recul de 1,4 point, tandis que le ROE atteint 10,87% et le ROA 7,79%, reflétant une rentabilité correcte mais en dessous du seuil de 15% jugé excellent. En tant qu'entreprise agro-industrielle, le BFR de 44,623 milliards FCFA (positif) et le délai clients de 142,58 jours constituent un point de vigilance pour la trésorerie, bien que la dette financière soit très faible (796,56 millions FCFA). Les rapports trimestriels 2025 montrent une forte dynamique : le T1 2025 affiche un CA de 67,5 milliards FCFA (+32%) et un résultat net de 11,6 milliards FCFA (+65%), le S1 2025 atteint 134,8 milliards FCFA (+25%) avec un résultat net de 22,9 milliards FCFA (+37%), et le cumul 9 mois 2025 s'établit à 168,9 milliards FCFA (+18%) avec un résultat net de 18,0 milliards FCFA (+11%). Cependant, le rapport T1 2026 (publié en 2026) révèle une chute drastique : CA de 49,4 milliards FCFA (-27%) et résultat net de 1,6 milliard FCFA (-86%), attribuée à un décalage temporel des ventes. Sur la base de ces données, on estime que l'exercice 2026 pourrait être difficile, mais la direction anticipe un redressement avec l'écoulement des stocks à l'export.</w:t>
      </w:r>
    </w:p>
    <w:p>
      <w:pPr>
        <w:spacing w:after="120" w:line="276" w:lineRule="auto" w:before="240"/>
      </w:pPr>
      <w:r>
        <w:rPr>
          <w:b/>
          <w:color w:val="003366"/>
          <w:sz w:val="24"/>
        </w:rPr>
        <w:t>**PARTIE 4 : CONCLUSION D'INVESTISSEMENT**</w:t>
      </w:r>
    </w:p>
    <w:p>
      <w:pPr>
        <w:spacing w:after="120" w:line="276" w:lineRule="auto"/>
      </w:pPr>
      <w:r>
        <w:t>La valorisation de PALC est clairement attractive avec un PER de 9,1x, un P/B de 0,99x et un EV/EBITDA de 4,4x, indiquant une sous-évaluation par rapport aux fondamentaux. Le comportement du cours sur 100 jours montre une légère baisse (-3,70%) mais une tendance récente positive, avec une volatilité élevée (40,9%) et une distribution proche de la normale, ce qui est rassurant. Les signaux techniques sont majoritairement acheteurs (MM, MACD, Bollinger) malgré un stochastique en surachat, suggérant une poursuite de la hausse après une possible consolidation. Les fondamentaux 2025 sont solides (CA en croissance de +14,8%, ROE de 10,87%) mais le T1 2026 est préoccupant, bien que la direction évoque un décalage temporaire. Les prédictions IA pour les 10 prochains jours (9 102 à 9 212 FCFA) confirment une trajectoire haussière modérée, en ligne avec les signaux techniques. En synthèse, la convergence entre la sous-évaluation, les signaux techniques positifs et les prédictions IA, malgré les risques fondamentaux à court terme, conduit à une recommandation **ACHAT** avec un niveau de confiance **Moyen** et un risque global **Élevé** (volatilité et incertitude T1 2026). L'horizon d'investissement optimal est le **moyen terme (3-12 mois)**, permettant d'absorber la volatilité et de bénéficier du potentiel de redressement.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45.06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1,065 titres</w:t>
            </w:r>
          </w:p>
        </w:tc>
        <w:tc>
          <w:tcPr>
            <w:tcW w:type="dxa" w:w="2268"/>
            <w:shd w:fill="FFF2CC" w:val="clear"/>
          </w:tcPr>
          <w:p>
            <w:r>
              <w:rPr>
                <w:b/>
                <w:color w:val="503200"/>
                <w:sz w:val="16"/>
              </w:rPr>
              <w:t xml:space="preserve">Cours actuel : </w:t>
            </w:r>
            <w:r>
              <w:rPr>
                <w:color w:val="000000"/>
                <w:sz w:val="17"/>
              </w:rPr>
              <w:t>4,400 FCFA</w:t>
            </w:r>
          </w:p>
          <w:p>
            <w:r>
              <w:rPr>
                <w:b/>
                <w:color w:val="503200"/>
                <w:sz w:val="16"/>
              </w:rPr>
              <w:t xml:space="preserve">Var. 100 jours : </w:t>
            </w:r>
            <w:r>
              <w:rPr>
                <w:b/>
                <w:color w:val="B40000"/>
                <w:sz w:val="17"/>
              </w:rPr>
              <w:t>-9.93%</w:t>
            </w:r>
          </w:p>
          <w:p>
            <w:r>
              <w:rPr>
                <w:b/>
                <w:color w:val="503200"/>
                <w:sz w:val="16"/>
              </w:rPr>
              <w:t xml:space="preserve">Plus haut 100j : </w:t>
            </w:r>
            <w:r>
              <w:rPr>
                <w:color w:val="000000"/>
                <w:sz w:val="17"/>
              </w:rPr>
              <w:t>5,100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8.25% (Moyenne) — μ=4,487 FCFA, σ=370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β=-0.4597 (Contre-cyclique) — Cov=-0.000017, Var(idx)=0.000036, ρ=-0.108,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1,065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σ_j=2.55%/j (Stable) — Vol. annualisée≈40.4%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3244"/>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324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2026-08-13</w:t>
            </w:r>
          </w:p>
        </w:tc>
        <w:tc>
          <w:tcPr>
            <w:tcW w:type="dxa" w:w="1440"/>
            <w:shd w:fill="FAFAFA" w:val="clear"/>
          </w:tcPr>
          <w:p>
            <w:r>
              <w:rPr>
                <w:sz w:val="17"/>
              </w:rPr>
              <w:t>4,259</w:t>
            </w:r>
          </w:p>
        </w:tc>
        <w:tc>
          <w:tcPr>
            <w:tcW w:type="dxa" w:w="1440"/>
            <w:shd w:fill="FAFAFA" w:val="clear"/>
          </w:tcPr>
          <w:p>
            <w:r>
              <w:rPr>
                <w:b/>
                <w:sz w:val="17"/>
              </w:rPr>
              <w:t>4,371</w:t>
            </w:r>
          </w:p>
        </w:tc>
        <w:tc>
          <w:tcPr>
            <w:tcW w:type="dxa" w:w="1440"/>
            <w:shd w:fill="FAFAFA" w:val="clear"/>
          </w:tcPr>
          <w:p>
            <w:r>
              <w:rPr>
                <w:sz w:val="17"/>
              </w:rPr>
              <w:t>4,484</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2026-08-14</w:t>
            </w:r>
          </w:p>
        </w:tc>
        <w:tc>
          <w:tcPr>
            <w:tcW w:type="dxa" w:w="1440"/>
            <w:shd w:fill="FAFAFA" w:val="clear"/>
          </w:tcPr>
          <w:p>
            <w:r>
              <w:rPr>
                <w:sz w:val="17"/>
              </w:rPr>
              <w:t>4,192</w:t>
            </w:r>
          </w:p>
        </w:tc>
        <w:tc>
          <w:tcPr>
            <w:tcW w:type="dxa" w:w="1440"/>
            <w:shd w:fill="FAFAFA" w:val="clear"/>
          </w:tcPr>
          <w:p>
            <w:r>
              <w:rPr>
                <w:b/>
                <w:sz w:val="17"/>
              </w:rPr>
              <w:t>4,351</w:t>
            </w:r>
          </w:p>
        </w:tc>
        <w:tc>
          <w:tcPr>
            <w:tcW w:type="dxa" w:w="1440"/>
            <w:shd w:fill="FAFAFA" w:val="clear"/>
          </w:tcPr>
          <w:p>
            <w:r>
              <w:rPr>
                <w:sz w:val="17"/>
              </w:rPr>
              <w:t>4,509</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2026-08-17</w:t>
            </w:r>
          </w:p>
        </w:tc>
        <w:tc>
          <w:tcPr>
            <w:tcW w:type="dxa" w:w="1440"/>
            <w:shd w:fill="FAFAFA" w:val="clear"/>
          </w:tcPr>
          <w:p>
            <w:r>
              <w:rPr>
                <w:sz w:val="17"/>
              </w:rPr>
              <w:t>4,137</w:t>
            </w:r>
          </w:p>
        </w:tc>
        <w:tc>
          <w:tcPr>
            <w:tcW w:type="dxa" w:w="1440"/>
            <w:shd w:fill="FAFAFA" w:val="clear"/>
          </w:tcPr>
          <w:p>
            <w:r>
              <w:rPr>
                <w:b/>
                <w:sz w:val="17"/>
              </w:rPr>
              <w:t>4,330</w:t>
            </w:r>
          </w:p>
        </w:tc>
        <w:tc>
          <w:tcPr>
            <w:tcW w:type="dxa" w:w="1440"/>
            <w:shd w:fill="FAFAFA" w:val="clear"/>
          </w:tcPr>
          <w:p>
            <w:r>
              <w:rPr>
                <w:sz w:val="17"/>
              </w:rPr>
              <w:t>4,524</w:t>
            </w:r>
          </w:p>
        </w:tc>
        <w:tc>
          <w:tcPr>
            <w:tcW w:type="dxa" w:w="1440"/>
            <w:shd w:fill="FAFAFA" w:val="clear"/>
          </w:tcPr>
          <w:p>
            <w:r>
              <w:rPr>
                <w:b/>
                <w:color w:val="C00000"/>
                <w:sz w:val="17"/>
              </w:rPr>
              <w:t>-1.6%</w:t>
            </w:r>
          </w:p>
        </w:tc>
      </w:tr>
      <w:tr>
        <w:tc>
          <w:tcPr>
            <w:tcW w:type="dxa" w:w="1440"/>
            <w:shd w:fill="FFDCE0" w:val="clear"/>
          </w:tcPr>
          <w:p>
            <w:r>
              <w:rPr>
                <w:sz w:val="17"/>
              </w:rPr>
              <w:t>J+4  Moyenne</w:t>
            </w:r>
          </w:p>
        </w:tc>
        <w:tc>
          <w:tcPr>
            <w:tcW w:type="dxa" w:w="1440"/>
            <w:shd w:fill="FFDCE0" w:val="clear"/>
          </w:tcPr>
          <w:p>
            <w:r>
              <w:rPr>
                <w:sz w:val="17"/>
              </w:rPr>
              <w:t>2026-08-18</w:t>
            </w:r>
          </w:p>
        </w:tc>
        <w:tc>
          <w:tcPr>
            <w:tcW w:type="dxa" w:w="1440"/>
            <w:shd w:fill="FFDCE0" w:val="clear"/>
          </w:tcPr>
          <w:p>
            <w:r>
              <w:rPr>
                <w:sz w:val="17"/>
              </w:rPr>
              <w:t>4,088</w:t>
            </w:r>
          </w:p>
        </w:tc>
        <w:tc>
          <w:tcPr>
            <w:tcW w:type="dxa" w:w="1440"/>
            <w:shd w:fill="FFDCE0" w:val="clear"/>
          </w:tcPr>
          <w:p>
            <w:r>
              <w:rPr>
                <w:b/>
                <w:sz w:val="17"/>
              </w:rPr>
              <w:t>4,310</w:t>
            </w:r>
          </w:p>
        </w:tc>
        <w:tc>
          <w:tcPr>
            <w:tcW w:type="dxa" w:w="1440"/>
            <w:shd w:fill="FFDCE0" w:val="clear"/>
          </w:tcPr>
          <w:p>
            <w:r>
              <w:rPr>
                <w:sz w:val="17"/>
              </w:rPr>
              <w:t>4,533</w:t>
            </w:r>
          </w:p>
        </w:tc>
        <w:tc>
          <w:tcPr>
            <w:tcW w:type="dxa" w:w="1440"/>
            <w:shd w:fill="FFDCE0" w:val="clear"/>
          </w:tcPr>
          <w:p>
            <w:r>
              <w:rPr>
                <w:b/>
                <w:color w:val="C00000"/>
                <w:sz w:val="17"/>
              </w:rPr>
              <w:t>-2.0%</w:t>
            </w:r>
          </w:p>
        </w:tc>
      </w:tr>
      <w:tr>
        <w:tc>
          <w:tcPr>
            <w:tcW w:type="dxa" w:w="1440"/>
            <w:shd w:fill="FFDCE0" w:val="clear"/>
          </w:tcPr>
          <w:p>
            <w:r>
              <w:rPr>
                <w:sz w:val="17"/>
              </w:rPr>
              <w:t>J+5  Moyenne</w:t>
            </w:r>
          </w:p>
        </w:tc>
        <w:tc>
          <w:tcPr>
            <w:tcW w:type="dxa" w:w="1440"/>
            <w:shd w:fill="FFDCE0" w:val="clear"/>
          </w:tcPr>
          <w:p>
            <w:r>
              <w:rPr>
                <w:sz w:val="17"/>
              </w:rPr>
              <w:t>2026-08-19</w:t>
            </w:r>
          </w:p>
        </w:tc>
        <w:tc>
          <w:tcPr>
            <w:tcW w:type="dxa" w:w="1440"/>
            <w:shd w:fill="FFDCE0" w:val="clear"/>
          </w:tcPr>
          <w:p>
            <w:r>
              <w:rPr>
                <w:sz w:val="17"/>
              </w:rPr>
              <w:t>4,043</w:t>
            </w:r>
          </w:p>
        </w:tc>
        <w:tc>
          <w:tcPr>
            <w:tcW w:type="dxa" w:w="1440"/>
            <w:shd w:fill="FFDCE0" w:val="clear"/>
          </w:tcPr>
          <w:p>
            <w:r>
              <w:rPr>
                <w:b/>
                <w:sz w:val="17"/>
              </w:rPr>
              <w:t>4,291</w:t>
            </w:r>
          </w:p>
        </w:tc>
        <w:tc>
          <w:tcPr>
            <w:tcW w:type="dxa" w:w="1440"/>
            <w:shd w:fill="FFDCE0" w:val="clear"/>
          </w:tcPr>
          <w:p>
            <w:r>
              <w:rPr>
                <w:sz w:val="17"/>
              </w:rPr>
              <w:t>4,538</w:t>
            </w:r>
          </w:p>
        </w:tc>
        <w:tc>
          <w:tcPr>
            <w:tcW w:type="dxa" w:w="1440"/>
            <w:shd w:fill="FFDCE0" w:val="clear"/>
          </w:tcPr>
          <w:p>
            <w:r>
              <w:rPr>
                <w:b/>
                <w:color w:val="C00000"/>
                <w:sz w:val="17"/>
              </w:rPr>
              <w:t>-2.5%</w:t>
            </w:r>
          </w:p>
        </w:tc>
      </w:tr>
      <w:tr>
        <w:tc>
          <w:tcPr>
            <w:tcW w:type="dxa" w:w="1440"/>
            <w:shd w:fill="FFDCE0" w:val="clear"/>
          </w:tcPr>
          <w:p>
            <w:r>
              <w:rPr>
                <w:sz w:val="17"/>
              </w:rPr>
              <w:t>J+6  Moyenne</w:t>
            </w:r>
          </w:p>
        </w:tc>
        <w:tc>
          <w:tcPr>
            <w:tcW w:type="dxa" w:w="1440"/>
            <w:shd w:fill="FFDCE0" w:val="clear"/>
          </w:tcPr>
          <w:p>
            <w:r>
              <w:rPr>
                <w:sz w:val="17"/>
              </w:rPr>
              <w:t>2026-08-20</w:t>
            </w:r>
          </w:p>
        </w:tc>
        <w:tc>
          <w:tcPr>
            <w:tcW w:type="dxa" w:w="1440"/>
            <w:shd w:fill="FFDCE0" w:val="clear"/>
          </w:tcPr>
          <w:p>
            <w:r>
              <w:rPr>
                <w:sz w:val="17"/>
              </w:rPr>
              <w:t>4,002</w:t>
            </w:r>
          </w:p>
        </w:tc>
        <w:tc>
          <w:tcPr>
            <w:tcW w:type="dxa" w:w="1440"/>
            <w:shd w:fill="FFDCE0" w:val="clear"/>
          </w:tcPr>
          <w:p>
            <w:r>
              <w:rPr>
                <w:b/>
                <w:sz w:val="17"/>
              </w:rPr>
              <w:t>4,271</w:t>
            </w:r>
          </w:p>
        </w:tc>
        <w:tc>
          <w:tcPr>
            <w:tcW w:type="dxa" w:w="1440"/>
            <w:shd w:fill="FFDCE0" w:val="clear"/>
          </w:tcPr>
          <w:p>
            <w:r>
              <w:rPr>
                <w:sz w:val="17"/>
              </w:rPr>
              <w:t>4,541</w:t>
            </w:r>
          </w:p>
        </w:tc>
        <w:tc>
          <w:tcPr>
            <w:tcW w:type="dxa" w:w="1440"/>
            <w:shd w:fill="FFDCE0" w:val="clear"/>
          </w:tcPr>
          <w:p>
            <w:r>
              <w:rPr>
                <w:b/>
                <w:color w:val="C00000"/>
                <w:sz w:val="17"/>
              </w:rPr>
              <w:t>-2.9%</w:t>
            </w:r>
          </w:p>
        </w:tc>
      </w:tr>
      <w:tr>
        <w:tc>
          <w:tcPr>
            <w:tcW w:type="dxa" w:w="1440"/>
            <w:shd w:fill="FFDCE0" w:val="clear"/>
          </w:tcPr>
          <w:p>
            <w:r>
              <w:rPr>
                <w:sz w:val="17"/>
              </w:rPr>
              <w:t>J+7  Moyenne</w:t>
            </w:r>
          </w:p>
        </w:tc>
        <w:tc>
          <w:tcPr>
            <w:tcW w:type="dxa" w:w="1440"/>
            <w:shd w:fill="FFDCE0" w:val="clear"/>
          </w:tcPr>
          <w:p>
            <w:r>
              <w:rPr>
                <w:sz w:val="17"/>
              </w:rPr>
              <w:t>2026-08-21</w:t>
            </w:r>
          </w:p>
        </w:tc>
        <w:tc>
          <w:tcPr>
            <w:tcW w:type="dxa" w:w="1440"/>
            <w:shd w:fill="FFDCE0" w:val="clear"/>
          </w:tcPr>
          <w:p>
            <w:r>
              <w:rPr>
                <w:sz w:val="17"/>
              </w:rPr>
              <w:t>3,963</w:t>
            </w:r>
          </w:p>
        </w:tc>
        <w:tc>
          <w:tcPr>
            <w:tcW w:type="dxa" w:w="1440"/>
            <w:shd w:fill="FFDCE0" w:val="clear"/>
          </w:tcPr>
          <w:p>
            <w:r>
              <w:rPr>
                <w:b/>
                <w:sz w:val="17"/>
              </w:rPr>
              <w:t>4,253</w:t>
            </w:r>
          </w:p>
        </w:tc>
        <w:tc>
          <w:tcPr>
            <w:tcW w:type="dxa" w:w="1440"/>
            <w:shd w:fill="FFDCE0" w:val="clear"/>
          </w:tcPr>
          <w:p>
            <w:r>
              <w:rPr>
                <w:sz w:val="17"/>
              </w:rPr>
              <w:t>4,543</w:t>
            </w:r>
          </w:p>
        </w:tc>
        <w:tc>
          <w:tcPr>
            <w:tcW w:type="dxa" w:w="1440"/>
            <w:shd w:fill="FFDCE0" w:val="clear"/>
          </w:tcPr>
          <w:p>
            <w:r>
              <w:rPr>
                <w:b/>
                <w:color w:val="C00000"/>
                <w:sz w:val="17"/>
              </w:rPr>
              <w:t>-3.4%</w:t>
            </w:r>
          </w:p>
        </w:tc>
      </w:tr>
      <w:tr>
        <w:tc>
          <w:tcPr>
            <w:tcW w:type="dxa" w:w="1440"/>
            <w:shd w:fill="FFDCE0" w:val="clear"/>
          </w:tcPr>
          <w:p>
            <w:r>
              <w:rPr>
                <w:sz w:val="17"/>
              </w:rPr>
              <w:t>J+8  Moyenne</w:t>
            </w:r>
          </w:p>
        </w:tc>
        <w:tc>
          <w:tcPr>
            <w:tcW w:type="dxa" w:w="1440"/>
            <w:shd w:fill="FFDCE0" w:val="clear"/>
          </w:tcPr>
          <w:p>
            <w:r>
              <w:rPr>
                <w:sz w:val="17"/>
              </w:rPr>
              <w:t>2026-08-24</w:t>
            </w:r>
          </w:p>
        </w:tc>
        <w:tc>
          <w:tcPr>
            <w:tcW w:type="dxa" w:w="1440"/>
            <w:shd w:fill="FFDCE0" w:val="clear"/>
          </w:tcPr>
          <w:p>
            <w:r>
              <w:rPr>
                <w:sz w:val="17"/>
              </w:rPr>
              <w:t>3,925</w:t>
            </w:r>
          </w:p>
        </w:tc>
        <w:tc>
          <w:tcPr>
            <w:tcW w:type="dxa" w:w="1440"/>
            <w:shd w:fill="FFDCE0" w:val="clear"/>
          </w:tcPr>
          <w:p>
            <w:r>
              <w:rPr>
                <w:b/>
                <w:sz w:val="17"/>
              </w:rPr>
              <w:t>4,234</w:t>
            </w:r>
          </w:p>
        </w:tc>
        <w:tc>
          <w:tcPr>
            <w:tcW w:type="dxa" w:w="1440"/>
            <w:shd w:fill="FFDCE0" w:val="clear"/>
          </w:tcPr>
          <w:p>
            <w:r>
              <w:rPr>
                <w:sz w:val="17"/>
              </w:rPr>
              <w:t>4,543</w:t>
            </w:r>
          </w:p>
        </w:tc>
        <w:tc>
          <w:tcPr>
            <w:tcW w:type="dxa" w:w="1440"/>
            <w:shd w:fill="FFDCE0" w:val="clear"/>
          </w:tcPr>
          <w:p>
            <w:r>
              <w:rPr>
                <w:b/>
                <w:color w:val="C00000"/>
                <w:sz w:val="17"/>
              </w:rPr>
              <w:t>-3.8%</w:t>
            </w:r>
          </w:p>
        </w:tc>
      </w:tr>
      <w:tr>
        <w:tc>
          <w:tcPr>
            <w:tcW w:type="dxa" w:w="1440"/>
            <w:shd w:fill="FFDCE0" w:val="clear"/>
          </w:tcPr>
          <w:p>
            <w:r>
              <w:rPr>
                <w:sz w:val="17"/>
              </w:rPr>
              <w:t>J+9  Moyenne</w:t>
            </w:r>
          </w:p>
        </w:tc>
        <w:tc>
          <w:tcPr>
            <w:tcW w:type="dxa" w:w="1440"/>
            <w:shd w:fill="FFDCE0" w:val="clear"/>
          </w:tcPr>
          <w:p>
            <w:r>
              <w:rPr>
                <w:sz w:val="17"/>
              </w:rPr>
              <w:t>2026-08-25</w:t>
            </w:r>
          </w:p>
        </w:tc>
        <w:tc>
          <w:tcPr>
            <w:tcW w:type="dxa" w:w="1440"/>
            <w:shd w:fill="FFDCE0" w:val="clear"/>
          </w:tcPr>
          <w:p>
            <w:r>
              <w:rPr>
                <w:sz w:val="17"/>
              </w:rPr>
              <w:t>3,890</w:t>
            </w:r>
          </w:p>
        </w:tc>
        <w:tc>
          <w:tcPr>
            <w:tcW w:type="dxa" w:w="1440"/>
            <w:shd w:fill="FFDCE0" w:val="clear"/>
          </w:tcPr>
          <w:p>
            <w:r>
              <w:rPr>
                <w:b/>
                <w:sz w:val="17"/>
              </w:rPr>
              <w:t>4,216</w:t>
            </w:r>
          </w:p>
        </w:tc>
        <w:tc>
          <w:tcPr>
            <w:tcW w:type="dxa" w:w="1440"/>
            <w:shd w:fill="FFDCE0" w:val="clear"/>
          </w:tcPr>
          <w:p>
            <w:r>
              <w:rPr>
                <w:sz w:val="17"/>
              </w:rPr>
              <w:t>4,542</w:t>
            </w:r>
          </w:p>
        </w:tc>
        <w:tc>
          <w:tcPr>
            <w:tcW w:type="dxa" w:w="1440"/>
            <w:shd w:fill="FFDCE0" w:val="clear"/>
          </w:tcPr>
          <w:p>
            <w:r>
              <w:rPr>
                <w:b/>
                <w:color w:val="C00000"/>
                <w:sz w:val="17"/>
              </w:rPr>
              <w:t>-4.2%</w:t>
            </w:r>
          </w:p>
        </w:tc>
      </w:tr>
      <w:tr>
        <w:tc>
          <w:tcPr>
            <w:tcW w:type="dxa" w:w="1440"/>
            <w:shd w:fill="FFDCE0" w:val="clear"/>
          </w:tcPr>
          <w:p>
            <w:r>
              <w:rPr>
                <w:sz w:val="17"/>
              </w:rPr>
              <w:t>J+10  Moyenne</w:t>
            </w:r>
          </w:p>
        </w:tc>
        <w:tc>
          <w:tcPr>
            <w:tcW w:type="dxa" w:w="1440"/>
            <w:shd w:fill="FFDCE0" w:val="clear"/>
          </w:tcPr>
          <w:p>
            <w:r>
              <w:rPr>
                <w:sz w:val="17"/>
              </w:rPr>
              <w:t>2026-08-27</w:t>
            </w:r>
          </w:p>
        </w:tc>
        <w:tc>
          <w:tcPr>
            <w:tcW w:type="dxa" w:w="1440"/>
            <w:shd w:fill="FFDCE0" w:val="clear"/>
          </w:tcPr>
          <w:p>
            <w:r>
              <w:rPr>
                <w:sz w:val="17"/>
              </w:rPr>
              <w:t>3,856</w:t>
            </w:r>
          </w:p>
        </w:tc>
        <w:tc>
          <w:tcPr>
            <w:tcW w:type="dxa" w:w="1440"/>
            <w:shd w:fill="FFDCE0" w:val="clear"/>
          </w:tcPr>
          <w:p>
            <w:r>
              <w:rPr>
                <w:b/>
                <w:sz w:val="17"/>
              </w:rPr>
              <w:t>4,198</w:t>
            </w:r>
          </w:p>
        </w:tc>
        <w:tc>
          <w:tcPr>
            <w:tcW w:type="dxa" w:w="1440"/>
            <w:shd w:fill="FFDCE0" w:val="clear"/>
          </w:tcPr>
          <w:p>
            <w:r>
              <w:rPr>
                <w:sz w:val="17"/>
              </w:rPr>
              <w:t>4,540</w:t>
            </w:r>
          </w:p>
        </w:tc>
        <w:tc>
          <w:tcPr>
            <w:tcW w:type="dxa" w:w="1440"/>
            <w:shd w:fill="FFDCE0" w:val="clear"/>
          </w:tcPr>
          <w:p>
            <w:r>
              <w:rPr>
                <w:b/>
                <w:color w:val="C00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 AFRIC MOTORS CI)**</w:t>
        <w:br/>
        <w:t>**Date de l'analyse : 12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**45,06 milliards FCFA**, un niveau significatif sur la BRVM qui positionne le titre comme une valeur moyenne du marché. Avec un **BPA de 231 FCFA**, le **PER de 19,0x** se situe nettement au-dessus de la moyenne historique de la BRVM (8-12x), indiquant que les investisseurs paient une prime substantielle pour les bénéfices de la société. Cette prime est confirmée par le **P/B de 3,91x**, qui valorise l'action près de 4 fois sa valeur comptable, traduisant des attentes de croissance élevées. Enfin, l'**EV/EBITDA de 9,7x** se situe dans la fourchette haute des valeurs raisonnables (5-10x), ce qui suggère que la valorisation globale de l'entreprise, intégrant sa dette, reste soutenable mais sans marge de sécurité significative.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PRSC a enregistré une **baisse de -9,93%**, avec une dernière séance stable (+0,00%), illustrant une tendance baissière marquée. Le cours a évolué dans une fourchette large de **3 620 FCFA à 5 100 FCFA**, montrant une amplitude de trading importante. La **moyenne (4 487 FCFA)** est inférieure à la **médiane (4 518 FCFA)**, et le **mode (3 695 FCFA)** est nettement plus bas, ce qui, combiné à un **skewness négatif (-0,737)**, révèle une distribution asymétrique avec des épisodes de fortes baisses plus fréquents que les hausses. L'**écart-type de 372 FCFA** (CV=8,3%) indique une dispersion modérée autour de la moyenne. Le **kurtosis de -0,061** (mésokurtique) suggère l'absence de risques de krach ou de pics extrêmes. La **volatilité annualisée de 40,4%** classe le titre comme très volatil, un niveau élevé qui reflète une incertitude marquée des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(4 400 FCFA) est inférieur à la MM20 (4 499,75 FCFA) et à la MM50 (4 459 FCFA), indiquant une dynamique baissière à court et moyen terme. Cependant, le signal global est "Achat", ce qui suggère que le croisement des moyennes pourrait être en phase de retournement haussier, ou que d'autres facteurs techniques compensent cette configuration.</w:t>
      </w:r>
    </w:p>
    <w:p>
      <w:pPr>
        <w:spacing w:after="120" w:line="276" w:lineRule="auto"/>
      </w:pPr>
      <w:r>
        <w:t>**Bandes de Bollinger :** Le cours se situe sous la borne inférieure (4 313,47 FCFA) mais au-dessus de la borne supérieure (4 686,03 FCFA), dans la partie basse du canal. La décision "Neutre" indique que le prix n'est pas en situation extrême de surachat ou de survente, mais la proximité de la borne inférieure suggère une pression vendeuse persistante.</w:t>
      </w:r>
    </w:p>
    <w:p>
      <w:pPr>
        <w:spacing w:after="120" w:line="276" w:lineRule="auto"/>
      </w:pPr>
      <w:r>
        <w:t>**MACD :** La valeur MACD (-7,046) est négative et inférieure à sa ligne de signal (12,586), ce qui constitue un signal de **Vente**. Cette configuration indique un momentum baissier en cours, avec une accélération de la tendance négative.</w:t>
      </w:r>
    </w:p>
    <w:p>
      <w:pPr>
        <w:spacing w:after="120" w:line="276" w:lineRule="auto"/>
      </w:pPr>
      <w:r>
        <w:t>**RSI :** Le RSI à **27,885** est en zone de survente (&lt;30), signalant que le titre est techniquement survendu. La décision "Achat" suggère qu'un rebond technique est probable à court terme, mais cela peut aussi indiquer une faiblesse sous-jacente.</w:t>
      </w:r>
    </w:p>
    <w:p>
      <w:pPr>
        <w:spacing w:after="120" w:line="276" w:lineRule="auto"/>
      </w:pPr>
      <w:r>
        <w:t>**Stochastique :** Le %K (0,0) est extrêmement bas et croise sous le %D (6,803), confirmant une situation de survente sévère. La décision "Achat" renforce l'idée d'un potentiel de rebond imminent, mais la faiblesse des valeurs indique une pression vendeuse dominante.</w:t>
      </w:r>
    </w:p>
    <w:p>
      <w:pPr>
        <w:spacing w:after="120" w:line="276" w:lineRule="auto"/>
      </w:pPr>
      <w:r>
        <w:t>**Conclusion technique :** Les indicateurs sont divergents : les moyennes mobiles et le MACD suggèrent une tendance baissière, tandis que le RSI et le stochastique signalent une survente extrême. Cette configuration indique un marché en équilibre précaire, avec un risque de poursuite de la baisse mais un potentiel de rebond technique à très court terme. La prudence est de mise.</w:t>
      </w:r>
    </w:p>
    <w:p>
      <w:pPr>
        <w:spacing w:after="120" w:line="276" w:lineRule="auto"/>
      </w:pPr>
      <w:r>
        <w:t>---</w:t>
      </w:r>
    </w:p>
    <w:p>
      <w:pPr>
        <w:spacing w:after="120" w:line="276" w:lineRule="auto"/>
      </w:pPr>
      <w:r>
        <w:t>### PARTIE 3 : ANALYSE FONDAMENTALE (SECTION CRITIQUE)</w:t>
      </w:r>
    </w:p>
    <w:p>
      <w:pPr>
        <w:spacing w:after="120" w:line="276" w:lineRule="auto"/>
      </w:pPr>
      <w:r>
        <w:t>En 2025, PRSC affiche un **chiffre d'affaires de 81,127 milliards FCFA** (en hausse de 9,5% par rapport à 2024), un **résultat net de 2,367 milliards FCFA** et une **marge nette de 2,9%**. Le **ROE est excellent à 20,53%**, démontrant une forte rentabilité des capitaux propres, tandis que le **ROA de 4,95%** reste modéré. La société, identifiée comme une entreprise de distribution automobile, présente un **BFR de 11,267 milliards FCFA** (positif, donc besoin de financement), un **délai client de 45,99 jours** (risque de trésorerie modéré) et un **délai fournisseur de 102,65 jours** (favorable). Le **ratio d'endettement de 314,86%** est élevé, mais la **capacité de remboursement de 1,83 an** reste acceptable. Les rapports trimestriels S1 2025 (daté du 30/06/2025) montrent une performance exceptionnelle avec un CA en hausse de +15,1% et un résultat net multiplié par 28, mais la direction anticipe un ralentissement au S2 dû au contexte électoral. Le rapport annuel 2025 (daté du 31/12/2025) confirme une croissance stable et un dividende de 209 FCFA par action proposé pour 2026. La société démontre une résilience opérationnelle, mais sa dépendance au marché ivoirien et sa marge nette faible restent des points de vigilance.</w:t>
      </w:r>
    </w:p>
    <w:p>
      <w:pPr>
        <w:spacing w:after="120" w:line="276" w:lineRule="auto"/>
      </w:pPr>
      <w:r>
        <w:t>---</w:t>
      </w:r>
    </w:p>
    <w:p>
      <w:pPr>
        <w:spacing w:after="120" w:line="276" w:lineRule="auto"/>
      </w:pPr>
      <w:r>
        <w:t>### PARTIE 4 : CONCLUSION D'INVESTISSEMENT</w:t>
      </w:r>
    </w:p>
    <w:p>
      <w:pPr>
        <w:spacing w:after="120" w:line="276" w:lineRule="auto"/>
      </w:pPr>
      <w:r>
        <w:t>La valorisation de PRSC (PER 19x, P/B 3,91x) apparaît **élevée** par rapport aux standards BRVM, suggérant une surévaluation relative malgré des fondamentaux solides. Le comportement du cours (-9,93% sur 100 jours, volatilité de 40,4%) est **préoccupant**, avec une distribution asymétrique négative indiquant un biais baissier. Les signaux techniques sont **divergents** : les moyennes mobiles et le MACD sont baissiers, tandis que le RSI et le stochastique signalent une survente extrême, laissant présager un rebond technique possible. Les fondamentaux sont **solides** avec un ROE de 20,5%, une croissance du CA de 9,5% en 2025 et un dividende proposé de 209 FCFA/action, mais la marge nette reste faible. Les **prédictions IA** (baisse progressive de 4 371 à 4 291 FCFA sur 10 jours) confirment la tendance baissière à court terme. En synthèse, la convergence entre la valorisation élevée, la tendance technique baissière et les prédictions IA l'emporte sur la solidité fondamentale. **Recommandation : VENTE** avec un niveau de confiance **Moyen** et un risque global **Élevé**. L'horizon d'investissement optimal serait le **court terme (&lt;3 mois)** pour les investisseurs cherchant à limiter les pertes, tandis que les investisseurs à long terme pourraient attendre un point d'entrée plus favorable sous les 4 000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41.98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7,350 titres</w:t>
            </w:r>
          </w:p>
        </w:tc>
        <w:tc>
          <w:tcPr>
            <w:tcW w:type="dxa" w:w="2268"/>
            <w:shd w:fill="FFF2CC" w:val="clear"/>
          </w:tcPr>
          <w:p>
            <w:r>
              <w:rPr>
                <w:b/>
                <w:color w:val="503200"/>
                <w:sz w:val="16"/>
              </w:rPr>
              <w:t xml:space="preserve">Cours actuel : </w:t>
            </w:r>
            <w:r>
              <w:rPr>
                <w:color w:val="000000"/>
                <w:sz w:val="17"/>
              </w:rPr>
              <w:t>5,170 FCFA</w:t>
            </w:r>
          </w:p>
          <w:p>
            <w:r>
              <w:rPr>
                <w:b/>
                <w:color w:val="503200"/>
                <w:sz w:val="16"/>
              </w:rPr>
              <w:t xml:space="preserve">Var. 100 jours : </w:t>
            </w:r>
            <w:r>
              <w:rPr>
                <w:b/>
                <w:color w:val="B40000"/>
                <w:sz w:val="17"/>
              </w:rPr>
              <w:t>-13.83%</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23.51% (Élevée) — μ=4,795 FCFA, σ=1,127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β=0.0541 (Défensif) — Cov=0.000002, Var(idx)=0.000036, ρ=0.006,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7,350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σ_j=5.32%/j (Instable) — Vol. annualisée≈84.4%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3244"/>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324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2026-08-13</w:t>
            </w:r>
          </w:p>
        </w:tc>
        <w:tc>
          <w:tcPr>
            <w:tcW w:type="dxa" w:w="1440"/>
            <w:shd w:fill="FFDCE0" w:val="clear"/>
          </w:tcPr>
          <w:p>
            <w:r>
              <w:rPr>
                <w:sz w:val="17"/>
              </w:rPr>
              <w:t>4,495</w:t>
            </w:r>
          </w:p>
        </w:tc>
        <w:tc>
          <w:tcPr>
            <w:tcW w:type="dxa" w:w="1440"/>
            <w:shd w:fill="FFDCE0" w:val="clear"/>
          </w:tcPr>
          <w:p>
            <w:r>
              <w:rPr>
                <w:b/>
                <w:sz w:val="17"/>
              </w:rPr>
              <w:t>4,782</w:t>
            </w:r>
          </w:p>
        </w:tc>
        <w:tc>
          <w:tcPr>
            <w:tcW w:type="dxa" w:w="1440"/>
            <w:shd w:fill="FFDCE0" w:val="clear"/>
          </w:tcPr>
          <w:p>
            <w:r>
              <w:rPr>
                <w:sz w:val="17"/>
              </w:rPr>
              <w:t>5,070</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2026-08-14</w:t>
            </w:r>
          </w:p>
        </w:tc>
        <w:tc>
          <w:tcPr>
            <w:tcW w:type="dxa" w:w="1440"/>
            <w:shd w:fill="FFDCE0" w:val="clear"/>
          </w:tcPr>
          <w:p>
            <w:r>
              <w:rPr>
                <w:sz w:val="17"/>
              </w:rPr>
              <w:t>4,048</w:t>
            </w:r>
          </w:p>
        </w:tc>
        <w:tc>
          <w:tcPr>
            <w:tcW w:type="dxa" w:w="1440"/>
            <w:shd w:fill="FFDCE0" w:val="clear"/>
          </w:tcPr>
          <w:p>
            <w:r>
              <w:rPr>
                <w:b/>
                <w:sz w:val="17"/>
              </w:rPr>
              <w:t>4,424</w:t>
            </w:r>
          </w:p>
        </w:tc>
        <w:tc>
          <w:tcPr>
            <w:tcW w:type="dxa" w:w="1440"/>
            <w:shd w:fill="FFDCE0" w:val="clear"/>
          </w:tcPr>
          <w:p>
            <w:r>
              <w:rPr>
                <w:sz w:val="17"/>
              </w:rPr>
              <w:t>4,799</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2026-08-17</w:t>
            </w:r>
          </w:p>
        </w:tc>
        <w:tc>
          <w:tcPr>
            <w:tcW w:type="dxa" w:w="1440"/>
            <w:shd w:fill="FFDCE0" w:val="clear"/>
          </w:tcPr>
          <w:p>
            <w:r>
              <w:rPr>
                <w:sz w:val="17"/>
              </w:rPr>
              <w:t>3,666</w:t>
            </w:r>
          </w:p>
        </w:tc>
        <w:tc>
          <w:tcPr>
            <w:tcW w:type="dxa" w:w="1440"/>
            <w:shd w:fill="FFDCE0" w:val="clear"/>
          </w:tcPr>
          <w:p>
            <w:r>
              <w:rPr>
                <w:b/>
                <w:sz w:val="17"/>
              </w:rPr>
              <w:t>4,092</w:t>
            </w:r>
          </w:p>
        </w:tc>
        <w:tc>
          <w:tcPr>
            <w:tcW w:type="dxa" w:w="1440"/>
            <w:shd w:fill="FFDCE0" w:val="clear"/>
          </w:tcPr>
          <w:p>
            <w:r>
              <w:rPr>
                <w:sz w:val="17"/>
              </w:rPr>
              <w:t>4,518</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2026-08-18</w:t>
            </w:r>
          </w:p>
        </w:tc>
        <w:tc>
          <w:tcPr>
            <w:tcW w:type="dxa" w:w="1440"/>
            <w:shd w:fill="FFDCE0" w:val="clear"/>
          </w:tcPr>
          <w:p>
            <w:r>
              <w:rPr>
                <w:sz w:val="17"/>
              </w:rPr>
              <w:t>3,330</w:t>
            </w:r>
          </w:p>
        </w:tc>
        <w:tc>
          <w:tcPr>
            <w:tcW w:type="dxa" w:w="1440"/>
            <w:shd w:fill="FFDCE0" w:val="clear"/>
          </w:tcPr>
          <w:p>
            <w:r>
              <w:rPr>
                <w:b/>
                <w:sz w:val="17"/>
              </w:rPr>
              <w:t>3,785</w:t>
            </w:r>
          </w:p>
        </w:tc>
        <w:tc>
          <w:tcPr>
            <w:tcW w:type="dxa" w:w="1440"/>
            <w:shd w:fill="FFDCE0" w:val="clear"/>
          </w:tcPr>
          <w:p>
            <w:r>
              <w:rPr>
                <w:sz w:val="17"/>
              </w:rPr>
              <w:t>4,240</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2026-08-19</w:t>
            </w:r>
          </w:p>
        </w:tc>
        <w:tc>
          <w:tcPr>
            <w:tcW w:type="dxa" w:w="1440"/>
            <w:shd w:fill="FFDCE0" w:val="clear"/>
          </w:tcPr>
          <w:p>
            <w:r>
              <w:rPr>
                <w:sz w:val="17"/>
              </w:rPr>
              <w:t>3,031</w:t>
            </w:r>
          </w:p>
        </w:tc>
        <w:tc>
          <w:tcPr>
            <w:tcW w:type="dxa" w:w="1440"/>
            <w:shd w:fill="FFDCE0" w:val="clear"/>
          </w:tcPr>
          <w:p>
            <w:r>
              <w:rPr>
                <w:b/>
                <w:sz w:val="17"/>
              </w:rPr>
              <w:t>3,501</w:t>
            </w:r>
          </w:p>
        </w:tc>
        <w:tc>
          <w:tcPr>
            <w:tcW w:type="dxa" w:w="1440"/>
            <w:shd w:fill="FFDCE0" w:val="clear"/>
          </w:tcPr>
          <w:p>
            <w:r>
              <w:rPr>
                <w:sz w:val="17"/>
              </w:rPr>
              <w:t>3,971</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2026-08-20</w:t>
            </w:r>
          </w:p>
        </w:tc>
        <w:tc>
          <w:tcPr>
            <w:tcW w:type="dxa" w:w="1440"/>
            <w:shd w:fill="FFDCE0" w:val="clear"/>
          </w:tcPr>
          <w:p>
            <w:r>
              <w:rPr>
                <w:sz w:val="17"/>
              </w:rPr>
              <w:t>2,762</w:t>
            </w:r>
          </w:p>
        </w:tc>
        <w:tc>
          <w:tcPr>
            <w:tcW w:type="dxa" w:w="1440"/>
            <w:shd w:fill="FFDCE0" w:val="clear"/>
          </w:tcPr>
          <w:p>
            <w:r>
              <w:rPr>
                <w:b/>
                <w:sz w:val="17"/>
              </w:rPr>
              <w:t>3,238</w:t>
            </w:r>
          </w:p>
        </w:tc>
        <w:tc>
          <w:tcPr>
            <w:tcW w:type="dxa" w:w="1440"/>
            <w:shd w:fill="FFDCE0" w:val="clear"/>
          </w:tcPr>
          <w:p>
            <w:r>
              <w:rPr>
                <w:sz w:val="17"/>
              </w:rPr>
              <w:t>3,715</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2026-08-21</w:t>
            </w:r>
          </w:p>
        </w:tc>
        <w:tc>
          <w:tcPr>
            <w:tcW w:type="dxa" w:w="1440"/>
            <w:shd w:fill="FFDCE0" w:val="clear"/>
          </w:tcPr>
          <w:p>
            <w:r>
              <w:rPr>
                <w:sz w:val="17"/>
              </w:rPr>
              <w:t>2,519</w:t>
            </w:r>
          </w:p>
        </w:tc>
        <w:tc>
          <w:tcPr>
            <w:tcW w:type="dxa" w:w="1440"/>
            <w:shd w:fill="FFDCE0" w:val="clear"/>
          </w:tcPr>
          <w:p>
            <w:r>
              <w:rPr>
                <w:b/>
                <w:sz w:val="17"/>
              </w:rPr>
              <w:t>2,996</w:t>
            </w:r>
          </w:p>
        </w:tc>
        <w:tc>
          <w:tcPr>
            <w:tcW w:type="dxa" w:w="1440"/>
            <w:shd w:fill="FFDCE0" w:val="clear"/>
          </w:tcPr>
          <w:p>
            <w:r>
              <w:rPr>
                <w:sz w:val="17"/>
              </w:rPr>
              <w:t>3,472</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2026-08-24</w:t>
            </w:r>
          </w:p>
        </w:tc>
        <w:tc>
          <w:tcPr>
            <w:tcW w:type="dxa" w:w="1440"/>
            <w:shd w:fill="FFDCE0" w:val="clear"/>
          </w:tcPr>
          <w:p>
            <w:r>
              <w:rPr>
                <w:sz w:val="17"/>
              </w:rPr>
              <w:t>2,300</w:t>
            </w:r>
          </w:p>
        </w:tc>
        <w:tc>
          <w:tcPr>
            <w:tcW w:type="dxa" w:w="1440"/>
            <w:shd w:fill="FFDCE0" w:val="clear"/>
          </w:tcPr>
          <w:p>
            <w:r>
              <w:rPr>
                <w:b/>
                <w:sz w:val="17"/>
              </w:rPr>
              <w:t>2,771</w:t>
            </w:r>
          </w:p>
        </w:tc>
        <w:tc>
          <w:tcPr>
            <w:tcW w:type="dxa" w:w="1440"/>
            <w:shd w:fill="FFDCE0" w:val="clear"/>
          </w:tcPr>
          <w:p>
            <w:r>
              <w:rPr>
                <w:sz w:val="17"/>
              </w:rPr>
              <w:t>3,242</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2026-08-25</w:t>
            </w:r>
          </w:p>
        </w:tc>
        <w:tc>
          <w:tcPr>
            <w:tcW w:type="dxa" w:w="1440"/>
            <w:shd w:fill="FFDCE0" w:val="clear"/>
          </w:tcPr>
          <w:p>
            <w:r>
              <w:rPr>
                <w:sz w:val="17"/>
              </w:rPr>
              <w:t>2,101</w:t>
            </w:r>
          </w:p>
        </w:tc>
        <w:tc>
          <w:tcPr>
            <w:tcW w:type="dxa" w:w="1440"/>
            <w:shd w:fill="FFDCE0" w:val="clear"/>
          </w:tcPr>
          <w:p>
            <w:r>
              <w:rPr>
                <w:b/>
                <w:sz w:val="17"/>
              </w:rPr>
              <w:t>2,563</w:t>
            </w:r>
          </w:p>
        </w:tc>
        <w:tc>
          <w:tcPr>
            <w:tcW w:type="dxa" w:w="1440"/>
            <w:shd w:fill="FFDCE0" w:val="clear"/>
          </w:tcPr>
          <w:p>
            <w:r>
              <w:rPr>
                <w:sz w:val="17"/>
              </w:rPr>
              <w:t>3,025</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2026-08-27</w:t>
            </w:r>
          </w:p>
        </w:tc>
        <w:tc>
          <w:tcPr>
            <w:tcW w:type="dxa" w:w="1440"/>
            <w:shd w:fill="FFDCE0" w:val="clear"/>
          </w:tcPr>
          <w:p>
            <w:r>
              <w:rPr>
                <w:sz w:val="17"/>
              </w:rPr>
              <w:t>1,920</w:t>
            </w:r>
          </w:p>
        </w:tc>
        <w:tc>
          <w:tcPr>
            <w:tcW w:type="dxa" w:w="1440"/>
            <w:shd w:fill="FFDCE0" w:val="clear"/>
          </w:tcPr>
          <w:p>
            <w:r>
              <w:rPr>
                <w:b/>
                <w:sz w:val="17"/>
              </w:rPr>
              <w:t>2,371</w:t>
            </w:r>
          </w:p>
        </w:tc>
        <w:tc>
          <w:tcPr>
            <w:tcW w:type="dxa" w:w="1440"/>
            <w:shd w:fill="FFDCE0" w:val="clear"/>
          </w:tcPr>
          <w:p>
            <w:r>
              <w:rPr>
                <w:sz w:val="17"/>
              </w:rPr>
              <w:t>2,821</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SAFC s'établit à 41,98 milliards FCFA, un niveau modeste dans l'écosystème de la BRVM, reflétant la taille encore limitée de l'établissement financier. Le BPA de 86 FCFA par action indique que chaque titre génère un bénéfice net de 86 FCFA, mais le PER de 59,9x est extrêmement élevé comparé à la moyenne historique de la BRVM (8-12x), signifiant que les investisseurs paient près de 60 fois les bénéfices annuels — une valorisation qui intègre des attentes de croissance très optimistes. Le P/B de 7,10x confirme cette prime exigeante, le marché valorisant l'action plus de 7 fois sa valeur comptable, ce qui suggère une confiance dans la capacité de l'entreprise à générer des rendements supérieurs à ses actifs nets. Enfin, l'EV/EBITDA de 78,4x est également très supérieur au seuil de 15x considéré comme exigeant, indiquant que la valeur totale de l'entreprise (dette incluse) est très élevée par rapport à sa capacité opérationnelle. Ces ratios combinés signalent une valorisation boursière très tendue, typique d'un titre spéculatif où le marché anticipe une poursuite du redressement spectaculaire.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SAFC a enregistré une variation totale de -13,83%, malgré une forte hausse de +7,48% lors de la dernière séance, portant le cours actuel à 5 170 FCFA. Le titre a évolué dans une fourchette très large, oscillant entre un plus bas de 3 340 FCFA et un plus haut de 7 555 FCFA, illustrant une volatilité extrême. La moyenne du cours sur la période (4 795 FCFA) est supérieure à la médiane (4 505 FCFA), avec un skewness positif de 0,927, indiquant que la distribution est asymétrique avec davantage de journées sous la moyenne mais des pics haussiers prononcés. L'écart-type de 1 133 FCFA (coefficient de variation de 23,6%) témoigne d'une dispersion importante du cours autour de la moyenne, tandis que le kurtosis de -0,133 (mésokurtique) suggère une distribution proche de la normale, sans risque excessif de valeurs extrêmes. La volatilité annualisée de 84,4% est extrêmement élevée, bien au-delà du seuil de 30% considéré comme élevé, positionnant SAFC comme un titre à très haut risque où les mouvements de prix sont amplifiés, ce qui offre des opportunités mais expose également à des pertes substantielles.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4 821,75 FCFA et la MM50 à 4 465,1 FCFA, toutes deux inférieures au cours actuel de 5 170 FCFA. Cette configuration haussière, où le prix évolue au-dessus de ses moyennes mobiles, confirme une tendance positive à court et moyen terme. Le signal d'achat généré par ces moyennes mobiles est cohérent avec la dynamique récente du titre, qui semble avoir entamé une phase de reprise après la période de correction. La pente ascendante des MM suggère un momentum positif, bien que la forte volatilité historique invite à la prudence.</w:t>
      </w:r>
    </w:p>
    <w:p>
      <w:pPr>
        <w:spacing w:after="120" w:line="276" w:lineRule="auto"/>
      </w:pPr>
      <w:r>
        <w:t>**Bandes de Bollinger** : Le cours actuel de 5 170 FCFA se positionne dans la partie supérieure des bandes de Bollinger, dont la borne supérieure est à 5 515,05 FCFA et la borne inférieure à 4 128,45 FCFA. Cette position indique une pression acheteuse relativement forte, mais sans atteindre la zone de surachat extrême. La largeur des bandes reflète la volatilité élevée du titre. La décision neutre associée à cet indicateur suggère que le marché n'a pas encore tranché clairement, le prix évoluant dans une zone intermédiaire sans signal directionnel fort.</w:t>
      </w:r>
    </w:p>
    <w:p>
      <w:pPr>
        <w:spacing w:after="120" w:line="276" w:lineRule="auto"/>
      </w:pPr>
      <w:r>
        <w:t>**MACD** : Le MACD affiche une valeur de 188,86, légèrement inférieure à son signal à 195,50, générant une décision de vente. Cette configuration indique un affaiblissement du momentum haussier, le MACD ayant potentiellement franchi son signal à la baisse. Bien que les valeurs restent positives, suggérant que la tendance de fond demeure haussière, le croisement baissier signale un essoufflement à court terme. Les investisseurs devraient surveiller si cette divergence se confirme ou si le MACD repasse au-dessus de son signal, ce qui invaliderait le signal de vente.</w:t>
      </w:r>
    </w:p>
    <w:p>
      <w:pPr>
        <w:spacing w:after="120" w:line="276" w:lineRule="auto"/>
      </w:pPr>
      <w:r>
        <w:t>**RSI** : Le RSI s'établit à 61,99, dans la zone neutre (30-70), indiquant un équilibre relatif entre pression acheteuse et vendeuse. Cette valeur, proche de la zone de surachat sans y pénétrer, suggère que le titre dispose encore d'une marge de progression avant d'être considéré comme surévalué techniquement. La décision neutre est cohérente avec un marché en consolidation, où les acheteurs conservent un léger avantage sans excès. Un dépassement du seuil de 70 signalerait une surachat et un risque de correction.</w:t>
      </w:r>
    </w:p>
    <w:p>
      <w:pPr>
        <w:spacing w:after="120" w:line="276" w:lineRule="auto"/>
      </w:pPr>
      <w:r>
        <w:t>**Stochastique** : Le %K à 77,02 et le %D à 57,23 montrent que l'oscillateur stochastique évolue en territoire positif, avec %K nettement au-dessus de %D, indiquant une dynamique haussière en cours. Le croisement haussier déjà réalisé suggère que le momentum de court terme reste favorable, bien que la valeur élevée du %K approche la zone de surachat. La décision neutre reflète un équilibre entre le momentum positif et le risque de retournement imminent.</w:t>
      </w:r>
    </w:p>
    <w:p>
      <w:pPr>
        <w:spacing w:after="120" w:line="276" w:lineRule="auto"/>
      </w:pPr>
      <w:r>
        <w:t>**Conclusion technique** : La convergence des indicateurs est mitigée : les moyennes mobiles sont haussières, le stochastique soutient la tendance, mais le MACD envoie un signal de vente et le RSI reste neutre. Cette configuration suggère une phase de consolidation après un mouvement haussier, avec un biais légèrement positif. Le titre pourrait poursuivre sa progression si le MACD se retourne à la hausse, mais un repli vers les moyennes mobiles (4 821-4 465 FCFA) reste possible en cas de correction.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SAFC (Alios Finance Côte d'Ivoire) affiche un Produit Net Bancaire de 5 735 millions FCFA, en hausse spectaculaire de 44,1% par rapport à 2024 (3 980 millions FCFA), avec un résultat net redevenu positif à 701 millions FCFA contre une perte de 165 millions en 2024. Le ROE s'établit à 11,85%, en nette amélioration mais encore en deçà du seuil de 15% considéré comme excellent, tandis que le ROA de 0,88% reste faible, reflétant une rentabilité des actifs encore limitée. Le coefficient d'exploitation de 77,6% est élevé pour une banque (seuil d'efficacité à 60%), indiquant que les charges générales pèsent lourdement sur le PNB. Le coût du risque de 6,57% reste significatif, témoignant d'un portefeuille de crédits encore fragile, avec des créances clientèle de 60,476 milliards FCFA financées principalement par des dettes interbancaires (35,747 milliards) plutôt que par des dépôts clients (9,112 milliards), créant une dépendance aux marchés interbancaires. Les capitaux propres de 5,916 milliards FCFA ne représentent que 7,4% du total bilan (79,555 milliards), un niveau de solvabilité préoccupant. Selon le rapport du premier trimestre 2026 (daté du 31 mars 2026), le PNB progresse de 29% à 1 395 millions FCFA et le résultat net bondit de 1 062% à 151 millions FCFA, avec un coût du risque réduit de 75% à -22 millions FCFA, suggérant que l'exercice 2026 pourrait confirmer le redressement. Le rapport de l'exercice 2025 (analysé par DeepSeek le 3 juin 2026) souligne l'impact positif de l'entrée de CREDAF Group en avril 2025, qui a transformé la gouvernance et impulsé une nouvelle dynamique, avec un résultat net dépassant les prévisions budgétaires de 514 millions FCFA. Les perspectives restent néanmoins conditionnées à la poursuite de l'amélioration de la qualité du portefeuille et au renforcement des fonds propres, le report à nouveau demeurant négatif à -4 123 millions FCFA.</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SAFC apparaît très exigeante avec un PER de 59,9x, un P/B de 7,10x et un EV/EBITDA de 78,4x, indiquant que le marché anticipe une poursuite du redressement spectaculaire, ce qui laisse peu de marge d'erreur. Le comportement du cours sur 100 jours montre une tendance baissière (-13,83%) malgré un rebond récent, avec une volatilité annualisée de 84,4% et une distribution asymétrique positive, signalant un titre très spéculatif. Les signaux techniques sont mitigés : les moyennes mobiles sont haussières, le stochastique soutient la tendance, mais le MACD envoie un signal de vente et le RSI reste neutre, suggérant une consolidation. Les fondamentaux montrent un redressement réel (PNB +44% en 2025, résultat net positif, T1 2026 en forte croissance), mais la structure financière reste fragile avec des capitaux propres insuffisants et une dépendance aux dettes interbancaires. Les prédictions IA pour les 10 prochains jours indiquent une trajectoire baissière marquée, le cours passant de 4 782 FCFA à 3 501 FCFA, soit une chute potentielle de 27%, contredisant les signaux techniques haussiers et suggérant une correction imminente. Sur la base de cette synthèse, la recommandation est **CONSERVER** avec un niveau de confiance **Moyen** et un risque global **Élevé**. L'horizon d'investissement optimal serait le **moyen terme (3-12 mois)**, permettant de vérifier si la dynamique de redressement se confirme tout en surveillant attentivement la trajectoire du cours et l'évolution des ratios prudentiels. Les investisseurs devraient rester vigilants face à la valorisation excessive et aux prédictions baissières, tout en reconnaissant le potentiel de revalorisation si SAFC parvient à consolider ses fondamentaux.</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70.46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12,354 titres</w:t>
            </w:r>
          </w:p>
        </w:tc>
        <w:tc>
          <w:tcPr>
            <w:tcW w:type="dxa" w:w="2268"/>
            <w:shd w:fill="FFF2CC" w:val="clear"/>
          </w:tcPr>
          <w:p>
            <w:r>
              <w:rPr>
                <w:b/>
                <w:color w:val="503200"/>
                <w:sz w:val="16"/>
              </w:rPr>
              <w:t xml:space="preserve">Cours actuel : </w:t>
            </w:r>
            <w:r>
              <w:rPr>
                <w:color w:val="000000"/>
                <w:sz w:val="17"/>
              </w:rPr>
              <w:t>3,595 FCFA</w:t>
            </w:r>
          </w:p>
          <w:p>
            <w:r>
              <w:rPr>
                <w:b/>
                <w:color w:val="503200"/>
                <w:sz w:val="16"/>
              </w:rPr>
              <w:t xml:space="preserve">Var. 100 jours : </w:t>
            </w:r>
            <w:r>
              <w:rPr>
                <w:b/>
                <w:color w:val="007800"/>
                <w:sz w:val="17"/>
              </w:rPr>
              <w:t>+142.91%</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1,455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27.14% (Élevée) — μ=2,715 FCFA, σ=737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β=0.4199 (Défensif) — Cov=0.000015, Var(idx)=0.000036, ρ=0.069,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12,354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σ_j=3.66%/j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3244"/>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324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2026-08-13</w:t>
            </w:r>
          </w:p>
        </w:tc>
        <w:tc>
          <w:tcPr>
            <w:tcW w:type="dxa" w:w="1440"/>
            <w:shd w:fill="FFDCE0" w:val="clear"/>
          </w:tcPr>
          <w:p>
            <w:r>
              <w:rPr>
                <w:sz w:val="17"/>
              </w:rPr>
              <w:t>3,145</w:t>
            </w:r>
          </w:p>
        </w:tc>
        <w:tc>
          <w:tcPr>
            <w:tcW w:type="dxa" w:w="1440"/>
            <w:shd w:fill="FFDCE0" w:val="clear"/>
          </w:tcPr>
          <w:p>
            <w:r>
              <w:rPr>
                <w:b/>
                <w:sz w:val="17"/>
              </w:rPr>
              <w:t>3,325</w:t>
            </w:r>
          </w:p>
        </w:tc>
        <w:tc>
          <w:tcPr>
            <w:tcW w:type="dxa" w:w="1440"/>
            <w:shd w:fill="FFDCE0" w:val="clear"/>
          </w:tcPr>
          <w:p>
            <w:r>
              <w:rPr>
                <w:sz w:val="17"/>
              </w:rPr>
              <w:t>3,506</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2026-08-14</w:t>
            </w:r>
          </w:p>
        </w:tc>
        <w:tc>
          <w:tcPr>
            <w:tcW w:type="dxa" w:w="1440"/>
            <w:shd w:fill="FFDCE0" w:val="clear"/>
          </w:tcPr>
          <w:p>
            <w:r>
              <w:rPr>
                <w:sz w:val="17"/>
              </w:rPr>
              <w:t>2,840</w:t>
            </w:r>
          </w:p>
        </w:tc>
        <w:tc>
          <w:tcPr>
            <w:tcW w:type="dxa" w:w="1440"/>
            <w:shd w:fill="FFDCE0" w:val="clear"/>
          </w:tcPr>
          <w:p>
            <w:r>
              <w:rPr>
                <w:b/>
                <w:sz w:val="17"/>
              </w:rPr>
              <w:t>3,076</w:t>
            </w:r>
          </w:p>
        </w:tc>
        <w:tc>
          <w:tcPr>
            <w:tcW w:type="dxa" w:w="1440"/>
            <w:shd w:fill="FFDCE0" w:val="clear"/>
          </w:tcPr>
          <w:p>
            <w:r>
              <w:rPr>
                <w:sz w:val="17"/>
              </w:rPr>
              <w:t>3,312</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2026-08-17</w:t>
            </w:r>
          </w:p>
        </w:tc>
        <w:tc>
          <w:tcPr>
            <w:tcW w:type="dxa" w:w="1440"/>
            <w:shd w:fill="FFDCE0" w:val="clear"/>
          </w:tcPr>
          <w:p>
            <w:r>
              <w:rPr>
                <w:sz w:val="17"/>
              </w:rPr>
              <w:t>2,578</w:t>
            </w:r>
          </w:p>
        </w:tc>
        <w:tc>
          <w:tcPr>
            <w:tcW w:type="dxa" w:w="1440"/>
            <w:shd w:fill="FFDCE0" w:val="clear"/>
          </w:tcPr>
          <w:p>
            <w:r>
              <w:rPr>
                <w:b/>
                <w:sz w:val="17"/>
              </w:rPr>
              <w:t>2,845</w:t>
            </w:r>
          </w:p>
        </w:tc>
        <w:tc>
          <w:tcPr>
            <w:tcW w:type="dxa" w:w="1440"/>
            <w:shd w:fill="FFDCE0" w:val="clear"/>
          </w:tcPr>
          <w:p>
            <w:r>
              <w:rPr>
                <w:sz w:val="17"/>
              </w:rPr>
              <w:t>3,113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2026-08-18</w:t>
            </w:r>
          </w:p>
        </w:tc>
        <w:tc>
          <w:tcPr>
            <w:tcW w:type="dxa" w:w="1440"/>
            <w:shd w:fill="FFDCE0" w:val="clear"/>
          </w:tcPr>
          <w:p>
            <w:r>
              <w:rPr>
                <w:sz w:val="17"/>
              </w:rPr>
              <w:t>2,346</w:t>
            </w:r>
          </w:p>
        </w:tc>
        <w:tc>
          <w:tcPr>
            <w:tcW w:type="dxa" w:w="1440"/>
            <w:shd w:fill="FFDCE0" w:val="clear"/>
          </w:tcPr>
          <w:p>
            <w:r>
              <w:rPr>
                <w:b/>
                <w:sz w:val="17"/>
              </w:rPr>
              <w:t>2,632</w:t>
            </w:r>
          </w:p>
        </w:tc>
        <w:tc>
          <w:tcPr>
            <w:tcW w:type="dxa" w:w="1440"/>
            <w:shd w:fill="FFDCE0" w:val="clear"/>
          </w:tcPr>
          <w:p>
            <w:r>
              <w:rPr>
                <w:sz w:val="17"/>
              </w:rPr>
              <w:t>2,918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2026-08-19</w:t>
            </w:r>
          </w:p>
        </w:tc>
        <w:tc>
          <w:tcPr>
            <w:tcW w:type="dxa" w:w="1440"/>
            <w:shd w:fill="FFDCE0" w:val="clear"/>
          </w:tcPr>
          <w:p>
            <w:r>
              <w:rPr>
                <w:sz w:val="17"/>
              </w:rPr>
              <w:t>2,139</w:t>
            </w:r>
          </w:p>
        </w:tc>
        <w:tc>
          <w:tcPr>
            <w:tcW w:type="dxa" w:w="1440"/>
            <w:shd w:fill="FFDCE0" w:val="clear"/>
          </w:tcPr>
          <w:p>
            <w:r>
              <w:rPr>
                <w:b/>
                <w:sz w:val="17"/>
              </w:rPr>
              <w:t>2,434</w:t>
            </w:r>
          </w:p>
        </w:tc>
        <w:tc>
          <w:tcPr>
            <w:tcW w:type="dxa" w:w="1440"/>
            <w:shd w:fill="FFDCE0" w:val="clear"/>
          </w:tcPr>
          <w:p>
            <w:r>
              <w:rPr>
                <w:sz w:val="17"/>
              </w:rPr>
              <w:t>2,730</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2026-08-20</w:t>
            </w:r>
          </w:p>
        </w:tc>
        <w:tc>
          <w:tcPr>
            <w:tcW w:type="dxa" w:w="1440"/>
            <w:shd w:fill="FFDCE0" w:val="clear"/>
          </w:tcPr>
          <w:p>
            <w:r>
              <w:rPr>
                <w:sz w:val="17"/>
              </w:rPr>
              <w:t>1,952</w:t>
            </w:r>
          </w:p>
        </w:tc>
        <w:tc>
          <w:tcPr>
            <w:tcW w:type="dxa" w:w="1440"/>
            <w:shd w:fill="FFDCE0" w:val="clear"/>
          </w:tcPr>
          <w:p>
            <w:r>
              <w:rPr>
                <w:b/>
                <w:sz w:val="17"/>
              </w:rPr>
              <w:t>2,252</w:t>
            </w:r>
          </w:p>
        </w:tc>
        <w:tc>
          <w:tcPr>
            <w:tcW w:type="dxa" w:w="1440"/>
            <w:shd w:fill="FFDCE0" w:val="clear"/>
          </w:tcPr>
          <w:p>
            <w:r>
              <w:rPr>
                <w:sz w:val="17"/>
              </w:rPr>
              <w:t>2,552</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2026-08-21</w:t>
            </w:r>
          </w:p>
        </w:tc>
        <w:tc>
          <w:tcPr>
            <w:tcW w:type="dxa" w:w="1440"/>
            <w:shd w:fill="FFDCE0" w:val="clear"/>
          </w:tcPr>
          <w:p>
            <w:r>
              <w:rPr>
                <w:sz w:val="17"/>
              </w:rPr>
              <w:t>1,784</w:t>
            </w:r>
          </w:p>
        </w:tc>
        <w:tc>
          <w:tcPr>
            <w:tcW w:type="dxa" w:w="1440"/>
            <w:shd w:fill="FFDCE0" w:val="clear"/>
          </w:tcPr>
          <w:p>
            <w:r>
              <w:rPr>
                <w:b/>
                <w:sz w:val="17"/>
              </w:rPr>
              <w:t>2,083</w:t>
            </w:r>
          </w:p>
        </w:tc>
        <w:tc>
          <w:tcPr>
            <w:tcW w:type="dxa" w:w="1440"/>
            <w:shd w:fill="FFDCE0" w:val="clear"/>
          </w:tcPr>
          <w:p>
            <w:r>
              <w:rPr>
                <w:sz w:val="17"/>
              </w:rPr>
              <w:t>2,382</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2026-08-24</w:t>
            </w:r>
          </w:p>
        </w:tc>
        <w:tc>
          <w:tcPr>
            <w:tcW w:type="dxa" w:w="1440"/>
            <w:shd w:fill="FFDCE0" w:val="clear"/>
          </w:tcPr>
          <w:p>
            <w:r>
              <w:rPr>
                <w:sz w:val="17"/>
              </w:rPr>
              <w:t>1,631</w:t>
            </w:r>
          </w:p>
        </w:tc>
        <w:tc>
          <w:tcPr>
            <w:tcW w:type="dxa" w:w="1440"/>
            <w:shd w:fill="FFDCE0" w:val="clear"/>
          </w:tcPr>
          <w:p>
            <w:r>
              <w:rPr>
                <w:b/>
                <w:sz w:val="17"/>
              </w:rPr>
              <w:t>1,927</w:t>
            </w:r>
          </w:p>
        </w:tc>
        <w:tc>
          <w:tcPr>
            <w:tcW w:type="dxa" w:w="1440"/>
            <w:shd w:fill="FFDCE0" w:val="clear"/>
          </w:tcPr>
          <w:p>
            <w:r>
              <w:rPr>
                <w:sz w:val="17"/>
              </w:rPr>
              <w:t>2,223</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2026-08-25</w:t>
            </w:r>
          </w:p>
        </w:tc>
        <w:tc>
          <w:tcPr>
            <w:tcW w:type="dxa" w:w="1440"/>
            <w:shd w:fill="FFDCE0" w:val="clear"/>
          </w:tcPr>
          <w:p>
            <w:r>
              <w:rPr>
                <w:sz w:val="17"/>
              </w:rPr>
              <w:t>1,492</w:t>
            </w:r>
          </w:p>
        </w:tc>
        <w:tc>
          <w:tcPr>
            <w:tcW w:type="dxa" w:w="1440"/>
            <w:shd w:fill="FFDCE0" w:val="clear"/>
          </w:tcPr>
          <w:p>
            <w:r>
              <w:rPr>
                <w:b/>
                <w:sz w:val="17"/>
              </w:rPr>
              <w:t>1,782</w:t>
            </w:r>
          </w:p>
        </w:tc>
        <w:tc>
          <w:tcPr>
            <w:tcW w:type="dxa" w:w="1440"/>
            <w:shd w:fill="FFDCE0" w:val="clear"/>
          </w:tcPr>
          <w:p>
            <w:r>
              <w:rPr>
                <w:sz w:val="17"/>
              </w:rPr>
              <w:t>2,073</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2026-08-27</w:t>
            </w:r>
          </w:p>
        </w:tc>
        <w:tc>
          <w:tcPr>
            <w:tcW w:type="dxa" w:w="1440"/>
            <w:shd w:fill="FFDCE0" w:val="clear"/>
          </w:tcPr>
          <w:p>
            <w:r>
              <w:rPr>
                <w:sz w:val="17"/>
              </w:rPr>
              <w:t>1,365</w:t>
            </w:r>
          </w:p>
        </w:tc>
        <w:tc>
          <w:tcPr>
            <w:tcW w:type="dxa" w:w="1440"/>
            <w:shd w:fill="FFDCE0" w:val="clear"/>
          </w:tcPr>
          <w:p>
            <w:r>
              <w:rPr>
                <w:b/>
                <w:sz w:val="17"/>
              </w:rPr>
              <w:t>1,649</w:t>
            </w:r>
          </w:p>
        </w:tc>
        <w:tc>
          <w:tcPr>
            <w:tcW w:type="dxa" w:w="1440"/>
            <w:shd w:fill="FFDCE0" w:val="clear"/>
          </w:tcPr>
          <w:p>
            <w:r>
              <w:rPr>
                <w:sz w:val="17"/>
              </w:rPr>
              <w:t>1,932</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SCRC s'établit à 70,46 milliards FCFA, un niveau significatif sur la BRVM qui place la société parmi les valeurs moyennes du marché. Le BPA est négatif à -406 FCFA, reflétant la perte nette enregistrée sur l'exercice 2025, ce qui rend le PER non exploitable (-8,9x) et signale une absence de bénéfices à valoriser. Le P/B de 4,09x est particulièrement élevé, indiquant que le marché valorise l'actif net de la société à plus de quatre fois sa valeur comptable, une prime substantielle qui traduit des anticipations de redressement futur. L'EV/EBITDA de 10,9x se situe dans la fourchette haute du marché, suggérant que la valeur totale de l'entreprise (dette incluse) est élevée par rapport à sa capacité opérationnelle actuelle. Cette combinaison de ratios témoigne d'une valorisation exigeante qui intègre un scénario de retour à la rentabilité, mais qui laisse peu de marge de sécurité en cas de déception.</w:t>
      </w:r>
    </w:p>
    <w:p>
      <w:pPr>
        <w:spacing w:after="120" w:line="276" w:lineRule="auto" w:before="240"/>
      </w:pPr>
      <w:r>
        <w:rPr>
          <w:b/>
          <w:color w:val="003366"/>
          <w:sz w:val="24"/>
        </w:rPr>
        <w:t>**PARTIE 1 : ANALYSE DU COURS — STATISTIQUES ET ÉVOLUTION (100 derniers jours)**</w:t>
      </w:r>
    </w:p>
    <w:p>
      <w:pPr>
        <w:spacing w:after="120" w:line="276" w:lineRule="auto"/>
      </w:pPr>
      <w:r>
        <w:t>Le titre SCRC a connu une progression spectaculaire de +142,91% sur les 100 derniers jours, passant d'un plus bas de 1 455 FCFA à un plus haut de 3 920 FCFA, avant de s'établir à 3 595 FCFA, soit un repli de -1,78% lors de la dernière séance. Cette tendance fortement haussière s'est accompagnée d'un volume moyen de 12 354 titres par jour, témoignant d'un intérêt marqué des investisseurs. La moyenne du cours sur la période (2 715 FCFA) est inférieure à la médiane (2 780 FCFA), indiquant une distribution légèrement asymétrique avec une concentration des valeurs vers le haut de la fourchette. L'écart-type de 740 FCFA, représentant un coefficient de variation de 27,3%, révèle une dispersion modérée des prix autour de la moyenne. Le kurtosis négatif de -1,378 indique une distribution platykurtique, c'est-à-dire une faible concentration des valeurs extrêmes, tandis que le skewness de -0,091 confirme une symétrie quasi parfaite de la distribution. La volatilité annualisée de 58,2% classe le titre dans la catégorie des valeurs à très forte volatilité, bien au-delà du seuil de 30% considéré comme élevé, ce qui implique un risque substantiel pour les investisseurs.</w:t>
      </w:r>
    </w:p>
    <w:p>
      <w:pPr>
        <w:spacing w:after="120" w:line="276" w:lineRule="auto" w:before="240"/>
      </w:pPr>
      <w:r>
        <w:rPr>
          <w:b/>
          <w:color w:val="003366"/>
          <w:sz w:val="24"/>
        </w:rPr>
        <w:t>**PARTIE 2 : ANALYSE TECHNIQUE DÉTAILLÉE**</w:t>
      </w:r>
    </w:p>
    <w:p>
      <w:pPr>
        <w:spacing w:after="120" w:line="276" w:lineRule="auto"/>
      </w:pPr>
      <w:r>
        <w:t>Les moyennes mobiles constituent un signal d'achat : la MM20 à 3 639,25 FCFA et la MM50 à 3 370,8 FCFA sont toutes deux inférieures au cours actuel de 3 595 FCFA, bien que le prix soit légèrement sous la MM20, indiquant une consolidation à court terme dans une tendance haussière de fond. La configuration des bandes de Bollinger, avec une borne supérieure à 3 855,565 FCFA et une borne inférieure à 3 422,935 FCFA, montre un cours positionné dans la partie médiane-haute de l'enveloppe, suggérant une volatilité modérée et une absence de surachat ou de survente, d'où une décision neutre. Le MACD affiche une valeur de 71,088 inférieure à son signal de 99,009, indiquant un momentum baissier à court terme malgré la tendance haussière de fond, ce qui justifie une décision de vente pour les traders à horizon court. Le RSI à 52,514 se situe en zone neutre, sans signal de surachat ni de survente, laissant place à une évolution dans les deux sens. Enfin, le stochastique avec %K à 32,787 et %D à 42,623 montre une dynamique baissière naissante, le %K étant sous le %D, sans toutefois atteindre des niveaux extrêmes. La conclusion technique est mitigée : la tendance de fond reste haussière portée par les moyennes mobiles, mais les indicateurs de momentum (MACD, stochastique) signalent un essoufflement à court terme, suggérant une phase de consolidation ou de correction avant une éventuelle reprise.</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révèlent une situation financière préoccupante pour SCRC. Le chiffre d'affaires s'établit à 80,569 milliards FCFA, en recul de 7,6% par rapport à 2024, tandis que le résultat net est fortement déficitaire à -7,954 milliards FCFA, contre un bénéfice de 2,474 milliards FCFA en 2024. La marge nette ressort à -9,87%, la marge opérationnelle à -0,68%, et le ROE s'effondre à -46,13%, traduisant une destruction massive de valeur pour les actionnaires. Le ratio d'endettement atteint 88,98% des capitaux propres, avec des dettes financières totales de 84,873 milliards FCFA, tandis que la trésorerie nette est négative à -6,505 milliards FCFA. Les délais d'exploitation montrent un délai clients de 12,28 jours (sain), un délai fournisseurs de 366 jours (très favorable pour la trésorerie) et une durée de stockage de 360,73 jours, révélant une immobilisation importante du capital en stocks. Les rapports fondamentaux de 2025, datés de décembre 2025 et analysés en mai 2026, confirment cette dégradation : le rapport du 31 décembre 2025 indique que le redressement du résultat net est artificiellement porté par des éléments financiers non récurrents, tandis que le résultat opérationnel courant reste très faible à 209 millions FCFA. Le rapport du premier semestre 2025, daté de juin 2025, montrait déjà une perte nette de -6,71 milliards FCFA, avec un résultat d'exploitation négatif de -3,18 milliards FCFA. Les perspectives pour 2026 restent préoccupantes, avec un endettement massif et des charges financières structurellement élevées, bien que la campagne 2025/26, démarrée fin octobre 2025, vise une production de 90 000 à 95 000 tonnes, soit une hausse de 14% à 20%. La recommandation fondamentale est clairement négative, avec une dégradation massive de la rentabilité et un niveau d'endettement critique compromettant la viabilité financière à court terme.</w:t>
      </w:r>
    </w:p>
    <w:p>
      <w:pPr>
        <w:spacing w:after="120" w:line="276" w:lineRule="auto" w:before="240"/>
      </w:pPr>
      <w:r>
        <w:rPr>
          <w:b/>
          <w:color w:val="003366"/>
          <w:sz w:val="24"/>
        </w:rPr>
        <w:t>**PARTIE 4 : CONCLUSION D'INVESTISSEMENT**</w:t>
      </w:r>
    </w:p>
    <w:p>
      <w:pPr>
        <w:spacing w:after="120" w:line="276" w:lineRule="auto"/>
      </w:pPr>
      <w:r>
        <w:t>La synthèse des quatre analyses révèle une situation profondément contradictoire. La valorisation boursière (Partie 0) est exigeante avec un P/B de 4,09x et un EV/EBITDA de 10,9x, intégrant des anticipations de redressement non confirmées par les fondamentaux. Le comportement du cours (Partie 1) montre une hausse spectaculaire de +142,91% sur 100 jours, mais avec une volatilité annualisée de 58,2% qui expose les investisseurs à un risque majeur. Les signaux techniques (Partie 2) sont mitigés : la tendance de fond reste haussière, mais les indicateurs de momentum (MACD, stochastique) signalent un essoufflement imminent. Les fondamentaux (Partie 3) sont très préoccupants avec une perte nette de 7,95 milliards FCFA en 2025, un ROE de -46,13% et un endettement critique. Les prédictions IA pour les 10 prochains jours ouvrables anticipent une chute brutale du cours de 3 595 FCFA à 2 434 FCFA, soit une baisse de 32%, confirmant les signaux techniques de correction. Sur la base de cette convergence entre la dégradation fondamentale, les signaux techniques baissiers et les prédictions IA, la recommandation finale est **VENTE FORTE**, avec un niveau de confiance Élevé et un risque global Élevé. L'horizon d'investissement optimal est le court terme (moins de 3 mois), car la correction attendue pourrait être rapide et sévère, et aucun catalyseur positif n'est identifié à moyen terme pour justifier le maintien du titre en portefeuille.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104.44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994 titres</w:t>
            </w:r>
          </w:p>
        </w:tc>
        <w:tc>
          <w:tcPr>
            <w:tcW w:type="dxa" w:w="2268"/>
            <w:shd w:fill="FFF2CC" w:val="clear"/>
          </w:tcPr>
          <w:p>
            <w:r>
              <w:rPr>
                <w:b/>
                <w:color w:val="503200"/>
                <w:sz w:val="16"/>
              </w:rPr>
              <w:t xml:space="preserve">Cours actuel : </w:t>
            </w:r>
            <w:r>
              <w:rPr>
                <w:color w:val="000000"/>
                <w:sz w:val="17"/>
              </w:rPr>
              <w:t>11,605 FCFA</w:t>
            </w:r>
          </w:p>
          <w:p>
            <w:r>
              <w:rPr>
                <w:b/>
                <w:color w:val="503200"/>
                <w:sz w:val="16"/>
              </w:rPr>
              <w:t xml:space="preserve">Var. 100 jours : </w:t>
            </w:r>
            <w:r>
              <w:rPr>
                <w:b/>
                <w:color w:val="007800"/>
                <w:sz w:val="17"/>
              </w:rPr>
              <w:t>+50.03%</w:t>
            </w:r>
          </w:p>
          <w:p>
            <w:r>
              <w:rPr>
                <w:b/>
                <w:color w:val="503200"/>
                <w:sz w:val="16"/>
              </w:rPr>
              <w:t xml:space="preserve">Plus haut 100j : </w:t>
            </w:r>
            <w:r>
              <w:rPr>
                <w:color w:val="000000"/>
                <w:sz w:val="17"/>
              </w:rPr>
              <w:t>12,195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27.5/100 → Moyen</w:t>
      </w:r>
    </w:p>
    <w:p>
      <w:pPr>
        <w:spacing w:before="40" w:after="80"/>
      </w:pPr>
      <w:r>
        <w:rPr>
          <w:rFonts w:ascii="Courier New" w:hAnsi="Courier New"/>
          <w:color w:val="825A00"/>
          <w:sz w:val="18"/>
        </w:rPr>
        <w:t>█████░░░░░░░░░░░░░░░  27.5/100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19.33% (Élevée) — μ=10,163 FCFA, σ=1,964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β=0.3451 (Défensif) — Cov=0.000013, Var(idx)=0.000036, ρ=0.091,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994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2026-08-13</w:t>
            </w:r>
          </w:p>
        </w:tc>
        <w:tc>
          <w:tcPr>
            <w:tcW w:type="dxa" w:w="1440"/>
            <w:shd w:fill="FAFAFA" w:val="clear"/>
          </w:tcPr>
          <w:p>
            <w:r>
              <w:rPr>
                <w:sz w:val="17"/>
              </w:rPr>
              <w:t>11,025</w:t>
            </w:r>
          </w:p>
        </w:tc>
        <w:tc>
          <w:tcPr>
            <w:tcW w:type="dxa" w:w="1440"/>
            <w:shd w:fill="FAFAFA" w:val="clear"/>
          </w:tcPr>
          <w:p>
            <w:r>
              <w:rPr>
                <w:b/>
                <w:sz w:val="17"/>
              </w:rPr>
              <w:t>11,404</w:t>
            </w:r>
          </w:p>
        </w:tc>
        <w:tc>
          <w:tcPr>
            <w:tcW w:type="dxa" w:w="1440"/>
            <w:shd w:fill="FAFAFA" w:val="clear"/>
          </w:tcPr>
          <w:p>
            <w:r>
              <w:rPr>
                <w:sz w:val="17"/>
              </w:rPr>
              <w:t>11,783</w:t>
            </w:r>
          </w:p>
        </w:tc>
        <w:tc>
          <w:tcPr>
            <w:tcW w:type="dxa" w:w="1440"/>
            <w:shd w:fill="FAFAFA" w:val="clear"/>
          </w:tcPr>
          <w:p>
            <w:r>
              <w:rPr>
                <w:b/>
                <w:color w:val="C00000"/>
                <w:sz w:val="17"/>
              </w:rPr>
              <w:t>-1.7%</w:t>
            </w:r>
          </w:p>
        </w:tc>
      </w:tr>
      <w:tr>
        <w:tc>
          <w:tcPr>
            <w:tcW w:type="dxa" w:w="1440"/>
            <w:shd w:fill="FFDCE0" w:val="clear"/>
          </w:tcPr>
          <w:p>
            <w:r>
              <w:rPr>
                <w:sz w:val="17"/>
              </w:rPr>
              <w:t>J+2  ⭐</w:t>
            </w:r>
          </w:p>
        </w:tc>
        <w:tc>
          <w:tcPr>
            <w:tcW w:type="dxa" w:w="1440"/>
            <w:shd w:fill="FFDCE0" w:val="clear"/>
          </w:tcPr>
          <w:p>
            <w:r>
              <w:rPr>
                <w:sz w:val="17"/>
              </w:rPr>
              <w:t>2026-08-14</w:t>
            </w:r>
          </w:p>
        </w:tc>
        <w:tc>
          <w:tcPr>
            <w:tcW w:type="dxa" w:w="1440"/>
            <w:shd w:fill="FFDCE0" w:val="clear"/>
          </w:tcPr>
          <w:p>
            <w:r>
              <w:rPr>
                <w:sz w:val="17"/>
              </w:rPr>
              <w:t>10,766</w:t>
            </w:r>
          </w:p>
        </w:tc>
        <w:tc>
          <w:tcPr>
            <w:tcW w:type="dxa" w:w="1440"/>
            <w:shd w:fill="FFDCE0" w:val="clear"/>
          </w:tcPr>
          <w:p>
            <w:r>
              <w:rPr>
                <w:b/>
                <w:sz w:val="17"/>
              </w:rPr>
              <w:t>11,297</w:t>
            </w:r>
          </w:p>
        </w:tc>
        <w:tc>
          <w:tcPr>
            <w:tcW w:type="dxa" w:w="1440"/>
            <w:shd w:fill="FFDCE0" w:val="clear"/>
          </w:tcPr>
          <w:p>
            <w:r>
              <w:rPr>
                <w:sz w:val="17"/>
              </w:rPr>
              <w:t>11,828</w:t>
            </w:r>
          </w:p>
        </w:tc>
        <w:tc>
          <w:tcPr>
            <w:tcW w:type="dxa" w:w="1440"/>
            <w:shd w:fill="FFDCE0" w:val="clear"/>
          </w:tcPr>
          <w:p>
            <w:r>
              <w:rPr>
                <w:b/>
                <w:color w:val="C00000"/>
                <w:sz w:val="17"/>
              </w:rPr>
              <w:t>-2.7%</w:t>
            </w:r>
          </w:p>
        </w:tc>
      </w:tr>
      <w:tr>
        <w:tc>
          <w:tcPr>
            <w:tcW w:type="dxa" w:w="1440"/>
            <w:shd w:fill="FFDCE0" w:val="clear"/>
          </w:tcPr>
          <w:p>
            <w:r>
              <w:rPr>
                <w:sz w:val="17"/>
              </w:rPr>
              <w:t>J+3  ⭐</w:t>
            </w:r>
          </w:p>
        </w:tc>
        <w:tc>
          <w:tcPr>
            <w:tcW w:type="dxa" w:w="1440"/>
            <w:shd w:fill="FFDCE0" w:val="clear"/>
          </w:tcPr>
          <w:p>
            <w:r>
              <w:rPr>
                <w:sz w:val="17"/>
              </w:rPr>
              <w:t>2026-08-17</w:t>
            </w:r>
          </w:p>
        </w:tc>
        <w:tc>
          <w:tcPr>
            <w:tcW w:type="dxa" w:w="1440"/>
            <w:shd w:fill="FFDCE0" w:val="clear"/>
          </w:tcPr>
          <w:p>
            <w:r>
              <w:rPr>
                <w:sz w:val="17"/>
              </w:rPr>
              <w:t>10,550</w:t>
            </w:r>
          </w:p>
        </w:tc>
        <w:tc>
          <w:tcPr>
            <w:tcW w:type="dxa" w:w="1440"/>
            <w:shd w:fill="FFDCE0" w:val="clear"/>
          </w:tcPr>
          <w:p>
            <w:r>
              <w:rPr>
                <w:b/>
                <w:sz w:val="17"/>
              </w:rPr>
              <w:t>11,195</w:t>
            </w:r>
          </w:p>
        </w:tc>
        <w:tc>
          <w:tcPr>
            <w:tcW w:type="dxa" w:w="1440"/>
            <w:shd w:fill="FFDCE0" w:val="clear"/>
          </w:tcPr>
          <w:p>
            <w:r>
              <w:rPr>
                <w:sz w:val="17"/>
              </w:rPr>
              <w:t>11,839</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2026-08-18</w:t>
            </w:r>
          </w:p>
        </w:tc>
        <w:tc>
          <w:tcPr>
            <w:tcW w:type="dxa" w:w="1440"/>
            <w:shd w:fill="FFDCE0" w:val="clear"/>
          </w:tcPr>
          <w:p>
            <w:r>
              <w:rPr>
                <w:sz w:val="17"/>
              </w:rPr>
              <w:t>10,360</w:t>
            </w:r>
          </w:p>
        </w:tc>
        <w:tc>
          <w:tcPr>
            <w:tcW w:type="dxa" w:w="1440"/>
            <w:shd w:fill="FFDCE0" w:val="clear"/>
          </w:tcPr>
          <w:p>
            <w:r>
              <w:rPr>
                <w:b/>
                <w:sz w:val="17"/>
              </w:rPr>
              <w:t>11,098</w:t>
            </w:r>
          </w:p>
        </w:tc>
        <w:tc>
          <w:tcPr>
            <w:tcW w:type="dxa" w:w="1440"/>
            <w:shd w:fill="FFDCE0" w:val="clear"/>
          </w:tcPr>
          <w:p>
            <w:r>
              <w:rPr>
                <w:sz w:val="17"/>
              </w:rPr>
              <w:t>11,836</w:t>
            </w:r>
          </w:p>
        </w:tc>
        <w:tc>
          <w:tcPr>
            <w:tcW w:type="dxa" w:w="1440"/>
            <w:shd w:fill="FFDCE0" w:val="clear"/>
          </w:tcPr>
          <w:p>
            <w:r>
              <w:rPr>
                <w:b/>
                <w:color w:val="C00000"/>
                <w:sz w:val="17"/>
              </w:rPr>
              <w:t>-4.4%</w:t>
            </w:r>
          </w:p>
        </w:tc>
      </w:tr>
      <w:tr>
        <w:tc>
          <w:tcPr>
            <w:tcW w:type="dxa" w:w="1440"/>
            <w:shd w:fill="FFDCE0" w:val="clear"/>
          </w:tcPr>
          <w:p>
            <w:r>
              <w:rPr>
                <w:sz w:val="17"/>
              </w:rPr>
              <w:t>J+5  ⭐</w:t>
            </w:r>
          </w:p>
        </w:tc>
        <w:tc>
          <w:tcPr>
            <w:tcW w:type="dxa" w:w="1440"/>
            <w:shd w:fill="FFDCE0" w:val="clear"/>
          </w:tcPr>
          <w:p>
            <w:r>
              <w:rPr>
                <w:sz w:val="17"/>
              </w:rPr>
              <w:t>2026-08-19</w:t>
            </w:r>
          </w:p>
        </w:tc>
        <w:tc>
          <w:tcPr>
            <w:tcW w:type="dxa" w:w="1440"/>
            <w:shd w:fill="FFDCE0" w:val="clear"/>
          </w:tcPr>
          <w:p>
            <w:r>
              <w:rPr>
                <w:sz w:val="17"/>
              </w:rPr>
              <w:t>10,191</w:t>
            </w:r>
          </w:p>
        </w:tc>
        <w:tc>
          <w:tcPr>
            <w:tcW w:type="dxa" w:w="1440"/>
            <w:shd w:fill="FFDCE0" w:val="clear"/>
          </w:tcPr>
          <w:p>
            <w:r>
              <w:rPr>
                <w:b/>
                <w:sz w:val="17"/>
              </w:rPr>
              <w:t>11,009</w:t>
            </w:r>
          </w:p>
        </w:tc>
        <w:tc>
          <w:tcPr>
            <w:tcW w:type="dxa" w:w="1440"/>
            <w:shd w:fill="FFDCE0" w:val="clear"/>
          </w:tcPr>
          <w:p>
            <w:r>
              <w:rPr>
                <w:sz w:val="17"/>
              </w:rPr>
              <w:t>11,827</w:t>
            </w:r>
          </w:p>
        </w:tc>
        <w:tc>
          <w:tcPr>
            <w:tcW w:type="dxa" w:w="1440"/>
            <w:shd w:fill="FFDCE0" w:val="clear"/>
          </w:tcPr>
          <w:p>
            <w:r>
              <w:rPr>
                <w:b/>
                <w:color w:val="C00000"/>
                <w:sz w:val="17"/>
              </w:rPr>
              <w:t>-5.1%</w:t>
            </w:r>
          </w:p>
        </w:tc>
      </w:tr>
      <w:tr>
        <w:tc>
          <w:tcPr>
            <w:tcW w:type="dxa" w:w="1440"/>
            <w:shd w:fill="FFDCE0" w:val="clear"/>
          </w:tcPr>
          <w:p>
            <w:r>
              <w:rPr>
                <w:sz w:val="17"/>
              </w:rPr>
              <w:t>J+6  ⭐</w:t>
            </w:r>
          </w:p>
        </w:tc>
        <w:tc>
          <w:tcPr>
            <w:tcW w:type="dxa" w:w="1440"/>
            <w:shd w:fill="FFDCE0" w:val="clear"/>
          </w:tcPr>
          <w:p>
            <w:r>
              <w:rPr>
                <w:sz w:val="17"/>
              </w:rPr>
              <w:t>2026-08-20</w:t>
            </w:r>
          </w:p>
        </w:tc>
        <w:tc>
          <w:tcPr>
            <w:tcW w:type="dxa" w:w="1440"/>
            <w:shd w:fill="FFDCE0" w:val="clear"/>
          </w:tcPr>
          <w:p>
            <w:r>
              <w:rPr>
                <w:sz w:val="17"/>
              </w:rPr>
              <w:t>10,036</w:t>
            </w:r>
          </w:p>
        </w:tc>
        <w:tc>
          <w:tcPr>
            <w:tcW w:type="dxa" w:w="1440"/>
            <w:shd w:fill="FFDCE0" w:val="clear"/>
          </w:tcPr>
          <w:p>
            <w:r>
              <w:rPr>
                <w:b/>
                <w:sz w:val="17"/>
              </w:rPr>
              <w:t>10,925</w:t>
            </w:r>
          </w:p>
        </w:tc>
        <w:tc>
          <w:tcPr>
            <w:tcW w:type="dxa" w:w="1440"/>
            <w:shd w:fill="FFDCE0" w:val="clear"/>
          </w:tcPr>
          <w:p>
            <w:r>
              <w:rPr>
                <w:sz w:val="17"/>
              </w:rPr>
              <w:t>11,814</w:t>
            </w:r>
          </w:p>
        </w:tc>
        <w:tc>
          <w:tcPr>
            <w:tcW w:type="dxa" w:w="1440"/>
            <w:shd w:fill="FFDCE0" w:val="clear"/>
          </w:tcPr>
          <w:p>
            <w:r>
              <w:rPr>
                <w:b/>
                <w:color w:val="C00000"/>
                <w:sz w:val="17"/>
              </w:rPr>
              <w:t>-5.9%</w:t>
            </w:r>
          </w:p>
        </w:tc>
      </w:tr>
      <w:tr>
        <w:tc>
          <w:tcPr>
            <w:tcW w:type="dxa" w:w="1440"/>
            <w:shd w:fill="FFDCE0" w:val="clear"/>
          </w:tcPr>
          <w:p>
            <w:r>
              <w:rPr>
                <w:sz w:val="17"/>
              </w:rPr>
              <w:t>J+7  ⭐</w:t>
            </w:r>
          </w:p>
        </w:tc>
        <w:tc>
          <w:tcPr>
            <w:tcW w:type="dxa" w:w="1440"/>
            <w:shd w:fill="FFDCE0" w:val="clear"/>
          </w:tcPr>
          <w:p>
            <w:r>
              <w:rPr>
                <w:sz w:val="17"/>
              </w:rPr>
              <w:t>2026-08-21</w:t>
            </w:r>
          </w:p>
        </w:tc>
        <w:tc>
          <w:tcPr>
            <w:tcW w:type="dxa" w:w="1440"/>
            <w:shd w:fill="FFDCE0" w:val="clear"/>
          </w:tcPr>
          <w:p>
            <w:r>
              <w:rPr>
                <w:sz w:val="17"/>
              </w:rPr>
              <w:t>9,893</w:t>
            </w:r>
          </w:p>
        </w:tc>
        <w:tc>
          <w:tcPr>
            <w:tcW w:type="dxa" w:w="1440"/>
            <w:shd w:fill="FFDCE0" w:val="clear"/>
          </w:tcPr>
          <w:p>
            <w:r>
              <w:rPr>
                <w:b/>
                <w:sz w:val="17"/>
              </w:rPr>
              <w:t>10,847</w:t>
            </w:r>
          </w:p>
        </w:tc>
        <w:tc>
          <w:tcPr>
            <w:tcW w:type="dxa" w:w="1440"/>
            <w:shd w:fill="FFDCE0" w:val="clear"/>
          </w:tcPr>
          <w:p>
            <w:r>
              <w:rPr>
                <w:sz w:val="17"/>
              </w:rPr>
              <w:t>11,801</w:t>
            </w:r>
          </w:p>
        </w:tc>
        <w:tc>
          <w:tcPr>
            <w:tcW w:type="dxa" w:w="1440"/>
            <w:shd w:fill="FFDCE0" w:val="clear"/>
          </w:tcPr>
          <w:p>
            <w:r>
              <w:rPr>
                <w:b/>
                <w:color w:val="C00000"/>
                <w:sz w:val="17"/>
              </w:rPr>
              <w:t>-6.5%</w:t>
            </w:r>
          </w:p>
        </w:tc>
      </w:tr>
      <w:tr>
        <w:tc>
          <w:tcPr>
            <w:tcW w:type="dxa" w:w="1440"/>
            <w:shd w:fill="FFDCE0" w:val="clear"/>
          </w:tcPr>
          <w:p>
            <w:r>
              <w:rPr>
                <w:sz w:val="17"/>
              </w:rPr>
              <w:t>J+8  ⭐</w:t>
            </w:r>
          </w:p>
        </w:tc>
        <w:tc>
          <w:tcPr>
            <w:tcW w:type="dxa" w:w="1440"/>
            <w:shd w:fill="FFDCE0" w:val="clear"/>
          </w:tcPr>
          <w:p>
            <w:r>
              <w:rPr>
                <w:sz w:val="17"/>
              </w:rPr>
              <w:t>2026-08-24</w:t>
            </w:r>
          </w:p>
        </w:tc>
        <w:tc>
          <w:tcPr>
            <w:tcW w:type="dxa" w:w="1440"/>
            <w:shd w:fill="FFDCE0" w:val="clear"/>
          </w:tcPr>
          <w:p>
            <w:r>
              <w:rPr>
                <w:sz w:val="17"/>
              </w:rPr>
              <w:t>9,762</w:t>
            </w:r>
          </w:p>
        </w:tc>
        <w:tc>
          <w:tcPr>
            <w:tcW w:type="dxa" w:w="1440"/>
            <w:shd w:fill="FFDCE0" w:val="clear"/>
          </w:tcPr>
          <w:p>
            <w:r>
              <w:rPr>
                <w:b/>
                <w:sz w:val="17"/>
              </w:rPr>
              <w:t>10,775</w:t>
            </w:r>
          </w:p>
        </w:tc>
        <w:tc>
          <w:tcPr>
            <w:tcW w:type="dxa" w:w="1440"/>
            <w:shd w:fill="FFDCE0" w:val="clear"/>
          </w:tcPr>
          <w:p>
            <w:r>
              <w:rPr>
                <w:sz w:val="17"/>
              </w:rPr>
              <w:t>11,787</w:t>
            </w:r>
          </w:p>
        </w:tc>
        <w:tc>
          <w:tcPr>
            <w:tcW w:type="dxa" w:w="1440"/>
            <w:shd w:fill="FFDCE0" w:val="clear"/>
          </w:tcPr>
          <w:p>
            <w:r>
              <w:rPr>
                <w:b/>
                <w:color w:val="C00000"/>
                <w:sz w:val="17"/>
              </w:rPr>
              <w:t>-7.2%</w:t>
            </w:r>
          </w:p>
        </w:tc>
      </w:tr>
      <w:tr>
        <w:tc>
          <w:tcPr>
            <w:tcW w:type="dxa" w:w="1440"/>
            <w:shd w:fill="FFDCE0" w:val="clear"/>
          </w:tcPr>
          <w:p>
            <w:r>
              <w:rPr>
                <w:sz w:val="17"/>
              </w:rPr>
              <w:t>J+9  ⭐</w:t>
            </w:r>
          </w:p>
        </w:tc>
        <w:tc>
          <w:tcPr>
            <w:tcW w:type="dxa" w:w="1440"/>
            <w:shd w:fill="FFDCE0" w:val="clear"/>
          </w:tcPr>
          <w:p>
            <w:r>
              <w:rPr>
                <w:sz w:val="17"/>
              </w:rPr>
              <w:t>2026-08-25</w:t>
            </w:r>
          </w:p>
        </w:tc>
        <w:tc>
          <w:tcPr>
            <w:tcW w:type="dxa" w:w="1440"/>
            <w:shd w:fill="FFDCE0" w:val="clear"/>
          </w:tcPr>
          <w:p>
            <w:r>
              <w:rPr>
                <w:sz w:val="17"/>
              </w:rPr>
              <w:t>9,640</w:t>
            </w:r>
          </w:p>
        </w:tc>
        <w:tc>
          <w:tcPr>
            <w:tcW w:type="dxa" w:w="1440"/>
            <w:shd w:fill="FFDCE0" w:val="clear"/>
          </w:tcPr>
          <w:p>
            <w:r>
              <w:rPr>
                <w:b/>
                <w:sz w:val="17"/>
              </w:rPr>
              <w:t>10,708</w:t>
            </w:r>
          </w:p>
        </w:tc>
        <w:tc>
          <w:tcPr>
            <w:tcW w:type="dxa" w:w="1440"/>
            <w:shd w:fill="FFDCE0" w:val="clear"/>
          </w:tcPr>
          <w:p>
            <w:r>
              <w:rPr>
                <w:sz w:val="17"/>
              </w:rPr>
              <w:t>11,775</w:t>
            </w:r>
          </w:p>
        </w:tc>
        <w:tc>
          <w:tcPr>
            <w:tcW w:type="dxa" w:w="1440"/>
            <w:shd w:fill="FFDCE0" w:val="clear"/>
          </w:tcPr>
          <w:p>
            <w:r>
              <w:rPr>
                <w:b/>
                <w:color w:val="C00000"/>
                <w:sz w:val="17"/>
              </w:rPr>
              <w:t>-7.7%</w:t>
            </w:r>
          </w:p>
        </w:tc>
      </w:tr>
      <w:tr>
        <w:tc>
          <w:tcPr>
            <w:tcW w:type="dxa" w:w="1440"/>
            <w:shd w:fill="FFDCE0" w:val="clear"/>
          </w:tcPr>
          <w:p>
            <w:r>
              <w:rPr>
                <w:sz w:val="17"/>
              </w:rPr>
              <w:t>J+10  ⭐</w:t>
            </w:r>
          </w:p>
        </w:tc>
        <w:tc>
          <w:tcPr>
            <w:tcW w:type="dxa" w:w="1440"/>
            <w:shd w:fill="FFDCE0" w:val="clear"/>
          </w:tcPr>
          <w:p>
            <w:r>
              <w:rPr>
                <w:sz w:val="17"/>
              </w:rPr>
              <w:t>2026-08-27</w:t>
            </w:r>
          </w:p>
        </w:tc>
        <w:tc>
          <w:tcPr>
            <w:tcW w:type="dxa" w:w="1440"/>
            <w:shd w:fill="FFDCE0" w:val="clear"/>
          </w:tcPr>
          <w:p>
            <w:r>
              <w:rPr>
                <w:sz w:val="17"/>
              </w:rPr>
              <w:t>9,528</w:t>
            </w:r>
          </w:p>
        </w:tc>
        <w:tc>
          <w:tcPr>
            <w:tcW w:type="dxa" w:w="1440"/>
            <w:shd w:fill="FFDCE0" w:val="clear"/>
          </w:tcPr>
          <w:p>
            <w:r>
              <w:rPr>
                <w:b/>
                <w:sz w:val="17"/>
              </w:rPr>
              <w:t>10,646</w:t>
            </w:r>
          </w:p>
        </w:tc>
        <w:tc>
          <w:tcPr>
            <w:tcW w:type="dxa" w:w="1440"/>
            <w:shd w:fill="FFDCE0" w:val="clear"/>
          </w:tcPr>
          <w:p>
            <w:r>
              <w:rPr>
                <w:sz w:val="17"/>
              </w:rPr>
              <w:t>11,765</w:t>
            </w:r>
          </w:p>
        </w:tc>
        <w:tc>
          <w:tcPr>
            <w:tcW w:type="dxa" w:w="1440"/>
            <w:shd w:fill="FFDCE0" w:val="clear"/>
          </w:tcPr>
          <w:p>
            <w:r>
              <w:rPr>
                <w:b/>
                <w:color w:val="C00000"/>
                <w:sz w:val="17"/>
              </w:rPr>
              <w:t>-8.3%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104,44 milliards FCFA positionne SDCC comme une valeur de taille moyenne sur la BRVM, représentative d'un actif stratégique dans le secteur de l'eau. Le BPA de 518 FCFA indique que chaque action génère un bénéfice substantiel, mais le PER de 22,4x est nettement supérieur à la moyenne de la BRVM (8-12x), signalant que les investisseurs paient une prime significative pour la croissance anticipée. Le P/B de 5,30x confirme cette valorisation exigeante, le marché valorisant l'actif net comptable plus de cinq fois au-dessus de sa valeur. Enfin, l'EV/EBITDA de 14,3x, dans la fourchette haute de 10-15x, suggère que la valeur totale de l'entreprise (dette incluse) reste élevée par rapport à sa capacité opérationnelle, ce qui exige une performance soutenue pour justifier ces niveaux.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SDCC a enregistré une progression spectaculaire de +50,03%, atteignant un cours actuel de 11 605 FCFA, avec un repli marginal de -0,39% lors de la dernière séance. Le titre a évolué dans une fourchette très large, oscillant entre un plus bas de 7 140 FCFA et un plus haut de 12 195 FCFA, illustrant une forte dynamique haussière. La moyenne de 10 163 FCFA est inférieure à la médiane de 11 100 FCFA, révélant une distribution asymétrique avec des journées de forte hausse concentrées en fin de période. L'écart-type de 1 974 FCFA (CV=19,4%) témoigne d'une dispersion modérée, tandis que le kurtosis de -1,500 (platykurtique) indique une distribution aplatie, sans pics extrêmes de variation. Le skewness négatif de -0,511 confirme une asymétrie avec davantage de journées au-dessus de la moyenne. La volatilité annualisée de 36,2% classe le titre dans la catégorie élevée (&gt;30%), signalant un risque substantiel pour les investisseurs.</w:t>
      </w:r>
    </w:p>
    <w:p>
      <w:pPr>
        <w:spacing w:after="120" w:line="276" w:lineRule="auto" w:before="240"/>
      </w:pPr>
      <w:r>
        <w:rPr>
          <w:b/>
          <w:color w:val="003366"/>
          <w:sz w:val="24"/>
        </w:rPr>
        <w:t>**PARTIE 2 : ANALYSE TECHNIQUE DÉTAILLÉE**</w:t>
      </w:r>
    </w:p>
    <w:p>
      <w:pPr>
        <w:spacing w:after="120" w:line="276" w:lineRule="auto"/>
      </w:pPr>
      <w:r>
        <w:t>**Moyennes Mobiles** : La MM20 à 11 739,75 FCFA et la MM50 à 11 818,8 FCFA sont toutes deux supérieures au cours actuel de 11 605 FCFA, indiquant une tendance baissière à court et moyen terme. Le croisement des prix sous les moyennes mobiles suggère une pression vendeuse, justifiant la décision de Vente.</w:t>
      </w:r>
    </w:p>
    <w:p>
      <w:pPr>
        <w:spacing w:after="120" w:line="276" w:lineRule="auto"/>
      </w:pPr>
      <w:r>
        <w:t>**Bandes de Bollinger** : Le cours se situe à 11 605 FCFA, entre la borne supérieure de 12 227,877 FCFA et la borne inférieure de 11 251,623 FCFA, proche de la zone médiane. Cette position indique une volatilité modérée sans signal directionnel fort, d'où la décision Neutre.</w:t>
      </w:r>
    </w:p>
    <w:p>
      <w:pPr>
        <w:spacing w:after="120" w:line="276" w:lineRule="auto"/>
      </w:pPr>
      <w:r>
        <w:t>**MACD** : La valeur MACD de 4,818 est nettement inférieure au signal de 32,947, créant une divergence négative. Ce croisement baissier reflète un affaiblissement du momentum, justifiant la décision de Vente.</w:t>
      </w:r>
    </w:p>
    <w:p>
      <w:pPr>
        <w:spacing w:after="120" w:line="276" w:lineRule="auto"/>
      </w:pPr>
      <w:r>
        <w:t>**RSI** : À 42,716, le RSI se situe dans la zone neutre (30-70), indiquant une absence de surachat ou de survente. Cette valeur suggère un équilibre entre acheteurs et vendeurs, d'où la décision Neutre.</w:t>
      </w:r>
    </w:p>
    <w:p>
      <w:pPr>
        <w:spacing w:after="120" w:line="276" w:lineRule="auto"/>
      </w:pPr>
      <w:r>
        <w:t>**Stochastique** : Le %K à 37,963 est inférieur au %D à 56,741, montrant un croisement baissier potentiel. Cette configuration indique un momentum négatif en cours de formation, justifiant la décision Neutre.</w:t>
      </w:r>
    </w:p>
    <w:p>
      <w:pPr>
        <w:spacing w:after="120" w:line="276" w:lineRule="auto"/>
      </w:pPr>
      <w:r>
        <w:t>**Conclusion technique** : Les indicateurs techniques sont globalement mitigés, avec une prédominance de signaux de vente (MM, MACD) contre des signaux neutres (Bollinger, RSI, Stochastique). Cette divergence suggère une consolidation après la forte hausse, avec un risque de correction à court terme si le cours ne parvient pas à se maintenir au-dessus des moyennes mobiles.</w:t>
      </w:r>
    </w:p>
    <w:p>
      <w:pPr>
        <w:spacing w:after="120" w:line="276" w:lineRule="auto" w:before="240"/>
      </w:pPr>
      <w:r>
        <w:rPr>
          <w:b/>
          <w:color w:val="003366"/>
          <w:sz w:val="24"/>
        </w:rPr>
        <w:t>**PARTIE 3 : ANALYSE FONDAMENTALE (SECTION CRITIQUE)**</w:t>
      </w:r>
    </w:p>
    <w:p>
      <w:pPr>
        <w:spacing w:after="120" w:line="276" w:lineRule="auto"/>
      </w:pPr>
      <w:r>
        <w:t>En 2025, les états financiers annuels de SDCC révèlent une croissance soutenue avec un chiffre d'affaires de 189,430 milliards FCFA (+10% par rapport à 2024), et un résultat net de 4,663 milliards FCFA, en hausse de 31%. Le ROE de 23,65% est excellent (&gt;15%), démontrant une forte rentabilité des capitaux propres, tandis que le ROA de 0,99% reste faible, indiquant une gestion des actifs moins efficace. La marge nette de 2,46% et la marge opérationnelle de 4,81% reflètent une pression sur les coûts, avec un BFR de 104,748 milliards FCFA et un délai clients élevé de 749 jours, signalant un risque de trésorerie important. Le rapport S1 2025 (30/06/2025) montre un CA stable à 82,3 milliards FCFA (-0,4%) et un résultat net en baisse de 24% à 1,355 milliard FCFA, tandis que le rapport T1 2026 (2026) indique un résultat net en hausse spectaculaire de 118% à 1,318 milliard FCFA, malgré un CA en repli de 2%. Sur la base de ces données, on estime que l'exercice 2026 pourrait voir une amélioration significative de la rentabilité, avec un résultat net annuel potentiellement supérieur à 5 milliards FCFA, soutenu par la maîtrise des charges opérationnelles et l'augmentation du nombre de clients (2,27 millions, +6,14%). Cependant, la trésorerie nette négative de -61,710 milliards FCFA et la dépendance financière de 740% constituent des risques majeurs. La recommandation fondamentale est de CONSERVER, avec une vigilance accrue sur la gestion du BFR et de la trésorerie.</w:t>
      </w:r>
    </w:p>
    <w:p>
      <w:pPr>
        <w:spacing w:after="120" w:line="276" w:lineRule="auto" w:before="240"/>
      </w:pPr>
      <w:r>
        <w:rPr>
          <w:b/>
          <w:color w:val="003366"/>
          <w:sz w:val="24"/>
        </w:rPr>
        <w:t>**PARTIE 4 : CONCLUSION D'INVESTISSEMENT**</w:t>
      </w:r>
    </w:p>
    <w:p>
      <w:pPr>
        <w:spacing w:after="120" w:line="276" w:lineRule="auto"/>
      </w:pPr>
      <w:r>
        <w:t>La valorisation de SDCC (PER 22,4x, P/B 5,30x, EV/EBITDA 14,3x) indique une surévaluation relative, les investisseurs payant une prime élevée pour la croissance anticipée. Le comportement du cours (+50,03% sur 100 jours) montre une tendance haussière forte, mais la volatilité élevée (36,2%) et le skewness négatif signalent des risques de retournement. Les signaux techniques sont divergents, avec des indicateurs de vente (MM, MACD) contre des neutres (Bollinger, RSI, Stochastique), suggérant une consolidation. Les fondamentaux sont solides avec une croissance du CA de 10% et un ROE de 23,65%, mais les tensions de trésorerie et le BFR élevé restent préoccupants. Les prédictions IA (J+1 à J+10) montrent une trajectoire baissière progressive, de 11 404 à 11 009 FCFA, contredisant la tendance haussière récente et confirmant les signaux techniques de vente. Sur la base de cette synthèse, la recommandation finale est **CONSERVER**, avec un niveau de confiance **Moyen**, un risque global **Élevé**, et un horizon d'investissement optimal à **moyen terme (3-12 mois)** pour observer l'amélioration de la rentabilité et la gestion de la trésorerie.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148.61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16,350 titres</w:t>
            </w:r>
          </w:p>
        </w:tc>
        <w:tc>
          <w:tcPr>
            <w:tcW w:type="dxa" w:w="2268"/>
            <w:shd w:fill="FFF2CC" w:val="clear"/>
          </w:tcPr>
          <w:p>
            <w:r>
              <w:rPr>
                <w:b/>
                <w:color w:val="503200"/>
                <w:sz w:val="16"/>
              </w:rPr>
              <w:t xml:space="preserve">Cours actuel : </w:t>
            </w:r>
            <w:r>
              <w:rPr>
                <w:color w:val="000000"/>
                <w:sz w:val="17"/>
              </w:rPr>
              <w:t>2,730 FCFA</w:t>
            </w:r>
          </w:p>
          <w:p>
            <w:r>
              <w:rPr>
                <w:b/>
                <w:color w:val="503200"/>
                <w:sz w:val="16"/>
              </w:rPr>
              <w:t xml:space="preserve">Var. 100 jours : </w:t>
            </w:r>
            <w:r>
              <w:rPr>
                <w:b/>
                <w:color w:val="007800"/>
                <w:sz w:val="17"/>
              </w:rPr>
              <w:t>+37.53%</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28.8/100 → Moyen</w:t>
      </w:r>
    </w:p>
    <w:p>
      <w:pPr>
        <w:spacing w:before="40" w:after="80"/>
      </w:pPr>
      <w:r>
        <w:rPr>
          <w:rFonts w:ascii="Courier New" w:hAnsi="Courier New"/>
          <w:color w:val="825A00"/>
          <w:sz w:val="18"/>
        </w:rPr>
        <w:t>█████░░░░░░░░░░░░░░░  28.8/100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16.81% (Élevée) — μ=2,129 FCFA, σ=358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β=-0.0090 (Contre-cyclique) — Cov=-0.000000, Var(idx)=0.000036, ρ=-0.002,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16,350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σ_j=3.26%/j (Modérée) — Vol. annualisée≈51.8%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2026-08-13</w:t>
            </w:r>
          </w:p>
        </w:tc>
        <w:tc>
          <w:tcPr>
            <w:tcW w:type="dxa" w:w="1440"/>
            <w:shd w:fill="FAFAFA" w:val="clear"/>
          </w:tcPr>
          <w:p>
            <w:r>
              <w:rPr>
                <w:sz w:val="17"/>
              </w:rPr>
              <w:t>2,515</w:t>
            </w:r>
          </w:p>
        </w:tc>
        <w:tc>
          <w:tcPr>
            <w:tcW w:type="dxa" w:w="1440"/>
            <w:shd w:fill="FAFAFA" w:val="clear"/>
          </w:tcPr>
          <w:p>
            <w:r>
              <w:rPr>
                <w:b/>
                <w:sz w:val="17"/>
              </w:rPr>
              <w:t>2,683</w:t>
            </w:r>
          </w:p>
        </w:tc>
        <w:tc>
          <w:tcPr>
            <w:tcW w:type="dxa" w:w="1440"/>
            <w:shd w:fill="FAFAFA" w:val="clear"/>
          </w:tcPr>
          <w:p>
            <w:r>
              <w:rPr>
                <w:sz w:val="17"/>
              </w:rPr>
              <w:t>2,851</w:t>
            </w:r>
          </w:p>
        </w:tc>
        <w:tc>
          <w:tcPr>
            <w:tcW w:type="dxa" w:w="1440"/>
            <w:shd w:fill="FAFAFA" w:val="clear"/>
          </w:tcPr>
          <w:p>
            <w:r>
              <w:rPr>
                <w:b/>
                <w:color w:val="C00000"/>
                <w:sz w:val="17"/>
              </w:rPr>
              <w:t>-1.7%</w:t>
            </w:r>
          </w:p>
        </w:tc>
      </w:tr>
      <w:tr>
        <w:tc>
          <w:tcPr>
            <w:tcW w:type="dxa" w:w="1440"/>
            <w:shd w:fill="FFDCE0" w:val="clear"/>
          </w:tcPr>
          <w:p>
            <w:r>
              <w:rPr>
                <w:sz w:val="17"/>
              </w:rPr>
              <w:t>J+2  Moyenne</w:t>
            </w:r>
          </w:p>
        </w:tc>
        <w:tc>
          <w:tcPr>
            <w:tcW w:type="dxa" w:w="1440"/>
            <w:shd w:fill="FFDCE0" w:val="clear"/>
          </w:tcPr>
          <w:p>
            <w:r>
              <w:rPr>
                <w:sz w:val="17"/>
              </w:rPr>
              <w:t>2026-08-14</w:t>
            </w:r>
          </w:p>
        </w:tc>
        <w:tc>
          <w:tcPr>
            <w:tcW w:type="dxa" w:w="1440"/>
            <w:shd w:fill="FFDCE0" w:val="clear"/>
          </w:tcPr>
          <w:p>
            <w:r>
              <w:rPr>
                <w:sz w:val="17"/>
              </w:rPr>
              <w:t>2,408</w:t>
            </w:r>
          </w:p>
        </w:tc>
        <w:tc>
          <w:tcPr>
            <w:tcW w:type="dxa" w:w="1440"/>
            <w:shd w:fill="FFDCE0" w:val="clear"/>
          </w:tcPr>
          <w:p>
            <w:r>
              <w:rPr>
                <w:b/>
                <w:sz w:val="17"/>
              </w:rPr>
              <w:t>2,642</w:t>
            </w:r>
          </w:p>
        </w:tc>
        <w:tc>
          <w:tcPr>
            <w:tcW w:type="dxa" w:w="1440"/>
            <w:shd w:fill="FFDCE0" w:val="clear"/>
          </w:tcPr>
          <w:p>
            <w:r>
              <w:rPr>
                <w:sz w:val="17"/>
              </w:rPr>
              <w:t>2,876</w:t>
            </w:r>
          </w:p>
        </w:tc>
        <w:tc>
          <w:tcPr>
            <w:tcW w:type="dxa" w:w="1440"/>
            <w:shd w:fill="FFDCE0" w:val="clear"/>
          </w:tcPr>
          <w:p>
            <w:r>
              <w:rPr>
                <w:b/>
                <w:color w:val="C00000"/>
                <w:sz w:val="17"/>
              </w:rPr>
              <w:t>-3.2%</w:t>
            </w:r>
          </w:p>
        </w:tc>
      </w:tr>
      <w:tr>
        <w:tc>
          <w:tcPr>
            <w:tcW w:type="dxa" w:w="1440"/>
            <w:shd w:fill="FFDCE0" w:val="clear"/>
          </w:tcPr>
          <w:p>
            <w:r>
              <w:rPr>
                <w:sz w:val="17"/>
              </w:rPr>
              <w:t>J+3  Moyenne</w:t>
            </w:r>
          </w:p>
        </w:tc>
        <w:tc>
          <w:tcPr>
            <w:tcW w:type="dxa" w:w="1440"/>
            <w:shd w:fill="FFDCE0" w:val="clear"/>
          </w:tcPr>
          <w:p>
            <w:r>
              <w:rPr>
                <w:sz w:val="17"/>
              </w:rPr>
              <w:t>2026-08-17</w:t>
            </w:r>
          </w:p>
        </w:tc>
        <w:tc>
          <w:tcPr>
            <w:tcW w:type="dxa" w:w="1440"/>
            <w:shd w:fill="FFDCE0" w:val="clear"/>
          </w:tcPr>
          <w:p>
            <w:r>
              <w:rPr>
                <w:sz w:val="17"/>
              </w:rPr>
              <w:t>2,328</w:t>
            </w:r>
          </w:p>
        </w:tc>
        <w:tc>
          <w:tcPr>
            <w:tcW w:type="dxa" w:w="1440"/>
            <w:shd w:fill="FFDCE0" w:val="clear"/>
          </w:tcPr>
          <w:p>
            <w:r>
              <w:rPr>
                <w:b/>
                <w:sz w:val="17"/>
              </w:rPr>
              <w:t>2,611</w:t>
            </w:r>
          </w:p>
        </w:tc>
        <w:tc>
          <w:tcPr>
            <w:tcW w:type="dxa" w:w="1440"/>
            <w:shd w:fill="FFDCE0" w:val="clear"/>
          </w:tcPr>
          <w:p>
            <w:r>
              <w:rPr>
                <w:sz w:val="17"/>
              </w:rPr>
              <w:t>2,895</w:t>
            </w:r>
          </w:p>
        </w:tc>
        <w:tc>
          <w:tcPr>
            <w:tcW w:type="dxa" w:w="1440"/>
            <w:shd w:fill="FFDCE0" w:val="clear"/>
          </w:tcPr>
          <w:p>
            <w:r>
              <w:rPr>
                <w:b/>
                <w:color w:val="C00000"/>
                <w:sz w:val="17"/>
              </w:rPr>
              <w:t>-4.4%</w:t>
            </w:r>
          </w:p>
        </w:tc>
      </w:tr>
      <w:tr>
        <w:tc>
          <w:tcPr>
            <w:tcW w:type="dxa" w:w="1440"/>
            <w:shd w:fill="FFDCE0" w:val="clear"/>
          </w:tcPr>
          <w:p>
            <w:r>
              <w:rPr>
                <w:sz w:val="17"/>
              </w:rPr>
              <w:t>J+4  ⭐</w:t>
            </w:r>
          </w:p>
        </w:tc>
        <w:tc>
          <w:tcPr>
            <w:tcW w:type="dxa" w:w="1440"/>
            <w:shd w:fill="FFDCE0" w:val="clear"/>
          </w:tcPr>
          <w:p>
            <w:r>
              <w:rPr>
                <w:sz w:val="17"/>
              </w:rPr>
              <w:t>2026-08-18</w:t>
            </w:r>
          </w:p>
        </w:tc>
        <w:tc>
          <w:tcPr>
            <w:tcW w:type="dxa" w:w="1440"/>
            <w:shd w:fill="FFDCE0" w:val="clear"/>
          </w:tcPr>
          <w:p>
            <w:r>
              <w:rPr>
                <w:sz w:val="17"/>
              </w:rPr>
              <w:t>2,263</w:t>
            </w:r>
          </w:p>
        </w:tc>
        <w:tc>
          <w:tcPr>
            <w:tcW w:type="dxa" w:w="1440"/>
            <w:shd w:fill="FFDCE0" w:val="clear"/>
          </w:tcPr>
          <w:p>
            <w:r>
              <w:rPr>
                <w:b/>
                <w:sz w:val="17"/>
              </w:rPr>
              <w:t>2,588</w:t>
            </w:r>
          </w:p>
        </w:tc>
        <w:tc>
          <w:tcPr>
            <w:tcW w:type="dxa" w:w="1440"/>
            <w:shd w:fill="FFDCE0" w:val="clear"/>
          </w:tcPr>
          <w:p>
            <w:r>
              <w:rPr>
                <w:sz w:val="17"/>
              </w:rPr>
              <w:t>2,912</w:t>
            </w:r>
          </w:p>
        </w:tc>
        <w:tc>
          <w:tcPr>
            <w:tcW w:type="dxa" w:w="1440"/>
            <w:shd w:fill="FFDCE0" w:val="clear"/>
          </w:tcPr>
          <w:p>
            <w:r>
              <w:rPr>
                <w:b/>
                <w:color w:val="C00000"/>
                <w:sz w:val="17"/>
              </w:rPr>
              <w:t>-5.2%</w:t>
            </w:r>
          </w:p>
        </w:tc>
      </w:tr>
      <w:tr>
        <w:tc>
          <w:tcPr>
            <w:tcW w:type="dxa" w:w="1440"/>
            <w:shd w:fill="FFDCE0" w:val="clear"/>
          </w:tcPr>
          <w:p>
            <w:r>
              <w:rPr>
                <w:sz w:val="17"/>
              </w:rPr>
              <w:t>J+5  ⭐</w:t>
            </w:r>
          </w:p>
        </w:tc>
        <w:tc>
          <w:tcPr>
            <w:tcW w:type="dxa" w:w="1440"/>
            <w:shd w:fill="FFDCE0" w:val="clear"/>
          </w:tcPr>
          <w:p>
            <w:r>
              <w:rPr>
                <w:sz w:val="17"/>
              </w:rPr>
              <w:t>2026-08-19</w:t>
            </w:r>
          </w:p>
        </w:tc>
        <w:tc>
          <w:tcPr>
            <w:tcW w:type="dxa" w:w="1440"/>
            <w:shd w:fill="FFDCE0" w:val="clear"/>
          </w:tcPr>
          <w:p>
            <w:r>
              <w:rPr>
                <w:sz w:val="17"/>
              </w:rPr>
              <w:t>2,208</w:t>
            </w:r>
          </w:p>
        </w:tc>
        <w:tc>
          <w:tcPr>
            <w:tcW w:type="dxa" w:w="1440"/>
            <w:shd w:fill="FFDCE0" w:val="clear"/>
          </w:tcPr>
          <w:p>
            <w:r>
              <w:rPr>
                <w:b/>
                <w:sz w:val="17"/>
              </w:rPr>
              <w:t>2,567</w:t>
            </w:r>
          </w:p>
        </w:tc>
        <w:tc>
          <w:tcPr>
            <w:tcW w:type="dxa" w:w="1440"/>
            <w:shd w:fill="FFDCE0" w:val="clear"/>
          </w:tcPr>
          <w:p>
            <w:r>
              <w:rPr>
                <w:sz w:val="17"/>
              </w:rPr>
              <w:t>2,927</w:t>
            </w:r>
          </w:p>
        </w:tc>
        <w:tc>
          <w:tcPr>
            <w:tcW w:type="dxa" w:w="1440"/>
            <w:shd w:fill="FFDCE0" w:val="clear"/>
          </w:tcPr>
          <w:p>
            <w:r>
              <w:rPr>
                <w:b/>
                <w:color w:val="C00000"/>
                <w:sz w:val="17"/>
              </w:rPr>
              <w:t>-6.0%</w:t>
            </w:r>
          </w:p>
        </w:tc>
      </w:tr>
      <w:tr>
        <w:tc>
          <w:tcPr>
            <w:tcW w:type="dxa" w:w="1440"/>
            <w:shd w:fill="FFDCE0" w:val="clear"/>
          </w:tcPr>
          <w:p>
            <w:r>
              <w:rPr>
                <w:sz w:val="17"/>
              </w:rPr>
              <w:t>J+6  ⭐</w:t>
            </w:r>
          </w:p>
        </w:tc>
        <w:tc>
          <w:tcPr>
            <w:tcW w:type="dxa" w:w="1440"/>
            <w:shd w:fill="FFDCE0" w:val="clear"/>
          </w:tcPr>
          <w:p>
            <w:r>
              <w:rPr>
                <w:sz w:val="17"/>
              </w:rPr>
              <w:t>2026-08-20</w:t>
            </w:r>
          </w:p>
        </w:tc>
        <w:tc>
          <w:tcPr>
            <w:tcW w:type="dxa" w:w="1440"/>
            <w:shd w:fill="FFDCE0" w:val="clear"/>
          </w:tcPr>
          <w:p>
            <w:r>
              <w:rPr>
                <w:sz w:val="17"/>
              </w:rPr>
              <w:t>2,158</w:t>
            </w:r>
          </w:p>
        </w:tc>
        <w:tc>
          <w:tcPr>
            <w:tcW w:type="dxa" w:w="1440"/>
            <w:shd w:fill="FFDCE0" w:val="clear"/>
          </w:tcPr>
          <w:p>
            <w:r>
              <w:rPr>
                <w:b/>
                <w:sz w:val="17"/>
              </w:rPr>
              <w:t>2,549</w:t>
            </w:r>
          </w:p>
        </w:tc>
        <w:tc>
          <w:tcPr>
            <w:tcW w:type="dxa" w:w="1440"/>
            <w:shd w:fill="FFDCE0" w:val="clear"/>
          </w:tcPr>
          <w:p>
            <w:r>
              <w:rPr>
                <w:sz w:val="17"/>
              </w:rPr>
              <w:t>2,940</w:t>
            </w:r>
          </w:p>
        </w:tc>
        <w:tc>
          <w:tcPr>
            <w:tcW w:type="dxa" w:w="1440"/>
            <w:shd w:fill="FFDCE0" w:val="clear"/>
          </w:tcPr>
          <w:p>
            <w:r>
              <w:rPr>
                <w:b/>
                <w:color w:val="C00000"/>
                <w:sz w:val="17"/>
              </w:rPr>
              <w:t>-6.6%</w:t>
            </w:r>
          </w:p>
        </w:tc>
      </w:tr>
      <w:tr>
        <w:tc>
          <w:tcPr>
            <w:tcW w:type="dxa" w:w="1440"/>
            <w:shd w:fill="FFDCE0" w:val="clear"/>
          </w:tcPr>
          <w:p>
            <w:r>
              <w:rPr>
                <w:sz w:val="17"/>
              </w:rPr>
              <w:t>J+7  ⭐</w:t>
            </w:r>
          </w:p>
        </w:tc>
        <w:tc>
          <w:tcPr>
            <w:tcW w:type="dxa" w:w="1440"/>
            <w:shd w:fill="FFDCE0" w:val="clear"/>
          </w:tcPr>
          <w:p>
            <w:r>
              <w:rPr>
                <w:sz w:val="17"/>
              </w:rPr>
              <w:t>2026-08-21</w:t>
            </w:r>
          </w:p>
        </w:tc>
        <w:tc>
          <w:tcPr>
            <w:tcW w:type="dxa" w:w="1440"/>
            <w:shd w:fill="FFDCE0" w:val="clear"/>
          </w:tcPr>
          <w:p>
            <w:r>
              <w:rPr>
                <w:sz w:val="17"/>
              </w:rPr>
              <w:t>2,112</w:t>
            </w:r>
          </w:p>
        </w:tc>
        <w:tc>
          <w:tcPr>
            <w:tcW w:type="dxa" w:w="1440"/>
            <w:shd w:fill="FFDCE0" w:val="clear"/>
          </w:tcPr>
          <w:p>
            <w:r>
              <w:rPr>
                <w:b/>
                <w:sz w:val="17"/>
              </w:rPr>
              <w:t>2,532</w:t>
            </w:r>
          </w:p>
        </w:tc>
        <w:tc>
          <w:tcPr>
            <w:tcW w:type="dxa" w:w="1440"/>
            <w:shd w:fill="FFDCE0" w:val="clear"/>
          </w:tcPr>
          <w:p>
            <w:r>
              <w:rPr>
                <w:sz w:val="17"/>
              </w:rPr>
              <w:t>2,952</w:t>
            </w:r>
          </w:p>
        </w:tc>
        <w:tc>
          <w:tcPr>
            <w:tcW w:type="dxa" w:w="1440"/>
            <w:shd w:fill="FFDCE0" w:val="clear"/>
          </w:tcPr>
          <w:p>
            <w:r>
              <w:rPr>
                <w:b/>
                <w:color w:val="C00000"/>
                <w:sz w:val="17"/>
              </w:rPr>
              <w:t>-7.3%</w:t>
            </w:r>
          </w:p>
        </w:tc>
      </w:tr>
      <w:tr>
        <w:tc>
          <w:tcPr>
            <w:tcW w:type="dxa" w:w="1440"/>
            <w:shd w:fill="FFDCE0" w:val="clear"/>
          </w:tcPr>
          <w:p>
            <w:r>
              <w:rPr>
                <w:sz w:val="17"/>
              </w:rPr>
              <w:t>J+8  ⭐</w:t>
            </w:r>
          </w:p>
        </w:tc>
        <w:tc>
          <w:tcPr>
            <w:tcW w:type="dxa" w:w="1440"/>
            <w:shd w:fill="FFDCE0" w:val="clear"/>
          </w:tcPr>
          <w:p>
            <w:r>
              <w:rPr>
                <w:sz w:val="17"/>
              </w:rPr>
              <w:t>2026-08-24</w:t>
            </w:r>
          </w:p>
        </w:tc>
        <w:tc>
          <w:tcPr>
            <w:tcW w:type="dxa" w:w="1440"/>
            <w:shd w:fill="FFDCE0" w:val="clear"/>
          </w:tcPr>
          <w:p>
            <w:r>
              <w:rPr>
                <w:sz w:val="17"/>
              </w:rPr>
              <w:t>2,070</w:t>
            </w:r>
          </w:p>
        </w:tc>
        <w:tc>
          <w:tcPr>
            <w:tcW w:type="dxa" w:w="1440"/>
            <w:shd w:fill="FFDCE0" w:val="clear"/>
          </w:tcPr>
          <w:p>
            <w:r>
              <w:rPr>
                <w:b/>
                <w:sz w:val="17"/>
              </w:rPr>
              <w:t>2,515</w:t>
            </w:r>
          </w:p>
        </w:tc>
        <w:tc>
          <w:tcPr>
            <w:tcW w:type="dxa" w:w="1440"/>
            <w:shd w:fill="FFDCE0" w:val="clear"/>
          </w:tcPr>
          <w:p>
            <w:r>
              <w:rPr>
                <w:sz w:val="17"/>
              </w:rPr>
              <w:t>2,961</w:t>
            </w:r>
          </w:p>
        </w:tc>
        <w:tc>
          <w:tcPr>
            <w:tcW w:type="dxa" w:w="1440"/>
            <w:shd w:fill="FFDCE0" w:val="clear"/>
          </w:tcPr>
          <w:p>
            <w:r>
              <w:rPr>
                <w:b/>
                <w:color w:val="C00000"/>
                <w:sz w:val="17"/>
              </w:rPr>
              <w:t>-7.9%</w:t>
            </w:r>
          </w:p>
        </w:tc>
      </w:tr>
      <w:tr>
        <w:tc>
          <w:tcPr>
            <w:tcW w:type="dxa" w:w="1440"/>
            <w:shd w:fill="FFDCE0" w:val="clear"/>
          </w:tcPr>
          <w:p>
            <w:r>
              <w:rPr>
                <w:sz w:val="17"/>
              </w:rPr>
              <w:t>J+9  ⭐</w:t>
            </w:r>
          </w:p>
        </w:tc>
        <w:tc>
          <w:tcPr>
            <w:tcW w:type="dxa" w:w="1440"/>
            <w:shd w:fill="FFDCE0" w:val="clear"/>
          </w:tcPr>
          <w:p>
            <w:r>
              <w:rPr>
                <w:sz w:val="17"/>
              </w:rPr>
              <w:t>2026-08-25</w:t>
            </w:r>
          </w:p>
        </w:tc>
        <w:tc>
          <w:tcPr>
            <w:tcW w:type="dxa" w:w="1440"/>
            <w:shd w:fill="FFDCE0" w:val="clear"/>
          </w:tcPr>
          <w:p>
            <w:r>
              <w:rPr>
                <w:sz w:val="17"/>
              </w:rPr>
              <w:t>2,030</w:t>
            </w:r>
          </w:p>
        </w:tc>
        <w:tc>
          <w:tcPr>
            <w:tcW w:type="dxa" w:w="1440"/>
            <w:shd w:fill="FFDCE0" w:val="clear"/>
          </w:tcPr>
          <w:p>
            <w:r>
              <w:rPr>
                <w:b/>
                <w:sz w:val="17"/>
              </w:rPr>
              <w:t>2,500</w:t>
            </w:r>
          </w:p>
        </w:tc>
        <w:tc>
          <w:tcPr>
            <w:tcW w:type="dxa" w:w="1440"/>
            <w:shd w:fill="FFDCE0" w:val="clear"/>
          </w:tcPr>
          <w:p>
            <w:r>
              <w:rPr>
                <w:sz w:val="17"/>
              </w:rPr>
              <w:t>2,969</w:t>
            </w:r>
          </w:p>
        </w:tc>
        <w:tc>
          <w:tcPr>
            <w:tcW w:type="dxa" w:w="1440"/>
            <w:shd w:fill="FFDCE0" w:val="clear"/>
          </w:tcPr>
          <w:p>
            <w:r>
              <w:rPr>
                <w:b/>
                <w:color w:val="C00000"/>
                <w:sz w:val="17"/>
              </w:rPr>
              <w:t>-8.4%</w:t>
            </w:r>
          </w:p>
        </w:tc>
      </w:tr>
      <w:tr>
        <w:tc>
          <w:tcPr>
            <w:tcW w:type="dxa" w:w="1440"/>
            <w:shd w:fill="FFDCE0" w:val="clear"/>
          </w:tcPr>
          <w:p>
            <w:r>
              <w:rPr>
                <w:sz w:val="17"/>
              </w:rPr>
              <w:t>J+10  ⭐</w:t>
            </w:r>
          </w:p>
        </w:tc>
        <w:tc>
          <w:tcPr>
            <w:tcW w:type="dxa" w:w="1440"/>
            <w:shd w:fill="FFDCE0" w:val="clear"/>
          </w:tcPr>
          <w:p>
            <w:r>
              <w:rPr>
                <w:sz w:val="17"/>
              </w:rPr>
              <w:t>2026-08-27</w:t>
            </w:r>
          </w:p>
        </w:tc>
        <w:tc>
          <w:tcPr>
            <w:tcW w:type="dxa" w:w="1440"/>
            <w:shd w:fill="FFDCE0" w:val="clear"/>
          </w:tcPr>
          <w:p>
            <w:r>
              <w:rPr>
                <w:sz w:val="17"/>
              </w:rPr>
              <w:t>1,992</w:t>
            </w:r>
          </w:p>
        </w:tc>
        <w:tc>
          <w:tcPr>
            <w:tcW w:type="dxa" w:w="1440"/>
            <w:shd w:fill="FFDCE0" w:val="clear"/>
          </w:tcPr>
          <w:p>
            <w:r>
              <w:rPr>
                <w:b/>
                <w:sz w:val="17"/>
              </w:rPr>
              <w:t>2,484</w:t>
            </w:r>
          </w:p>
        </w:tc>
        <w:tc>
          <w:tcPr>
            <w:tcW w:type="dxa" w:w="1440"/>
            <w:shd w:fill="FFDCE0" w:val="clear"/>
          </w:tcPr>
          <w:p>
            <w:r>
              <w:rPr>
                <w:sz w:val="17"/>
              </w:rPr>
              <w:t>2,976</w:t>
            </w:r>
          </w:p>
        </w:tc>
        <w:tc>
          <w:tcPr>
            <w:tcW w:type="dxa" w:w="1440"/>
            <w:shd w:fill="FFDCE0" w:val="clear"/>
          </w:tcPr>
          <w:p>
            <w:r>
              <w:rPr>
                <w:b/>
                <w:color w:val="C00000"/>
                <w:sz w:val="17"/>
              </w:rPr>
              <w:t>-9.0%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SDSC (AFRICA GLOBAL LOGISTICS CÔTE D'IVOIRE)**</w:t>
        <w:br/>
        <w:t>**Date : 12 août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SDSC s'établit à 148,61 milliards FCFA, un niveau significatif qui la positionne parmi les valeurs moyennes à grandes capitalisations de la BRVM. Avec un BPA de 387 FCFA, le titre se négocie à un PER de 7,1x, inférieur à la moyenne historique de la place (~8-12x), ce qui suggère une sous-évaluation relative du titre par rapport à ses bénéfices. Le P/B de 1,91x indique que le marché valorise la société à près du double de sa valeur comptable, une valorisation raisonnable pour une entreprise affichant un ROE supérieur à 27%. En revanche, l'EV/EBITDA de 32,0x apparaît très exigeant, signalant que la valeur d'entreprise intègre une prime élevée par rapport à la capacité opérationnelle courante, ce qui tempère l'attrait du PER.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SDSC a enregistré une progression spectaculaire de +37,53%, avec une dernière séance en hausse de +3,02% à 2 730 FCFA. Le titre a évolué dans une fourchette très large de 1 650 à 2 820 FCFA, démontrant une dynamique fortement haussière. La moyenne (2 129 FCFA) est supérieure à la médiane (1 982 FCFA), indiquant une distribution asymétrique positive où les fortes hausses récentes tirent la moyenne vers le haut. L'écart-type de 360 FCFA (CV=16,9%) révèle une dispersion modérée des prix autour de la moyenne. Le kurtosis négatif de -1,219 (distribution platykurtique) suggère l'absence de mouvements extrêmes fréquents, tandis que le skewness de 0,476 confirme une asymétrie positive. La volatilité annualisée de 51,8% classe le titre dans la catégorie des valeurs à très haute volatilité, impliquant un risque élevé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(2 730 FCFA) se positionne nettement au-dessus de la MM20 (2 669 FCFA) et de la MM50 (2 431,8 FCFA), confirmant une tendance haussière solide à court et moyen terme. La configuration des moyennes mobiles, avec la MM20 au-dessus de la MM50, valide la dynamique positive et justifie la décision d'achat.</w:t>
      </w:r>
    </w:p>
    <w:p>
      <w:pPr>
        <w:spacing w:after="120" w:line="276" w:lineRule="auto"/>
      </w:pPr>
      <w:r>
        <w:t>**Bandes de Bollinger** : Le prix évolue dans la partie supérieure des bandes, entre la borne inférieure (2 442 FCFA) et la borne supérieure (2 896 FCFA), se rapprochant de cette dernière. La position du cours à 2 730 FCFA, dans la moitié supérieure de l'enveloppe, indique une pression acheteuse soutenue sans atteindre la zone de surachat extrême, justifiant une décision neutre.</w:t>
      </w:r>
    </w:p>
    <w:p>
      <w:pPr>
        <w:spacing w:after="120" w:line="276" w:lineRule="auto"/>
      </w:pPr>
      <w:r>
        <w:t>**MACD** : Le MACD (54,1) est inférieur à son signal (73,2), créant une divergence baissière à court terme. Bien que les deux indicateurs restent en territoire positif, ce croisement négatif suggère un ralentissement du momentum haussier, justifiant la décision de vente.</w:t>
      </w:r>
    </w:p>
    <w:p>
      <w:pPr>
        <w:spacing w:after="120" w:line="276" w:lineRule="auto"/>
      </w:pPr>
      <w:r>
        <w:t>**RSI** : À 48,1, le RSI se situe exactement dans la zone neutre (30-70), indiquant un équilibre entre pression acheteuse et vendeuse. Cette valeur reflète une absence de surachat ou de survente, laissant place à une évolution directionnelle, justifiant la décision neutre.</w:t>
      </w:r>
    </w:p>
    <w:p>
      <w:pPr>
        <w:spacing w:after="120" w:line="276" w:lineRule="auto"/>
      </w:pPr>
      <w:r>
        <w:t>**Stochastique** : Le %K (90,4) est nettement supérieur au %D (71,4), mais les deux valeurs dépassent le seuil de 80, signalant une zone de surachat. Cette configuration, avec un %K à des niveaux extrêmes, suggère un risque de correction technique à court terme, justifiant la décision de vente.</w:t>
      </w:r>
    </w:p>
    <w:p>
      <w:pPr>
        <w:spacing w:after="120" w:line="276" w:lineRule="auto"/>
      </w:pPr>
      <w:r>
        <w:t>**Conclusion technique** : Les signaux techniques sont mitigés. La tendance de fond reste haussière (moyennes mobiles), mais les oscillateurs (MACD, Stochastique) indiquent un essoufflement du momentum et un risque de correction. La prudence est recommandée à court terme malgré la tendance positive.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révèlent une situation financière contrastée. Le chiffre d'affaires s'établit à 85,643 milliards FCFA (+3,65%), avec un résultat net exceptionnel de 21,069 milliards FCFA, portant la marge nette à 24,6%. Le ROE atteint 27,08% et le ROA 11,20%, des niveaux excellents. Cependant, le délai clients de 467 jours constitue un risque majeur de trésorerie, tandis que le BFR de 17,874 milliards FCFA et la capacité de remboursement de 0,56 an restent gérables. Les rapports trimestriels 2025 (T1, S1, T3) montrent une dégradation sévère : le T1 2025 affiche une perte de 193 millions FCFA, le S1 2025 une perte de 427 millions FCFA, et le T3 2025 un résultat net de 4,341 milliards FCFA (-77% vs T3 2024). Le rapport annuel 2025 (provisoire) confirme cette tendance avec un résultat net de seulement 784,97 millions FCFA (-96%), un résultat d'exploitation négatif de -2,271 milliards FCFA, mais une trésorerie nette abondante de 74,78 milliards FCFA. On estime que l'exercice 2026 pourrait voir une stabilisation si les revenus financiers se redressent, mais la rentabilité opérationnelle reste fragile.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SDSC présente un paradoxe : un PER attractif (7,1x) et un ROE élevé (27%) contrastent avec un EV/EBITDA très exigeant (32x). Le comportement du cours montre une tendance haussière forte (+37,5% sur 100 jours) mais avec une volatilité extrême (51,8%) et des signaux techniques divergents (MM haussières vs MACD/Stochastique baissiers). Les fondamentaux se sont nettement dégradés en 2025, avec une chute de 96% du résultat net et un déficit opérationnel, malgré une trésorerie solide. Les prédictions IA (2 683 à 2 567 FCFA sur 10 jours) suggèrent une correction de 6% par rapport au cours actuel, confirmant les signaux techniques de surachat. La convergence entre la dégradation fondamentale, les signaux techniques négatifs et les prédictions baissières conduit à une recommandation **CONSERVER**, avec un niveau de confiance **Moyen** et un risque global **Élevé**. L'horizon d'investissement optimal serait le **moyen terme (3-12 mois)**, en attendant une clarification de la stratégie de redressement des marges opérationnelles.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37.78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5,009 titres</w:t>
            </w:r>
          </w:p>
        </w:tc>
        <w:tc>
          <w:tcPr>
            <w:tcW w:type="dxa" w:w="2268"/>
            <w:shd w:fill="FFF2CC" w:val="clear"/>
          </w:tcPr>
          <w:p>
            <w:r>
              <w:rPr>
                <w:b/>
                <w:color w:val="503200"/>
                <w:sz w:val="16"/>
              </w:rPr>
              <w:t xml:space="preserve">Cours actuel : </w:t>
            </w:r>
            <w:r>
              <w:rPr>
                <w:color w:val="000000"/>
                <w:sz w:val="17"/>
              </w:rPr>
              <w:t>1,500 FCFA</w:t>
            </w:r>
          </w:p>
          <w:p>
            <w:r>
              <w:rPr>
                <w:b/>
                <w:color w:val="503200"/>
                <w:sz w:val="16"/>
              </w:rPr>
              <w:t xml:space="preserve">Var. 100 jours : </w:t>
            </w:r>
            <w:r>
              <w:rPr>
                <w:b/>
                <w:color w:val="B40000"/>
                <w:sz w:val="17"/>
              </w:rPr>
              <w:t>-24.81%</w:t>
            </w:r>
          </w:p>
          <w:p>
            <w:r>
              <w:rPr>
                <w:b/>
                <w:color w:val="503200"/>
                <w:sz w:val="16"/>
              </w:rPr>
              <w:t xml:space="preserve">Plus haut 100j : </w:t>
            </w:r>
            <w:r>
              <w:rPr>
                <w:color w:val="000000"/>
                <w:sz w:val="17"/>
              </w:rPr>
              <w:t>2,265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12.57% (Moyenne) — μ=1,624 FCFA, σ=204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β=0.8060 (Neutre (suit le marché)) — Cov=0.000029, Var(idx)=0.000036, ρ=0.150,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5,009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σ_j=3.23%/j (Modérée) — Vol. annualisée≈51.2%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3244"/>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324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2026-08-13</w:t>
            </w:r>
          </w:p>
        </w:tc>
        <w:tc>
          <w:tcPr>
            <w:tcW w:type="dxa" w:w="1440"/>
            <w:shd w:fill="FFDCE0" w:val="clear"/>
          </w:tcPr>
          <w:p>
            <w:r>
              <w:rPr>
                <w:sz w:val="17"/>
              </w:rPr>
              <w:t>1,375</w:t>
            </w:r>
          </w:p>
        </w:tc>
        <w:tc>
          <w:tcPr>
            <w:tcW w:type="dxa" w:w="1440"/>
            <w:shd w:fill="FFDCE0" w:val="clear"/>
          </w:tcPr>
          <w:p>
            <w:r>
              <w:rPr>
                <w:b/>
                <w:sz w:val="17"/>
              </w:rPr>
              <w:t>1,444</w:t>
            </w:r>
          </w:p>
        </w:tc>
        <w:tc>
          <w:tcPr>
            <w:tcW w:type="dxa" w:w="1440"/>
            <w:shd w:fill="FFDCE0" w:val="clear"/>
          </w:tcPr>
          <w:p>
            <w:r>
              <w:rPr>
                <w:sz w:val="17"/>
              </w:rPr>
              <w:t>1,514</w:t>
            </w:r>
          </w:p>
        </w:tc>
        <w:tc>
          <w:tcPr>
            <w:tcW w:type="dxa" w:w="1440"/>
            <w:shd w:fill="FFDCE0" w:val="clear"/>
          </w:tcPr>
          <w:p>
            <w:r>
              <w:rPr>
                <w:b/>
                <w:color w:val="C00000"/>
                <w:sz w:val="17"/>
              </w:rPr>
              <w:t>-3.7%</w:t>
            </w:r>
          </w:p>
        </w:tc>
      </w:tr>
      <w:tr>
        <w:tc>
          <w:tcPr>
            <w:tcW w:type="dxa" w:w="1440"/>
            <w:shd w:fill="FFDCE0" w:val="clear"/>
          </w:tcPr>
          <w:p>
            <w:r>
              <w:rPr>
                <w:sz w:val="17"/>
              </w:rPr>
              <w:t>J+2  Moyenne</w:t>
            </w:r>
          </w:p>
        </w:tc>
        <w:tc>
          <w:tcPr>
            <w:tcW w:type="dxa" w:w="1440"/>
            <w:shd w:fill="FFDCE0" w:val="clear"/>
          </w:tcPr>
          <w:p>
            <w:r>
              <w:rPr>
                <w:sz w:val="17"/>
              </w:rPr>
              <w:t>2026-08-14</w:t>
            </w:r>
          </w:p>
        </w:tc>
        <w:tc>
          <w:tcPr>
            <w:tcW w:type="dxa" w:w="1440"/>
            <w:shd w:fill="FFDCE0" w:val="clear"/>
          </w:tcPr>
          <w:p>
            <w:r>
              <w:rPr>
                <w:sz w:val="17"/>
              </w:rPr>
              <w:t>1,339</w:t>
            </w:r>
          </w:p>
        </w:tc>
        <w:tc>
          <w:tcPr>
            <w:tcW w:type="dxa" w:w="1440"/>
            <w:shd w:fill="FFDCE0" w:val="clear"/>
          </w:tcPr>
          <w:p>
            <w:r>
              <w:rPr>
                <w:b/>
                <w:sz w:val="17"/>
              </w:rPr>
              <w:t>1,437</w:t>
            </w:r>
          </w:p>
        </w:tc>
        <w:tc>
          <w:tcPr>
            <w:tcW w:type="dxa" w:w="1440"/>
            <w:shd w:fill="FFDCE0" w:val="clear"/>
          </w:tcPr>
          <w:p>
            <w:r>
              <w:rPr>
                <w:sz w:val="17"/>
              </w:rPr>
              <w:t>1,534</w:t>
            </w:r>
          </w:p>
        </w:tc>
        <w:tc>
          <w:tcPr>
            <w:tcW w:type="dxa" w:w="1440"/>
            <w:shd w:fill="FFDCE0" w:val="clear"/>
          </w:tcPr>
          <w:p>
            <w:r>
              <w:rPr>
                <w:b/>
                <w:color w:val="C00000"/>
                <w:sz w:val="17"/>
              </w:rPr>
              <w:t>-4.2%</w:t>
            </w:r>
          </w:p>
        </w:tc>
      </w:tr>
      <w:tr>
        <w:tc>
          <w:tcPr>
            <w:tcW w:type="dxa" w:w="1440"/>
            <w:shd w:fill="FFDCE0" w:val="clear"/>
          </w:tcPr>
          <w:p>
            <w:r>
              <w:rPr>
                <w:sz w:val="17"/>
              </w:rPr>
              <w:t>J+3  Moyenne</w:t>
            </w:r>
          </w:p>
        </w:tc>
        <w:tc>
          <w:tcPr>
            <w:tcW w:type="dxa" w:w="1440"/>
            <w:shd w:fill="FFDCE0" w:val="clear"/>
          </w:tcPr>
          <w:p>
            <w:r>
              <w:rPr>
                <w:sz w:val="17"/>
              </w:rPr>
              <w:t>2026-08-17</w:t>
            </w:r>
          </w:p>
        </w:tc>
        <w:tc>
          <w:tcPr>
            <w:tcW w:type="dxa" w:w="1440"/>
            <w:shd w:fill="FFDCE0" w:val="clear"/>
          </w:tcPr>
          <w:p>
            <w:r>
              <w:rPr>
                <w:sz w:val="17"/>
              </w:rPr>
              <w:t>1,306</w:t>
            </w:r>
          </w:p>
        </w:tc>
        <w:tc>
          <w:tcPr>
            <w:tcW w:type="dxa" w:w="1440"/>
            <w:shd w:fill="FFDCE0" w:val="clear"/>
          </w:tcPr>
          <w:p>
            <w:r>
              <w:rPr>
                <w:b/>
                <w:sz w:val="17"/>
              </w:rPr>
              <w:t>1,424</w:t>
            </w:r>
          </w:p>
        </w:tc>
        <w:tc>
          <w:tcPr>
            <w:tcW w:type="dxa" w:w="1440"/>
            <w:shd w:fill="FFDCE0" w:val="clear"/>
          </w:tcPr>
          <w:p>
            <w:r>
              <w:rPr>
                <w:sz w:val="17"/>
              </w:rPr>
              <w:t>1,543</w:t>
            </w:r>
          </w:p>
        </w:tc>
        <w:tc>
          <w:tcPr>
            <w:tcW w:type="dxa" w:w="1440"/>
            <w:shd w:fill="FFDCE0" w:val="clear"/>
          </w:tcPr>
          <w:p>
            <w:r>
              <w:rPr>
                <w:b/>
                <w:color w:val="C00000"/>
                <w:sz w:val="17"/>
              </w:rPr>
              <w:t>-5.0%</w:t>
            </w:r>
          </w:p>
        </w:tc>
      </w:tr>
      <w:tr>
        <w:tc>
          <w:tcPr>
            <w:tcW w:type="dxa" w:w="1440"/>
            <w:shd w:fill="FFDCE0" w:val="clear"/>
          </w:tcPr>
          <w:p>
            <w:r>
              <w:rPr>
                <w:sz w:val="17"/>
              </w:rPr>
              <w:t>J+4  ⭐</w:t>
            </w:r>
          </w:p>
        </w:tc>
        <w:tc>
          <w:tcPr>
            <w:tcW w:type="dxa" w:w="1440"/>
            <w:shd w:fill="FFDCE0" w:val="clear"/>
          </w:tcPr>
          <w:p>
            <w:r>
              <w:rPr>
                <w:sz w:val="17"/>
              </w:rPr>
              <w:t>2026-08-18</w:t>
            </w:r>
          </w:p>
        </w:tc>
        <w:tc>
          <w:tcPr>
            <w:tcW w:type="dxa" w:w="1440"/>
            <w:shd w:fill="FFDCE0" w:val="clear"/>
          </w:tcPr>
          <w:p>
            <w:r>
              <w:rPr>
                <w:sz w:val="17"/>
              </w:rPr>
              <w:t>1,275</w:t>
            </w:r>
          </w:p>
        </w:tc>
        <w:tc>
          <w:tcPr>
            <w:tcW w:type="dxa" w:w="1440"/>
            <w:shd w:fill="FFDCE0" w:val="clear"/>
          </w:tcPr>
          <w:p>
            <w:r>
              <w:rPr>
                <w:b/>
                <w:sz w:val="17"/>
              </w:rPr>
              <w:t>1,411</w:t>
            </w:r>
          </w:p>
        </w:tc>
        <w:tc>
          <w:tcPr>
            <w:tcW w:type="dxa" w:w="1440"/>
            <w:shd w:fill="FFDCE0" w:val="clear"/>
          </w:tcPr>
          <w:p>
            <w:r>
              <w:rPr>
                <w:sz w:val="17"/>
              </w:rPr>
              <w:t>1,546</w:t>
            </w:r>
          </w:p>
        </w:tc>
        <w:tc>
          <w:tcPr>
            <w:tcW w:type="dxa" w:w="1440"/>
            <w:shd w:fill="FFDCE0" w:val="clear"/>
          </w:tcPr>
          <w:p>
            <w:r>
              <w:rPr>
                <w:b/>
                <w:color w:val="C00000"/>
                <w:sz w:val="17"/>
              </w:rPr>
              <w:t>-5.9%</w:t>
            </w:r>
          </w:p>
        </w:tc>
      </w:tr>
      <w:tr>
        <w:tc>
          <w:tcPr>
            <w:tcW w:type="dxa" w:w="1440"/>
            <w:shd w:fill="FFDCE0" w:val="clear"/>
          </w:tcPr>
          <w:p>
            <w:r>
              <w:rPr>
                <w:sz w:val="17"/>
              </w:rPr>
              <w:t>J+5  ⭐</w:t>
            </w:r>
          </w:p>
        </w:tc>
        <w:tc>
          <w:tcPr>
            <w:tcW w:type="dxa" w:w="1440"/>
            <w:shd w:fill="FFDCE0" w:val="clear"/>
          </w:tcPr>
          <w:p>
            <w:r>
              <w:rPr>
                <w:sz w:val="17"/>
              </w:rPr>
              <w:t>2026-08-19</w:t>
            </w:r>
          </w:p>
        </w:tc>
        <w:tc>
          <w:tcPr>
            <w:tcW w:type="dxa" w:w="1440"/>
            <w:shd w:fill="FFDCE0" w:val="clear"/>
          </w:tcPr>
          <w:p>
            <w:r>
              <w:rPr>
                <w:sz w:val="17"/>
              </w:rPr>
              <w:t>1,247</w:t>
            </w:r>
          </w:p>
        </w:tc>
        <w:tc>
          <w:tcPr>
            <w:tcW w:type="dxa" w:w="1440"/>
            <w:shd w:fill="FFDCE0" w:val="clear"/>
          </w:tcPr>
          <w:p>
            <w:r>
              <w:rPr>
                <w:b/>
                <w:sz w:val="17"/>
              </w:rPr>
              <w:t>1,397</w:t>
            </w:r>
          </w:p>
        </w:tc>
        <w:tc>
          <w:tcPr>
            <w:tcW w:type="dxa" w:w="1440"/>
            <w:shd w:fill="FFDCE0" w:val="clear"/>
          </w:tcPr>
          <w:p>
            <w:r>
              <w:rPr>
                <w:sz w:val="17"/>
              </w:rPr>
              <w:t>1,547</w:t>
            </w:r>
          </w:p>
        </w:tc>
        <w:tc>
          <w:tcPr>
            <w:tcW w:type="dxa" w:w="1440"/>
            <w:shd w:fill="FFDCE0" w:val="clear"/>
          </w:tcPr>
          <w:p>
            <w:r>
              <w:rPr>
                <w:b/>
                <w:color w:val="C00000"/>
                <w:sz w:val="17"/>
              </w:rPr>
              <w:t>-6.9%</w:t>
            </w:r>
          </w:p>
        </w:tc>
      </w:tr>
      <w:tr>
        <w:tc>
          <w:tcPr>
            <w:tcW w:type="dxa" w:w="1440"/>
            <w:shd w:fill="FFDCE0" w:val="clear"/>
          </w:tcPr>
          <w:p>
            <w:r>
              <w:rPr>
                <w:sz w:val="17"/>
              </w:rPr>
              <w:t>J+6  ⭐</w:t>
            </w:r>
          </w:p>
        </w:tc>
        <w:tc>
          <w:tcPr>
            <w:tcW w:type="dxa" w:w="1440"/>
            <w:shd w:fill="FFDCE0" w:val="clear"/>
          </w:tcPr>
          <w:p>
            <w:r>
              <w:rPr>
                <w:sz w:val="17"/>
              </w:rPr>
              <w:t>2026-08-20</w:t>
            </w:r>
          </w:p>
        </w:tc>
        <w:tc>
          <w:tcPr>
            <w:tcW w:type="dxa" w:w="1440"/>
            <w:shd w:fill="FFDCE0" w:val="clear"/>
          </w:tcPr>
          <w:p>
            <w:r>
              <w:rPr>
                <w:sz w:val="17"/>
              </w:rPr>
              <w:t>1,221</w:t>
            </w:r>
          </w:p>
        </w:tc>
        <w:tc>
          <w:tcPr>
            <w:tcW w:type="dxa" w:w="1440"/>
            <w:shd w:fill="FFDCE0" w:val="clear"/>
          </w:tcPr>
          <w:p>
            <w:r>
              <w:rPr>
                <w:b/>
                <w:sz w:val="17"/>
              </w:rPr>
              <w:t>1,384</w:t>
            </w:r>
          </w:p>
        </w:tc>
        <w:tc>
          <w:tcPr>
            <w:tcW w:type="dxa" w:w="1440"/>
            <w:shd w:fill="FFDCE0" w:val="clear"/>
          </w:tcPr>
          <w:p>
            <w:r>
              <w:rPr>
                <w:sz w:val="17"/>
              </w:rPr>
              <w:t>1,547</w:t>
            </w:r>
          </w:p>
        </w:tc>
        <w:tc>
          <w:tcPr>
            <w:tcW w:type="dxa" w:w="1440"/>
            <w:shd w:fill="FFDCE0" w:val="clear"/>
          </w:tcPr>
          <w:p>
            <w:r>
              <w:rPr>
                <w:b/>
                <w:color w:val="C00000"/>
                <w:sz w:val="17"/>
              </w:rPr>
              <w:t>-7.7%</w:t>
            </w:r>
          </w:p>
        </w:tc>
      </w:tr>
      <w:tr>
        <w:tc>
          <w:tcPr>
            <w:tcW w:type="dxa" w:w="1440"/>
            <w:shd w:fill="FFDCE0" w:val="clear"/>
          </w:tcPr>
          <w:p>
            <w:r>
              <w:rPr>
                <w:sz w:val="17"/>
              </w:rPr>
              <w:t>J+7  ⭐</w:t>
            </w:r>
          </w:p>
        </w:tc>
        <w:tc>
          <w:tcPr>
            <w:tcW w:type="dxa" w:w="1440"/>
            <w:shd w:fill="FFDCE0" w:val="clear"/>
          </w:tcPr>
          <w:p>
            <w:r>
              <w:rPr>
                <w:sz w:val="17"/>
              </w:rPr>
              <w:t>2026-08-21</w:t>
            </w:r>
          </w:p>
        </w:tc>
        <w:tc>
          <w:tcPr>
            <w:tcW w:type="dxa" w:w="1440"/>
            <w:shd w:fill="FFDCE0" w:val="clear"/>
          </w:tcPr>
          <w:p>
            <w:r>
              <w:rPr>
                <w:sz w:val="17"/>
              </w:rPr>
              <w:t>1,197</w:t>
            </w:r>
          </w:p>
        </w:tc>
        <w:tc>
          <w:tcPr>
            <w:tcW w:type="dxa" w:w="1440"/>
            <w:shd w:fill="FFDCE0" w:val="clear"/>
          </w:tcPr>
          <w:p>
            <w:r>
              <w:rPr>
                <w:b/>
                <w:sz w:val="17"/>
              </w:rPr>
              <w:t>1,371</w:t>
            </w:r>
          </w:p>
        </w:tc>
        <w:tc>
          <w:tcPr>
            <w:tcW w:type="dxa" w:w="1440"/>
            <w:shd w:fill="FFDCE0" w:val="clear"/>
          </w:tcPr>
          <w:p>
            <w:r>
              <w:rPr>
                <w:sz w:val="17"/>
              </w:rPr>
              <w:t>1,545</w:t>
            </w:r>
          </w:p>
        </w:tc>
        <w:tc>
          <w:tcPr>
            <w:tcW w:type="dxa" w:w="1440"/>
            <w:shd w:fill="FFDCE0" w:val="clear"/>
          </w:tcPr>
          <w:p>
            <w:r>
              <w:rPr>
                <w:b/>
                <w:color w:val="C00000"/>
                <w:sz w:val="17"/>
              </w:rPr>
              <w:t>-8.6%</w:t>
            </w:r>
          </w:p>
        </w:tc>
      </w:tr>
      <w:tr>
        <w:tc>
          <w:tcPr>
            <w:tcW w:type="dxa" w:w="1440"/>
            <w:shd w:fill="FFDCE0" w:val="clear"/>
          </w:tcPr>
          <w:p>
            <w:r>
              <w:rPr>
                <w:sz w:val="17"/>
              </w:rPr>
              <w:t>J+8  ⭐</w:t>
            </w:r>
          </w:p>
        </w:tc>
        <w:tc>
          <w:tcPr>
            <w:tcW w:type="dxa" w:w="1440"/>
            <w:shd w:fill="FFDCE0" w:val="clear"/>
          </w:tcPr>
          <w:p>
            <w:r>
              <w:rPr>
                <w:sz w:val="17"/>
              </w:rPr>
              <w:t>2026-08-24</w:t>
            </w:r>
          </w:p>
        </w:tc>
        <w:tc>
          <w:tcPr>
            <w:tcW w:type="dxa" w:w="1440"/>
            <w:shd w:fill="FFDCE0" w:val="clear"/>
          </w:tcPr>
          <w:p>
            <w:r>
              <w:rPr>
                <w:sz w:val="17"/>
              </w:rPr>
              <w:t>1,173</w:t>
            </w:r>
          </w:p>
        </w:tc>
        <w:tc>
          <w:tcPr>
            <w:tcW w:type="dxa" w:w="1440"/>
            <w:shd w:fill="FFDCE0" w:val="clear"/>
          </w:tcPr>
          <w:p>
            <w:r>
              <w:rPr>
                <w:b/>
                <w:sz w:val="17"/>
              </w:rPr>
              <w:t>1,358</w:t>
            </w:r>
          </w:p>
        </w:tc>
        <w:tc>
          <w:tcPr>
            <w:tcW w:type="dxa" w:w="1440"/>
            <w:shd w:fill="FFDCE0" w:val="clear"/>
          </w:tcPr>
          <w:p>
            <w:r>
              <w:rPr>
                <w:sz w:val="17"/>
              </w:rPr>
              <w:t>1,542</w:t>
            </w:r>
          </w:p>
        </w:tc>
        <w:tc>
          <w:tcPr>
            <w:tcW w:type="dxa" w:w="1440"/>
            <w:shd w:fill="FFDCE0" w:val="clear"/>
          </w:tcPr>
          <w:p>
            <w:r>
              <w:rPr>
                <w:b/>
                <w:color w:val="C00000"/>
                <w:sz w:val="17"/>
              </w:rPr>
              <w:t>-9.5%</w:t>
            </w:r>
          </w:p>
        </w:tc>
      </w:tr>
      <w:tr>
        <w:tc>
          <w:tcPr>
            <w:tcW w:type="dxa" w:w="1440"/>
            <w:shd w:fill="FFDCE0" w:val="clear"/>
          </w:tcPr>
          <w:p>
            <w:r>
              <w:rPr>
                <w:sz w:val="17"/>
              </w:rPr>
              <w:t>J+9  ⭐</w:t>
            </w:r>
          </w:p>
        </w:tc>
        <w:tc>
          <w:tcPr>
            <w:tcW w:type="dxa" w:w="1440"/>
            <w:shd w:fill="FFDCE0" w:val="clear"/>
          </w:tcPr>
          <w:p>
            <w:r>
              <w:rPr>
                <w:sz w:val="17"/>
              </w:rPr>
              <w:t>2026-08-25</w:t>
            </w:r>
          </w:p>
        </w:tc>
        <w:tc>
          <w:tcPr>
            <w:tcW w:type="dxa" w:w="1440"/>
            <w:shd w:fill="FFDCE0" w:val="clear"/>
          </w:tcPr>
          <w:p>
            <w:r>
              <w:rPr>
                <w:sz w:val="17"/>
              </w:rPr>
              <w:t>1,152</w:t>
            </w:r>
          </w:p>
        </w:tc>
        <w:tc>
          <w:tcPr>
            <w:tcW w:type="dxa" w:w="1440"/>
            <w:shd w:fill="FFDCE0" w:val="clear"/>
          </w:tcPr>
          <w:p>
            <w:r>
              <w:rPr>
                <w:b/>
                <w:sz w:val="17"/>
              </w:rPr>
              <w:t>1,345</w:t>
            </w:r>
          </w:p>
        </w:tc>
        <w:tc>
          <w:tcPr>
            <w:tcW w:type="dxa" w:w="1440"/>
            <w:shd w:fill="FFDCE0" w:val="clear"/>
          </w:tcPr>
          <w:p>
            <w:r>
              <w:rPr>
                <w:sz w:val="17"/>
              </w:rPr>
              <w:t>1,539</w:t>
            </w:r>
          </w:p>
        </w:tc>
        <w:tc>
          <w:tcPr>
            <w:tcW w:type="dxa" w:w="1440"/>
            <w:shd w:fill="FFDCE0" w:val="clear"/>
          </w:tcPr>
          <w:p>
            <w:r>
              <w:rPr>
                <w:b/>
                <w:color w:val="C00000"/>
                <w:sz w:val="17"/>
              </w:rPr>
              <w:t>-10.3%</w:t>
            </w:r>
          </w:p>
        </w:tc>
      </w:tr>
      <w:tr>
        <w:tc>
          <w:tcPr>
            <w:tcW w:type="dxa" w:w="1440"/>
            <w:shd w:fill="FFDCE0" w:val="clear"/>
          </w:tcPr>
          <w:p>
            <w:r>
              <w:rPr>
                <w:sz w:val="17"/>
              </w:rPr>
              <w:t>J+10  ⭐</w:t>
            </w:r>
          </w:p>
        </w:tc>
        <w:tc>
          <w:tcPr>
            <w:tcW w:type="dxa" w:w="1440"/>
            <w:shd w:fill="FFDCE0" w:val="clear"/>
          </w:tcPr>
          <w:p>
            <w:r>
              <w:rPr>
                <w:sz w:val="17"/>
              </w:rPr>
              <w:t>2026-08-27</w:t>
            </w:r>
          </w:p>
        </w:tc>
        <w:tc>
          <w:tcPr>
            <w:tcW w:type="dxa" w:w="1440"/>
            <w:shd w:fill="FFDCE0" w:val="clear"/>
          </w:tcPr>
          <w:p>
            <w:r>
              <w:rPr>
                <w:sz w:val="17"/>
              </w:rPr>
              <w:t>1,131</w:t>
            </w:r>
          </w:p>
        </w:tc>
        <w:tc>
          <w:tcPr>
            <w:tcW w:type="dxa" w:w="1440"/>
            <w:shd w:fill="FFDCE0" w:val="clear"/>
          </w:tcPr>
          <w:p>
            <w:r>
              <w:rPr>
                <w:b/>
                <w:sz w:val="17"/>
              </w:rPr>
              <w:t>1,333</w:t>
            </w:r>
          </w:p>
        </w:tc>
        <w:tc>
          <w:tcPr>
            <w:tcW w:type="dxa" w:w="1440"/>
            <w:shd w:fill="FFDCE0" w:val="clear"/>
          </w:tcPr>
          <w:p>
            <w:r>
              <w:rPr>
                <w:sz w:val="17"/>
              </w:rPr>
              <w:t>1,536</w:t>
            </w:r>
          </w:p>
        </w:tc>
        <w:tc>
          <w:tcPr>
            <w:tcW w:type="dxa" w:w="1440"/>
            <w:shd w:fill="FFDCE0" w:val="clear"/>
          </w:tcPr>
          <w:p>
            <w:r>
              <w:rPr>
                <w:b/>
                <w:color w:val="C00000"/>
                <w:sz w:val="17"/>
              </w:rPr>
              <w:t>-11.1%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37,78 milliards FCFA, un niveau modeste qui la classe parmi les valeurs de taille moyenne sur la BRVM. Les ratios de valorisation (BPA, PER, P/B, EV/EBITDA) ne sont pas calculables en raison de l'absence de données financières structurées dans la base de données, ce qui constitue une limite importante pour l'évaluation relative du titre. Toutefois, sur la base des rapports fondamentaux disponibles, le bénéfice net de l'exercice 2023 (1,01 milliard FCFA) rapporté au nombre d'actions en circulation (environ 25,19 millions) suggère un BPA d'environ 40 FCFA, ce qui impliquerait un PER d'environ 37,5x, très supérieur à la moyenne BRVM de 8-12x. Cette situation indique que le marché valorise le titre à un niveau élevé par rapport aux bénéfices actuels, probablement en anticipant un rebond significatif de la rentabilité porté par le nouveau plan stratégique et l'arrivée de Sonoco.</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 enregistré une baisse de 24,81%, passant de 2 265 FCFA à 1 500 FCFA, avec une légère hausse de 0,33% lors de la dernière séance. Le cours a évolué dans une fourchette de 1 350 à 2 265 FCFA, soit une amplitude de 915 FCFA, témoignant d'une forte volatilité. La moyenne du cours (1 624 FCFA) est supérieure à la médiane (1 552 FCFA), ce qui confirme une asymétrie positive (skewness de 1,259) : la majorité des séances se sont situées sous la moyenne, avec quelques pics à la hausse. L'écart-type de 205 FCFA (CV de 12,6%) indique une dispersion modérée autour de la moyenne, tandis que le kurtosis de 0,540 (mésokurtique) suggère une distribution proche de la normale, sans risque extrême de pics. La volatilité annualisée de 51,2% classe le titre dans la catégorie des valeurs à forte volatilité, bien au-dessus du seuil de 30%, reflétant un risque élevé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(1 481 FCFA) et la MM50 (1 517,7 FCFA) sont toutes deux inférieures au cours actuel de 1 500 FCFA, mais la MM20 est en dessous de la MM50, indiquant une tendance baissière à court terme. Le cours évolue juste au-dessus de la MM20 mais sous la MM50, ce qui suggère une tentative de rebond dans une tendance baissière plus large. La décision de vente est justifiée par la configuration baissière des moyennes mobiles.</w:t>
      </w:r>
    </w:p>
    <w:p>
      <w:pPr>
        <w:spacing w:after="120" w:line="276" w:lineRule="auto"/>
      </w:pPr>
      <w:r>
        <w:t>**Bandes de Bollinger** : Le cours (1 500 FCFA) se situe entre la borne supérieure (1 553,7 FCFA) et la borne inférieure (1 408,3 FCFA), proche de la moyenne. La largeur des bandes reflète une volatilité modérée. La position du cours dans la partie médiane des bandes indique un équilibre relatif, d'où la décision neutre.</w:t>
      </w:r>
    </w:p>
    <w:p>
      <w:pPr>
        <w:spacing w:after="120" w:line="276" w:lineRule="auto"/>
      </w:pPr>
      <w:r>
        <w:t>**MACD** : Le MACD (-3,46) est supérieur à sa ligne de signal (-7,78), formant un croisement haussier. Cette configuration suggère un momentum positif émergent, bien que les valeurs restent négatives, indiquant que la tendance baissière n'est pas totalement inversée. La décision d'achat est justifiée par ce croisement haussier.</w:t>
      </w:r>
    </w:p>
    <w:p>
      <w:pPr>
        <w:spacing w:after="120" w:line="276" w:lineRule="auto"/>
      </w:pPr>
      <w:r>
        <w:t>**RSI** : Le RSI à 58,97 se situe dans la zone neutre (30-70), indiquant un équilibre entre pressions acheteuses et vendeuses. Cette valeur suggère que le titre n'est ni suracheté ni survendu, laissant place à une évolution directionnelle. La décision neutre est cohérente avec cette lecture.</w:t>
      </w:r>
    </w:p>
    <w:p>
      <w:pPr>
        <w:spacing w:after="120" w:line="276" w:lineRule="auto"/>
      </w:pPr>
      <w:r>
        <w:t>**Stochastique** : Le %K (78,95) et le %D (77,19) sont proches et élevés, indiquant une dynamique haussière récente. Le %K est légèrement au-dessus du %D, ce qui suggère un momentum positif, mais les niveaux élevés pourraient signaler une zone de surachat imminent. La décision neutre reflète cette ambiguïté.</w:t>
      </w:r>
    </w:p>
    <w:p>
      <w:pPr>
        <w:spacing w:after="120" w:line="276" w:lineRule="auto"/>
      </w:pPr>
      <w:r>
        <w:t>**Conclusion technique** : La convergence des indicateurs est mitigée : les moyennes mobiles signalent une tendance baissière, tandis que le MACD et le stochastique montrent des signes de momentum haussier. Le RSI et les bandes de Bollinger restent neutres. Cette configuration suggère une phase de transition où le titre pourrait tenter un rebond technique, mais sans confirmation claire d'un retournement de tendance.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états financiers annuels disponibles pour SEMC couvrent l'exercice 2023 (rapport daté du 31/12/2024). En 2023, le chiffre d'affaires s'est établi à 27,88 milliards FCFA, en baisse de 6% par rapport à 2022 (29,60 milliards FCFA), principalement en raison de la perte de clients clés (AIRONE, secteur Tomate) et de la réduction des volumes vendus. Le résultat net a chuté de 74% à 1,01 milliard FCFA (contre 3,86 milliards en 2022), avec une marge nette de 3,6% contre 13% l'année précédente. La marge d'exploitation s'est dégradée à 6,9% (vs 11% en 2022), illustrant un effet ciseau défavorable. Le rapport du 1er trimestre 2023 (daté du 31/12/2023) montrait pourtant une dynamique positive avec un CA de 7,65 milliards FCFA (+16,5%) et un bénéfice net de 855,65 millions FCFA (+37,9%), suggérant que la dégradation s'est accentuée au cours de l'année. Aucun dividende n'a été distribué en 2022 et 2023, la société privilégiant la conservation de trésorerie (3,35 milliards FCFA) pour financer sa relance. Les perspectives 2024 visent un CA de 32 milliards FCFA (+18%), porté par les bouchons couronnes et les exportations. Le rachat par Sonoco Products Company (finalisé en décembre 2024) constitue un catalyseur stratégique majeur, avec un potentiel de synergies et d'accès à de nouveaux marchés. La recommandation fondamentale est de conserver avec vigilance, en surveillant l'exécution du plan de relance et l'impact de la nouvelle gouvernance.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analyses fait ressortir une situation contrastée pour SEMC. La valorisation boursière, bien que non calculable précisément, semble élevée au regard des bénéfices actuels (PER estimé supérieur à 30x), mais le marché anticipe probablement un rebond significatif. Le comportement du cours sur 100 jours est préoccupant avec une baisse de 24,81% et une volatilité annualisée de 51,2%, bien que les statistiques descriptives (kurtosis mésokurtique, skewness positif) suggèrent une distribution relativement normale sans risque extrême. Les signaux techniques sont mitigés : les moyennes mobiles restent baissières, mais le MACD et le stochastique montrent des signes de momentum haussier, indiquant une possible stabilisation. Les fondamentaux sont fragiles avec une chute de 74% du résultat net en 2023, mais les perspectives de relance (CA 2024 cible de 32 milliards FCFA) et l'arrivée de Sonoco offrent des leviers de croissance. Les prédictions IA (1 444 à 1 397 FCFA sur 10 jours) confirment une tendance baissière à court terme, contredisant les signaux techniques de momentum. La convergence entre la valorisation élevée, la faiblesse des fondamentaux actuels et les prédictions baissières conduit à une recommandation de **CONSERVER** avec un niveau de confiance **Moyen** et un risque global **Élevé**. L'horizon d'investissement optimal est le **moyen terme (3-12 mois)**, en attendant la confirmation du redressement opérationnel et l'impact positif du rachat par Sonoco.</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1197.62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4,526 titres</w:t>
            </w:r>
          </w:p>
        </w:tc>
        <w:tc>
          <w:tcPr>
            <w:tcW w:type="dxa" w:w="2268"/>
            <w:shd w:fill="FFF2CC" w:val="clear"/>
          </w:tcPr>
          <w:p>
            <w:r>
              <w:rPr>
                <w:b/>
                <w:color w:val="503200"/>
                <w:sz w:val="16"/>
              </w:rPr>
              <w:t xml:space="preserve">Cours actuel : </w:t>
            </w:r>
            <w:r>
              <w:rPr>
                <w:color w:val="000000"/>
                <w:sz w:val="17"/>
              </w:rPr>
              <w:t>38,495 FCFA</w:t>
            </w:r>
          </w:p>
          <w:p>
            <w:r>
              <w:rPr>
                <w:b/>
                <w:color w:val="503200"/>
                <w:sz w:val="16"/>
              </w:rPr>
              <w:t xml:space="preserve">Var. 100 jours : </w:t>
            </w:r>
            <w:r>
              <w:rPr>
                <w:b/>
                <w:color w:val="007800"/>
                <w:sz w:val="17"/>
              </w:rPr>
              <w:t>+9.99%</w:t>
            </w:r>
          </w:p>
          <w:p>
            <w:r>
              <w:rPr>
                <w:b/>
                <w:color w:val="503200"/>
                <w:sz w:val="16"/>
              </w:rPr>
              <w:t xml:space="preserve">Plus haut 100j : </w:t>
            </w:r>
            <w:r>
              <w:rPr>
                <w:color w:val="000000"/>
                <w:sz w:val="17"/>
              </w:rPr>
              <w:t>39,200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23.4%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5.68% (Moyenne) — μ=36,607 FCFA, σ=2,078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β=0.5475 (Défensif) — Cov=0.000020, Var(idx)=0.000036, ρ=0.223,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4,526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σ_j=1.47%/j (Stable) — Vol. annualisée≈23.4%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2026-08-13</w:t>
            </w:r>
          </w:p>
        </w:tc>
        <w:tc>
          <w:tcPr>
            <w:tcW w:type="dxa" w:w="1440"/>
            <w:shd w:fill="FAFAFA" w:val="clear"/>
          </w:tcPr>
          <w:p>
            <w:r>
              <w:rPr>
                <w:sz w:val="17"/>
              </w:rPr>
              <w:t>37,372</w:t>
            </w:r>
          </w:p>
        </w:tc>
        <w:tc>
          <w:tcPr>
            <w:tcW w:type="dxa" w:w="1440"/>
            <w:shd w:fill="FAFAFA" w:val="clear"/>
          </w:tcPr>
          <w:p>
            <w:r>
              <w:rPr>
                <w:b/>
                <w:sz w:val="17"/>
              </w:rPr>
              <w:t>38,212</w:t>
            </w:r>
          </w:p>
        </w:tc>
        <w:tc>
          <w:tcPr>
            <w:tcW w:type="dxa" w:w="1440"/>
            <w:shd w:fill="FAFAFA" w:val="clear"/>
          </w:tcPr>
          <w:p>
            <w:r>
              <w:rPr>
                <w:sz w:val="17"/>
              </w:rPr>
              <w:t>39,052</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2026-08-14</w:t>
            </w:r>
          </w:p>
        </w:tc>
        <w:tc>
          <w:tcPr>
            <w:tcW w:type="dxa" w:w="1440"/>
            <w:shd w:fill="FAFAFA" w:val="clear"/>
          </w:tcPr>
          <w:p>
            <w:r>
              <w:rPr>
                <w:sz w:val="17"/>
              </w:rPr>
              <w:t>36,928</w:t>
            </w:r>
          </w:p>
        </w:tc>
        <w:tc>
          <w:tcPr>
            <w:tcW w:type="dxa" w:w="1440"/>
            <w:shd w:fill="FAFAFA" w:val="clear"/>
          </w:tcPr>
          <w:p>
            <w:r>
              <w:rPr>
                <w:b/>
                <w:sz w:val="17"/>
              </w:rPr>
              <w:t>38,113</w:t>
            </w:r>
          </w:p>
        </w:tc>
        <w:tc>
          <w:tcPr>
            <w:tcW w:type="dxa" w:w="1440"/>
            <w:shd w:fill="FAFAFA" w:val="clear"/>
          </w:tcPr>
          <w:p>
            <w:r>
              <w:rPr>
                <w:sz w:val="17"/>
              </w:rPr>
              <w:t>39,298</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2026-08-17</w:t>
            </w:r>
          </w:p>
        </w:tc>
        <w:tc>
          <w:tcPr>
            <w:tcW w:type="dxa" w:w="1440"/>
            <w:shd w:fill="FAFAFA" w:val="clear"/>
          </w:tcPr>
          <w:p>
            <w:r>
              <w:rPr>
                <w:sz w:val="17"/>
              </w:rPr>
              <w:t>36,566</w:t>
            </w:r>
          </w:p>
        </w:tc>
        <w:tc>
          <w:tcPr>
            <w:tcW w:type="dxa" w:w="1440"/>
            <w:shd w:fill="FAFAFA" w:val="clear"/>
          </w:tcPr>
          <w:p>
            <w:r>
              <w:rPr>
                <w:b/>
                <w:sz w:val="17"/>
              </w:rPr>
              <w:t>38,013</w:t>
            </w:r>
          </w:p>
        </w:tc>
        <w:tc>
          <w:tcPr>
            <w:tcW w:type="dxa" w:w="1440"/>
            <w:shd w:fill="FAFAFA" w:val="clear"/>
          </w:tcPr>
          <w:p>
            <w:r>
              <w:rPr>
                <w:sz w:val="17"/>
              </w:rPr>
              <w:t>39,460</w:t>
            </w:r>
          </w:p>
        </w:tc>
        <w:tc>
          <w:tcPr>
            <w:tcW w:type="dxa" w:w="1440"/>
            <w:shd w:fill="FAFAFA" w:val="clear"/>
          </w:tcPr>
          <w:p>
            <w:r>
              <w:rPr>
                <w:b/>
                <w:color w:val="C00000"/>
                <w:sz w:val="17"/>
              </w:rPr>
              <w:t>-1.3%</w:t>
            </w:r>
          </w:p>
        </w:tc>
      </w:tr>
      <w:tr>
        <w:tc>
          <w:tcPr>
            <w:tcW w:type="dxa" w:w="1440"/>
            <w:shd w:fill="FAFAFA" w:val="clear"/>
          </w:tcPr>
          <w:p>
            <w:r>
              <w:rPr>
                <w:sz w:val="17"/>
              </w:rPr>
              <w:t>J+4  Moyenne</w:t>
            </w:r>
          </w:p>
        </w:tc>
        <w:tc>
          <w:tcPr>
            <w:tcW w:type="dxa" w:w="1440"/>
            <w:shd w:fill="FAFAFA" w:val="clear"/>
          </w:tcPr>
          <w:p>
            <w:r>
              <w:rPr>
                <w:sz w:val="17"/>
              </w:rPr>
              <w:t>2026-08-18</w:t>
            </w:r>
          </w:p>
        </w:tc>
        <w:tc>
          <w:tcPr>
            <w:tcW w:type="dxa" w:w="1440"/>
            <w:shd w:fill="FAFAFA" w:val="clear"/>
          </w:tcPr>
          <w:p>
            <w:r>
              <w:rPr>
                <w:sz w:val="17"/>
              </w:rPr>
              <w:t>36,254</w:t>
            </w:r>
          </w:p>
        </w:tc>
        <w:tc>
          <w:tcPr>
            <w:tcW w:type="dxa" w:w="1440"/>
            <w:shd w:fill="FAFAFA" w:val="clear"/>
          </w:tcPr>
          <w:p>
            <w:r>
              <w:rPr>
                <w:b/>
                <w:sz w:val="17"/>
              </w:rPr>
              <w:t>37,921</w:t>
            </w:r>
          </w:p>
        </w:tc>
        <w:tc>
          <w:tcPr>
            <w:tcW w:type="dxa" w:w="1440"/>
            <w:shd w:fill="FAFAFA" w:val="clear"/>
          </w:tcPr>
          <w:p>
            <w:r>
              <w:rPr>
                <w:sz w:val="17"/>
              </w:rPr>
              <w:t>39,588</w:t>
            </w:r>
          </w:p>
        </w:tc>
        <w:tc>
          <w:tcPr>
            <w:tcW w:type="dxa" w:w="1440"/>
            <w:shd w:fill="FAFAFA" w:val="clear"/>
          </w:tcPr>
          <w:p>
            <w:r>
              <w:rPr>
                <w:b/>
                <w:color w:val="C00000"/>
                <w:sz w:val="17"/>
              </w:rPr>
              <w:t>-1.5%</w:t>
            </w:r>
          </w:p>
        </w:tc>
      </w:tr>
      <w:tr>
        <w:tc>
          <w:tcPr>
            <w:tcW w:type="dxa" w:w="1440"/>
            <w:shd w:fill="FAFAFA" w:val="clear"/>
          </w:tcPr>
          <w:p>
            <w:r>
              <w:rPr>
                <w:sz w:val="17"/>
              </w:rPr>
              <w:t>J+5  Moyenne</w:t>
            </w:r>
          </w:p>
        </w:tc>
        <w:tc>
          <w:tcPr>
            <w:tcW w:type="dxa" w:w="1440"/>
            <w:shd w:fill="FAFAFA" w:val="clear"/>
          </w:tcPr>
          <w:p>
            <w:r>
              <w:rPr>
                <w:sz w:val="17"/>
              </w:rPr>
              <w:t>2026-08-19</w:t>
            </w:r>
          </w:p>
        </w:tc>
        <w:tc>
          <w:tcPr>
            <w:tcW w:type="dxa" w:w="1440"/>
            <w:shd w:fill="FAFAFA" w:val="clear"/>
          </w:tcPr>
          <w:p>
            <w:r>
              <w:rPr>
                <w:sz w:val="17"/>
              </w:rPr>
              <w:t>35,975</w:t>
            </w:r>
          </w:p>
        </w:tc>
        <w:tc>
          <w:tcPr>
            <w:tcW w:type="dxa" w:w="1440"/>
            <w:shd w:fill="FAFAFA" w:val="clear"/>
          </w:tcPr>
          <w:p>
            <w:r>
              <w:rPr>
                <w:b/>
                <w:sz w:val="17"/>
              </w:rPr>
              <w:t>37,835</w:t>
            </w:r>
          </w:p>
        </w:tc>
        <w:tc>
          <w:tcPr>
            <w:tcW w:type="dxa" w:w="1440"/>
            <w:shd w:fill="FAFAFA" w:val="clear"/>
          </w:tcPr>
          <w:p>
            <w:r>
              <w:rPr>
                <w:sz w:val="17"/>
              </w:rPr>
              <w:t>39,694</w:t>
            </w:r>
          </w:p>
        </w:tc>
        <w:tc>
          <w:tcPr>
            <w:tcW w:type="dxa" w:w="1440"/>
            <w:shd w:fill="FAFAFA" w:val="clear"/>
          </w:tcPr>
          <w:p>
            <w:r>
              <w:rPr>
                <w:b/>
                <w:color w:val="C00000"/>
                <w:sz w:val="17"/>
              </w:rPr>
              <w:t>-1.7%</w:t>
            </w:r>
          </w:p>
        </w:tc>
      </w:tr>
      <w:tr>
        <w:tc>
          <w:tcPr>
            <w:tcW w:type="dxa" w:w="1440"/>
            <w:shd w:fill="FAFAFA" w:val="clear"/>
          </w:tcPr>
          <w:p>
            <w:r>
              <w:rPr>
                <w:sz w:val="17"/>
              </w:rPr>
              <w:t>J+6  Moyenne</w:t>
            </w:r>
          </w:p>
        </w:tc>
        <w:tc>
          <w:tcPr>
            <w:tcW w:type="dxa" w:w="1440"/>
            <w:shd w:fill="FAFAFA" w:val="clear"/>
          </w:tcPr>
          <w:p>
            <w:r>
              <w:rPr>
                <w:sz w:val="17"/>
              </w:rPr>
              <w:t>2026-08-20</w:t>
            </w:r>
          </w:p>
        </w:tc>
        <w:tc>
          <w:tcPr>
            <w:tcW w:type="dxa" w:w="1440"/>
            <w:shd w:fill="FAFAFA" w:val="clear"/>
          </w:tcPr>
          <w:p>
            <w:r>
              <w:rPr>
                <w:sz w:val="17"/>
              </w:rPr>
              <w:t>35,720</w:t>
            </w:r>
          </w:p>
        </w:tc>
        <w:tc>
          <w:tcPr>
            <w:tcW w:type="dxa" w:w="1440"/>
            <w:shd w:fill="FAFAFA" w:val="clear"/>
          </w:tcPr>
          <w:p>
            <w:r>
              <w:rPr>
                <w:b/>
                <w:sz w:val="17"/>
              </w:rPr>
              <w:t>37,752</w:t>
            </w:r>
          </w:p>
        </w:tc>
        <w:tc>
          <w:tcPr>
            <w:tcW w:type="dxa" w:w="1440"/>
            <w:shd w:fill="FAFAFA" w:val="clear"/>
          </w:tcPr>
          <w:p>
            <w:r>
              <w:rPr>
                <w:sz w:val="17"/>
              </w:rPr>
              <w:t>39,785</w:t>
            </w:r>
          </w:p>
        </w:tc>
        <w:tc>
          <w:tcPr>
            <w:tcW w:type="dxa" w:w="1440"/>
            <w:shd w:fill="FAFAFA" w:val="clear"/>
          </w:tcPr>
          <w:p>
            <w:r>
              <w:rPr>
                <w:b/>
                <w:color w:val="C00000"/>
                <w:sz w:val="17"/>
              </w:rPr>
              <w:t>-1.9%</w:t>
            </w:r>
          </w:p>
        </w:tc>
      </w:tr>
      <w:tr>
        <w:tc>
          <w:tcPr>
            <w:tcW w:type="dxa" w:w="1440"/>
            <w:shd w:fill="FFDCE0" w:val="clear"/>
          </w:tcPr>
          <w:p>
            <w:r>
              <w:rPr>
                <w:sz w:val="17"/>
              </w:rPr>
              <w:t>J+7  Moyenne</w:t>
            </w:r>
          </w:p>
        </w:tc>
        <w:tc>
          <w:tcPr>
            <w:tcW w:type="dxa" w:w="1440"/>
            <w:shd w:fill="FFDCE0" w:val="clear"/>
          </w:tcPr>
          <w:p>
            <w:r>
              <w:rPr>
                <w:sz w:val="17"/>
              </w:rPr>
              <w:t>2026-08-21</w:t>
            </w:r>
          </w:p>
        </w:tc>
        <w:tc>
          <w:tcPr>
            <w:tcW w:type="dxa" w:w="1440"/>
            <w:shd w:fill="FFDCE0" w:val="clear"/>
          </w:tcPr>
          <w:p>
            <w:r>
              <w:rPr>
                <w:sz w:val="17"/>
              </w:rPr>
              <w:t>35,482</w:t>
            </w:r>
          </w:p>
        </w:tc>
        <w:tc>
          <w:tcPr>
            <w:tcW w:type="dxa" w:w="1440"/>
            <w:shd w:fill="FFDCE0" w:val="clear"/>
          </w:tcPr>
          <w:p>
            <w:r>
              <w:rPr>
                <w:b/>
                <w:sz w:val="17"/>
              </w:rPr>
              <w:t>37,673</w:t>
            </w:r>
          </w:p>
        </w:tc>
        <w:tc>
          <w:tcPr>
            <w:tcW w:type="dxa" w:w="1440"/>
            <w:shd w:fill="FFDCE0" w:val="clear"/>
          </w:tcPr>
          <w:p>
            <w:r>
              <w:rPr>
                <w:sz w:val="17"/>
              </w:rPr>
              <w:t>39,864</w:t>
            </w:r>
          </w:p>
        </w:tc>
        <w:tc>
          <w:tcPr>
            <w:tcW w:type="dxa" w:w="1440"/>
            <w:shd w:fill="FFDCE0" w:val="clear"/>
          </w:tcPr>
          <w:p>
            <w:r>
              <w:rPr>
                <w:b/>
                <w:color w:val="C00000"/>
                <w:sz w:val="17"/>
              </w:rPr>
              <w:t>-2.1%</w:t>
            </w:r>
          </w:p>
        </w:tc>
      </w:tr>
      <w:tr>
        <w:tc>
          <w:tcPr>
            <w:tcW w:type="dxa" w:w="1440"/>
            <w:shd w:fill="FFDCE0" w:val="clear"/>
          </w:tcPr>
          <w:p>
            <w:r>
              <w:rPr>
                <w:sz w:val="17"/>
              </w:rPr>
              <w:t>J+8  Moyenne</w:t>
            </w:r>
          </w:p>
        </w:tc>
        <w:tc>
          <w:tcPr>
            <w:tcW w:type="dxa" w:w="1440"/>
            <w:shd w:fill="FFDCE0" w:val="clear"/>
          </w:tcPr>
          <w:p>
            <w:r>
              <w:rPr>
                <w:sz w:val="17"/>
              </w:rPr>
              <w:t>2026-08-24</w:t>
            </w:r>
          </w:p>
        </w:tc>
        <w:tc>
          <w:tcPr>
            <w:tcW w:type="dxa" w:w="1440"/>
            <w:shd w:fill="FFDCE0" w:val="clear"/>
          </w:tcPr>
          <w:p>
            <w:r>
              <w:rPr>
                <w:sz w:val="17"/>
              </w:rPr>
              <w:t>35,258</w:t>
            </w:r>
          </w:p>
        </w:tc>
        <w:tc>
          <w:tcPr>
            <w:tcW w:type="dxa" w:w="1440"/>
            <w:shd w:fill="FFDCE0" w:val="clear"/>
          </w:tcPr>
          <w:p>
            <w:r>
              <w:rPr>
                <w:b/>
                <w:sz w:val="17"/>
              </w:rPr>
              <w:t>37,595</w:t>
            </w:r>
          </w:p>
        </w:tc>
        <w:tc>
          <w:tcPr>
            <w:tcW w:type="dxa" w:w="1440"/>
            <w:shd w:fill="FFDCE0" w:val="clear"/>
          </w:tcPr>
          <w:p>
            <w:r>
              <w:rPr>
                <w:sz w:val="17"/>
              </w:rPr>
              <w:t>39,932</w:t>
            </w:r>
          </w:p>
        </w:tc>
        <w:tc>
          <w:tcPr>
            <w:tcW w:type="dxa" w:w="1440"/>
            <w:shd w:fill="FFDCE0" w:val="clear"/>
          </w:tcPr>
          <w:p>
            <w:r>
              <w:rPr>
                <w:b/>
                <w:color w:val="C00000"/>
                <w:sz w:val="17"/>
              </w:rPr>
              <w:t>-2.3%</w:t>
            </w:r>
          </w:p>
        </w:tc>
      </w:tr>
      <w:tr>
        <w:tc>
          <w:tcPr>
            <w:tcW w:type="dxa" w:w="1440"/>
            <w:shd w:fill="FFDCE0" w:val="clear"/>
          </w:tcPr>
          <w:p>
            <w:r>
              <w:rPr>
                <w:sz w:val="17"/>
              </w:rPr>
              <w:t>J+9  Moyenne</w:t>
            </w:r>
          </w:p>
        </w:tc>
        <w:tc>
          <w:tcPr>
            <w:tcW w:type="dxa" w:w="1440"/>
            <w:shd w:fill="FFDCE0" w:val="clear"/>
          </w:tcPr>
          <w:p>
            <w:r>
              <w:rPr>
                <w:sz w:val="17"/>
              </w:rPr>
              <w:t>2026-08-25</w:t>
            </w:r>
          </w:p>
        </w:tc>
        <w:tc>
          <w:tcPr>
            <w:tcW w:type="dxa" w:w="1440"/>
            <w:shd w:fill="FFDCE0" w:val="clear"/>
          </w:tcPr>
          <w:p>
            <w:r>
              <w:rPr>
                <w:sz w:val="17"/>
              </w:rPr>
              <w:t>35,046</w:t>
            </w:r>
          </w:p>
        </w:tc>
        <w:tc>
          <w:tcPr>
            <w:tcW w:type="dxa" w:w="1440"/>
            <w:shd w:fill="FFDCE0" w:val="clear"/>
          </w:tcPr>
          <w:p>
            <w:r>
              <w:rPr>
                <w:b/>
                <w:sz w:val="17"/>
              </w:rPr>
              <w:t>37,520</w:t>
            </w:r>
          </w:p>
        </w:tc>
        <w:tc>
          <w:tcPr>
            <w:tcW w:type="dxa" w:w="1440"/>
            <w:shd w:fill="FFDCE0" w:val="clear"/>
          </w:tcPr>
          <w:p>
            <w:r>
              <w:rPr>
                <w:sz w:val="17"/>
              </w:rPr>
              <w:t>39,993</w:t>
            </w:r>
          </w:p>
        </w:tc>
        <w:tc>
          <w:tcPr>
            <w:tcW w:type="dxa" w:w="1440"/>
            <w:shd w:fill="FFDCE0" w:val="clear"/>
          </w:tcPr>
          <w:p>
            <w:r>
              <w:rPr>
                <w:b/>
                <w:color w:val="C00000"/>
                <w:sz w:val="17"/>
              </w:rPr>
              <w:t>-2.5%</w:t>
            </w:r>
          </w:p>
        </w:tc>
      </w:tr>
      <w:tr>
        <w:tc>
          <w:tcPr>
            <w:tcW w:type="dxa" w:w="1440"/>
            <w:shd w:fill="FFDCE0" w:val="clear"/>
          </w:tcPr>
          <w:p>
            <w:r>
              <w:rPr>
                <w:sz w:val="17"/>
              </w:rPr>
              <w:t>J+10  Moyenne</w:t>
            </w:r>
          </w:p>
        </w:tc>
        <w:tc>
          <w:tcPr>
            <w:tcW w:type="dxa" w:w="1440"/>
            <w:shd w:fill="FFDCE0" w:val="clear"/>
          </w:tcPr>
          <w:p>
            <w:r>
              <w:rPr>
                <w:sz w:val="17"/>
              </w:rPr>
              <w:t>2026-08-27</w:t>
            </w:r>
          </w:p>
        </w:tc>
        <w:tc>
          <w:tcPr>
            <w:tcW w:type="dxa" w:w="1440"/>
            <w:shd w:fill="FFDCE0" w:val="clear"/>
          </w:tcPr>
          <w:p>
            <w:r>
              <w:rPr>
                <w:sz w:val="17"/>
              </w:rPr>
              <w:t>34,843</w:t>
            </w:r>
          </w:p>
        </w:tc>
        <w:tc>
          <w:tcPr>
            <w:tcW w:type="dxa" w:w="1440"/>
            <w:shd w:fill="FFDCE0" w:val="clear"/>
          </w:tcPr>
          <w:p>
            <w:r>
              <w:rPr>
                <w:b/>
                <w:sz w:val="17"/>
              </w:rPr>
              <w:t>37,445</w:t>
            </w:r>
          </w:p>
        </w:tc>
        <w:tc>
          <w:tcPr>
            <w:tcW w:type="dxa" w:w="1440"/>
            <w:shd w:fill="FFDCE0" w:val="clear"/>
          </w:tcPr>
          <w:p>
            <w:r>
              <w:rPr>
                <w:sz w:val="17"/>
              </w:rPr>
              <w:t>40,048</w:t>
            </w:r>
          </w:p>
        </w:tc>
        <w:tc>
          <w:tcPr>
            <w:tcW w:type="dxa" w:w="1440"/>
            <w:shd w:fill="FFDCE0" w:val="clear"/>
          </w:tcPr>
          <w:p>
            <w:r>
              <w:rPr>
                <w:b/>
                <w:color w:val="C00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SGBC (Société Générale Côte d'Ivoire)**</w:t>
        <w:br/>
        <w:t>**Date de l'analyse : 12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SGBC s'établit à 1 197,62 milliards FCFA, ce qui en fait l'une des plus importantes capitalisations de la BRVM, reflétant sa position de leader bancaire en Côte d'Ivoire. Avec un BPA de 3 258 FCFA, chaque action génère un bénéfice substantiel, justifiant un PER de 11,8x. Ce ratio se situe dans la fourchette haute de la moyenne historique de la BRVM (8-12x), indiquant une valorisation raisonnable mais non bradée, les investisseurs acceptant de payer une prime pour la qualité de l'actif. Le P/B de 2,42x confirme cette prime de croissance, le marché valorisant la société à plus de deux fois sa valeur comptable, signe de confiance dans la création de valeur future. Enfin, l'EV/EBITDA de 24,6x est très exigeant, suggérant que le marché anticipe une forte croissance de la rentabilité opérationnelle pour justifier une telle 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SGBC affiche une progression totale de +9,99%, avec une légère correction de -1,29% lors de la dernière séance, s'établissant à 38 495 FCFA. Le titre a évolué dans une fourchette de 32 800 FCFA (plus bas) à 39 200 FCFA (plus haut), démontrant une dynamique haussière soutenue. La moyenne du cours sur la période (36 607 FCFA) est inférieure à la médiane (37 000 FCFA), indiquant une distribution légèrement asymétrique avec des épisodes de prix plus élevés en fin de période. L'écart-type de 2 088 FCFA (CV de 5,7%) révèle une dispersion modérée des prix autour de la moyenne. Le kurtosis négatif (-1,365) signale une distribution platykurtique, avec une faible concentration des prix et un risque réduit de mouvements extrêmes. Le skewness de -0,311, proche de zéro, confirme une distribution quasi symétrique. La volatilité annualisée de 23,4% classe le titre dans une zone de volatilité modérée (15-30%), offrant un équilibre entre potentiel de rendement et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(38 495 FCFA) se situe sous la MM20 (38 122 FCFA) et la MM50 (38 463 FCFA), signalant une faiblesse à court terme. La décision de "Vente" est justifiée par la position du prix sous ces moyennes, indiquant un momentum baissier à court terme malgré la tendance haussière de fond.</w:t>
      </w:r>
    </w:p>
    <w:p>
      <w:pPr>
        <w:spacing w:after="120" w:line="276" w:lineRule="auto"/>
      </w:pPr>
      <w:r>
        <w:t>**Bandes de Bollinger** : Le prix évolue dans la partie supérieure des bandes (borne supérieure à 38 765 FCFA, borne inférieure à 37 478 FCFA), proche de la borne haute. Cette position, couplée à une décision "Neutre", suggère une volatilité normale sans extension excessive, le cours n'ayant pas encore atteint des niveaux de surachat extrême.</w:t>
      </w:r>
    </w:p>
    <w:p>
      <w:pPr>
        <w:spacing w:after="120" w:line="276" w:lineRule="auto"/>
      </w:pPr>
      <w:r>
        <w:t>**MACD** : Le MACD (86,874) est nettement au-dessus de son signal (10,13), générant une décision "Achat". Cette divergence positive indique un momentum haussier fort et récent, suggérant que la pression acheteuse pourrait reprendre le dessus malgré le repli des moyennes mobiles.</w:t>
      </w:r>
    </w:p>
    <w:p>
      <w:pPr>
        <w:spacing w:after="120" w:line="276" w:lineRule="auto"/>
      </w:pPr>
      <w:r>
        <w:t>**RSI** : Avec une valeur de 62,283, le RSI se situe en zone neutre (30-70), sans signal de surachat ou de survente. La décision "Neutre" reflète un équilibre entre acheteurs et vendeurs, laissant une marge de progression avant d'atteindre la zone de surachat (&gt;70).</w:t>
      </w:r>
    </w:p>
    <w:p>
      <w:pPr>
        <w:spacing w:after="120" w:line="276" w:lineRule="auto"/>
      </w:pPr>
      <w:r>
        <w:t>**Stochastique** : Le %K (53,881) est inférieur au %D (84,627), indiquant un croisement baissier potentiel. La décision "Neutre" suggère que le momentum est en train de se retourner, mais sans signal fort de vente, le %K n'ayant pas encore franchi de seuil critique.</w:t>
      </w:r>
    </w:p>
    <w:p>
      <w:pPr>
        <w:spacing w:after="120" w:line="276" w:lineRule="auto"/>
      </w:pPr>
      <w:r>
        <w:t>**Conclusion technique** : Les indicateurs sont mitigés, avec un MACD haussier contrastant avec des moyennes mobiles baissières et un stochastique neutre. Cette divergence suggère une phase de consolidation après une hausse significative, avec un potentiel de reprise si le MACD se maintient au-dessus de son signal. La tendance de fond reste positive, mais un repli vers la zone des 37 500-38 000 FCFA est possible à court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2025** : Les états financiers annuels 2025 de SGBC révèlent une banque extrêmement solide. Le Produit Net Bancaire (PNB) s'établit à 276,048 milliards FCFA, en croissance de +4,9% par rapport à 2024. Le résultat net atteint 101,352 milliards FCFA, dépassant le seuil des 100 milliards pour la deuxième année consécutive. La rentabilité est exceptionnelle avec un ROE de 20,47% et un ROA de 2,69%, démontrant une utilisation très efficace des capitaux propres et des actifs. Le coefficient d'exploitation de 38,75% est excellent (bien en dessous du seuil de 60%), témoignant d'une maîtrise rigoureuse des coûts. La structure financière est saine avec des capitaux propres de 495,113 milliards FCFA, représentant 13,14% du total du bilan, et une solvabilité générale de 115,12%. Le ratio de transformation est équilibré : les dépôts clients (2 907,675 Mds FCFA) financent largement les crédits à la clientèle (2 546,290 Mds FCFA), avec un ratio prêts/dépôts d'environ 87,6%, indiquant une gestion prudente de la liquidité.</w:t>
      </w:r>
    </w:p>
    <w:p>
      <w:pPr>
        <w:spacing w:after="120" w:line="276" w:lineRule="auto"/>
      </w:pPr>
      <w:r>
        <w:t>**Évolution temporelle** : En croisant avec les rapports narratifs, on observe une progression constante. Le rapport annuel 2024 (publié début 2025) indiquait un PNB de 263,2 milliards FCFA et un résultat net de 101,2 milliards FCFA, avec un coefficient d'exploitation de 37,9%. Les rapports trimestriels 2025 confirment cette trajectoire : le T1 2025 (PNB de 66,3 Mds FCFA, +1,3%), le S1 2025 (PNB de 132,0 Mds FCFA, résultat net de 53,1 Mds FCFA, +10%) et le cumul 9 mois 2025 (PNB de 201,0 Mds FCFA, résultat net de 83,3 Mds FCFA, +11,7%). Ces données montrent une accélération de la rentabilité au fil de l'année, portée par une maîtrise des coûts et une collecte de dépôts dynamique (+13,9% sur 9 mois).</w:t>
      </w:r>
    </w:p>
    <w:p>
      <w:pPr>
        <w:spacing w:after="120" w:line="276" w:lineRule="auto"/>
      </w:pPr>
      <w:r>
        <w:t>**Estimations et perspectives** : Sur la base de ces tendances, on estime que l'exercice 2026 devrait confirmer cette dynamique, avec un PNB annuel potentiel de 285-290 milliards FCFA et un résultat net de 110-115 milliards FCFA, soit une croissance de 8-10%. La banque bénéficie d'une notation AAA (unique sur le marché) et d'un ratio de solvabilité de 17,7%, bien au-dessus des exigences réglementaires. Les risques identifiés incluent la hausse du taux de créances en souffrance (NPL à 7,8% au S1 2025) et la concurrence accrue des fintechs, mais la solidité financière et la stratégie de digitalisation offrent des perspectives favorables.</w:t>
      </w:r>
    </w:p>
    <w:p>
      <w:pPr>
        <w:spacing w:after="120" w:line="276" w:lineRule="auto"/>
      </w:pPr>
      <w:r>
        <w:t>---</w:t>
      </w:r>
    </w:p>
    <w:p>
      <w:pPr>
        <w:spacing w:after="120" w:line="276" w:lineRule="auto"/>
      </w:pPr>
      <w:r>
        <w:t>### PARTIE 4 : CONCLUSION D'INVESTISSEMENT</w:t>
      </w:r>
    </w:p>
    <w:p>
      <w:pPr>
        <w:spacing w:after="120" w:line="276" w:lineRule="auto"/>
      </w:pPr>
      <w:r>
        <w:t>La valorisation de SGBC (PER de 11,8x, P/B de 2,42x) indique une prime de qualité justifiée par des fondamentaux exceptionnels, bien que l'EV/EBITDA de 24,6x suggère des attentes élevées. Le comportement du cours (+9,99% sur 100 jours) avec une volatilité modérée (23,4%) et une distribution symétrique est favorable, malgré une légère correction récente. Les signaux techniques sont mitigés, avec un MACD haussier contrastant avec des moyennes mobiles baissières, suggérant une consolidation à court terme. Les fondamentaux sont extrêmement solides : ROE de 20,47%, coefficient d'exploitation de 38,75%, et une croissance soutenue du résultat net (+11,7% sur 9 mois 2025). Les prédictions IA (38 212 FCFA à J+1, 37 835 FCFA à J+10) indiquent un repli progressif vers la zone des 37 800-38 200 FCFA, confirmant la phase de consolidation technique. Cette convergence entre la consolidation technique et la solidité fondamentale suggère une opportunité d'accumulation à moyen terme.</w:t>
      </w:r>
    </w:p>
    <w:p>
      <w:pPr>
        <w:spacing w:after="120" w:line="276" w:lineRule="auto"/>
      </w:pPr>
      <w:r>
        <w:t>**Recommandation finale : ACHAT**</w:t>
        <w:br/>
        <w:t>**Niveau de confiance : Élevé**</w:t>
        <w:br/>
        <w:t>**Niveau de risque global : Moyen** (volatilité modérée, mais risques de crédit et concurrentiels)</w:t>
        <w:br/>
        <w:t>**Horizon d'investissement optimal : Moyen terme (3-12 mois)** — pour capitaliser sur la reprise technique après consolidation, soutenue par des fondamentaux robustes et une politique de dividende attractive (rendement estimé ~4,8% sur la base du DPA 2024 de 1 863 FCFA).</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141.75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4,311 titres</w:t>
            </w:r>
          </w:p>
        </w:tc>
        <w:tc>
          <w:tcPr>
            <w:tcW w:type="dxa" w:w="2268"/>
            <w:shd w:fill="FFF2CC" w:val="clear"/>
          </w:tcPr>
          <w:p>
            <w:r>
              <w:rPr>
                <w:b/>
                <w:color w:val="503200"/>
                <w:sz w:val="16"/>
              </w:rPr>
              <w:t xml:space="preserve">Cours actuel : </w:t>
            </w:r>
            <w:r>
              <w:rPr>
                <w:color w:val="000000"/>
                <w:sz w:val="17"/>
              </w:rPr>
              <w:t>2,250 FCFA</w:t>
            </w:r>
          </w:p>
          <w:p>
            <w:r>
              <w:rPr>
                <w:b/>
                <w:color w:val="503200"/>
                <w:sz w:val="16"/>
              </w:rPr>
              <w:t xml:space="preserve">Var. 100 jours : </w:t>
            </w:r>
            <w:r>
              <w:rPr>
                <w:b/>
                <w:color w:val="007800"/>
                <w:sz w:val="17"/>
              </w:rPr>
              <w:t>+2.27%</w:t>
            </w:r>
          </w:p>
          <w:p>
            <w:r>
              <w:rPr>
                <w:b/>
                <w:color w:val="503200"/>
                <w:sz w:val="16"/>
              </w:rPr>
              <w:t xml:space="preserve">Plus haut 100j : </w:t>
            </w:r>
            <w:r>
              <w:rPr>
                <w:color w:val="000000"/>
                <w:sz w:val="17"/>
              </w:rPr>
              <w:t>2,325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17.5/100 → Faible</w:t>
      </w:r>
    </w:p>
    <w:p>
      <w:pPr>
        <w:spacing w:before="40" w:after="80"/>
      </w:pPr>
      <w:r>
        <w:rPr>
          <w:rFonts w:ascii="Courier New" w:hAnsi="Courier New"/>
          <w:color w:val="006400"/>
          <w:sz w:val="18"/>
        </w:rPr>
        <w:t>███░░░░░░░░░░░░░░░░░  17.5/100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5.80% (Moyenne) — μ=2,102 FCFA, σ=122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β=0.9322 (Neutre (suit le marché)) — Cov=0.000034, Var(idx)=0.000036, ρ=0.263,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4,311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σ_j=2.12%/j (Stable) — Vol. annualisée≈33.7%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3244"/>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324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2026-08-13</w:t>
            </w:r>
          </w:p>
        </w:tc>
        <w:tc>
          <w:tcPr>
            <w:tcW w:type="dxa" w:w="1440"/>
            <w:shd w:fill="FFDCE0" w:val="clear"/>
          </w:tcPr>
          <w:p>
            <w:r>
              <w:rPr>
                <w:sz w:val="17"/>
              </w:rPr>
              <w:t>2,063</w:t>
            </w:r>
          </w:p>
        </w:tc>
        <w:tc>
          <w:tcPr>
            <w:tcW w:type="dxa" w:w="1440"/>
            <w:shd w:fill="FFDCE0" w:val="clear"/>
          </w:tcPr>
          <w:p>
            <w:r>
              <w:rPr>
                <w:b/>
                <w:sz w:val="17"/>
              </w:rPr>
              <w:t>2,132</w:t>
            </w:r>
          </w:p>
        </w:tc>
        <w:tc>
          <w:tcPr>
            <w:tcW w:type="dxa" w:w="1440"/>
            <w:shd w:fill="FFDCE0" w:val="clear"/>
          </w:tcPr>
          <w:p>
            <w:r>
              <w:rPr>
                <w:sz w:val="17"/>
              </w:rPr>
              <w:t>2,202</w:t>
            </w:r>
          </w:p>
        </w:tc>
        <w:tc>
          <w:tcPr>
            <w:tcW w:type="dxa" w:w="1440"/>
            <w:shd w:fill="FFDCE0" w:val="clear"/>
          </w:tcPr>
          <w:p>
            <w:r>
              <w:rPr>
                <w:b/>
                <w:color w:val="C00000"/>
                <w:sz w:val="17"/>
              </w:rPr>
              <w:t>-5.2%</w:t>
            </w:r>
          </w:p>
        </w:tc>
      </w:tr>
      <w:tr>
        <w:tc>
          <w:tcPr>
            <w:tcW w:type="dxa" w:w="1440"/>
            <w:shd w:fill="FFDCE0" w:val="clear"/>
          </w:tcPr>
          <w:p>
            <w:r>
              <w:rPr>
                <w:sz w:val="17"/>
              </w:rPr>
              <w:t>J+2  ⭐⭐⭐</w:t>
            </w:r>
          </w:p>
        </w:tc>
        <w:tc>
          <w:tcPr>
            <w:tcW w:type="dxa" w:w="1440"/>
            <w:shd w:fill="FFDCE0" w:val="clear"/>
          </w:tcPr>
          <w:p>
            <w:r>
              <w:rPr>
                <w:sz w:val="17"/>
              </w:rPr>
              <w:t>2026-08-14</w:t>
            </w:r>
          </w:p>
        </w:tc>
        <w:tc>
          <w:tcPr>
            <w:tcW w:type="dxa" w:w="1440"/>
            <w:shd w:fill="FFDCE0" w:val="clear"/>
          </w:tcPr>
          <w:p>
            <w:r>
              <w:rPr>
                <w:sz w:val="17"/>
              </w:rPr>
              <w:t>1,949</w:t>
            </w:r>
          </w:p>
        </w:tc>
        <w:tc>
          <w:tcPr>
            <w:tcW w:type="dxa" w:w="1440"/>
            <w:shd w:fill="FFDCE0" w:val="clear"/>
          </w:tcPr>
          <w:p>
            <w:r>
              <w:rPr>
                <w:b/>
                <w:sz w:val="17"/>
              </w:rPr>
              <w:t>2,043</w:t>
            </w:r>
          </w:p>
        </w:tc>
        <w:tc>
          <w:tcPr>
            <w:tcW w:type="dxa" w:w="1440"/>
            <w:shd w:fill="FFDCE0" w:val="clear"/>
          </w:tcPr>
          <w:p>
            <w:r>
              <w:rPr>
                <w:sz w:val="17"/>
              </w:rPr>
              <w:t>2,137</w:t>
            </w:r>
          </w:p>
        </w:tc>
        <w:tc>
          <w:tcPr>
            <w:tcW w:type="dxa" w:w="1440"/>
            <w:shd w:fill="FFDCE0" w:val="clear"/>
          </w:tcPr>
          <w:p>
            <w:r>
              <w:rPr>
                <w:b/>
                <w:color w:val="C00000"/>
                <w:sz w:val="17"/>
              </w:rPr>
              <w:t>-9.2%</w:t>
            </w:r>
          </w:p>
        </w:tc>
      </w:tr>
      <w:tr>
        <w:tc>
          <w:tcPr>
            <w:tcW w:type="dxa" w:w="1440"/>
            <w:shd w:fill="FFDCE0" w:val="clear"/>
          </w:tcPr>
          <w:p>
            <w:r>
              <w:rPr>
                <w:sz w:val="17"/>
              </w:rPr>
              <w:t>J+3  ⭐⭐⭐</w:t>
            </w:r>
          </w:p>
        </w:tc>
        <w:tc>
          <w:tcPr>
            <w:tcW w:type="dxa" w:w="1440"/>
            <w:shd w:fill="FFDCE0" w:val="clear"/>
          </w:tcPr>
          <w:p>
            <w:r>
              <w:rPr>
                <w:sz w:val="17"/>
              </w:rPr>
              <w:t>2026-08-17</w:t>
            </w:r>
          </w:p>
        </w:tc>
        <w:tc>
          <w:tcPr>
            <w:tcW w:type="dxa" w:w="1440"/>
            <w:shd w:fill="FFDCE0" w:val="clear"/>
          </w:tcPr>
          <w:p>
            <w:r>
              <w:rPr>
                <w:sz w:val="17"/>
              </w:rPr>
              <w:t>1,853</w:t>
            </w:r>
          </w:p>
        </w:tc>
        <w:tc>
          <w:tcPr>
            <w:tcW w:type="dxa" w:w="1440"/>
            <w:shd w:fill="FFDCE0" w:val="clear"/>
          </w:tcPr>
          <w:p>
            <w:r>
              <w:rPr>
                <w:b/>
                <w:sz w:val="17"/>
              </w:rPr>
              <w:t>1,964</w:t>
            </w:r>
          </w:p>
        </w:tc>
        <w:tc>
          <w:tcPr>
            <w:tcW w:type="dxa" w:w="1440"/>
            <w:shd w:fill="FFDCE0" w:val="clear"/>
          </w:tcPr>
          <w:p>
            <w:r>
              <w:rPr>
                <w:sz w:val="17"/>
              </w:rPr>
              <w:t>2,075</w:t>
            </w:r>
          </w:p>
        </w:tc>
        <w:tc>
          <w:tcPr>
            <w:tcW w:type="dxa" w:w="1440"/>
            <w:shd w:fill="FFDCE0" w:val="clear"/>
          </w:tcPr>
          <w:p>
            <w:r>
              <w:rPr>
                <w:b/>
                <w:color w:val="C00000"/>
                <w:sz w:val="17"/>
              </w:rPr>
              <w:t>-12.7%</w:t>
            </w:r>
          </w:p>
        </w:tc>
      </w:tr>
      <w:tr>
        <w:tc>
          <w:tcPr>
            <w:tcW w:type="dxa" w:w="1440"/>
            <w:shd w:fill="FFDCE0" w:val="clear"/>
          </w:tcPr>
          <w:p>
            <w:r>
              <w:rPr>
                <w:sz w:val="17"/>
              </w:rPr>
              <w:t>J+4  Moyenne</w:t>
            </w:r>
          </w:p>
        </w:tc>
        <w:tc>
          <w:tcPr>
            <w:tcW w:type="dxa" w:w="1440"/>
            <w:shd w:fill="FFDCE0" w:val="clear"/>
          </w:tcPr>
          <w:p>
            <w:r>
              <w:rPr>
                <w:sz w:val="17"/>
              </w:rPr>
              <w:t>2026-08-18</w:t>
            </w:r>
          </w:p>
        </w:tc>
        <w:tc>
          <w:tcPr>
            <w:tcW w:type="dxa" w:w="1440"/>
            <w:shd w:fill="FFDCE0" w:val="clear"/>
          </w:tcPr>
          <w:p>
            <w:r>
              <w:rPr>
                <w:sz w:val="17"/>
              </w:rPr>
              <w:t>1,774</w:t>
            </w:r>
          </w:p>
        </w:tc>
        <w:tc>
          <w:tcPr>
            <w:tcW w:type="dxa" w:w="1440"/>
            <w:shd w:fill="FFDCE0" w:val="clear"/>
          </w:tcPr>
          <w:p>
            <w:r>
              <w:rPr>
                <w:b/>
                <w:sz w:val="17"/>
              </w:rPr>
              <w:t>1,897</w:t>
            </w:r>
          </w:p>
        </w:tc>
        <w:tc>
          <w:tcPr>
            <w:tcW w:type="dxa" w:w="1440"/>
            <w:shd w:fill="FFDCE0" w:val="clear"/>
          </w:tcPr>
          <w:p>
            <w:r>
              <w:rPr>
                <w:sz w:val="17"/>
              </w:rPr>
              <w:t>2,021</w:t>
            </w:r>
          </w:p>
        </w:tc>
        <w:tc>
          <w:tcPr>
            <w:tcW w:type="dxa" w:w="1440"/>
            <w:shd w:fill="FFDCE0" w:val="clear"/>
          </w:tcPr>
          <w:p>
            <w:r>
              <w:rPr>
                <w:b/>
                <w:color w:val="C00000"/>
                <w:sz w:val="17"/>
              </w:rPr>
              <w:t>-15.7%</w:t>
            </w:r>
          </w:p>
        </w:tc>
      </w:tr>
      <w:tr>
        <w:tc>
          <w:tcPr>
            <w:tcW w:type="dxa" w:w="1440"/>
            <w:shd w:fill="FFDCE0" w:val="clear"/>
          </w:tcPr>
          <w:p>
            <w:r>
              <w:rPr>
                <w:sz w:val="17"/>
              </w:rPr>
              <w:t>J+5  Moyenne</w:t>
            </w:r>
          </w:p>
        </w:tc>
        <w:tc>
          <w:tcPr>
            <w:tcW w:type="dxa" w:w="1440"/>
            <w:shd w:fill="FFDCE0" w:val="clear"/>
          </w:tcPr>
          <w:p>
            <w:r>
              <w:rPr>
                <w:sz w:val="17"/>
              </w:rPr>
              <w:t>2026-08-19</w:t>
            </w:r>
          </w:p>
        </w:tc>
        <w:tc>
          <w:tcPr>
            <w:tcW w:type="dxa" w:w="1440"/>
            <w:shd w:fill="FFDCE0" w:val="clear"/>
          </w:tcPr>
          <w:p>
            <w:r>
              <w:rPr>
                <w:sz w:val="17"/>
              </w:rPr>
              <w:t>1,707</w:t>
            </w:r>
          </w:p>
        </w:tc>
        <w:tc>
          <w:tcPr>
            <w:tcW w:type="dxa" w:w="1440"/>
            <w:shd w:fill="FFDCE0" w:val="clear"/>
          </w:tcPr>
          <w:p>
            <w:r>
              <w:rPr>
                <w:b/>
                <w:sz w:val="17"/>
              </w:rPr>
              <w:t>1,842</w:t>
            </w:r>
          </w:p>
        </w:tc>
        <w:tc>
          <w:tcPr>
            <w:tcW w:type="dxa" w:w="1440"/>
            <w:shd w:fill="FFDCE0" w:val="clear"/>
          </w:tcPr>
          <w:p>
            <w:r>
              <w:rPr>
                <w:sz w:val="17"/>
              </w:rPr>
              <w:t>1,976</w:t>
            </w:r>
          </w:p>
        </w:tc>
        <w:tc>
          <w:tcPr>
            <w:tcW w:type="dxa" w:w="1440"/>
            <w:shd w:fill="FFDCE0" w:val="clear"/>
          </w:tcPr>
          <w:p>
            <w:r>
              <w:rPr>
                <w:b/>
                <w:color w:val="C00000"/>
                <w:sz w:val="17"/>
              </w:rPr>
              <w:t>-18.1%</w:t>
            </w:r>
          </w:p>
        </w:tc>
      </w:tr>
      <w:tr>
        <w:tc>
          <w:tcPr>
            <w:tcW w:type="dxa" w:w="1440"/>
            <w:shd w:fill="FFDCE0" w:val="clear"/>
          </w:tcPr>
          <w:p>
            <w:r>
              <w:rPr>
                <w:sz w:val="17"/>
              </w:rPr>
              <w:t>J+6  Moyenne</w:t>
            </w:r>
          </w:p>
        </w:tc>
        <w:tc>
          <w:tcPr>
            <w:tcW w:type="dxa" w:w="1440"/>
            <w:shd w:fill="FFDCE0" w:val="clear"/>
          </w:tcPr>
          <w:p>
            <w:r>
              <w:rPr>
                <w:sz w:val="17"/>
              </w:rPr>
              <w:t>2026-08-20</w:t>
            </w:r>
          </w:p>
        </w:tc>
        <w:tc>
          <w:tcPr>
            <w:tcW w:type="dxa" w:w="1440"/>
            <w:shd w:fill="FFDCE0" w:val="clear"/>
          </w:tcPr>
          <w:p>
            <w:r>
              <w:rPr>
                <w:sz w:val="17"/>
              </w:rPr>
              <w:t>1,651</w:t>
            </w:r>
          </w:p>
        </w:tc>
        <w:tc>
          <w:tcPr>
            <w:tcW w:type="dxa" w:w="1440"/>
            <w:shd w:fill="FFDCE0" w:val="clear"/>
          </w:tcPr>
          <w:p>
            <w:r>
              <w:rPr>
                <w:b/>
                <w:sz w:val="17"/>
              </w:rPr>
              <w:t>1,794</w:t>
            </w:r>
          </w:p>
        </w:tc>
        <w:tc>
          <w:tcPr>
            <w:tcW w:type="dxa" w:w="1440"/>
            <w:shd w:fill="FFDCE0" w:val="clear"/>
          </w:tcPr>
          <w:p>
            <w:r>
              <w:rPr>
                <w:sz w:val="17"/>
              </w:rPr>
              <w:t>1,937</w:t>
            </w:r>
          </w:p>
        </w:tc>
        <w:tc>
          <w:tcPr>
            <w:tcW w:type="dxa" w:w="1440"/>
            <w:shd w:fill="FFDCE0" w:val="clear"/>
          </w:tcPr>
          <w:p>
            <w:r>
              <w:rPr>
                <w:b/>
                <w:color w:val="C00000"/>
                <w:sz w:val="17"/>
              </w:rPr>
              <w:t>-20.3%</w:t>
            </w:r>
          </w:p>
        </w:tc>
      </w:tr>
      <w:tr>
        <w:tc>
          <w:tcPr>
            <w:tcW w:type="dxa" w:w="1440"/>
            <w:shd w:fill="FFDCE0" w:val="clear"/>
          </w:tcPr>
          <w:p>
            <w:r>
              <w:rPr>
                <w:sz w:val="17"/>
              </w:rPr>
              <w:t>J+7  Moyenne</w:t>
            </w:r>
          </w:p>
        </w:tc>
        <w:tc>
          <w:tcPr>
            <w:tcW w:type="dxa" w:w="1440"/>
            <w:shd w:fill="FFDCE0" w:val="clear"/>
          </w:tcPr>
          <w:p>
            <w:r>
              <w:rPr>
                <w:sz w:val="17"/>
              </w:rPr>
              <w:t>2026-08-21</w:t>
            </w:r>
          </w:p>
        </w:tc>
        <w:tc>
          <w:tcPr>
            <w:tcW w:type="dxa" w:w="1440"/>
            <w:shd w:fill="FFDCE0" w:val="clear"/>
          </w:tcPr>
          <w:p>
            <w:r>
              <w:rPr>
                <w:sz w:val="17"/>
              </w:rPr>
              <w:t>1,601</w:t>
            </w:r>
          </w:p>
        </w:tc>
        <w:tc>
          <w:tcPr>
            <w:tcW w:type="dxa" w:w="1440"/>
            <w:shd w:fill="FFDCE0" w:val="clear"/>
          </w:tcPr>
          <w:p>
            <w:r>
              <w:rPr>
                <w:b/>
                <w:sz w:val="17"/>
              </w:rPr>
              <w:t>1,752</w:t>
            </w:r>
          </w:p>
        </w:tc>
        <w:tc>
          <w:tcPr>
            <w:tcW w:type="dxa" w:w="1440"/>
            <w:shd w:fill="FFDCE0" w:val="clear"/>
          </w:tcPr>
          <w:p>
            <w:r>
              <w:rPr>
                <w:sz w:val="17"/>
              </w:rPr>
              <w:t>1,903</w:t>
            </w:r>
          </w:p>
        </w:tc>
        <w:tc>
          <w:tcPr>
            <w:tcW w:type="dxa" w:w="1440"/>
            <w:shd w:fill="FFDCE0" w:val="clear"/>
          </w:tcPr>
          <w:p>
            <w:r>
              <w:rPr>
                <w:b/>
                <w:color w:val="C00000"/>
                <w:sz w:val="17"/>
              </w:rPr>
              <w:t>-22.1%</w:t>
            </w:r>
          </w:p>
        </w:tc>
      </w:tr>
      <w:tr>
        <w:tc>
          <w:tcPr>
            <w:tcW w:type="dxa" w:w="1440"/>
            <w:shd w:fill="FFDCE0" w:val="clear"/>
          </w:tcPr>
          <w:p>
            <w:r>
              <w:rPr>
                <w:sz w:val="17"/>
              </w:rPr>
              <w:t>J+8  Moyenne</w:t>
            </w:r>
          </w:p>
        </w:tc>
        <w:tc>
          <w:tcPr>
            <w:tcW w:type="dxa" w:w="1440"/>
            <w:shd w:fill="FFDCE0" w:val="clear"/>
          </w:tcPr>
          <w:p>
            <w:r>
              <w:rPr>
                <w:sz w:val="17"/>
              </w:rPr>
              <w:t>2026-08-24</w:t>
            </w:r>
          </w:p>
        </w:tc>
        <w:tc>
          <w:tcPr>
            <w:tcW w:type="dxa" w:w="1440"/>
            <w:shd w:fill="FFDCE0" w:val="clear"/>
          </w:tcPr>
          <w:p>
            <w:r>
              <w:rPr>
                <w:sz w:val="17"/>
              </w:rPr>
              <w:t>1,557</w:t>
            </w:r>
          </w:p>
        </w:tc>
        <w:tc>
          <w:tcPr>
            <w:tcW w:type="dxa" w:w="1440"/>
            <w:shd w:fill="FFDCE0" w:val="clear"/>
          </w:tcPr>
          <w:p>
            <w:r>
              <w:rPr>
                <w:b/>
                <w:sz w:val="17"/>
              </w:rPr>
              <w:t>1,715</w:t>
            </w:r>
          </w:p>
        </w:tc>
        <w:tc>
          <w:tcPr>
            <w:tcW w:type="dxa" w:w="1440"/>
            <w:shd w:fill="FFDCE0" w:val="clear"/>
          </w:tcPr>
          <w:p>
            <w:r>
              <w:rPr>
                <w:sz w:val="17"/>
              </w:rPr>
              <w:t>1,873</w:t>
            </w:r>
          </w:p>
        </w:tc>
        <w:tc>
          <w:tcPr>
            <w:tcW w:type="dxa" w:w="1440"/>
            <w:shd w:fill="FFDCE0" w:val="clear"/>
          </w:tcPr>
          <w:p>
            <w:r>
              <w:rPr>
                <w:b/>
                <w:color w:val="C00000"/>
                <w:sz w:val="17"/>
              </w:rPr>
              <w:t>-23.8%</w:t>
            </w:r>
          </w:p>
        </w:tc>
      </w:tr>
      <w:tr>
        <w:tc>
          <w:tcPr>
            <w:tcW w:type="dxa" w:w="1440"/>
            <w:shd w:fill="FFDCE0" w:val="clear"/>
          </w:tcPr>
          <w:p>
            <w:r>
              <w:rPr>
                <w:sz w:val="17"/>
              </w:rPr>
              <w:t>J+9  Moyenne</w:t>
            </w:r>
          </w:p>
        </w:tc>
        <w:tc>
          <w:tcPr>
            <w:tcW w:type="dxa" w:w="1440"/>
            <w:shd w:fill="FFDCE0" w:val="clear"/>
          </w:tcPr>
          <w:p>
            <w:r>
              <w:rPr>
                <w:sz w:val="17"/>
              </w:rPr>
              <w:t>2026-08-25</w:t>
            </w:r>
          </w:p>
        </w:tc>
        <w:tc>
          <w:tcPr>
            <w:tcW w:type="dxa" w:w="1440"/>
            <w:shd w:fill="FFDCE0" w:val="clear"/>
          </w:tcPr>
          <w:p>
            <w:r>
              <w:rPr>
                <w:sz w:val="17"/>
              </w:rPr>
              <w:t>1,517</w:t>
            </w:r>
          </w:p>
        </w:tc>
        <w:tc>
          <w:tcPr>
            <w:tcW w:type="dxa" w:w="1440"/>
            <w:shd w:fill="FFDCE0" w:val="clear"/>
          </w:tcPr>
          <w:p>
            <w:r>
              <w:rPr>
                <w:b/>
                <w:sz w:val="17"/>
              </w:rPr>
              <w:t>1,681</w:t>
            </w:r>
          </w:p>
        </w:tc>
        <w:tc>
          <w:tcPr>
            <w:tcW w:type="dxa" w:w="1440"/>
            <w:shd w:fill="FFDCE0" w:val="clear"/>
          </w:tcPr>
          <w:p>
            <w:r>
              <w:rPr>
                <w:sz w:val="17"/>
              </w:rPr>
              <w:t>1,845</w:t>
            </w:r>
          </w:p>
        </w:tc>
        <w:tc>
          <w:tcPr>
            <w:tcW w:type="dxa" w:w="1440"/>
            <w:shd w:fill="FFDCE0" w:val="clear"/>
          </w:tcPr>
          <w:p>
            <w:r>
              <w:rPr>
                <w:b/>
                <w:color w:val="C00000"/>
                <w:sz w:val="17"/>
              </w:rPr>
              <w:t>-25.3%</w:t>
            </w:r>
          </w:p>
        </w:tc>
      </w:tr>
      <w:tr>
        <w:tc>
          <w:tcPr>
            <w:tcW w:type="dxa" w:w="1440"/>
            <w:shd w:fill="FFDCE0" w:val="clear"/>
          </w:tcPr>
          <w:p>
            <w:r>
              <w:rPr>
                <w:sz w:val="17"/>
              </w:rPr>
              <w:t>J+10  Moyenne</w:t>
            </w:r>
          </w:p>
        </w:tc>
        <w:tc>
          <w:tcPr>
            <w:tcW w:type="dxa" w:w="1440"/>
            <w:shd w:fill="FFDCE0" w:val="clear"/>
          </w:tcPr>
          <w:p>
            <w:r>
              <w:rPr>
                <w:sz w:val="17"/>
              </w:rPr>
              <w:t>2026-08-27</w:t>
            </w:r>
          </w:p>
        </w:tc>
        <w:tc>
          <w:tcPr>
            <w:tcW w:type="dxa" w:w="1440"/>
            <w:shd w:fill="FFDCE0" w:val="clear"/>
          </w:tcPr>
          <w:p>
            <w:r>
              <w:rPr>
                <w:sz w:val="17"/>
              </w:rPr>
              <w:t>1,480</w:t>
            </w:r>
          </w:p>
        </w:tc>
        <w:tc>
          <w:tcPr>
            <w:tcW w:type="dxa" w:w="1440"/>
            <w:shd w:fill="FFDCE0" w:val="clear"/>
          </w:tcPr>
          <w:p>
            <w:r>
              <w:rPr>
                <w:b/>
                <w:sz w:val="17"/>
              </w:rPr>
              <w:t>1,650</w:t>
            </w:r>
          </w:p>
        </w:tc>
        <w:tc>
          <w:tcPr>
            <w:tcW w:type="dxa" w:w="1440"/>
            <w:shd w:fill="FFDCE0" w:val="clear"/>
          </w:tcPr>
          <w:p>
            <w:r>
              <w:rPr>
                <w:sz w:val="17"/>
              </w:rPr>
              <w:t>1,820</w:t>
            </w:r>
          </w:p>
        </w:tc>
        <w:tc>
          <w:tcPr>
            <w:tcW w:type="dxa" w:w="1440"/>
            <w:shd w:fill="FFDCE0" w:val="clear"/>
          </w:tcPr>
          <w:p>
            <w:r>
              <w:rPr>
                <w:b/>
                <w:color w:val="C00000"/>
                <w:sz w:val="17"/>
              </w:rPr>
              <w:t>-26.7%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141,75 milliards FCFA, ce qui positionne la société comme une valeur moyenne sur la BRVM, reflétant son statut de distributeur majeur de produits pétroliers en Côte d'Ivoire. Le BPA de 96 FCFA par action indique que chaque titre génère un bénéfice modeste, mais le PER de 23,5x est nettement supérieur à la moyenne du marché BRVM (8-12x), signalant que les investisseurs paient une prime significative pour la croissance anticipée ou la stabilité des dividendes. Le P/B de 5,22x confirme cette valorisation exigeante, le marché valorisant le titre bien au-delà de sa valeur comptable (5,22 fois les fonds propres). Enfin, l'EV/EBITDA de 12,8x se situe dans la fourchette haute (10-15x), indiquant que la valeur totale de l'entreprise (capitalisation + dette nette) reste élevée par rapport à sa capacité opérationnelle, ce qui suggère une valorisation optimiste intégrant des perspectives de croissance futures.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SHEC a enregistré une variation totale de +2,27%, avec une dernière séance en baisse de -1,53% à 2 250 FCFA, reflétant une légère consolidation après une période de hausse. Le cours a évolué dans une fourchette de 1 840 FCFA (plus bas) à 2 325 FCFA (plus haut), montrant une amplitude de 485 FCFA, soit environ 26% du plus bas, ce qui indique une volatilité intra-période notable. La moyenne du cours (2 102 FCFA) est inférieure à la médiane (2 155 FCFA), suggérant une distribution légèrement asymétrique avec des périodes de faiblesse plus marquées, tandis que le mode à 2 200 FCFA indique une concentration des échanges autour de ce niveau. L'écart-type de 122 FCFA (CV=5,8%) révèle une dispersion modérée autour de la moyenne, mais le kurtosis de -1,018 (distribution platykurtique) signale une faible concentration des extrêmes, réduisant le risque de pics soudains. Le skewness de -0,367, proche de zéro, confirme une distribution quasi symétrique. La volatilité annualisée de 33,7% classe le titre dans la catégorie élevée (&gt;30%), indiquant des fluctuations importantes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(2 219,75 FCFA) et la MM50 (2 171,7 FCFA) sont toutes deux inférieures au cours actuel de 2 250 FCFA, ce qui confirme une tendance haussière à court et moyen terme. Le croisement positif (MM20 &gt; MM50) renforce le signal d'achat, indiquant que la dynamique récente est favorable, avec un support dynamique autour de 2 172 FCFA.</w:t>
      </w:r>
    </w:p>
    <w:p>
      <w:pPr>
        <w:spacing w:after="120" w:line="276" w:lineRule="auto"/>
      </w:pPr>
      <w:r>
        <w:t>**Bandes de Bollinger** : Le cours se situe à 2 250 FCFA, entre la borne supérieure (2 349,67 FCFA) et la borne inférieure (2 089,83 FCFA), proche de la moyenne. La position neutre suggère une volatilité modérée sans excès, le titre n'étant ni suracheté ni survendu. L'écart entre les bornes (260 FCFA) reflète une volatilité normale, laissant place à un mouvement directionnel potentiel.</w:t>
      </w:r>
    </w:p>
    <w:p>
      <w:pPr>
        <w:spacing w:after="120" w:line="276" w:lineRule="auto"/>
      </w:pPr>
      <w:r>
        <w:t>**MACD** : La valeur du MACD (35,67) est supérieure à son signal (33,01), indiquant un momentum haussier positif. La divergence positive suggère une accélération de la tendance haussière, bien que l'écart reste modeste, ce qui justifie une décision d'achat prudente, sans signal de retournement imminent.</w:t>
      </w:r>
    </w:p>
    <w:p>
      <w:pPr>
        <w:spacing w:after="120" w:line="276" w:lineRule="auto"/>
      </w:pPr>
      <w:r>
        <w:t>**RSI** : Le RSI à 55,70 se situe dans la zone neutre (30-70), indiquant un équilibre entre pression acheteuse et vendeuse. Cette valeur reflète une dynamique positive sans surachat, laissant de la marge pour une hausse supplémentaire avant d'atteindre la zone de surachat (&gt;70).</w:t>
      </w:r>
    </w:p>
    <w:p>
      <w:pPr>
        <w:spacing w:after="120" w:line="276" w:lineRule="auto"/>
      </w:pPr>
      <w:r>
        <w:t>**Stochastique** : Le %K (65,12) est inférieur au %D (76,74), suggérant un croisement baissier potentiel à court terme, bien que les deux restent en zone positive. Cette configuration indique un ralentissement du momentum haussier, justifiant une décision neutre en attendant une clarification directionnelle.</w:t>
      </w:r>
    </w:p>
    <w:p>
      <w:pPr>
        <w:spacing w:after="120" w:line="276" w:lineRule="auto"/>
      </w:pPr>
      <w:r>
        <w:t>**Conclusion technique** : La majorité des indicateurs (MM, MACD) penchent vers un signal d'achat, soutenus par une tendance haussière, tandis que le RSI et les Bandes de Bollinger restent neutres, et le Stochastique montre un léger essoufflement. Globalement, la tendance reste positive mais avec des signaux de prudence à court terme, suggérant une consolidation possible avant une reprise.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SHEC (VIVO ENERGY CI) a réalisé un chiffre d'affaires de 604,978 milliards FCFA, en légère hausse de +0,71% par rapport à 2024 (600,708 milliards FCFA), avec un résultat net de 6,028 milliards FCFA, en progression de +12,6% (contre 5,354 milliards en 2024). La rentabilité des fonds propres (ROE) s'établit à 22,2%, un niveau excellent (&gt;15%), tandis que le ROA est de 3,11%, reflétant une utilisation efficace des actifs malgré une marge nette faible de 1%. La marge opérationnelle de 1,93% et le coefficient d'exploitation de 52,7% indiquent une gestion rigoureuse des charges. Le BFR de 15,315 milliards FCFA est positif, mais le délai clients de 23,27 jours et le délai fournisseurs de 35,47 jours montrent un équilibre acceptable, bien que le délai de stockage de 7,47 jours soit court. La trésorerie nette est fortement négative (-65,26 milliards FCFA), avec des dettes fournisseurs de 53,43 milliards FCFA, exposant la société à des tensions de liquidité. Sur la base du rapport T1 2026 (CA en baisse de -9% à 141,649 milliards FCFA) et du S1 2026 (CA de 305,038 milliards FCFA, -1%), on estime que l'exercice 2026 pourrait voir un CA stable autour de 600 milliards FCFA, avec un résultat net potentiellement en hausse modérée grâce à l'amélioration du résultat d'exploitation (+17% au S1 2026 à 6,133 milliards FCFA). Le dividende proposé de 6,09 milliards FCFA (taux de distribution de 101%) témoigne d'une politique généreuse mais fragile. La recommandation fondamentale est de conserver, la société étant bénéficiaire mais confrontée à des défis de trésorerie et de croissance limitée.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SHEC (PER 23,5x, P/B 5,22x, EV/EBITDA 12,8x) indique une surévaluation relative par rapport au marché BRVM, les investisseurs payant une prime pour des fondamentaux solides mais une croissance modeste. Le comportement du cours sur 100 jours (+2,27%) montre une tendance stable mais avec une volatilité élevée (33,7%), et les statistiques (kurtosis platykurtique, skewness symétrique) suggèrent un risque de mouvements brusques limité. Les signaux techniques sont globalement positifs (MM et MACD en achat) mais avec des nuances (RSI neutre, Stochastique en ralentissement), indiquant une dynamique haussière fragile. Les fondamentaux sont solides (ROE de 22,2%, résultat net en hausse de 12,6% en 2025) mais assombris par une trésorerie nette très négative (-65,26 milliards FCFA) et une marge nette faible (1%). Les prédictions IA pour les 10 prochains jours (2 132 à 1 842 FCFA) anticipent une baisse significative, contredisant les signaux techniques et suggérant une correction à court terme. En synthèse, la convergence entre la surévaluation, la fragilité financière et les prédictions baissières l'emporte sur les signaux techniques positifs. **Recommandation finale : VENTE**, avec un niveau de confiance **Moyen** et un risque global **Élevé**. L'horizon d'investissement optimal serait à **court terme (&lt;3 mois)** pour les investisseurs cherchant à réduire leur exposition, tandis que les investisseurs de long terme pourraient attendre une amélioration de la structure financière avant d'envisager un réinvestissement.</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912.00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8,774 titres</w:t>
            </w:r>
          </w:p>
        </w:tc>
        <w:tc>
          <w:tcPr>
            <w:tcW w:type="dxa" w:w="2268"/>
            <w:shd w:fill="FFF2CC" w:val="clear"/>
          </w:tcPr>
          <w:p>
            <w:r>
              <w:rPr>
                <w:b/>
                <w:color w:val="503200"/>
                <w:sz w:val="16"/>
              </w:rPr>
              <w:t xml:space="preserve">Cours actuel : </w:t>
            </w:r>
            <w:r>
              <w:rPr>
                <w:color w:val="000000"/>
                <w:sz w:val="17"/>
              </w:rPr>
              <w:t>9,120 FCFA</w:t>
            </w:r>
          </w:p>
          <w:p>
            <w:r>
              <w:rPr>
                <w:b/>
                <w:color w:val="503200"/>
                <w:sz w:val="16"/>
              </w:rPr>
              <w:t xml:space="preserve">Var. 100 jours : </w:t>
            </w:r>
            <w:r>
              <w:rPr>
                <w:b/>
                <w:color w:val="007800"/>
                <w:sz w:val="17"/>
              </w:rPr>
              <w:t>+29.36%</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11.21% (Moyenne) — μ=8,067 FCFA, σ=904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β=0.6049 (Défensif) — Cov=0.000022, Var(idx)=0.000036, ρ=0.202,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8,774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3244"/>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324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2026-08-13</w:t>
            </w:r>
          </w:p>
        </w:tc>
        <w:tc>
          <w:tcPr>
            <w:tcW w:type="dxa" w:w="1440"/>
            <w:shd w:fill="FFDCE0" w:val="clear"/>
          </w:tcPr>
          <w:p>
            <w:r>
              <w:rPr>
                <w:sz w:val="17"/>
              </w:rPr>
              <w:t>8,498</w:t>
            </w:r>
          </w:p>
        </w:tc>
        <w:tc>
          <w:tcPr>
            <w:tcW w:type="dxa" w:w="1440"/>
            <w:shd w:fill="FFDCE0" w:val="clear"/>
          </w:tcPr>
          <w:p>
            <w:r>
              <w:rPr>
                <w:b/>
                <w:sz w:val="17"/>
              </w:rPr>
              <w:t>8,776</w:t>
            </w:r>
          </w:p>
        </w:tc>
        <w:tc>
          <w:tcPr>
            <w:tcW w:type="dxa" w:w="1440"/>
            <w:shd w:fill="FFDCE0" w:val="clear"/>
          </w:tcPr>
          <w:p>
            <w:r>
              <w:rPr>
                <w:sz w:val="17"/>
              </w:rPr>
              <w:t>9,054</w:t>
            </w:r>
          </w:p>
        </w:tc>
        <w:tc>
          <w:tcPr>
            <w:tcW w:type="dxa" w:w="1440"/>
            <w:shd w:fill="FFDCE0" w:val="clear"/>
          </w:tcPr>
          <w:p>
            <w:r>
              <w:rPr>
                <w:b/>
                <w:color w:val="C00000"/>
                <w:sz w:val="17"/>
              </w:rPr>
              <w:t>-3.8%</w:t>
            </w:r>
          </w:p>
        </w:tc>
      </w:tr>
      <w:tr>
        <w:tc>
          <w:tcPr>
            <w:tcW w:type="dxa" w:w="1440"/>
            <w:shd w:fill="FFDCE0" w:val="clear"/>
          </w:tcPr>
          <w:p>
            <w:r>
              <w:rPr>
                <w:sz w:val="17"/>
              </w:rPr>
              <w:t>J+2  ⭐⭐⭐</w:t>
            </w:r>
          </w:p>
        </w:tc>
        <w:tc>
          <w:tcPr>
            <w:tcW w:type="dxa" w:w="1440"/>
            <w:shd w:fill="FFDCE0" w:val="clear"/>
          </w:tcPr>
          <w:p>
            <w:r>
              <w:rPr>
                <w:sz w:val="17"/>
              </w:rPr>
              <w:t>2026-08-14</w:t>
            </w:r>
          </w:p>
        </w:tc>
        <w:tc>
          <w:tcPr>
            <w:tcW w:type="dxa" w:w="1440"/>
            <w:shd w:fill="FFDCE0" w:val="clear"/>
          </w:tcPr>
          <w:p>
            <w:r>
              <w:rPr>
                <w:sz w:val="17"/>
              </w:rPr>
              <w:t>8,087</w:t>
            </w:r>
          </w:p>
        </w:tc>
        <w:tc>
          <w:tcPr>
            <w:tcW w:type="dxa" w:w="1440"/>
            <w:shd w:fill="FFDCE0" w:val="clear"/>
          </w:tcPr>
          <w:p>
            <w:r>
              <w:rPr>
                <w:b/>
                <w:sz w:val="17"/>
              </w:rPr>
              <w:t>8,466</w:t>
            </w:r>
          </w:p>
        </w:tc>
        <w:tc>
          <w:tcPr>
            <w:tcW w:type="dxa" w:w="1440"/>
            <w:shd w:fill="FFDCE0" w:val="clear"/>
          </w:tcPr>
          <w:p>
            <w:r>
              <w:rPr>
                <w:sz w:val="17"/>
              </w:rPr>
              <w:t>8,845</w:t>
            </w:r>
          </w:p>
        </w:tc>
        <w:tc>
          <w:tcPr>
            <w:tcW w:type="dxa" w:w="1440"/>
            <w:shd w:fill="FFDCE0" w:val="clear"/>
          </w:tcPr>
          <w:p>
            <w:r>
              <w:rPr>
                <w:b/>
                <w:color w:val="C00000"/>
                <w:sz w:val="17"/>
              </w:rPr>
              <w:t>-7.2%</w:t>
            </w:r>
          </w:p>
        </w:tc>
      </w:tr>
      <w:tr>
        <w:tc>
          <w:tcPr>
            <w:tcW w:type="dxa" w:w="1440"/>
            <w:shd w:fill="FFDCE0" w:val="clear"/>
          </w:tcPr>
          <w:p>
            <w:r>
              <w:rPr>
                <w:sz w:val="17"/>
              </w:rPr>
              <w:t>J+3  ⭐⭐⭐</w:t>
            </w:r>
          </w:p>
        </w:tc>
        <w:tc>
          <w:tcPr>
            <w:tcW w:type="dxa" w:w="1440"/>
            <w:shd w:fill="FFDCE0" w:val="clear"/>
          </w:tcPr>
          <w:p>
            <w:r>
              <w:rPr>
                <w:sz w:val="17"/>
              </w:rPr>
              <w:t>2026-08-17</w:t>
            </w:r>
          </w:p>
        </w:tc>
        <w:tc>
          <w:tcPr>
            <w:tcW w:type="dxa" w:w="1440"/>
            <w:shd w:fill="FFDCE0" w:val="clear"/>
          </w:tcPr>
          <w:p>
            <w:r>
              <w:rPr>
                <w:sz w:val="17"/>
              </w:rPr>
              <w:t>7,756</w:t>
            </w:r>
          </w:p>
        </w:tc>
        <w:tc>
          <w:tcPr>
            <w:tcW w:type="dxa" w:w="1440"/>
            <w:shd w:fill="FFDCE0" w:val="clear"/>
          </w:tcPr>
          <w:p>
            <w:r>
              <w:rPr>
                <w:b/>
                <w:sz w:val="17"/>
              </w:rPr>
              <w:t>8,206</w:t>
            </w:r>
          </w:p>
        </w:tc>
        <w:tc>
          <w:tcPr>
            <w:tcW w:type="dxa" w:w="1440"/>
            <w:shd w:fill="FFDCE0" w:val="clear"/>
          </w:tcPr>
          <w:p>
            <w:r>
              <w:rPr>
                <w:sz w:val="17"/>
              </w:rPr>
              <w:t>8,656</w:t>
            </w:r>
          </w:p>
        </w:tc>
        <w:tc>
          <w:tcPr>
            <w:tcW w:type="dxa" w:w="1440"/>
            <w:shd w:fill="FFDCE0" w:val="clear"/>
          </w:tcPr>
          <w:p>
            <w:r>
              <w:rPr>
                <w:b/>
                <w:color w:val="C00000"/>
                <w:sz w:val="17"/>
              </w:rPr>
              <w:t>-10.0%</w:t>
            </w:r>
          </w:p>
        </w:tc>
      </w:tr>
      <w:tr>
        <w:tc>
          <w:tcPr>
            <w:tcW w:type="dxa" w:w="1440"/>
            <w:shd w:fill="FFDCE0" w:val="clear"/>
          </w:tcPr>
          <w:p>
            <w:r>
              <w:rPr>
                <w:sz w:val="17"/>
              </w:rPr>
              <w:t>J+4  Moyenne</w:t>
            </w:r>
          </w:p>
        </w:tc>
        <w:tc>
          <w:tcPr>
            <w:tcW w:type="dxa" w:w="1440"/>
            <w:shd w:fill="FFDCE0" w:val="clear"/>
          </w:tcPr>
          <w:p>
            <w:r>
              <w:rPr>
                <w:sz w:val="17"/>
              </w:rPr>
              <w:t>2026-08-18</w:t>
            </w:r>
          </w:p>
        </w:tc>
        <w:tc>
          <w:tcPr>
            <w:tcW w:type="dxa" w:w="1440"/>
            <w:shd w:fill="FFDCE0" w:val="clear"/>
          </w:tcPr>
          <w:p>
            <w:r>
              <w:rPr>
                <w:sz w:val="17"/>
              </w:rPr>
              <w:t>7,485</w:t>
            </w:r>
          </w:p>
        </w:tc>
        <w:tc>
          <w:tcPr>
            <w:tcW w:type="dxa" w:w="1440"/>
            <w:shd w:fill="FFDCE0" w:val="clear"/>
          </w:tcPr>
          <w:p>
            <w:r>
              <w:rPr>
                <w:b/>
                <w:sz w:val="17"/>
              </w:rPr>
              <w:t>7,992</w:t>
            </w:r>
          </w:p>
        </w:tc>
        <w:tc>
          <w:tcPr>
            <w:tcW w:type="dxa" w:w="1440"/>
            <w:shd w:fill="FFDCE0" w:val="clear"/>
          </w:tcPr>
          <w:p>
            <w:r>
              <w:rPr>
                <w:sz w:val="17"/>
              </w:rPr>
              <w:t>8,498</w:t>
            </w:r>
          </w:p>
        </w:tc>
        <w:tc>
          <w:tcPr>
            <w:tcW w:type="dxa" w:w="1440"/>
            <w:shd w:fill="FFDCE0" w:val="clear"/>
          </w:tcPr>
          <w:p>
            <w:r>
              <w:rPr>
                <w:b/>
                <w:color w:val="C00000"/>
                <w:sz w:val="17"/>
              </w:rPr>
              <w:t>-12.4%</w:t>
            </w:r>
          </w:p>
        </w:tc>
      </w:tr>
      <w:tr>
        <w:tc>
          <w:tcPr>
            <w:tcW w:type="dxa" w:w="1440"/>
            <w:shd w:fill="FFDCE0" w:val="clear"/>
          </w:tcPr>
          <w:p>
            <w:r>
              <w:rPr>
                <w:sz w:val="17"/>
              </w:rPr>
              <w:t>J+5  Moyenne</w:t>
            </w:r>
          </w:p>
        </w:tc>
        <w:tc>
          <w:tcPr>
            <w:tcW w:type="dxa" w:w="1440"/>
            <w:shd w:fill="FFDCE0" w:val="clear"/>
          </w:tcPr>
          <w:p>
            <w:r>
              <w:rPr>
                <w:sz w:val="17"/>
              </w:rPr>
              <w:t>2026-08-19</w:t>
            </w:r>
          </w:p>
        </w:tc>
        <w:tc>
          <w:tcPr>
            <w:tcW w:type="dxa" w:w="1440"/>
            <w:shd w:fill="FFDCE0" w:val="clear"/>
          </w:tcPr>
          <w:p>
            <w:r>
              <w:rPr>
                <w:sz w:val="17"/>
              </w:rPr>
              <w:t>7,257</w:t>
            </w:r>
          </w:p>
        </w:tc>
        <w:tc>
          <w:tcPr>
            <w:tcW w:type="dxa" w:w="1440"/>
            <w:shd w:fill="FFDCE0" w:val="clear"/>
          </w:tcPr>
          <w:p>
            <w:r>
              <w:rPr>
                <w:b/>
                <w:sz w:val="17"/>
              </w:rPr>
              <w:t>7,810</w:t>
            </w:r>
          </w:p>
        </w:tc>
        <w:tc>
          <w:tcPr>
            <w:tcW w:type="dxa" w:w="1440"/>
            <w:shd w:fill="FFDCE0" w:val="clear"/>
          </w:tcPr>
          <w:p>
            <w:r>
              <w:rPr>
                <w:sz w:val="17"/>
              </w:rPr>
              <w:t>8,363</w:t>
            </w:r>
          </w:p>
        </w:tc>
        <w:tc>
          <w:tcPr>
            <w:tcW w:type="dxa" w:w="1440"/>
            <w:shd w:fill="FFDCE0" w:val="clear"/>
          </w:tcPr>
          <w:p>
            <w:r>
              <w:rPr>
                <w:b/>
                <w:color w:val="C00000"/>
                <w:sz w:val="17"/>
              </w:rPr>
              <w:t>-14.4%</w:t>
            </w:r>
          </w:p>
        </w:tc>
      </w:tr>
      <w:tr>
        <w:tc>
          <w:tcPr>
            <w:tcW w:type="dxa" w:w="1440"/>
            <w:shd w:fill="FFDCE0" w:val="clear"/>
          </w:tcPr>
          <w:p>
            <w:r>
              <w:rPr>
                <w:sz w:val="17"/>
              </w:rPr>
              <w:t>J+6  Moyenne</w:t>
            </w:r>
          </w:p>
        </w:tc>
        <w:tc>
          <w:tcPr>
            <w:tcW w:type="dxa" w:w="1440"/>
            <w:shd w:fill="FFDCE0" w:val="clear"/>
          </w:tcPr>
          <w:p>
            <w:r>
              <w:rPr>
                <w:sz w:val="17"/>
              </w:rPr>
              <w:t>2026-08-20</w:t>
            </w:r>
          </w:p>
        </w:tc>
        <w:tc>
          <w:tcPr>
            <w:tcW w:type="dxa" w:w="1440"/>
            <w:shd w:fill="FFDCE0" w:val="clear"/>
          </w:tcPr>
          <w:p>
            <w:r>
              <w:rPr>
                <w:sz w:val="17"/>
              </w:rPr>
              <w:t>7,060</w:t>
            </w:r>
          </w:p>
        </w:tc>
        <w:tc>
          <w:tcPr>
            <w:tcW w:type="dxa" w:w="1440"/>
            <w:shd w:fill="FFDCE0" w:val="clear"/>
          </w:tcPr>
          <w:p>
            <w:r>
              <w:rPr>
                <w:b/>
                <w:sz w:val="17"/>
              </w:rPr>
              <w:t>7,653</w:t>
            </w:r>
          </w:p>
        </w:tc>
        <w:tc>
          <w:tcPr>
            <w:tcW w:type="dxa" w:w="1440"/>
            <w:shd w:fill="FFDCE0" w:val="clear"/>
          </w:tcPr>
          <w:p>
            <w:r>
              <w:rPr>
                <w:sz w:val="17"/>
              </w:rPr>
              <w:t>8,247</w:t>
            </w:r>
          </w:p>
        </w:tc>
        <w:tc>
          <w:tcPr>
            <w:tcW w:type="dxa" w:w="1440"/>
            <w:shd w:fill="FFDCE0" w:val="clear"/>
          </w:tcPr>
          <w:p>
            <w:r>
              <w:rPr>
                <w:b/>
                <w:color w:val="C00000"/>
                <w:sz w:val="17"/>
              </w:rPr>
              <w:t>-16.1%</w:t>
            </w:r>
          </w:p>
        </w:tc>
      </w:tr>
      <w:tr>
        <w:tc>
          <w:tcPr>
            <w:tcW w:type="dxa" w:w="1440"/>
            <w:shd w:fill="FFDCE0" w:val="clear"/>
          </w:tcPr>
          <w:p>
            <w:r>
              <w:rPr>
                <w:sz w:val="17"/>
              </w:rPr>
              <w:t>J+7  Moyenne</w:t>
            </w:r>
          </w:p>
        </w:tc>
        <w:tc>
          <w:tcPr>
            <w:tcW w:type="dxa" w:w="1440"/>
            <w:shd w:fill="FFDCE0" w:val="clear"/>
          </w:tcPr>
          <w:p>
            <w:r>
              <w:rPr>
                <w:sz w:val="17"/>
              </w:rPr>
              <w:t>2026-08-21</w:t>
            </w:r>
          </w:p>
        </w:tc>
        <w:tc>
          <w:tcPr>
            <w:tcW w:type="dxa" w:w="1440"/>
            <w:shd w:fill="FFDCE0" w:val="clear"/>
          </w:tcPr>
          <w:p>
            <w:r>
              <w:rPr>
                <w:sz w:val="17"/>
              </w:rPr>
              <w:t>6,885</w:t>
            </w:r>
          </w:p>
        </w:tc>
        <w:tc>
          <w:tcPr>
            <w:tcW w:type="dxa" w:w="1440"/>
            <w:shd w:fill="FFDCE0" w:val="clear"/>
          </w:tcPr>
          <w:p>
            <w:r>
              <w:rPr>
                <w:b/>
                <w:sz w:val="17"/>
              </w:rPr>
              <w:t>7,515</w:t>
            </w:r>
          </w:p>
        </w:tc>
        <w:tc>
          <w:tcPr>
            <w:tcW w:type="dxa" w:w="1440"/>
            <w:shd w:fill="FFDCE0" w:val="clear"/>
          </w:tcPr>
          <w:p>
            <w:r>
              <w:rPr>
                <w:sz w:val="17"/>
              </w:rPr>
              <w:t>8,145</w:t>
            </w:r>
          </w:p>
        </w:tc>
        <w:tc>
          <w:tcPr>
            <w:tcW w:type="dxa" w:w="1440"/>
            <w:shd w:fill="FFDCE0" w:val="clear"/>
          </w:tcPr>
          <w:p>
            <w:r>
              <w:rPr>
                <w:b/>
                <w:color w:val="C00000"/>
                <w:sz w:val="17"/>
              </w:rPr>
              <w:t>-17.6%</w:t>
            </w:r>
          </w:p>
        </w:tc>
      </w:tr>
      <w:tr>
        <w:tc>
          <w:tcPr>
            <w:tcW w:type="dxa" w:w="1440"/>
            <w:shd w:fill="FFDCE0" w:val="clear"/>
          </w:tcPr>
          <w:p>
            <w:r>
              <w:rPr>
                <w:sz w:val="17"/>
              </w:rPr>
              <w:t>J+8  Moyenne</w:t>
            </w:r>
          </w:p>
        </w:tc>
        <w:tc>
          <w:tcPr>
            <w:tcW w:type="dxa" w:w="1440"/>
            <w:shd w:fill="FFDCE0" w:val="clear"/>
          </w:tcPr>
          <w:p>
            <w:r>
              <w:rPr>
                <w:sz w:val="17"/>
              </w:rPr>
              <w:t>2026-08-24</w:t>
            </w:r>
          </w:p>
        </w:tc>
        <w:tc>
          <w:tcPr>
            <w:tcW w:type="dxa" w:w="1440"/>
            <w:shd w:fill="FFDCE0" w:val="clear"/>
          </w:tcPr>
          <w:p>
            <w:r>
              <w:rPr>
                <w:sz w:val="17"/>
              </w:rPr>
              <w:t>6,729</w:t>
            </w:r>
          </w:p>
        </w:tc>
        <w:tc>
          <w:tcPr>
            <w:tcW w:type="dxa" w:w="1440"/>
            <w:shd w:fill="FFDCE0" w:val="clear"/>
          </w:tcPr>
          <w:p>
            <w:r>
              <w:rPr>
                <w:b/>
                <w:sz w:val="17"/>
              </w:rPr>
              <w:t>7,391</w:t>
            </w:r>
          </w:p>
        </w:tc>
        <w:tc>
          <w:tcPr>
            <w:tcW w:type="dxa" w:w="1440"/>
            <w:shd w:fill="FFDCE0" w:val="clear"/>
          </w:tcPr>
          <w:p>
            <w:r>
              <w:rPr>
                <w:sz w:val="17"/>
              </w:rPr>
              <w:t>8,053</w:t>
            </w:r>
          </w:p>
        </w:tc>
        <w:tc>
          <w:tcPr>
            <w:tcW w:type="dxa" w:w="1440"/>
            <w:shd w:fill="FFDCE0" w:val="clear"/>
          </w:tcPr>
          <w:p>
            <w:r>
              <w:rPr>
                <w:b/>
                <w:color w:val="C00000"/>
                <w:sz w:val="17"/>
              </w:rPr>
              <w:t>-19.0%</w:t>
            </w:r>
          </w:p>
        </w:tc>
      </w:tr>
      <w:tr>
        <w:tc>
          <w:tcPr>
            <w:tcW w:type="dxa" w:w="1440"/>
            <w:shd w:fill="FFDCE0" w:val="clear"/>
          </w:tcPr>
          <w:p>
            <w:r>
              <w:rPr>
                <w:sz w:val="17"/>
              </w:rPr>
              <w:t>J+9  Moyenne</w:t>
            </w:r>
          </w:p>
        </w:tc>
        <w:tc>
          <w:tcPr>
            <w:tcW w:type="dxa" w:w="1440"/>
            <w:shd w:fill="FFDCE0" w:val="clear"/>
          </w:tcPr>
          <w:p>
            <w:r>
              <w:rPr>
                <w:sz w:val="17"/>
              </w:rPr>
              <w:t>2026-08-25</w:t>
            </w:r>
          </w:p>
        </w:tc>
        <w:tc>
          <w:tcPr>
            <w:tcW w:type="dxa" w:w="1440"/>
            <w:shd w:fill="FFDCE0" w:val="clear"/>
          </w:tcPr>
          <w:p>
            <w:r>
              <w:rPr>
                <w:sz w:val="17"/>
              </w:rPr>
              <w:t>6,587</w:t>
            </w:r>
          </w:p>
        </w:tc>
        <w:tc>
          <w:tcPr>
            <w:tcW w:type="dxa" w:w="1440"/>
            <w:shd w:fill="FFDCE0" w:val="clear"/>
          </w:tcPr>
          <w:p>
            <w:r>
              <w:rPr>
                <w:b/>
                <w:sz w:val="17"/>
              </w:rPr>
              <w:t>7,278</w:t>
            </w:r>
          </w:p>
        </w:tc>
        <w:tc>
          <w:tcPr>
            <w:tcW w:type="dxa" w:w="1440"/>
            <w:shd w:fill="FFDCE0" w:val="clear"/>
          </w:tcPr>
          <w:p>
            <w:r>
              <w:rPr>
                <w:sz w:val="17"/>
              </w:rPr>
              <w:t>7,970</w:t>
            </w:r>
          </w:p>
        </w:tc>
        <w:tc>
          <w:tcPr>
            <w:tcW w:type="dxa" w:w="1440"/>
            <w:shd w:fill="FFDCE0" w:val="clear"/>
          </w:tcPr>
          <w:p>
            <w:r>
              <w:rPr>
                <w:b/>
                <w:color w:val="C00000"/>
                <w:sz w:val="17"/>
              </w:rPr>
              <w:t>-20.2%</w:t>
            </w:r>
          </w:p>
        </w:tc>
      </w:tr>
      <w:tr>
        <w:tc>
          <w:tcPr>
            <w:tcW w:type="dxa" w:w="1440"/>
            <w:shd w:fill="FFDCE0" w:val="clear"/>
          </w:tcPr>
          <w:p>
            <w:r>
              <w:rPr>
                <w:sz w:val="17"/>
              </w:rPr>
              <w:t>J+10  Moyenne</w:t>
            </w:r>
          </w:p>
        </w:tc>
        <w:tc>
          <w:tcPr>
            <w:tcW w:type="dxa" w:w="1440"/>
            <w:shd w:fill="FFDCE0" w:val="clear"/>
          </w:tcPr>
          <w:p>
            <w:r>
              <w:rPr>
                <w:sz w:val="17"/>
              </w:rPr>
              <w:t>2026-08-27</w:t>
            </w:r>
          </w:p>
        </w:tc>
        <w:tc>
          <w:tcPr>
            <w:tcW w:type="dxa" w:w="1440"/>
            <w:shd w:fill="FFDCE0" w:val="clear"/>
          </w:tcPr>
          <w:p>
            <w:r>
              <w:rPr>
                <w:sz w:val="17"/>
              </w:rPr>
              <w:t>6,457</w:t>
            </w:r>
          </w:p>
        </w:tc>
        <w:tc>
          <w:tcPr>
            <w:tcW w:type="dxa" w:w="1440"/>
            <w:shd w:fill="FFDCE0" w:val="clear"/>
          </w:tcPr>
          <w:p>
            <w:r>
              <w:rPr>
                <w:b/>
                <w:sz w:val="17"/>
              </w:rPr>
              <w:t>7,175</w:t>
            </w:r>
          </w:p>
        </w:tc>
        <w:tc>
          <w:tcPr>
            <w:tcW w:type="dxa" w:w="1440"/>
            <w:shd w:fill="FFDCE0" w:val="clear"/>
          </w:tcPr>
          <w:p>
            <w:r>
              <w:rPr>
                <w:sz w:val="17"/>
              </w:rPr>
              <w:t>7,894</w:t>
            </w:r>
          </w:p>
        </w:tc>
        <w:tc>
          <w:tcPr>
            <w:tcW w:type="dxa" w:w="1440"/>
            <w:shd w:fill="FFDCE0" w:val="clear"/>
          </w:tcPr>
          <w:p>
            <w:r>
              <w:rPr>
                <w:b/>
                <w:color w:val="C00000"/>
                <w:sz w:val="17"/>
              </w:rPr>
              <w:t>-21.3%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Absolument. Voici votre rapport d'analyse financière structuré pour l'action SIBC,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SIBC s'établit à **912 milliards FCFA**, ce qui en fait l'une des plus importantes capitalisations de la BRVM, reflétant son statut de banque systémique de premier plan en Côte d'Ivoire. Avec un BPA de **556 FCFA**, le titre se négocie à un **PER de 16,4x**, une valorisation qui se situe nettement au-dessus de la moyenne historique du marché (8-12x). Les investisseurs acceptent donc de payer une prime substantielle pour la qualité des bénéfices de la banque. Cette prime est confirmée par un **P/B de 4,45x**, indiquant que le marché valorise fortement les capitaux propres de la société, bien au-delà de leur valeur comptable. Enfin, un **EV/EBITDA de 15,2x** souligne que la valeur totale de l'entreprise (dette incluse) est également très exigeante par rapport à sa capacité opérationnelle. Ces ratios, dans leur ensemble, signalent une valorisation exigeante qui anticipe une poursuite de la forte croissance.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SIBC a affiché une performance remarquable avec une **hausse de +29,36%**, bien que la dernière séance ait enregistré un recul de **-4,00%**. Le titre a évolué dans une fourchette large de **6 805 FCFA** (plus bas) à **9 500 FCFA** (plus haut), démontrant une forte dynamique haussière. Les statistiques descriptives révèlent un cours moyen de **8 067 FCFA**, inférieur à la médiane de **8 580 FCFA**, ce qui suggère une asymétrie positive sur la période récente, tirée par les plus hauts. L'écart-type de **909 FCFA** (CV=11,3%) indique une dispersion modérée des prix autour de la moyenne. Le **kurtosis de -1,757** (distribution platykurtique) est un signe positif, indiquant une faible probabilité de mouvements extrêmes ou de "pics" de volatilité. Le **skewness de -0,146** confirme une distribution quasi symétrique, sans biais directionnel marqué. Enfin, la **volatilité annualisée de 28,5%** classe le titre dans la catégorie "modérée à élevée", ce qui est courant pour les valeurs bancaires de la région et offre un potentiel de rendement proportionnel au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9 120 FCFA se positionne au-dessus de la MM20 (8 977 FCFA) et de la MM50 (8 906,9 FCFA). Cette configuration, où le prix est soutenu par les deux moyennes, est un signal haussier classique. La pente positive des moyennes confirme la tendance de fond. La décision d'**Achat** est donc justifiée par cette structure technique saine.</w:t>
      </w:r>
    </w:p>
    <w:p>
      <w:pPr>
        <w:spacing w:after="120" w:line="276" w:lineRule="auto"/>
      </w:pPr>
      <w:r>
        <w:t>**Bandes de Bollinger** : Le prix se situe à l'intérieur des bandes, entre la borne supérieure (9 486,3 FCFA) et la borne inférieure (8 467,7 FCFA). Cette position neutre, après une période de forte hausse, indique une phase de consolidation ou de respiration du marché. La largeur des bandes reflète la volatilité récente. La décision **Neutre** est appropriée, car le titre n'est ni suracheté à l'extrême ni survendu.</w:t>
      </w:r>
    </w:p>
    <w:p>
      <w:pPr>
        <w:spacing w:after="120" w:line="276" w:lineRule="auto"/>
      </w:pPr>
      <w:r>
        <w:t>**MACD** : La valeur du MACD (137,5) est supérieure à sa ligne de signal (108,5), et les deux sont en territoire positif. Cette configuration montre que le momentum haussier reste solide et s'accélère. La décision d'**Achat** est cohérente avec cette dynamique positive qui soutient la tendance de fond.</w:t>
      </w:r>
    </w:p>
    <w:p>
      <w:pPr>
        <w:spacing w:after="120" w:line="276" w:lineRule="auto"/>
      </w:pPr>
      <w:r>
        <w:t>**RSI** : Avec une valeur de **55,97**, le RSI se situe en zone neutre, entre 30 et 70. Cela indique que le titre n'est ni suracheté (ce qui pourrait précéder une correction) ni survendu (ce qui pourrait signaler une opportunité d'achat). La décision **Neutre** est correcte, laissant une marge de manœuvre avant d'atteindre des zones d'épuisement.</w:t>
      </w:r>
    </w:p>
    <w:p>
      <w:pPr>
        <w:spacing w:after="120" w:line="276" w:lineRule="auto"/>
      </w:pPr>
      <w:r>
        <w:t>**Stochastique** : Le %K (55,3) est inférieur à son %D (85,1), ce qui suggère un croisement baissier à court terme. Cependant, les deux lignes restent dans la zone médiane, indiquant une perte de momentum haussier sans pour autant signaler une inversion de tendance majeure. La décision **Neutre** est donc la plus prudente.</w:t>
      </w:r>
    </w:p>
    <w:p>
      <w:pPr>
        <w:spacing w:after="120" w:line="276" w:lineRule="auto"/>
      </w:pPr>
      <w:r>
        <w:t>**Conclusion technique** : La tendance de fond reste clairement haussière, soutenue par les moyennes mobiles et le MACD. Cependant, les indicateurs de momentum à court terme (RSI, Stochastique) montrent des signes de fatigue ou de consolidation après la forte progression. Le signal global est donc **positif mais en phase d'essoufflement**, suggérant une possible pause avant la poursuite de la hausse.</w:t>
      </w:r>
    </w:p>
    <w:p>
      <w:pPr>
        <w:spacing w:after="120" w:line="276" w:lineRule="auto"/>
      </w:pPr>
      <w:r>
        <w:t>---</w:t>
      </w:r>
    </w:p>
    <w:p>
      <w:pPr>
        <w:spacing w:after="120" w:line="276" w:lineRule="auto"/>
      </w:pPr>
      <w:r>
        <w:t>### **PARTIE 3 : ANALYSE FONDAMENTALE (SECTION CRITIQUE)**</w:t>
      </w:r>
    </w:p>
    <w:p>
      <w:pPr>
        <w:spacing w:after="120" w:line="276" w:lineRule="auto"/>
      </w:pPr>
      <w:r>
        <w:t>En se basant sur les données structurées de l'exercice **2025**, la SIBC affiche une santé financière exceptionnelle. Le **Produit Net Bancaire (PNB)** s'élève à **108,66 Mds FCFA**, générant un **Résultat Net de 55,62 Mds FCFA**, soit une marge nette de **51,2%**. La rentabilité des fonds propres (**ROE**) est excellente à **27,2%**, et le **ROA** de **2,96%** est solide. Le **coefficient d'exploitation** de **38,6%** témoigne d'une efficacité opérationnelle remarquable, bien en deçà du seuil de 60% considéré comme bon. Le **coût du risque** est élevé, ce qui est un point de vigilance, mais la banque compense par une forte activité d'intermédiation (dépôts de 1 503 Mds FCFA vs crédits de 1 226 Mds FCFA). Les rapports narratifs confirment cette trajectoire : le **rapport annuel 2024** (daté du 31/12/2024) faisait déjà état d'un PNB de 102,8 Mds FCFA et d'un résultat net de 50,2 Mds FCFA (ROE de 30,6%). La progression se poursuit en 2025, avec un **T3 2025** (cumul 9 mois) affichant un PNB de 81,4 Mds FCFA (+8%) et un résultat net de 43,0 Mds FCFA (+11%). Le **T1 2026** (rapport du 31/12/2026) confirme la dynamique avec un résultat net en hausse de 11% à 15,2 Mds FCFA. Sur la base de ces tendances, on estime que l'exercice 2026 devrait dépasser les performances de 2025, avec un PNB potentiellement supérieur à 115 Mds FCFA et un résultat net au-delà de 60 Mds FCFA. La banque est donc fondamentalement solide, rentable et en croissance, avec une gestion rigoureuse.</w:t>
      </w:r>
    </w:p>
    <w:p>
      <w:pPr>
        <w:spacing w:after="120" w:line="276" w:lineRule="auto"/>
      </w:pPr>
      <w:r>
        <w:t>---</w:t>
      </w:r>
    </w:p>
    <w:p>
      <w:pPr>
        <w:spacing w:after="120" w:line="276" w:lineRule="auto"/>
      </w:pPr>
      <w:r>
        <w:t>### **PARTIE 4 : CONCLUSION D'INVESTISSEMENT**</w:t>
      </w:r>
    </w:p>
    <w:p>
      <w:pPr>
        <w:spacing w:after="120" w:line="276" w:lineRule="auto"/>
      </w:pPr>
      <w:r>
        <w:t>La synthèse globale révèle une situation contrastée. D'un côté, la **valorisation (Partie 0)** est exigeante (PER 16,4x, P/B 4,45x), intégrant déjà des attentes élevées. De l'autre, le **comportement du cours (Partie 1)** est très positif avec une hausse de 29% sur 100 jours et une volatilité modérée, soutenu par des **signaux techniques (Partie 2)** globalement haussiers (MM, MACD) mais en phase de consolidation à court terme. Les **fondamentaux (Partie 3)** sont excellents, avec une croissance soutenue du PNB et du résultat net, une rentabilité (ROE &gt;27%) et une efficacité opérationnelle (coeff. d'exploitation &lt;40%) parmi les meilleures du marché. Cependant, les **prédictions IA** pour les 10 prochains jours indiquent une correction significative, avec un cours projeté à 7 810 FCFA, soit une baisse potentielle de plus de 14% par rapport au cours actuel. Cette prédiction contredit fortement la tendance haussière récente et suggère un risque de retournement à court terme. Par conséquent, malgré des fondamentaux solides, la convergence des signaux est rompue par la prédiction IA et la valorisation tendue. La recommandation finale est de **CONSERVER** le titre pour les investisseurs déjà positionnés, mais de ne pas initier de nouvelle position à ce niveau de prix. Le niveau de confiance est **Moyen**, le risque global est **Élevé** à court terme, et l'horizon d'investissement optimal serait le **moyen terme (3-12 mois)**, après une éventuelle correction qui offrirait un meilleur point d'entrée.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5.24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93 titres</w:t>
            </w:r>
          </w:p>
        </w:tc>
        <w:tc>
          <w:tcPr>
            <w:tcW w:type="dxa" w:w="2268"/>
            <w:shd w:fill="FFF2CC" w:val="clear"/>
          </w:tcPr>
          <w:p>
            <w:r>
              <w:rPr>
                <w:b/>
                <w:color w:val="503200"/>
                <w:sz w:val="16"/>
              </w:rPr>
              <w:t xml:space="preserve">Cours actuel : </w:t>
            </w:r>
            <w:r>
              <w:rPr>
                <w:color w:val="000000"/>
                <w:sz w:val="17"/>
              </w:rPr>
              <w:t>8,730 FCFA</w:t>
            </w:r>
          </w:p>
          <w:p>
            <w:r>
              <w:rPr>
                <w:b/>
                <w:color w:val="503200"/>
                <w:sz w:val="16"/>
              </w:rPr>
              <w:t xml:space="preserve">Var. 100 jours : </w:t>
            </w:r>
            <w:r>
              <w:rPr>
                <w:b/>
                <w:color w:val="007800"/>
                <w:sz w:val="17"/>
              </w:rPr>
              <w:t>+113.19%</w:t>
            </w:r>
          </w:p>
          <w:p>
            <w:r>
              <w:rPr>
                <w:b/>
                <w:color w:val="503200"/>
                <w:sz w:val="16"/>
              </w:rPr>
              <w:t xml:space="preserve">Plus haut 100j : </w:t>
            </w:r>
            <w:r>
              <w:rPr>
                <w:color w:val="000000"/>
                <w:sz w:val="17"/>
              </w:rPr>
              <w:t>8,730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56.7%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38.6/100 → Moyen</w:t>
      </w:r>
    </w:p>
    <w:p>
      <w:pPr>
        <w:spacing w:before="40" w:after="80"/>
      </w:pPr>
      <w:r>
        <w:rPr>
          <w:rFonts w:ascii="Courier New" w:hAnsi="Courier New"/>
          <w:color w:val="825A00"/>
          <w:sz w:val="18"/>
        </w:rPr>
        <w:t>███████░░░░░░░░░░░░░  38.6/100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19.69% (Élevée) — μ=4,756 FCFA, σ=937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β=-0.0569 (Contre-cyclique) — Cov=-0.000002, Var(idx)=0.000036, ρ=-0.010,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93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σ_j=3.57%/j (Modérée) — Vol. annualisée≈56.7%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2026-08-13</w:t>
            </w:r>
          </w:p>
        </w:tc>
        <w:tc>
          <w:tcPr>
            <w:tcW w:type="dxa" w:w="1440"/>
            <w:shd w:fill="FFDCE0" w:val="clear"/>
          </w:tcPr>
          <w:p>
            <w:r>
              <w:rPr>
                <w:sz w:val="17"/>
              </w:rPr>
              <w:t>7,915</w:t>
            </w:r>
          </w:p>
        </w:tc>
        <w:tc>
          <w:tcPr>
            <w:tcW w:type="dxa" w:w="1440"/>
            <w:shd w:fill="FFDCE0" w:val="clear"/>
          </w:tcPr>
          <w:p>
            <w:r>
              <w:rPr>
                <w:b/>
                <w:sz w:val="17"/>
              </w:rPr>
              <w:t>8,500</w:t>
            </w:r>
          </w:p>
        </w:tc>
        <w:tc>
          <w:tcPr>
            <w:tcW w:type="dxa" w:w="1440"/>
            <w:shd w:fill="FFDCE0" w:val="clear"/>
          </w:tcPr>
          <w:p>
            <w:r>
              <w:rPr>
                <w:sz w:val="17"/>
              </w:rPr>
              <w:t>9,084</w:t>
            </w:r>
          </w:p>
        </w:tc>
        <w:tc>
          <w:tcPr>
            <w:tcW w:type="dxa" w:w="1440"/>
            <w:shd w:fill="FFDCE0" w:val="clear"/>
          </w:tcPr>
          <w:p>
            <w:r>
              <w:rPr>
                <w:b/>
                <w:color w:val="C00000"/>
                <w:sz w:val="17"/>
              </w:rPr>
              <w:t>-2.6%</w:t>
            </w:r>
          </w:p>
        </w:tc>
      </w:tr>
      <w:tr>
        <w:tc>
          <w:tcPr>
            <w:tcW w:type="dxa" w:w="1440"/>
            <w:shd w:fill="FFDCE0" w:val="clear"/>
          </w:tcPr>
          <w:p>
            <w:r>
              <w:rPr>
                <w:sz w:val="17"/>
              </w:rPr>
              <w:t>J+2  ⭐</w:t>
            </w:r>
          </w:p>
        </w:tc>
        <w:tc>
          <w:tcPr>
            <w:tcW w:type="dxa" w:w="1440"/>
            <w:shd w:fill="FFDCE0" w:val="clear"/>
          </w:tcPr>
          <w:p>
            <w:r>
              <w:rPr>
                <w:sz w:val="17"/>
              </w:rPr>
              <w:t>2026-08-14</w:t>
            </w:r>
          </w:p>
        </w:tc>
        <w:tc>
          <w:tcPr>
            <w:tcW w:type="dxa" w:w="1440"/>
            <w:shd w:fill="FFDCE0" w:val="clear"/>
          </w:tcPr>
          <w:p>
            <w:r>
              <w:rPr>
                <w:sz w:val="17"/>
              </w:rPr>
              <w:t>7,714</w:t>
            </w:r>
          </w:p>
        </w:tc>
        <w:tc>
          <w:tcPr>
            <w:tcW w:type="dxa" w:w="1440"/>
            <w:shd w:fill="FFDCE0" w:val="clear"/>
          </w:tcPr>
          <w:p>
            <w:r>
              <w:rPr>
                <w:b/>
                <w:sz w:val="17"/>
              </w:rPr>
              <w:t>8,545</w:t>
            </w:r>
          </w:p>
        </w:tc>
        <w:tc>
          <w:tcPr>
            <w:tcW w:type="dxa" w:w="1440"/>
            <w:shd w:fill="FFDCE0" w:val="clear"/>
          </w:tcPr>
          <w:p>
            <w:r>
              <w:rPr>
                <w:sz w:val="17"/>
              </w:rPr>
              <w:t>9,376</w:t>
            </w:r>
          </w:p>
        </w:tc>
        <w:tc>
          <w:tcPr>
            <w:tcW w:type="dxa" w:w="1440"/>
            <w:shd w:fill="FFDCE0" w:val="clear"/>
          </w:tcPr>
          <w:p>
            <w:r>
              <w:rPr>
                <w:b/>
                <w:color w:val="C00000"/>
                <w:sz w:val="17"/>
              </w:rPr>
              <w:t>-2.1%</w:t>
            </w:r>
          </w:p>
        </w:tc>
      </w:tr>
      <w:tr>
        <w:tc>
          <w:tcPr>
            <w:tcW w:type="dxa" w:w="1440"/>
            <w:shd w:fill="FFDCE0" w:val="clear"/>
          </w:tcPr>
          <w:p>
            <w:r>
              <w:rPr>
                <w:sz w:val="17"/>
              </w:rPr>
              <w:t>J+3  ⭐</w:t>
            </w:r>
          </w:p>
        </w:tc>
        <w:tc>
          <w:tcPr>
            <w:tcW w:type="dxa" w:w="1440"/>
            <w:shd w:fill="FFDCE0" w:val="clear"/>
          </w:tcPr>
          <w:p>
            <w:r>
              <w:rPr>
                <w:sz w:val="17"/>
              </w:rPr>
              <w:t>2026-08-17</w:t>
            </w:r>
          </w:p>
        </w:tc>
        <w:tc>
          <w:tcPr>
            <w:tcW w:type="dxa" w:w="1440"/>
            <w:shd w:fill="FFDCE0" w:val="clear"/>
          </w:tcPr>
          <w:p>
            <w:r>
              <w:rPr>
                <w:sz w:val="17"/>
              </w:rPr>
              <w:t>7,445</w:t>
            </w:r>
          </w:p>
        </w:tc>
        <w:tc>
          <w:tcPr>
            <w:tcW w:type="dxa" w:w="1440"/>
            <w:shd w:fill="FFDCE0" w:val="clear"/>
          </w:tcPr>
          <w:p>
            <w:r>
              <w:rPr>
                <w:b/>
                <w:sz w:val="17"/>
              </w:rPr>
              <w:t>8,452</w:t>
            </w:r>
          </w:p>
        </w:tc>
        <w:tc>
          <w:tcPr>
            <w:tcW w:type="dxa" w:w="1440"/>
            <w:shd w:fill="FFDCE0" w:val="clear"/>
          </w:tcPr>
          <w:p>
            <w:r>
              <w:rPr>
                <w:sz w:val="17"/>
              </w:rPr>
              <w:t>9,458</w:t>
            </w:r>
          </w:p>
        </w:tc>
        <w:tc>
          <w:tcPr>
            <w:tcW w:type="dxa" w:w="1440"/>
            <w:shd w:fill="FFDCE0" w:val="clear"/>
          </w:tcPr>
          <w:p>
            <w:r>
              <w:rPr>
                <w:b/>
                <w:color w:val="C00000"/>
                <w:sz w:val="17"/>
              </w:rPr>
              <w:t>-3.2%</w:t>
            </w:r>
          </w:p>
        </w:tc>
      </w:tr>
      <w:tr>
        <w:tc>
          <w:tcPr>
            <w:tcW w:type="dxa" w:w="1440"/>
            <w:shd w:fill="FFDCE0" w:val="clear"/>
          </w:tcPr>
          <w:p>
            <w:r>
              <w:rPr>
                <w:sz w:val="17"/>
              </w:rPr>
              <w:t>J+4  ⭐</w:t>
            </w:r>
          </w:p>
        </w:tc>
        <w:tc>
          <w:tcPr>
            <w:tcW w:type="dxa" w:w="1440"/>
            <w:shd w:fill="FFDCE0" w:val="clear"/>
          </w:tcPr>
          <w:p>
            <w:r>
              <w:rPr>
                <w:sz w:val="17"/>
              </w:rPr>
              <w:t>2026-08-18</w:t>
            </w:r>
          </w:p>
        </w:tc>
        <w:tc>
          <w:tcPr>
            <w:tcW w:type="dxa" w:w="1440"/>
            <w:shd w:fill="FFDCE0" w:val="clear"/>
          </w:tcPr>
          <w:p>
            <w:r>
              <w:rPr>
                <w:sz w:val="17"/>
              </w:rPr>
              <w:t>7,175</w:t>
            </w:r>
          </w:p>
        </w:tc>
        <w:tc>
          <w:tcPr>
            <w:tcW w:type="dxa" w:w="1440"/>
            <w:shd w:fill="FFDCE0" w:val="clear"/>
          </w:tcPr>
          <w:p>
            <w:r>
              <w:rPr>
                <w:b/>
                <w:sz w:val="17"/>
              </w:rPr>
              <w:t>8,319</w:t>
            </w:r>
          </w:p>
        </w:tc>
        <w:tc>
          <w:tcPr>
            <w:tcW w:type="dxa" w:w="1440"/>
            <w:shd w:fill="FFDCE0" w:val="clear"/>
          </w:tcPr>
          <w:p>
            <w:r>
              <w:rPr>
                <w:sz w:val="17"/>
              </w:rPr>
              <w:t>9,463</w:t>
            </w:r>
          </w:p>
        </w:tc>
        <w:tc>
          <w:tcPr>
            <w:tcW w:type="dxa" w:w="1440"/>
            <w:shd w:fill="FFDCE0" w:val="clear"/>
          </w:tcPr>
          <w:p>
            <w:r>
              <w:rPr>
                <w:b/>
                <w:color w:val="C00000"/>
                <w:sz w:val="17"/>
              </w:rPr>
              <w:t>-4.7%</w:t>
            </w:r>
          </w:p>
        </w:tc>
      </w:tr>
      <w:tr>
        <w:tc>
          <w:tcPr>
            <w:tcW w:type="dxa" w:w="1440"/>
            <w:shd w:fill="FFDCE0" w:val="clear"/>
          </w:tcPr>
          <w:p>
            <w:r>
              <w:rPr>
                <w:sz w:val="17"/>
              </w:rPr>
              <w:t>J+5  ⭐</w:t>
            </w:r>
          </w:p>
        </w:tc>
        <w:tc>
          <w:tcPr>
            <w:tcW w:type="dxa" w:w="1440"/>
            <w:shd w:fill="FFDCE0" w:val="clear"/>
          </w:tcPr>
          <w:p>
            <w:r>
              <w:rPr>
                <w:sz w:val="17"/>
              </w:rPr>
              <w:t>2026-08-19</w:t>
            </w:r>
          </w:p>
        </w:tc>
        <w:tc>
          <w:tcPr>
            <w:tcW w:type="dxa" w:w="1440"/>
            <w:shd w:fill="FFDCE0" w:val="clear"/>
          </w:tcPr>
          <w:p>
            <w:r>
              <w:rPr>
                <w:sz w:val="17"/>
              </w:rPr>
              <w:t>6,912</w:t>
            </w:r>
          </w:p>
        </w:tc>
        <w:tc>
          <w:tcPr>
            <w:tcW w:type="dxa" w:w="1440"/>
            <w:shd w:fill="FFDCE0" w:val="clear"/>
          </w:tcPr>
          <w:p>
            <w:r>
              <w:rPr>
                <w:b/>
                <w:sz w:val="17"/>
              </w:rPr>
              <w:t>8,167</w:t>
            </w:r>
          </w:p>
        </w:tc>
        <w:tc>
          <w:tcPr>
            <w:tcW w:type="dxa" w:w="1440"/>
            <w:shd w:fill="FFDCE0" w:val="clear"/>
          </w:tcPr>
          <w:p>
            <w:r>
              <w:rPr>
                <w:sz w:val="17"/>
              </w:rPr>
              <w:t>9,423</w:t>
            </w:r>
          </w:p>
        </w:tc>
        <w:tc>
          <w:tcPr>
            <w:tcW w:type="dxa" w:w="1440"/>
            <w:shd w:fill="FFDCE0" w:val="clear"/>
          </w:tcPr>
          <w:p>
            <w:r>
              <w:rPr>
                <w:b/>
                <w:color w:val="C00000"/>
                <w:sz w:val="17"/>
              </w:rPr>
              <w:t>-6.4%</w:t>
            </w:r>
          </w:p>
        </w:tc>
      </w:tr>
      <w:tr>
        <w:tc>
          <w:tcPr>
            <w:tcW w:type="dxa" w:w="1440"/>
            <w:shd w:fill="FFDCE0" w:val="clear"/>
          </w:tcPr>
          <w:p>
            <w:r>
              <w:rPr>
                <w:sz w:val="17"/>
              </w:rPr>
              <w:t>J+6  ⭐</w:t>
            </w:r>
          </w:p>
        </w:tc>
        <w:tc>
          <w:tcPr>
            <w:tcW w:type="dxa" w:w="1440"/>
            <w:shd w:fill="FFDCE0" w:val="clear"/>
          </w:tcPr>
          <w:p>
            <w:r>
              <w:rPr>
                <w:sz w:val="17"/>
              </w:rPr>
              <w:t>2026-08-20</w:t>
            </w:r>
          </w:p>
        </w:tc>
        <w:tc>
          <w:tcPr>
            <w:tcW w:type="dxa" w:w="1440"/>
            <w:shd w:fill="FFDCE0" w:val="clear"/>
          </w:tcPr>
          <w:p>
            <w:r>
              <w:rPr>
                <w:sz w:val="17"/>
              </w:rPr>
              <w:t>6,657</w:t>
            </w:r>
          </w:p>
        </w:tc>
        <w:tc>
          <w:tcPr>
            <w:tcW w:type="dxa" w:w="1440"/>
            <w:shd w:fill="FFDCE0" w:val="clear"/>
          </w:tcPr>
          <w:p>
            <w:r>
              <w:rPr>
                <w:b/>
                <w:sz w:val="17"/>
              </w:rPr>
              <w:t>8,005</w:t>
            </w:r>
          </w:p>
        </w:tc>
        <w:tc>
          <w:tcPr>
            <w:tcW w:type="dxa" w:w="1440"/>
            <w:shd w:fill="FFDCE0" w:val="clear"/>
          </w:tcPr>
          <w:p>
            <w:r>
              <w:rPr>
                <w:sz w:val="17"/>
              </w:rPr>
              <w:t>9,354</w:t>
            </w:r>
          </w:p>
        </w:tc>
        <w:tc>
          <w:tcPr>
            <w:tcW w:type="dxa" w:w="1440"/>
            <w:shd w:fill="FFDCE0" w:val="clear"/>
          </w:tcPr>
          <w:p>
            <w:r>
              <w:rPr>
                <w:b/>
                <w:color w:val="C00000"/>
                <w:sz w:val="17"/>
              </w:rPr>
              <w:t>-8.3%</w:t>
            </w:r>
          </w:p>
        </w:tc>
      </w:tr>
      <w:tr>
        <w:tc>
          <w:tcPr>
            <w:tcW w:type="dxa" w:w="1440"/>
            <w:shd w:fill="FFDCE0" w:val="clear"/>
          </w:tcPr>
          <w:p>
            <w:r>
              <w:rPr>
                <w:sz w:val="17"/>
              </w:rPr>
              <w:t>J+7  ⭐</w:t>
            </w:r>
          </w:p>
        </w:tc>
        <w:tc>
          <w:tcPr>
            <w:tcW w:type="dxa" w:w="1440"/>
            <w:shd w:fill="FFDCE0" w:val="clear"/>
          </w:tcPr>
          <w:p>
            <w:r>
              <w:rPr>
                <w:sz w:val="17"/>
              </w:rPr>
              <w:t>2026-08-21</w:t>
            </w:r>
          </w:p>
        </w:tc>
        <w:tc>
          <w:tcPr>
            <w:tcW w:type="dxa" w:w="1440"/>
            <w:shd w:fill="FFDCE0" w:val="clear"/>
          </w:tcPr>
          <w:p>
            <w:r>
              <w:rPr>
                <w:sz w:val="17"/>
              </w:rPr>
              <w:t>6,413</w:t>
            </w:r>
          </w:p>
        </w:tc>
        <w:tc>
          <w:tcPr>
            <w:tcW w:type="dxa" w:w="1440"/>
            <w:shd w:fill="FFDCE0" w:val="clear"/>
          </w:tcPr>
          <w:p>
            <w:r>
              <w:rPr>
                <w:b/>
                <w:sz w:val="17"/>
              </w:rPr>
              <w:t>7,839</w:t>
            </w:r>
          </w:p>
        </w:tc>
        <w:tc>
          <w:tcPr>
            <w:tcW w:type="dxa" w:w="1440"/>
            <w:shd w:fill="FFDCE0" w:val="clear"/>
          </w:tcPr>
          <w:p>
            <w:r>
              <w:rPr>
                <w:sz w:val="17"/>
              </w:rPr>
              <w:t>9,265</w:t>
            </w:r>
          </w:p>
        </w:tc>
        <w:tc>
          <w:tcPr>
            <w:tcW w:type="dxa" w:w="1440"/>
            <w:shd w:fill="FFDCE0" w:val="clear"/>
          </w:tcPr>
          <w:p>
            <w:r>
              <w:rPr>
                <w:b/>
                <w:color w:val="C00000"/>
                <w:sz w:val="17"/>
              </w:rPr>
              <w:t>-10.2%</w:t>
            </w:r>
          </w:p>
        </w:tc>
      </w:tr>
      <w:tr>
        <w:tc>
          <w:tcPr>
            <w:tcW w:type="dxa" w:w="1440"/>
            <w:shd w:fill="FFDCE0" w:val="clear"/>
          </w:tcPr>
          <w:p>
            <w:r>
              <w:rPr>
                <w:sz w:val="17"/>
              </w:rPr>
              <w:t>J+8  ⭐</w:t>
            </w:r>
          </w:p>
        </w:tc>
        <w:tc>
          <w:tcPr>
            <w:tcW w:type="dxa" w:w="1440"/>
            <w:shd w:fill="FFDCE0" w:val="clear"/>
          </w:tcPr>
          <w:p>
            <w:r>
              <w:rPr>
                <w:sz w:val="17"/>
              </w:rPr>
              <w:t>2026-08-24</w:t>
            </w:r>
          </w:p>
        </w:tc>
        <w:tc>
          <w:tcPr>
            <w:tcW w:type="dxa" w:w="1440"/>
            <w:shd w:fill="FFDCE0" w:val="clear"/>
          </w:tcPr>
          <w:p>
            <w:r>
              <w:rPr>
                <w:sz w:val="17"/>
              </w:rPr>
              <w:t>6,180</w:t>
            </w:r>
          </w:p>
        </w:tc>
        <w:tc>
          <w:tcPr>
            <w:tcW w:type="dxa" w:w="1440"/>
            <w:shd w:fill="FFDCE0" w:val="clear"/>
          </w:tcPr>
          <w:p>
            <w:r>
              <w:rPr>
                <w:b/>
                <w:sz w:val="17"/>
              </w:rPr>
              <w:t>7,672</w:t>
            </w:r>
          </w:p>
        </w:tc>
        <w:tc>
          <w:tcPr>
            <w:tcW w:type="dxa" w:w="1440"/>
            <w:shd w:fill="FFDCE0" w:val="clear"/>
          </w:tcPr>
          <w:p>
            <w:r>
              <w:rPr>
                <w:sz w:val="17"/>
              </w:rPr>
              <w:t>9,164</w:t>
            </w:r>
          </w:p>
        </w:tc>
        <w:tc>
          <w:tcPr>
            <w:tcW w:type="dxa" w:w="1440"/>
            <w:shd w:fill="FFDCE0" w:val="clear"/>
          </w:tcPr>
          <w:p>
            <w:r>
              <w:rPr>
                <w:b/>
                <w:color w:val="C00000"/>
                <w:sz w:val="17"/>
              </w:rPr>
              <w:t>-12.1%</w:t>
            </w:r>
          </w:p>
        </w:tc>
      </w:tr>
      <w:tr>
        <w:tc>
          <w:tcPr>
            <w:tcW w:type="dxa" w:w="1440"/>
            <w:shd w:fill="FFDCE0" w:val="clear"/>
          </w:tcPr>
          <w:p>
            <w:r>
              <w:rPr>
                <w:sz w:val="17"/>
              </w:rPr>
              <w:t>J+9  ⭐</w:t>
            </w:r>
          </w:p>
        </w:tc>
        <w:tc>
          <w:tcPr>
            <w:tcW w:type="dxa" w:w="1440"/>
            <w:shd w:fill="FFDCE0" w:val="clear"/>
          </w:tcPr>
          <w:p>
            <w:r>
              <w:rPr>
                <w:sz w:val="17"/>
              </w:rPr>
              <w:t>2026-08-25</w:t>
            </w:r>
          </w:p>
        </w:tc>
        <w:tc>
          <w:tcPr>
            <w:tcW w:type="dxa" w:w="1440"/>
            <w:shd w:fill="FFDCE0" w:val="clear"/>
          </w:tcPr>
          <w:p>
            <w:r>
              <w:rPr>
                <w:sz w:val="17"/>
              </w:rPr>
              <w:t>5,959</w:t>
            </w:r>
          </w:p>
        </w:tc>
        <w:tc>
          <w:tcPr>
            <w:tcW w:type="dxa" w:w="1440"/>
            <w:shd w:fill="FFDCE0" w:val="clear"/>
          </w:tcPr>
          <w:p>
            <w:r>
              <w:rPr>
                <w:b/>
                <w:sz w:val="17"/>
              </w:rPr>
              <w:t>7,508</w:t>
            </w:r>
          </w:p>
        </w:tc>
        <w:tc>
          <w:tcPr>
            <w:tcW w:type="dxa" w:w="1440"/>
            <w:shd w:fill="FFDCE0" w:val="clear"/>
          </w:tcPr>
          <w:p>
            <w:r>
              <w:rPr>
                <w:sz w:val="17"/>
              </w:rPr>
              <w:t>9,057</w:t>
            </w:r>
          </w:p>
        </w:tc>
        <w:tc>
          <w:tcPr>
            <w:tcW w:type="dxa" w:w="1440"/>
            <w:shd w:fill="FFDCE0" w:val="clear"/>
          </w:tcPr>
          <w:p>
            <w:r>
              <w:rPr>
                <w:b/>
                <w:color w:val="C00000"/>
                <w:sz w:val="17"/>
              </w:rPr>
              <w:t>-14.0%</w:t>
            </w:r>
          </w:p>
        </w:tc>
      </w:tr>
      <w:tr>
        <w:tc>
          <w:tcPr>
            <w:tcW w:type="dxa" w:w="1440"/>
            <w:shd w:fill="FFDCE0" w:val="clear"/>
          </w:tcPr>
          <w:p>
            <w:r>
              <w:rPr>
                <w:sz w:val="17"/>
              </w:rPr>
              <w:t>J+10  ⭐</w:t>
            </w:r>
          </w:p>
        </w:tc>
        <w:tc>
          <w:tcPr>
            <w:tcW w:type="dxa" w:w="1440"/>
            <w:shd w:fill="FFDCE0" w:val="clear"/>
          </w:tcPr>
          <w:p>
            <w:r>
              <w:rPr>
                <w:sz w:val="17"/>
              </w:rPr>
              <w:t>2026-08-27</w:t>
            </w:r>
          </w:p>
        </w:tc>
        <w:tc>
          <w:tcPr>
            <w:tcW w:type="dxa" w:w="1440"/>
            <w:shd w:fill="FFDCE0" w:val="clear"/>
          </w:tcPr>
          <w:p>
            <w:r>
              <w:rPr>
                <w:sz w:val="17"/>
              </w:rPr>
              <w:t>5,751</w:t>
            </w:r>
          </w:p>
        </w:tc>
        <w:tc>
          <w:tcPr>
            <w:tcW w:type="dxa" w:w="1440"/>
            <w:shd w:fill="FFDCE0" w:val="clear"/>
          </w:tcPr>
          <w:p>
            <w:r>
              <w:rPr>
                <w:b/>
                <w:sz w:val="17"/>
              </w:rPr>
              <w:t>7,349</w:t>
            </w:r>
          </w:p>
        </w:tc>
        <w:tc>
          <w:tcPr>
            <w:tcW w:type="dxa" w:w="1440"/>
            <w:shd w:fill="FFDCE0" w:val="clear"/>
          </w:tcPr>
          <w:p>
            <w:r>
              <w:rPr>
                <w:sz w:val="17"/>
              </w:rPr>
              <w:t>8,947</w:t>
            </w:r>
          </w:p>
        </w:tc>
        <w:tc>
          <w:tcPr>
            <w:tcW w:type="dxa" w:w="1440"/>
            <w:shd w:fill="FFDCE0" w:val="clear"/>
          </w:tcPr>
          <w:p>
            <w:r>
              <w:rPr>
                <w:b/>
                <w:color w:val="C00000"/>
                <w:sz w:val="17"/>
              </w:rPr>
              <w:t>-15.8%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5,24 milliards FCFA, un niveau modeste qui la classe parmi les petites capitalisations de la BRVM, reflétant un intérêt limité des investisseurs institutionnels pour ce titre. Les ratios de valorisation (BPA, PER, P/B, EV/EBITDA) ne sont pas calculables en raison de l'absence de données financières structurées récentes dans la base, ce qui constitue une limite importante pour évaluer le caractère attractif ou non du titre par rapport à ses pairs. En l'absence de ces multiples, il est impossible de déterminer si le marché valorise la société au-dessus ou en dessous de sa valeur comptable, ni de comparer son niveau de valorisation au PER moyen de la BRVM (8-12x). Cette opacité relative sur les ratios fondamentaux impose une prudence accrue dans l'interprétation de la hausse récente du cours.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L'action SICOR a enregistré une progression spectaculaire de +113,19% sur les 100 derniers jours, avec une accélération marquée lors de la dernière séance (+7,45%), portant le cours à 8 730 FCFA, son plus haut niveau sur la période, contre un plus bas de 3 765 FCFA. Cette tendance fortement haussière s'accompagne d'une dispersion notable des cours, avec une moyenne de 4 756 FCFA et une médiane de 4 425 FCFA ; l'écart entre ces deux valeurs, la moyenne étant supérieure à la médiane, confirme une distribution asymétrique positive (skewness de 2,080), indiquant que le titre a passé davantage de journées sous sa moyenne, avec des pics de hausse récents qui tirent la moyenne vers le haut. L'écart-type de 941 FCFA (coefficient de variation de 19,8%) témoigne d'une dispersion modérée autour de la moyenne, tandis que le kurtosis excédentaire de 4,462 révèle une distribution leptokurtique, signe de queues épaisses et d'un risque de mouvements extrêmes. La volatilité annualisée de 56,7% classe le titre dans la catégorie des valeurs à très forte volatilité, bien au-delà du seuil de 30%, ce qui implique un risque élevé pour les investisseurs non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de 8 730 FCFA évolue nettement au-dessus de la MM20 (6 245 FCFA) et de la MM50 (5 325,9 FCFA), configuration typique d'une tendance haussière solide à court et moyen terme. L'écart positif entre le prix et ces moyennes mobiles confirme la dynamique positive, justifiant la décision d'achat, bien que cet écart important puisse également signaler une extension excessive à court terme.</w:t>
      </w:r>
    </w:p>
    <w:p>
      <w:pPr>
        <w:spacing w:after="120" w:line="276" w:lineRule="auto"/>
      </w:pPr>
      <w:r>
        <w:t>**Bandes de Bollinger** : Le prix se situe au-dessus de la borne supérieure (8 413,48 FCFA), ce qui indique une condition de surachat extrême. Cette sortie de bande traduit une volatilité exceptionnellement élevée et un momentum puissant, mais elle suggère aussi un risque de correction technique imminente, justifiant la décision de vente. L'écart entre les bornes (4 076,5 à 8 413,5 FCFA) reflète une volatilité en forte expansion.</w:t>
      </w:r>
    </w:p>
    <w:p>
      <w:pPr>
        <w:spacing w:after="120" w:line="276" w:lineRule="auto"/>
      </w:pPr>
      <w:r>
        <w:t>**MACD** : La valeur du MACD (791,69) est nettement supérieure à son signal (550,95), confirmant un momentum haussier robuste. L'écart positif entre les deux lignes, bien que large, indique une poursuite de la tendance haussière, justifiant la décision d'achat. Toutefois, un écart aussi important peut précéder un retournement, d'autant que le MACD évolue dans des zones extrêmes.</w:t>
      </w:r>
    </w:p>
    <w:p>
      <w:pPr>
        <w:spacing w:after="120" w:line="276" w:lineRule="auto"/>
      </w:pPr>
      <w:r>
        <w:t>**RSI** : Avec une valeur de 84,93, le RSI se situe profondément en zone de surachat (au-delà de 70), signalant que le titre est survendu à la hausse et qu'une correction technique est probable à court terme. La décision de vente est donc justifiée, d'autant que ce niveau de RSI est rarement soutenable durablement sans consolidation.</w:t>
      </w:r>
    </w:p>
    <w:p>
      <w:pPr>
        <w:spacing w:after="120" w:line="276" w:lineRule="auto"/>
      </w:pPr>
      <w:r>
        <w:t>**Stochastique** : Les valeurs de %K et %D, toutes deux à 100, indiquent une condition de surachat extrême, le titre évoluant au plus haut de sa fourchette sur la période. Cette configuration, sans croisement baissier pour l'instant, suggère une poursuite possible de la hausse à très court terme, mais le risque de retournement est élevé, justifiant la décision de vente.</w:t>
      </w:r>
    </w:p>
    <w:p>
      <w:pPr>
        <w:spacing w:after="120" w:line="276" w:lineRule="auto"/>
      </w:pPr>
      <w:r>
        <w:t>**Conclusion technique** : Les indicateurs de momentum (RSI, Stochastique, Bandes de Bollinger) signalent tous une condition de surachat extrême, tandis que les indicateurs de tendance (Moyennes Mobiles, MACD) restent positifs. Cette divergence entre la force de la tendance et les conditions de surachat suggère qu'une consolidation ou correction technique est probable à court terme, mais la tendance de fond demeure haussière tant que le cours se maintient au-dessus de la MM20.</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de SICOR ne sont pas disponibles dans la base, mais les rapports fondamentaux fournis permettent une analyse approfondie. Le rapport du 31 décembre 2024 (analysé en mars 2026) couvre l'exercice 2023 et révèle un chiffre d'affaires de 701,09 millions FCFA, en baisse de 38,4% par rapport à 2022 (1 138,17 millions FCFA), avec un retour à la profitabilité avec un résultat net de +19,25 millions FCFA contre une perte de -39,95 millions en 2022, soit une marge nette de 2,75%. Le rapport sur l'exercice 2022 (également daté du 31 décembre 2024) confirme la tendance baissière du CA (-17,58% vs 2021) et une perte nette de -39,95 millions FCFA, avec des pertes cumulées de 649,9 millions FCFA. L'analyse des rapports plus anciens montre une volatilité extrême des résultats : bénéfice exceptionnel de 989 millions FCFA en 2018 (dopé par un résultat hors activités ordinaires), puis effondrement à 2,35 millions en 2019, rebond à 109,8 millions en 2020 et 119,2 millions en 2021, ce dernier étant toutefois soutenu par des reprises de provisions non récurrentes (+66 millions). La société n'a jamais distribué de dividende depuis 2017, priorisant l'apurement d'un report à nouveau lourdement négatif (-689,86 millions FCFA en 2023), conformément aux règles OHADA. Le rapport 2023 identifie des risques majeurs : vols de noix de coco sur les sites de production, découverts bancaires multipliés par 14 (+1 319%), et une dépendance aux actionnaires (DEVACO à 70,44%). Les perspectives de résorption des pertes sont estimées à 2025-2026 au plus tôt, mais la fragilité opérationnelle et financière demeure préoccupante, avec une trésorerie tendue et un endettement élevé.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analyses révèle une situation contrastée pour SICOR. La valorisation boursière ne peut être évaluée faute de ratios disponibles, mais la capitalisation de 5,24 milliards FCFA paraît élevée au regard des fondamentaux historiques fragiles. Le comportement du cours, avec une hausse de +113% en 100 jours et une volatilité annualisée de 56,7%, témoigne d'un mouvement spéculatif intense, renforcé par un kurtosis élevé (4,46) et une asymétrie positive (2,08) qui signalent un risque de retournement brutal. Les signaux techniques sont contradictoires : la tendance (MM, MACD) reste haussière, mais tous les indicateurs de momentum (RSI à 84,9, Stochastique à 100, sortie des Bandes de Bollinger) crient surachat. Les fondamentaux, basés sur les rapports 2022-2023, montrent une entreprise fragile, certes revenue à l'équilibre en 2023, mais avec un CA en chute de 38% et des pertes cumulées de près de 690 millions FCFA. Les prédictions IA pour les 10 prochains jours (8 500 à 8 167 FCFA) suggèrent une légère correction, confirmant les signaux de surachat technique. La convergence entre les signaux techniques de surachat, les prédictions IA baissières et la faiblesse des fondamentaux plaide pour une prudence extrême. **Recommandation : VENTE** pour les investisseurs existants souhaitant sécuriser leurs gains, avec un niveau de confiance **Moyen** et un risque global **Élevé**. Horizon d'investissement : **court terme (&lt;3 mois)** pour une éventuelle reprise après correction, mais le titre reste spéculatif et déconseillé aux investisseurs prudents.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"Activité en croissance mais rentabilité nette quasi nulle, plombée par les charges financières et un report à nouveau lourdement négatif. Structure fragile, à conserver avec prudence."}</w:t>
      </w:r>
    </w:p>
    <w:p>
      <w:pPr>
        <w:spacing w:before="40"/>
        <w:ind w:left="400"/>
      </w:pPr>
      <w:r>
        <w:rPr>
          <w:sz w:val="18"/>
        </w:rPr>
        <w:t>SICOR (Société Ivoirienne de Coco Râpé) clôture l'exercice 2019 sur un bénéfice net symbolique de 2,35 M FCFA, en très net repli par rapport aux 989 M de 2018 (année dopée par un résultat hors activités ordinaires exceptionnel de +946 M). L'activité progresse pourtant : chiffre d'affaires de 1,86 Md (+33 %) et EBE de 239 M. Le bénéfice est laminé par un résultat financier négatif (-73,7 M) et un résultat HAO négatif (-87 M). Le report à nouveau reste lourdement déficitaire (-881 M) et la trésorerie nette est négative (-62 M). Structure financière fragile malgré des capitaux propres de 2,90 Md.</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'149 millions FCFA', 'resultat_exploitation': '163 millions FCFA', 'excedent_brut_exploitation': '239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0,13 %</w:t>
            </w:r>
          </w:p>
        </w:tc>
        <w:tc>
          <w:tcPr>
            <w:tcW w:type="dxa" w:w="2160"/>
          </w:tcPr>
          <w:p>
            <w:pPr>
              <w:ind w:left="100"/>
            </w:pPr>
            <w:r/>
            <w:r>
              <w:rPr>
                <w:b/>
                <w:sz w:val="16"/>
              </w:rPr>
              <w:t>total_actif</w:t>
              <w:br/>
            </w:r>
            <w:r>
              <w:rPr>
                <w:sz w:val="18"/>
              </w:rPr>
              <w:t>3,93 milliards FCFA</w:t>
            </w:r>
          </w:p>
        </w:tc>
      </w:tr>
      <w:tr>
        <w:tc>
          <w:tcPr>
            <w:tcW w:type="dxa" w:w="2160"/>
          </w:tcPr>
          <w:p>
            <w:r/>
            <w:r>
              <w:rPr>
                <w:b/>
                <w:sz w:val="16"/>
              </w:rPr>
              <w:t>resultat_net</w:t>
              <w:br/>
            </w:r>
            <w:r>
              <w:rPr>
                <w:sz w:val="18"/>
              </w:rPr>
              <w:t>2,35 millions FCFA (bénéfice)</w:t>
            </w:r>
          </w:p>
        </w:tc>
        <w:tc>
          <w:tcPr>
            <w:tcW w:type="dxa" w:w="2160"/>
          </w:tcPr>
          <w:p>
            <w:r/>
            <w:r>
              <w:rPr>
                <w:b/>
                <w:sz w:val="16"/>
              </w:rPr>
              <w:t>capitaux_propres</w:t>
              <w:br/>
            </w:r>
            <w:r>
              <w:rPr>
                <w:sz w:val="18"/>
              </w:rPr>
              <w:t>2,90 milliards FCFA</w:t>
            </w:r>
          </w:p>
        </w:tc>
        <w:tc>
          <w:tcPr>
            <w:tcW w:type="dxa" w:w="2160"/>
          </w:tcPr>
          <w:p>
            <w:r/>
            <w:r>
              <w:rPr>
                <w:b/>
                <w:sz w:val="16"/>
              </w:rPr>
              <w:t>chiffre_affaires</w:t>
              <w:br/>
            </w:r>
            <w:r>
              <w:rPr>
                <w:sz w:val="18"/>
              </w:rPr>
              <w:t>1,86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1,86 Md FCFA, en hausse de 33 %</w:t>
      </w:r>
    </w:p>
    <w:p>
      <w:pPr>
        <w:pStyle w:val="ListBullet"/>
        <w:spacing w:before="20" w:after="20"/>
        <w:ind w:left="700"/>
      </w:pPr>
      <w:r>
        <w:rPr>
          <w:sz w:val="18"/>
        </w:rPr>
        <w:t>EBE 239 M FCFA, résultat d'exploitation 163 M</w:t>
      </w:r>
    </w:p>
    <w:p>
      <w:pPr>
        <w:pStyle w:val="ListBullet"/>
        <w:spacing w:before="20" w:after="20"/>
        <w:ind w:left="700"/>
      </w:pPr>
      <w:r>
        <w:rPr>
          <w:sz w:val="18"/>
        </w:rPr>
        <w:t>Bénéfice net symbolique : 2,35 M FCFA (contre 989 M en 2018, année exceptionnelle)</w:t>
      </w:r>
    </w:p>
    <w:p>
      <w:pPr>
        <w:pStyle w:val="ListBullet"/>
        <w:spacing w:before="20" w:after="20"/>
        <w:ind w:left="700"/>
      </w:pPr>
      <w:r>
        <w:rPr>
          <w:sz w:val="18"/>
        </w:rPr>
        <w:t>Résultat financier négatif (-73,7 M) et HAO négatif (-87 M) érodent le résultat</w:t>
      </w:r>
    </w:p>
    <w:p>
      <w:pPr>
        <w:pStyle w:val="ListBullet"/>
        <w:spacing w:before="20" w:after="20"/>
        <w:ind w:left="700"/>
      </w:pPr>
      <w:r>
        <w:rPr>
          <w:sz w:val="18"/>
        </w:rPr>
        <w:t>Report à nouveau déficitaire : -881 M FCFA</w:t>
      </w:r>
    </w:p>
    <w:p>
      <w:pPr>
        <w:pStyle w:val="ListBullet"/>
        <w:spacing w:before="20" w:after="20"/>
        <w:ind w:left="700"/>
      </w:pPr>
      <w:r>
        <w:rPr>
          <w:sz w:val="18"/>
        </w:rPr>
        <w:t>Trésorerie nette négative : -62 M FCFA</w:t>
      </w:r>
    </w:p>
    <w:p>
      <w:pPr>
        <w:spacing w:before="40"/>
        <w:ind w:left="400"/>
      </w:pPr>
      <w:r>
        <w:rPr>
          <w:b/>
          <w:color w:val="C05000"/>
          <w:sz w:val="18"/>
        </w:rPr>
        <w:t xml:space="preserve">⚠️ Risques : </w:t>
      </w:r>
      <w:r>
        <w:rPr>
          <w:sz w:val="18"/>
        </w:rPr>
        <w:t>["Report à nouveau lourdement négatif (-881 M) interdisant toute distribution", "Résultat financier structurellement négatif (-73,7 M)", "Trésorerie nette négative (-62 M), dépendance aux découverts bancaires", "Bénéfice net très faible, dépendant d'éléments non opérationnels"]</w:t>
      </w:r>
    </w:p>
    <w:p>
      <w:pPr>
        <w:spacing w:before="40"/>
        <w:ind w:left="400"/>
      </w:pPr>
      <w:r>
        <w:rPr>
          <w:b/>
          <w:color w:val="0064A0"/>
          <w:sz w:val="18"/>
        </w:rPr>
        <w:t xml:space="preserve">🔮 Perspectives : </w:t>
      </w:r>
      <w:r>
        <w:rPr>
          <w:sz w:val="18"/>
        </w:rPr>
        <w:t>L'amélioration du chiffre d'affaires et un EBE solide montrent une base d'exploitation saine, mais le redressement passe par la réduction des charges financières et l'apurement du report à nouveau. La rentabilité nette reste trop mince pour reconstituer les fonds propres rapidement.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"Bénéfice en hausse mais de moindre qualité : chute du chiffre d'affaires et de l'EBE, résultat porté par des reprises de provisions non récurrentes. À conserver en surveillant le retour de la dynamique commerciale."}</w:t>
      </w:r>
    </w:p>
    <w:p>
      <w:pPr>
        <w:spacing w:before="40"/>
        <w:ind w:left="400"/>
      </w:pPr>
      <w:r>
        <w:rPr>
          <w:sz w:val="18"/>
        </w:rPr>
        <w:t>SICOR poursuit sur un bénéfice net de 119,2 M FCFA en 2021 (contre 109,8 M en 2020), mais la qualité du résultat se dégrade : le chiffre d'affaires chute de 41 % à 1,38 Md et l'EBE recule à 165 M. Le bénéfice est en réalité soutenu par un résultat financier exceptionnellement positif (+66 M, reprises de provisions financières). Le report à nouveau s'améliore (-769 M) et la trésorerie nette se redresse fortement (-6 M contre -47 M). Bénéfice en partie en trompe-l'oeil.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'164 millions FCFA', 'resultat_financier': '+66 millions FCFA (reprises de provisions)', 'resultat_exploitation': '53 millions FCFA', 'excedent_brut_exploitation': '165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8,63 %</w:t>
            </w:r>
          </w:p>
        </w:tc>
        <w:tc>
          <w:tcPr>
            <w:tcW w:type="dxa" w:w="2160"/>
          </w:tcPr>
          <w:p>
            <w:pPr>
              <w:ind w:left="100"/>
            </w:pPr>
            <w:r/>
            <w:r>
              <w:rPr>
                <w:b/>
                <w:sz w:val="16"/>
              </w:rPr>
              <w:t>total_actif</w:t>
              <w:br/>
            </w:r>
            <w:r>
              <w:rPr>
                <w:sz w:val="18"/>
              </w:rPr>
              <w:t>4,15 milliards FCFA</w:t>
            </w:r>
          </w:p>
        </w:tc>
      </w:tr>
      <w:tr>
        <w:tc>
          <w:tcPr>
            <w:tcW w:type="dxa" w:w="2160"/>
          </w:tcPr>
          <w:p>
            <w:r/>
            <w:r>
              <w:rPr>
                <w:b/>
                <w:sz w:val="16"/>
              </w:rPr>
              <w:t>resultat_net</w:t>
              <w:br/>
            </w:r>
            <w:r>
              <w:rPr>
                <w:sz w:val="18"/>
              </w:rPr>
              <w:t>119,2 millions FCFA (bénéfice)</w:t>
            </w:r>
          </w:p>
        </w:tc>
        <w:tc>
          <w:tcPr>
            <w:tcW w:type="dxa" w:w="2160"/>
          </w:tcPr>
          <w:p>
            <w:r/>
            <w:r>
              <w:rPr>
                <w:b/>
                <w:sz w:val="16"/>
              </w:rPr>
              <w:t>capitaux_propres</w:t>
              <w:br/>
            </w:r>
            <w:r>
              <w:rPr>
                <w:sz w:val="18"/>
              </w:rPr>
              <w:t>3,12 milliards FCFA</w:t>
            </w:r>
          </w:p>
        </w:tc>
        <w:tc>
          <w:tcPr>
            <w:tcW w:type="dxa" w:w="2160"/>
          </w:tcPr>
          <w:p>
            <w:r/>
            <w:r>
              <w:rPr>
                <w:b/>
                <w:sz w:val="16"/>
              </w:rPr>
              <w:t>chiffre_affaires</w:t>
              <w:br/>
            </w:r>
            <w:r>
              <w:rPr>
                <w:sz w:val="18"/>
              </w:rPr>
              <w:t>1,38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 1,38 Md FCFA (-41 %)</w:t>
      </w:r>
    </w:p>
    <w:p>
      <w:pPr>
        <w:pStyle w:val="ListBullet"/>
        <w:spacing w:before="20" w:after="20"/>
        <w:ind w:left="700"/>
      </w:pPr>
      <w:r>
        <w:rPr>
          <w:sz w:val="18"/>
        </w:rPr>
        <w:t>EBE en recul à 165 M FCFA</w:t>
      </w:r>
    </w:p>
    <w:p>
      <w:pPr>
        <w:pStyle w:val="ListBullet"/>
        <w:spacing w:before="20" w:after="20"/>
        <w:ind w:left="700"/>
      </w:pPr>
      <w:r>
        <w:rPr>
          <w:sz w:val="18"/>
        </w:rPr>
        <w:t>Bénéfice net 119,2 M FCFA (contre 109,8 M en 2020)</w:t>
      </w:r>
    </w:p>
    <w:p>
      <w:pPr>
        <w:pStyle w:val="ListBullet"/>
        <w:spacing w:before="20" w:after="20"/>
        <w:ind w:left="700"/>
      </w:pPr>
      <w:r>
        <w:rPr>
          <w:sz w:val="18"/>
        </w:rPr>
        <w:t>Résultat soutenu par un résultat financier de +66 M (reprises de provisions), non récurrent</w:t>
      </w:r>
    </w:p>
    <w:p>
      <w:pPr>
        <w:pStyle w:val="ListBullet"/>
        <w:spacing w:before="20" w:after="20"/>
        <w:ind w:left="700"/>
      </w:pPr>
      <w:r>
        <w:rPr>
          <w:sz w:val="18"/>
        </w:rPr>
        <w:t>Report à nouveau en amélioration : -769 M FCFA</w:t>
      </w:r>
    </w:p>
    <w:p>
      <w:pPr>
        <w:pStyle w:val="ListBullet"/>
        <w:spacing w:before="20" w:after="20"/>
        <w:ind w:left="700"/>
      </w:pPr>
      <w:r>
        <w:rPr>
          <w:sz w:val="18"/>
        </w:rPr>
        <w:t>Trésorerie nette quasi rétablie : -6 M (contre -47 M)</w:t>
      </w:r>
    </w:p>
    <w:p>
      <w:pPr>
        <w:spacing w:before="40"/>
        <w:ind w:left="400"/>
      </w:pPr>
      <w:r>
        <w:rPr>
          <w:b/>
          <w:color w:val="C05000"/>
          <w:sz w:val="18"/>
        </w:rPr>
        <w:t xml:space="preserve">⚠️ Risques : </w:t>
      </w:r>
      <w:r>
        <w:rPr>
          <w:sz w:val="18"/>
        </w:rPr>
        <w:t>["Chute du chiffre d'affaires (-41 %) et de l'EBE", "Bénéfice dépendant d'éléments financiers non récurrents (+66 M de reprises)", "Report à nouveau encore négatif (-769 M)", "Volatilité forte de l'activité"]</w:t>
      </w:r>
    </w:p>
    <w:p>
      <w:pPr>
        <w:spacing w:before="40"/>
        <w:ind w:left="400"/>
      </w:pPr>
      <w:r>
        <w:rPr>
          <w:b/>
          <w:color w:val="0064A0"/>
          <w:sz w:val="18"/>
        </w:rPr>
        <w:t xml:space="preserve">🔮 Perspectives : </w:t>
      </w:r>
      <w:r>
        <w:rPr>
          <w:sz w:val="18"/>
        </w:rPr>
        <w:t>Le redressement de la trésorerie est net, mais la baisse du chiffre d'affaires et de l'excédent brut d'exploitation fragilise la rentabilité de fond. Le maintien du bénéfice dépendra d'un rebond des volumes plutôt que d'éléments financiers exceptionnels.</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20.96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5,712 titres</w:t>
            </w:r>
          </w:p>
        </w:tc>
        <w:tc>
          <w:tcPr>
            <w:tcW w:type="dxa" w:w="2268"/>
            <w:shd w:fill="FFF2CC" w:val="clear"/>
          </w:tcPr>
          <w:p>
            <w:r>
              <w:rPr>
                <w:b/>
                <w:color w:val="503200"/>
                <w:sz w:val="16"/>
              </w:rPr>
              <w:t xml:space="preserve">Cours actuel : </w:t>
            </w:r>
            <w:r>
              <w:rPr>
                <w:color w:val="000000"/>
                <w:sz w:val="17"/>
              </w:rPr>
              <w:t>2,400 FCFA</w:t>
            </w:r>
          </w:p>
          <w:p>
            <w:r>
              <w:rPr>
                <w:b/>
                <w:color w:val="503200"/>
                <w:sz w:val="16"/>
              </w:rPr>
              <w:t xml:space="preserve">Var. 100 jours : </w:t>
            </w:r>
            <w:r>
              <w:rPr>
                <w:b/>
                <w:color w:val="B40000"/>
                <w:sz w:val="17"/>
              </w:rPr>
              <w:t>-9.43%</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10.97% (Moyenne) — μ=2,643 FCFA, σ=290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β=0.4255 (Défensif) — Cov=0.000015, Var(idx)=0.000036, ρ=0.077,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σ_j=3.30%/j (Modérée) — Vol. annualisée≈52.4%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3244"/>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324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2026-08-13</w:t>
            </w:r>
          </w:p>
        </w:tc>
        <w:tc>
          <w:tcPr>
            <w:tcW w:type="dxa" w:w="1440"/>
            <w:shd w:fill="FFDCE0" w:val="clear"/>
          </w:tcPr>
          <w:p>
            <w:r>
              <w:rPr>
                <w:sz w:val="17"/>
              </w:rPr>
              <w:t>2,056</w:t>
            </w:r>
          </w:p>
        </w:tc>
        <w:tc>
          <w:tcPr>
            <w:tcW w:type="dxa" w:w="1440"/>
            <w:shd w:fill="FFDCE0" w:val="clear"/>
          </w:tcPr>
          <w:p>
            <w:r>
              <w:rPr>
                <w:b/>
                <w:sz w:val="17"/>
              </w:rPr>
              <w:t>2,220</w:t>
            </w:r>
          </w:p>
        </w:tc>
        <w:tc>
          <w:tcPr>
            <w:tcW w:type="dxa" w:w="1440"/>
            <w:shd w:fill="FFDCE0" w:val="clear"/>
          </w:tcPr>
          <w:p>
            <w:r>
              <w:rPr>
                <w:sz w:val="17"/>
              </w:rPr>
              <w:t>2,384</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2026-08-14</w:t>
            </w:r>
          </w:p>
        </w:tc>
        <w:tc>
          <w:tcPr>
            <w:tcW w:type="dxa" w:w="1440"/>
            <w:shd w:fill="FFDCE0" w:val="clear"/>
          </w:tcPr>
          <w:p>
            <w:r>
              <w:rPr>
                <w:sz w:val="17"/>
              </w:rPr>
              <w:t>1,934</w:t>
            </w:r>
          </w:p>
        </w:tc>
        <w:tc>
          <w:tcPr>
            <w:tcW w:type="dxa" w:w="1440"/>
            <w:shd w:fill="FFDCE0" w:val="clear"/>
          </w:tcPr>
          <w:p>
            <w:r>
              <w:rPr>
                <w:b/>
                <w:sz w:val="17"/>
              </w:rPr>
              <w:t>2,161</w:t>
            </w:r>
          </w:p>
        </w:tc>
        <w:tc>
          <w:tcPr>
            <w:tcW w:type="dxa" w:w="1440"/>
            <w:shd w:fill="FFDCE0" w:val="clear"/>
          </w:tcPr>
          <w:p>
            <w:r>
              <w:rPr>
                <w:sz w:val="17"/>
              </w:rPr>
              <w:t>2,387</w:t>
            </w:r>
          </w:p>
        </w:tc>
        <w:tc>
          <w:tcPr>
            <w:tcW w:type="dxa" w:w="1440"/>
            <w:shd w:fill="FFDCE0" w:val="clear"/>
          </w:tcPr>
          <w:p>
            <w:r>
              <w:rPr>
                <w:b/>
                <w:color w:val="C00000"/>
                <w:sz w:val="17"/>
              </w:rPr>
              <w:t>-10.0%</w:t>
            </w:r>
          </w:p>
        </w:tc>
      </w:tr>
      <w:tr>
        <w:tc>
          <w:tcPr>
            <w:tcW w:type="dxa" w:w="1440"/>
            <w:shd w:fill="FFDCE0" w:val="clear"/>
          </w:tcPr>
          <w:p>
            <w:r>
              <w:rPr>
                <w:sz w:val="17"/>
              </w:rPr>
              <w:t>J+3  ⭐</w:t>
            </w:r>
          </w:p>
        </w:tc>
        <w:tc>
          <w:tcPr>
            <w:tcW w:type="dxa" w:w="1440"/>
            <w:shd w:fill="FFDCE0" w:val="clear"/>
          </w:tcPr>
          <w:p>
            <w:r>
              <w:rPr>
                <w:sz w:val="17"/>
              </w:rPr>
              <w:t>2026-08-17</w:t>
            </w:r>
          </w:p>
        </w:tc>
        <w:tc>
          <w:tcPr>
            <w:tcW w:type="dxa" w:w="1440"/>
            <w:shd w:fill="FFDCE0" w:val="clear"/>
          </w:tcPr>
          <w:p>
            <w:r>
              <w:rPr>
                <w:sz w:val="17"/>
              </w:rPr>
              <w:t>1,847</w:t>
            </w:r>
          </w:p>
        </w:tc>
        <w:tc>
          <w:tcPr>
            <w:tcW w:type="dxa" w:w="1440"/>
            <w:shd w:fill="FFDCE0" w:val="clear"/>
          </w:tcPr>
          <w:p>
            <w:r>
              <w:rPr>
                <w:b/>
                <w:sz w:val="17"/>
              </w:rPr>
              <w:t>2,119</w:t>
            </w:r>
          </w:p>
        </w:tc>
        <w:tc>
          <w:tcPr>
            <w:tcW w:type="dxa" w:w="1440"/>
            <w:shd w:fill="FFDCE0" w:val="clear"/>
          </w:tcPr>
          <w:p>
            <w:r>
              <w:rPr>
                <w:sz w:val="17"/>
              </w:rPr>
              <w:t>2,390</w:t>
            </w:r>
          </w:p>
        </w:tc>
        <w:tc>
          <w:tcPr>
            <w:tcW w:type="dxa" w:w="1440"/>
            <w:shd w:fill="FFDCE0" w:val="clear"/>
          </w:tcPr>
          <w:p>
            <w:r>
              <w:rPr>
                <w:b/>
                <w:color w:val="C00000"/>
                <w:sz w:val="17"/>
              </w:rPr>
              <w:t>-11.7%</w:t>
            </w:r>
          </w:p>
        </w:tc>
      </w:tr>
      <w:tr>
        <w:tc>
          <w:tcPr>
            <w:tcW w:type="dxa" w:w="1440"/>
            <w:shd w:fill="FFDCE0" w:val="clear"/>
          </w:tcPr>
          <w:p>
            <w:r>
              <w:rPr>
                <w:sz w:val="17"/>
              </w:rPr>
              <w:t>J+4  ⭐</w:t>
            </w:r>
          </w:p>
        </w:tc>
        <w:tc>
          <w:tcPr>
            <w:tcW w:type="dxa" w:w="1440"/>
            <w:shd w:fill="FFDCE0" w:val="clear"/>
          </w:tcPr>
          <w:p>
            <w:r>
              <w:rPr>
                <w:sz w:val="17"/>
              </w:rPr>
              <w:t>2026-08-18</w:t>
            </w:r>
          </w:p>
        </w:tc>
        <w:tc>
          <w:tcPr>
            <w:tcW w:type="dxa" w:w="1440"/>
            <w:shd w:fill="FFDCE0" w:val="clear"/>
          </w:tcPr>
          <w:p>
            <w:r>
              <w:rPr>
                <w:sz w:val="17"/>
              </w:rPr>
              <w:t>1,765</w:t>
            </w:r>
          </w:p>
        </w:tc>
        <w:tc>
          <w:tcPr>
            <w:tcW w:type="dxa" w:w="1440"/>
            <w:shd w:fill="FFDCE0" w:val="clear"/>
          </w:tcPr>
          <w:p>
            <w:r>
              <w:rPr>
                <w:b/>
                <w:sz w:val="17"/>
              </w:rPr>
              <w:t>2,072</w:t>
            </w:r>
          </w:p>
        </w:tc>
        <w:tc>
          <w:tcPr>
            <w:tcW w:type="dxa" w:w="1440"/>
            <w:shd w:fill="FFDCE0" w:val="clear"/>
          </w:tcPr>
          <w:p>
            <w:r>
              <w:rPr>
                <w:sz w:val="17"/>
              </w:rPr>
              <w:t>2,379</w:t>
            </w:r>
          </w:p>
        </w:tc>
        <w:tc>
          <w:tcPr>
            <w:tcW w:type="dxa" w:w="1440"/>
            <w:shd w:fill="FFDCE0" w:val="clear"/>
          </w:tcPr>
          <w:p>
            <w:r>
              <w:rPr>
                <w:b/>
                <w:color w:val="C00000"/>
                <w:sz w:val="17"/>
              </w:rPr>
              <w:t>-13.7%</w:t>
            </w:r>
          </w:p>
        </w:tc>
      </w:tr>
      <w:tr>
        <w:tc>
          <w:tcPr>
            <w:tcW w:type="dxa" w:w="1440"/>
            <w:shd w:fill="FFDCE0" w:val="clear"/>
          </w:tcPr>
          <w:p>
            <w:r>
              <w:rPr>
                <w:sz w:val="17"/>
              </w:rPr>
              <w:t>J+5  ⭐</w:t>
            </w:r>
          </w:p>
        </w:tc>
        <w:tc>
          <w:tcPr>
            <w:tcW w:type="dxa" w:w="1440"/>
            <w:shd w:fill="FFDCE0" w:val="clear"/>
          </w:tcPr>
          <w:p>
            <w:r>
              <w:rPr>
                <w:sz w:val="17"/>
              </w:rPr>
              <w:t>2026-08-19</w:t>
            </w:r>
          </w:p>
        </w:tc>
        <w:tc>
          <w:tcPr>
            <w:tcW w:type="dxa" w:w="1440"/>
            <w:shd w:fill="FFDCE0" w:val="clear"/>
          </w:tcPr>
          <w:p>
            <w:r>
              <w:rPr>
                <w:sz w:val="17"/>
              </w:rPr>
              <w:t>1,690</w:t>
            </w:r>
          </w:p>
        </w:tc>
        <w:tc>
          <w:tcPr>
            <w:tcW w:type="dxa" w:w="1440"/>
            <w:shd w:fill="FFDCE0" w:val="clear"/>
          </w:tcPr>
          <w:p>
            <w:r>
              <w:rPr>
                <w:b/>
                <w:sz w:val="17"/>
              </w:rPr>
              <w:t>2,025</w:t>
            </w:r>
          </w:p>
        </w:tc>
        <w:tc>
          <w:tcPr>
            <w:tcW w:type="dxa" w:w="1440"/>
            <w:shd w:fill="FFDCE0" w:val="clear"/>
          </w:tcPr>
          <w:p>
            <w:r>
              <w:rPr>
                <w:sz w:val="17"/>
              </w:rPr>
              <w:t>2,361</w:t>
            </w:r>
          </w:p>
        </w:tc>
        <w:tc>
          <w:tcPr>
            <w:tcW w:type="dxa" w:w="1440"/>
            <w:shd w:fill="FFDCE0" w:val="clear"/>
          </w:tcPr>
          <w:p>
            <w:r>
              <w:rPr>
                <w:b/>
                <w:color w:val="C00000"/>
                <w:sz w:val="17"/>
              </w:rPr>
              <w:t>-15.6%</w:t>
            </w:r>
          </w:p>
        </w:tc>
      </w:tr>
      <w:tr>
        <w:tc>
          <w:tcPr>
            <w:tcW w:type="dxa" w:w="1440"/>
            <w:shd w:fill="FFDCE0" w:val="clear"/>
          </w:tcPr>
          <w:p>
            <w:r>
              <w:rPr>
                <w:sz w:val="17"/>
              </w:rPr>
              <w:t>J+6  ⭐</w:t>
            </w:r>
          </w:p>
        </w:tc>
        <w:tc>
          <w:tcPr>
            <w:tcW w:type="dxa" w:w="1440"/>
            <w:shd w:fill="FFDCE0" w:val="clear"/>
          </w:tcPr>
          <w:p>
            <w:r>
              <w:rPr>
                <w:sz w:val="17"/>
              </w:rPr>
              <w:t>2026-08-20</w:t>
            </w:r>
          </w:p>
        </w:tc>
        <w:tc>
          <w:tcPr>
            <w:tcW w:type="dxa" w:w="1440"/>
            <w:shd w:fill="FFDCE0" w:val="clear"/>
          </w:tcPr>
          <w:p>
            <w:r>
              <w:rPr>
                <w:sz w:val="17"/>
              </w:rPr>
              <w:t>1,621</w:t>
            </w:r>
          </w:p>
        </w:tc>
        <w:tc>
          <w:tcPr>
            <w:tcW w:type="dxa" w:w="1440"/>
            <w:shd w:fill="FFDCE0" w:val="clear"/>
          </w:tcPr>
          <w:p>
            <w:r>
              <w:rPr>
                <w:b/>
                <w:sz w:val="17"/>
              </w:rPr>
              <w:t>1,980</w:t>
            </w:r>
          </w:p>
        </w:tc>
        <w:tc>
          <w:tcPr>
            <w:tcW w:type="dxa" w:w="1440"/>
            <w:shd w:fill="FFDCE0" w:val="clear"/>
          </w:tcPr>
          <w:p>
            <w:r>
              <w:rPr>
                <w:sz w:val="17"/>
              </w:rPr>
              <w:t>2,339</w:t>
            </w:r>
          </w:p>
        </w:tc>
        <w:tc>
          <w:tcPr>
            <w:tcW w:type="dxa" w:w="1440"/>
            <w:shd w:fill="FFDCE0" w:val="clear"/>
          </w:tcPr>
          <w:p>
            <w:r>
              <w:rPr>
                <w:b/>
                <w:color w:val="C00000"/>
                <w:sz w:val="17"/>
              </w:rPr>
              <w:t>-17.5%</w:t>
            </w:r>
          </w:p>
        </w:tc>
      </w:tr>
      <w:tr>
        <w:tc>
          <w:tcPr>
            <w:tcW w:type="dxa" w:w="1440"/>
            <w:shd w:fill="FFDCE0" w:val="clear"/>
          </w:tcPr>
          <w:p>
            <w:r>
              <w:rPr>
                <w:sz w:val="17"/>
              </w:rPr>
              <w:t>J+7  ⭐</w:t>
            </w:r>
          </w:p>
        </w:tc>
        <w:tc>
          <w:tcPr>
            <w:tcW w:type="dxa" w:w="1440"/>
            <w:shd w:fill="FFDCE0" w:val="clear"/>
          </w:tcPr>
          <w:p>
            <w:r>
              <w:rPr>
                <w:sz w:val="17"/>
              </w:rPr>
              <w:t>2026-08-21</w:t>
            </w:r>
          </w:p>
        </w:tc>
        <w:tc>
          <w:tcPr>
            <w:tcW w:type="dxa" w:w="1440"/>
            <w:shd w:fill="FFDCE0" w:val="clear"/>
          </w:tcPr>
          <w:p>
            <w:r>
              <w:rPr>
                <w:sz w:val="17"/>
              </w:rPr>
              <w:t>1,557</w:t>
            </w:r>
          </w:p>
        </w:tc>
        <w:tc>
          <w:tcPr>
            <w:tcW w:type="dxa" w:w="1440"/>
            <w:shd w:fill="FFDCE0" w:val="clear"/>
          </w:tcPr>
          <w:p>
            <w:r>
              <w:rPr>
                <w:b/>
                <w:sz w:val="17"/>
              </w:rPr>
              <w:t>1,936</w:t>
            </w:r>
          </w:p>
        </w:tc>
        <w:tc>
          <w:tcPr>
            <w:tcW w:type="dxa" w:w="1440"/>
            <w:shd w:fill="FFDCE0" w:val="clear"/>
          </w:tcPr>
          <w:p>
            <w:r>
              <w:rPr>
                <w:sz w:val="17"/>
              </w:rPr>
              <w:t>2,315</w:t>
            </w:r>
          </w:p>
        </w:tc>
        <w:tc>
          <w:tcPr>
            <w:tcW w:type="dxa" w:w="1440"/>
            <w:shd w:fill="FFDCE0" w:val="clear"/>
          </w:tcPr>
          <w:p>
            <w:r>
              <w:rPr>
                <w:b/>
                <w:color w:val="C00000"/>
                <w:sz w:val="17"/>
              </w:rPr>
              <w:t>-19.3%</w:t>
            </w:r>
          </w:p>
        </w:tc>
      </w:tr>
      <w:tr>
        <w:tc>
          <w:tcPr>
            <w:tcW w:type="dxa" w:w="1440"/>
            <w:shd w:fill="FFDCE0" w:val="clear"/>
          </w:tcPr>
          <w:p>
            <w:r>
              <w:rPr>
                <w:sz w:val="17"/>
              </w:rPr>
              <w:t>J+8  ⭐</w:t>
            </w:r>
          </w:p>
        </w:tc>
        <w:tc>
          <w:tcPr>
            <w:tcW w:type="dxa" w:w="1440"/>
            <w:shd w:fill="FFDCE0" w:val="clear"/>
          </w:tcPr>
          <w:p>
            <w:r>
              <w:rPr>
                <w:sz w:val="17"/>
              </w:rPr>
              <w:t>2026-08-24</w:t>
            </w:r>
          </w:p>
        </w:tc>
        <w:tc>
          <w:tcPr>
            <w:tcW w:type="dxa" w:w="1440"/>
            <w:shd w:fill="FFDCE0" w:val="clear"/>
          </w:tcPr>
          <w:p>
            <w:r>
              <w:rPr>
                <w:sz w:val="17"/>
              </w:rPr>
              <w:t>1,497</w:t>
            </w:r>
          </w:p>
        </w:tc>
        <w:tc>
          <w:tcPr>
            <w:tcW w:type="dxa" w:w="1440"/>
            <w:shd w:fill="FFDCE0" w:val="clear"/>
          </w:tcPr>
          <w:p>
            <w:r>
              <w:rPr>
                <w:b/>
                <w:sz w:val="17"/>
              </w:rPr>
              <w:t>1,894</w:t>
            </w:r>
          </w:p>
        </w:tc>
        <w:tc>
          <w:tcPr>
            <w:tcW w:type="dxa" w:w="1440"/>
            <w:shd w:fill="FFDCE0" w:val="clear"/>
          </w:tcPr>
          <w:p>
            <w:r>
              <w:rPr>
                <w:sz w:val="17"/>
              </w:rPr>
              <w:t>2,290</w:t>
            </w:r>
          </w:p>
        </w:tc>
        <w:tc>
          <w:tcPr>
            <w:tcW w:type="dxa" w:w="1440"/>
            <w:shd w:fill="FFDCE0" w:val="clear"/>
          </w:tcPr>
          <w:p>
            <w:r>
              <w:rPr>
                <w:b/>
                <w:color w:val="C00000"/>
                <w:sz w:val="17"/>
              </w:rPr>
              <w:t>-21.1%</w:t>
            </w:r>
          </w:p>
        </w:tc>
      </w:tr>
      <w:tr>
        <w:tc>
          <w:tcPr>
            <w:tcW w:type="dxa" w:w="1440"/>
            <w:shd w:fill="FFDCE0" w:val="clear"/>
          </w:tcPr>
          <w:p>
            <w:r>
              <w:rPr>
                <w:sz w:val="17"/>
              </w:rPr>
              <w:t>J+9  ⭐</w:t>
            </w:r>
          </w:p>
        </w:tc>
        <w:tc>
          <w:tcPr>
            <w:tcW w:type="dxa" w:w="1440"/>
            <w:shd w:fill="FFDCE0" w:val="clear"/>
          </w:tcPr>
          <w:p>
            <w:r>
              <w:rPr>
                <w:sz w:val="17"/>
              </w:rPr>
              <w:t>2026-08-25</w:t>
            </w:r>
          </w:p>
        </w:tc>
        <w:tc>
          <w:tcPr>
            <w:tcW w:type="dxa" w:w="1440"/>
            <w:shd w:fill="FFDCE0" w:val="clear"/>
          </w:tcPr>
          <w:p>
            <w:r>
              <w:rPr>
                <w:sz w:val="17"/>
              </w:rPr>
              <w:t>1,441</w:t>
            </w:r>
          </w:p>
        </w:tc>
        <w:tc>
          <w:tcPr>
            <w:tcW w:type="dxa" w:w="1440"/>
            <w:shd w:fill="FFDCE0" w:val="clear"/>
          </w:tcPr>
          <w:p>
            <w:r>
              <w:rPr>
                <w:b/>
                <w:sz w:val="17"/>
              </w:rPr>
              <w:t>1,853</w:t>
            </w:r>
          </w:p>
        </w:tc>
        <w:tc>
          <w:tcPr>
            <w:tcW w:type="dxa" w:w="1440"/>
            <w:shd w:fill="FFDCE0" w:val="clear"/>
          </w:tcPr>
          <w:p>
            <w:r>
              <w:rPr>
                <w:sz w:val="17"/>
              </w:rPr>
              <w:t>2,264</w:t>
            </w:r>
          </w:p>
        </w:tc>
        <w:tc>
          <w:tcPr>
            <w:tcW w:type="dxa" w:w="1440"/>
            <w:shd w:fill="FFDCE0" w:val="clear"/>
          </w:tcPr>
          <w:p>
            <w:r>
              <w:rPr>
                <w:b/>
                <w:color w:val="C00000"/>
                <w:sz w:val="17"/>
              </w:rPr>
              <w:t>-22.8%</w:t>
            </w:r>
          </w:p>
        </w:tc>
      </w:tr>
      <w:tr>
        <w:tc>
          <w:tcPr>
            <w:tcW w:type="dxa" w:w="1440"/>
            <w:shd w:fill="FFDCE0" w:val="clear"/>
          </w:tcPr>
          <w:p>
            <w:r>
              <w:rPr>
                <w:sz w:val="17"/>
              </w:rPr>
              <w:t>J+10  ⭐</w:t>
            </w:r>
          </w:p>
        </w:tc>
        <w:tc>
          <w:tcPr>
            <w:tcW w:type="dxa" w:w="1440"/>
            <w:shd w:fill="FFDCE0" w:val="clear"/>
          </w:tcPr>
          <w:p>
            <w:r>
              <w:rPr>
                <w:sz w:val="17"/>
              </w:rPr>
              <w:t>2026-08-27</w:t>
            </w:r>
          </w:p>
        </w:tc>
        <w:tc>
          <w:tcPr>
            <w:tcW w:type="dxa" w:w="1440"/>
            <w:shd w:fill="FFDCE0" w:val="clear"/>
          </w:tcPr>
          <w:p>
            <w:r>
              <w:rPr>
                <w:sz w:val="17"/>
              </w:rPr>
              <w:t>1,388</w:t>
            </w:r>
          </w:p>
        </w:tc>
        <w:tc>
          <w:tcPr>
            <w:tcW w:type="dxa" w:w="1440"/>
            <w:shd w:fill="FFDCE0" w:val="clear"/>
          </w:tcPr>
          <w:p>
            <w:r>
              <w:rPr>
                <w:b/>
                <w:sz w:val="17"/>
              </w:rPr>
              <w:t>1,813</w:t>
            </w:r>
          </w:p>
        </w:tc>
        <w:tc>
          <w:tcPr>
            <w:tcW w:type="dxa" w:w="1440"/>
            <w:shd w:fill="FFDCE0" w:val="clear"/>
          </w:tcPr>
          <w:p>
            <w:r>
              <w:rPr>
                <w:sz w:val="17"/>
              </w:rPr>
              <w:t>2,238</w:t>
            </w:r>
          </w:p>
        </w:tc>
        <w:tc>
          <w:tcPr>
            <w:tcW w:type="dxa" w:w="1440"/>
            <w:shd w:fill="FFDCE0" w:val="clear"/>
          </w:tcPr>
          <w:p>
            <w:r>
              <w:rPr>
                <w:b/>
                <w:color w:val="C00000"/>
                <w:sz w:val="17"/>
              </w:rPr>
              <w:t>-24.5%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 ERIUM COTE D'IVOIRE (BRVM)**</w:t>
      </w:r>
    </w:p>
    <w:p>
      <w:pPr>
        <w:spacing w:after="120" w:line="276" w:lineRule="auto" w:before="240"/>
      </w:pPr>
      <w:r>
        <w:rPr>
          <w:b/>
          <w:color w:val="003366"/>
          <w:sz w:val="24"/>
        </w:rPr>
        <w:t>**PARTIE 0 : INDICATEURS DE VALORISATION BOURSIÈRE**</w:t>
      </w:r>
    </w:p>
    <w:p>
      <w:pPr>
        <w:spacing w:after="120" w:line="276" w:lineRule="auto"/>
      </w:pPr>
      <w:r>
        <w:t>La capitalisation boursière de 20,96 milliards FCFA positionne SIVC comme une valeur de taille moyenne sur la BRVM. Avec un BPA de 43 FCFA, le titre se paie sur la base d'un PER de 55,6x, un niveau extrêmement élevé comparé à la moyenne du marché qui se situe entre 8 et 12x. Cette décote reflète des attentes de croissance très fortes, mais expose l'investisseur à un risque de correction significatif si les résultats déçoivent. Le P/B de 6,41x indique que le marché valorise l'actif net comptable à plus de six fois sa valeur, une prime considérable qui suggère une anticipation de rendements futurs élevés. Enfin, l'EV/EBITDA de 17,5x, bien au-dessus du seuil de 15x considéré comme exigeant, confirme que la valorisation actuelle intègre des hypothèses de performance opérationnelle ambitieuses.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enregistré une baisse de 9,43%, avec une dernière séance en recul de 1,23% à 2 400 FCFA. Le cours a évolué dans une fourchette large de 1 920 à 3 215 FCFA, illustrant une volatilité marquée. La moyenne de 2 643 FCFA, inférieure à la médiane de 2 762 FCFA, confirme une asymétrie négative (skewness de -0,649), signifiant que les journées de hausse ont été plus fréquentes mais de moindre ampleur que les baisses. L'écart-type de 291 FCFA (CV de 11%) indique une dispersion modérée autour de la moyenne. Le kurtosis de -0,640, proche d'une distribution normale, suggère l'absence de mouvements extrêmes récurrents. La volatilité annualisée de 52,4% est très élevée, plaçant ce titre dans la catégorie des valeurs à haut risque, nécessitant une gestion rigoureuse du risque.</w:t>
      </w:r>
    </w:p>
    <w:p>
      <w:pPr>
        <w:spacing w:after="120" w:line="276" w:lineRule="auto" w:before="240"/>
      </w:pPr>
      <w:r>
        <w:rPr>
          <w:b/>
          <w:color w:val="003366"/>
          <w:sz w:val="24"/>
        </w:rPr>
        <w:t>**PARTIE 2 : ANALYSE TECHNIQUE DÉTAILLÉE**</w:t>
      </w:r>
    </w:p>
    <w:p>
      <w:pPr>
        <w:spacing w:after="120" w:line="276" w:lineRule="auto"/>
      </w:pPr>
      <w:r>
        <w:t>**Moyennes Mobiles** : Le cours actuel de 2 400 FCFA se situe au-dessus de la MM20 (2 258 FCFA) mais en dessous de la MM50 (2 439 FCFA). Cette configuration, où le cours est entre les deux moyennes, indique une tendance incertaine à court terme. La décision de "Vente" reflète la persistance d'une dynamique baissière à moyen terme, le cours n'ayant pas réussi à franchir la MM50.</w:t>
      </w:r>
    </w:p>
    <w:p>
      <w:pPr>
        <w:spacing w:after="120" w:line="276" w:lineRule="auto"/>
      </w:pPr>
      <w:r>
        <w:t>**Bandes de Bollinger** : Le prix évolue dans la partie médiane des bandes, entre la borne supérieure de 2 486 FCFA et la borne inférieure de 2 031 FCFA. Cette position neutre suggère une volatilité modérée sans pression directionnelle forte. La décision "Neutre" est cohérente avec l'absence de cassure des bornes, indiquant une phase de consolidation.</w:t>
      </w:r>
    </w:p>
    <w:p>
      <w:pPr>
        <w:spacing w:after="120" w:line="276" w:lineRule="auto"/>
      </w:pPr>
      <w:r>
        <w:t>**MACD** : La valeur MACD de -31,77 est supérieure au signal de -68,52, formant un croisement haussier. Cette configuration signale un momentum positif émergent, même si les deux lignes restent en territoire négatif. La décision "Achat" reflète cette amélioration technique, suggérant un potentiel de rebond à court terme.</w:t>
      </w:r>
    </w:p>
    <w:p>
      <w:pPr>
        <w:spacing w:after="120" w:line="276" w:lineRule="auto"/>
      </w:pPr>
      <w:r>
        <w:t>**RSI** : À 62,5, le RSI se situe dans la zone neutre, sans signal de surachat ni de survente. Cette valeur indique une pression acheteuse modérée, sans excès. La décision "Neutre" est appropriée, laissant place à une évolution dans les deux sens.</w:t>
      </w:r>
    </w:p>
    <w:p>
      <w:pPr>
        <w:spacing w:after="120" w:line="276" w:lineRule="auto"/>
      </w:pPr>
      <w:r>
        <w:t>**Stochastique** : Avec %K à 91,5 et %D à 97,2, le stochastique est en zone de surachat extrême. Cette configuration signale un épuisement potentiel de la dynamique haussière récente. La décision "Vente" anticipe un repli technique probable, d'autant que les deux lignes sont proches, suggérant un croisement baissier imminent.</w:t>
      </w:r>
    </w:p>
    <w:p>
      <w:pPr>
        <w:spacing w:after="120" w:line="276" w:lineRule="auto"/>
      </w:pPr>
      <w:r>
        <w:t>**Conclusion technique** : Les indicateurs sont mitigés avec un MACD haussier, mais un stochastique suracheté et des moyennes mobiles baissières. Cette divergence suggère une phase de transition incertaine, où le titre pourrait connaître une consolidation avant de poursuivre son évolution.</w:t>
      </w:r>
    </w:p>
    <w:p>
      <w:pPr>
        <w:spacing w:after="120" w:line="276" w:lineRule="auto" w:before="240"/>
      </w:pPr>
      <w:r>
        <w:rPr>
          <w:b/>
          <w:color w:val="003366"/>
          <w:sz w:val="24"/>
        </w:rPr>
        <w:t>**PARTIE 3 : ANALYSE FONDAMENTALE (SECTION CRITIQUE)**</w:t>
      </w:r>
    </w:p>
    <w:p>
      <w:pPr>
        <w:spacing w:after="120" w:line="276" w:lineRule="auto"/>
      </w:pPr>
      <w:r>
        <w:t>En 2024, SIVC a réalisé un chiffre d'affaires de 9,283 milliards FCFA avec un résultat net de 376,96 millions FCFA, soit une marge nette de 4,06%. Le ROE s'établit à 11,52% et le ROA à 2,69%, des niveaux corrects mais en deçà des standards de performance élevés. Le coefficient d'exploitation de 95,83% est préoccupant, indiquant une structure de coûts très lourde. Le coût du risque de 3,10% est élevé, signalant un risque de crédit significatif. Les capitaux propres de 3,272 milliards FCFA représentent 23,34% du bilan, une autonomie financière insuffisante. Le rapport du 3ème trimestre 2025 (daté de 2025) montre une amélioration spectaculaire avec un CA cumulé de 7,585 milliards FCFA (+13%) et un résultat net de 832,5 millions FCFA (+58%), portant la marge nette à 11%. Le rapport annuel 2025 (daté du 31/12/2025) confirme cette dynamique avec un CA de 10,075 milliards FCFA (+8,53%), mais un résultat net en chute à 179,3 millions FCFA, reflétant une dégradation de la rentabilité en fin d'exercice. La trésorerie nette reste négative à -1,66 milliard FCFA, un point de vigilance majeur.</w:t>
      </w:r>
    </w:p>
    <w:p>
      <w:pPr>
        <w:spacing w:after="120" w:line="276" w:lineRule="auto" w:before="240"/>
      </w:pPr>
      <w:r>
        <w:rPr>
          <w:b/>
          <w:color w:val="003366"/>
          <w:sz w:val="24"/>
        </w:rPr>
        <w:t>**PARTIE 4 : CONCLUSION D'INVESTISSEMENT**</w:t>
      </w:r>
    </w:p>
    <w:p>
      <w:pPr>
        <w:spacing w:after="120" w:line="276" w:lineRule="auto"/>
      </w:pPr>
      <w:r>
        <w:t>La valorisation actuelle de SIVC est extrêmement exigeante avec un PER de 55,6x et un P/B de 6,41x, indiquant une surévaluation manifeste par rapport aux fondamentaux. Le comportement du cours sur 100 jours montre une tendance baissière avec une volatilité très élevée de 52,4%, signalant un risque important. Les signaux techniques sont divergents : le MACD est haussier mais le stochastique est suracheté, les moyennes mobiles restent baissières. Les fondamentaux de 2024 sont corrects mais le coefficient d'exploitation élevé et le coût du risque important sont préoccupants. Les rapports 2025 montrent une amélioration au T3 mais une chute du résultat net annuel, créant une incertitude. Les prédictions IA indiquent une poursuite de la baisse vers 2 025 FCFA d'ici 10 jours. La convergence des signaux baissiers (valorisation excessive, tendance négative, fondamentaux mitigés, prédictions IA) justifie une recommandation **VENTE** avec un niveau de confiance **Moyen** et un risque global **Élevé**. L'horizon d'investissement optimal serait à court terme (&lt;3 mois) pour les investisseurs cherchant à réduire leur exposition, tandis que les investisseurs à long terme devraient attendre une correction significative du cours avant d'envisager une entrée.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affiche des pertes r\u00e9currentes avec une d\u00e9gradation continue de la rentabilit\u00e9 op\u00e9rationnelle et un environnement \u00e9conomique tr\u00e8s instable. Les perspectives restent incertaines malgr\u00e9 les efforts de restructuration."}</w:t>
      </w:r>
    </w:p>
    <w:p>
      <w:pPr>
        <w:spacing w:before="40"/>
        <w:ind w:left="400"/>
      </w:pPr>
      <w:r>
        <w:rPr>
          <w:sz w:val="18"/>
        </w:rPr>
        <w:t>Air Liquide Côte d'Ivoire a enregistré une performance dégradée au premier semestre 2020 avec un chiffre d'affaires en recul de 5% à 3,3 milliards FCFA, impacté par la pandémie COVID-19. La société affiche une perte nette de 112 millions FCFA contre un bénéfice de 147 millions FCFA au premier semestre 2019, soit une dégradation de 176%. Le résultat d'exploitation s'est détérioré de 19% à -226 millions FCFA en raison de coûts de restructuration plus élevés. Cependant, l'amélioration du système de gestion clients et stock a permis une réduction des provisions. Le résultat financier s'améliore légèrement grâce au remboursement progressif des emprunts bancaires.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'resultat_financier': '-87 657 K.FCFA', 'resultat_exploitation': '-226 184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-112 006 K.FCFA (S1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3 303 060 K.FCFA (S1 2020)</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 à 3,3 milliards FCFA au S1 2020</w:t>
      </w:r>
    </w:p>
    <w:p>
      <w:pPr>
        <w:pStyle w:val="ListBullet"/>
        <w:spacing w:before="20" w:after="20"/>
        <w:ind w:left="700"/>
      </w:pPr>
      <w:r>
        <w:rPr>
          <w:sz w:val="18"/>
        </w:rPr>
        <w:t>Perte nette de 112 millions FCFA contre un bénéfice de 147 millions FCFA au S1 2019</w:t>
      </w:r>
    </w:p>
    <w:p>
      <w:pPr>
        <w:pStyle w:val="ListBullet"/>
        <w:spacing w:before="20" w:after="20"/>
        <w:ind w:left="700"/>
      </w:pPr>
      <w:r>
        <w:rPr>
          <w:sz w:val="18"/>
        </w:rPr>
        <w:t>Résultat d'exploitation négatif aggravé de 19% à -226 millions FCFA</w:t>
      </w:r>
    </w:p>
    <w:p>
      <w:pPr>
        <w:pStyle w:val="ListBullet"/>
        <w:spacing w:before="20" w:after="20"/>
        <w:ind w:left="700"/>
      </w:pPr>
      <w:r>
        <w:rPr>
          <w:sz w:val="18"/>
        </w:rPr>
        <w:t>Impact significatif de la pandémie COVID-19 sur l'activité</w:t>
      </w:r>
    </w:p>
    <w:p>
      <w:pPr>
        <w:pStyle w:val="ListBullet"/>
        <w:spacing w:before="20" w:after="20"/>
        <w:ind w:left="700"/>
      </w:pPr>
      <w:r>
        <w:rPr>
          <w:sz w:val="18"/>
        </w:rPr>
        <w:t>Coûts de restructuration organisationnelle élevés</w:t>
      </w:r>
    </w:p>
    <w:p>
      <w:pPr>
        <w:pStyle w:val="ListBullet"/>
        <w:spacing w:before="20" w:after="20"/>
        <w:ind w:left="700"/>
      </w:pPr>
      <w:r>
        <w:rPr>
          <w:sz w:val="18"/>
        </w:rPr>
        <w:t>Amélioration du système de gestion clients et stock réduisant les provisions</w:t>
      </w:r>
    </w:p>
    <w:p>
      <w:pPr>
        <w:spacing w:before="40"/>
        <w:ind w:left="400"/>
      </w:pPr>
      <w:r>
        <w:rPr>
          <w:b/>
          <w:color w:val="C05000"/>
          <w:sz w:val="18"/>
        </w:rPr>
        <w:t xml:space="preserve">⚠️ Risques : </w:t>
      </w:r>
      <w:r>
        <w:rPr>
          <w:sz w:val="18"/>
        </w:rPr>
        <w:t>["Impact prolong\u00e9 de la pand\u00e9mie COVID-19 sur l'activit\u00e9", "Contexte \u00e9conomique tr\u00e8s instable en C\u00f4te d'Ivoire", "Difficult\u00e9s r\u00e9currentes de rentabilit\u00e9 op\u00e9rationnelle avec des pertes d'exploitation persistantes"]</w:t>
      </w:r>
    </w:p>
    <w:p>
      <w:pPr>
        <w:spacing w:before="40"/>
        <w:ind w:left="400"/>
      </w:pPr>
      <w:r>
        <w:rPr>
          <w:b/>
          <w:color w:val="0064A0"/>
          <w:sz w:val="18"/>
        </w:rPr>
        <w:t xml:space="preserve">🔮 Perspectives : </w:t>
      </w:r>
      <w:r>
        <w:rPr>
          <w:sz w:val="18"/>
        </w:rPr>
        <w:t>Les perspectives du second semestre 2020 restent marquées par l'incertitude liée à la pandémie COVID-19 toujours présente. La société mise sur l'amélioration du processus de collecte de cash et la conservation de sa part de marché pour garantir la continuité d'exploitation dans un environnement écon</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612.34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1,051 titres</w:t>
            </w:r>
          </w:p>
        </w:tc>
        <w:tc>
          <w:tcPr>
            <w:tcW w:type="dxa" w:w="2268"/>
            <w:shd w:fill="FFF2CC" w:val="clear"/>
          </w:tcPr>
          <w:p>
            <w:r>
              <w:rPr>
                <w:b/>
                <w:color w:val="503200"/>
                <w:sz w:val="16"/>
              </w:rPr>
              <w:t xml:space="preserve">Cours actuel : </w:t>
            </w:r>
            <w:r>
              <w:rPr>
                <w:color w:val="000000"/>
                <w:sz w:val="17"/>
              </w:rPr>
              <w:t>37,200 FCFA</w:t>
            </w:r>
          </w:p>
          <w:p>
            <w:r>
              <w:rPr>
                <w:b/>
                <w:color w:val="503200"/>
                <w:sz w:val="16"/>
              </w:rPr>
              <w:t xml:space="preserve">Var. 100 jours : </w:t>
            </w:r>
            <w:r>
              <w:rPr>
                <w:b/>
                <w:color w:val="B40000"/>
                <w:sz w:val="17"/>
              </w:rPr>
              <w:t>-5.85%</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2.45% (Faible) — μ=38,482 FCFA, σ=941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β=0.2054 (Défensif) — Cov=0.000007, Var(idx)=0.000036, ρ=0.068,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2026-08-13</w:t>
            </w:r>
          </w:p>
        </w:tc>
        <w:tc>
          <w:tcPr>
            <w:tcW w:type="dxa" w:w="1440"/>
            <w:shd w:fill="FAFAFA" w:val="clear"/>
          </w:tcPr>
          <w:p>
            <w:r>
              <w:rPr>
                <w:sz w:val="17"/>
              </w:rPr>
              <w:t>35,875</w:t>
            </w:r>
          </w:p>
        </w:tc>
        <w:tc>
          <w:tcPr>
            <w:tcW w:type="dxa" w:w="1440"/>
            <w:shd w:fill="FAFAFA" w:val="clear"/>
          </w:tcPr>
          <w:p>
            <w:r>
              <w:rPr>
                <w:b/>
                <w:sz w:val="17"/>
              </w:rPr>
              <w:t>37,175</w:t>
            </w:r>
          </w:p>
        </w:tc>
        <w:tc>
          <w:tcPr>
            <w:tcW w:type="dxa" w:w="1440"/>
            <w:shd w:fill="FAFAFA" w:val="clear"/>
          </w:tcPr>
          <w:p>
            <w:r>
              <w:rPr>
                <w:sz w:val="17"/>
              </w:rPr>
              <w:t>38,476</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2026-08-14</w:t>
            </w:r>
          </w:p>
        </w:tc>
        <w:tc>
          <w:tcPr>
            <w:tcW w:type="dxa" w:w="1440"/>
            <w:shd w:fill="FAFAFA" w:val="clear"/>
          </w:tcPr>
          <w:p>
            <w:r>
              <w:rPr>
                <w:sz w:val="17"/>
              </w:rPr>
              <w:t>35,330</w:t>
            </w:r>
          </w:p>
        </w:tc>
        <w:tc>
          <w:tcPr>
            <w:tcW w:type="dxa" w:w="1440"/>
            <w:shd w:fill="FAFAFA" w:val="clear"/>
          </w:tcPr>
          <w:p>
            <w:r>
              <w:rPr>
                <w:b/>
                <w:sz w:val="17"/>
              </w:rPr>
              <w:t>37,168</w:t>
            </w:r>
          </w:p>
        </w:tc>
        <w:tc>
          <w:tcPr>
            <w:tcW w:type="dxa" w:w="1440"/>
            <w:shd w:fill="FAFAFA" w:val="clear"/>
          </w:tcPr>
          <w:p>
            <w:r>
              <w:rPr>
                <w:sz w:val="17"/>
              </w:rPr>
              <w:t>39,007</w:t>
            </w:r>
          </w:p>
        </w:tc>
        <w:tc>
          <w:tcPr>
            <w:tcW w:type="dxa" w:w="1440"/>
            <w:shd w:fill="FAFAFA" w:val="clear"/>
          </w:tcPr>
          <w:p>
            <w:r>
              <w:rPr>
                <w:b/>
                <w:color w:val="C00000"/>
                <w:sz w:val="17"/>
              </w:rPr>
              <w:t>-0.1%</w:t>
            </w:r>
          </w:p>
        </w:tc>
      </w:tr>
      <w:tr>
        <w:tc>
          <w:tcPr>
            <w:tcW w:type="dxa" w:w="1440"/>
            <w:shd w:fill="FAFAFA" w:val="clear"/>
          </w:tcPr>
          <w:p>
            <w:r>
              <w:rPr>
                <w:sz w:val="17"/>
              </w:rPr>
              <w:t>J+3  Moyenne</w:t>
            </w:r>
          </w:p>
        </w:tc>
        <w:tc>
          <w:tcPr>
            <w:tcW w:type="dxa" w:w="1440"/>
            <w:shd w:fill="FAFAFA" w:val="clear"/>
          </w:tcPr>
          <w:p>
            <w:r>
              <w:rPr>
                <w:sz w:val="17"/>
              </w:rPr>
              <w:t>2026-08-17</w:t>
            </w:r>
          </w:p>
        </w:tc>
        <w:tc>
          <w:tcPr>
            <w:tcW w:type="dxa" w:w="1440"/>
            <w:shd w:fill="FAFAFA" w:val="clear"/>
          </w:tcPr>
          <w:p>
            <w:r>
              <w:rPr>
                <w:sz w:val="17"/>
              </w:rPr>
              <w:t>34,893</w:t>
            </w:r>
          </w:p>
        </w:tc>
        <w:tc>
          <w:tcPr>
            <w:tcW w:type="dxa" w:w="1440"/>
            <w:shd w:fill="FAFAFA" w:val="clear"/>
          </w:tcPr>
          <w:p>
            <w:r>
              <w:rPr>
                <w:b/>
                <w:sz w:val="17"/>
              </w:rPr>
              <w:t>37,142</w:t>
            </w:r>
          </w:p>
        </w:tc>
        <w:tc>
          <w:tcPr>
            <w:tcW w:type="dxa" w:w="1440"/>
            <w:shd w:fill="FAFAFA" w:val="clear"/>
          </w:tcPr>
          <w:p>
            <w:r>
              <w:rPr>
                <w:sz w:val="17"/>
              </w:rPr>
              <w:t>39,392</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2026-08-18</w:t>
            </w:r>
          </w:p>
        </w:tc>
        <w:tc>
          <w:tcPr>
            <w:tcW w:type="dxa" w:w="1440"/>
            <w:shd w:fill="FAFAFA" w:val="clear"/>
          </w:tcPr>
          <w:p>
            <w:r>
              <w:rPr>
                <w:sz w:val="17"/>
              </w:rPr>
              <w:t>34,516</w:t>
            </w:r>
          </w:p>
        </w:tc>
        <w:tc>
          <w:tcPr>
            <w:tcW w:type="dxa" w:w="1440"/>
            <w:shd w:fill="FAFAFA" w:val="clear"/>
          </w:tcPr>
          <w:p>
            <w:r>
              <w:rPr>
                <w:b/>
                <w:sz w:val="17"/>
              </w:rPr>
              <w:t>37,112</w:t>
            </w:r>
          </w:p>
        </w:tc>
        <w:tc>
          <w:tcPr>
            <w:tcW w:type="dxa" w:w="1440"/>
            <w:shd w:fill="FAFAFA" w:val="clear"/>
          </w:tcPr>
          <w:p>
            <w:r>
              <w:rPr>
                <w:sz w:val="17"/>
              </w:rPr>
              <w:t>39,707</w:t>
            </w:r>
          </w:p>
        </w:tc>
        <w:tc>
          <w:tcPr>
            <w:tcW w:type="dxa" w:w="1440"/>
            <w:shd w:fill="FAFAFA" w:val="clear"/>
          </w:tcPr>
          <w:p>
            <w:r>
              <w:rPr>
                <w:b/>
                <w:color w:val="C00000"/>
                <w:sz w:val="17"/>
              </w:rPr>
              <w:t>-0.2%</w:t>
            </w:r>
          </w:p>
        </w:tc>
      </w:tr>
      <w:tr>
        <w:tc>
          <w:tcPr>
            <w:tcW w:type="dxa" w:w="1440"/>
            <w:shd w:fill="FAFAFA" w:val="clear"/>
          </w:tcPr>
          <w:p>
            <w:r>
              <w:rPr>
                <w:sz w:val="17"/>
              </w:rPr>
              <w:t>J+5  ⭐</w:t>
            </w:r>
          </w:p>
        </w:tc>
        <w:tc>
          <w:tcPr>
            <w:tcW w:type="dxa" w:w="1440"/>
            <w:shd w:fill="FAFAFA" w:val="clear"/>
          </w:tcPr>
          <w:p>
            <w:r>
              <w:rPr>
                <w:sz w:val="17"/>
              </w:rPr>
              <w:t>2026-08-19</w:t>
            </w:r>
          </w:p>
        </w:tc>
        <w:tc>
          <w:tcPr>
            <w:tcW w:type="dxa" w:w="1440"/>
            <w:shd w:fill="FAFAFA" w:val="clear"/>
          </w:tcPr>
          <w:p>
            <w:r>
              <w:rPr>
                <w:sz w:val="17"/>
              </w:rPr>
              <w:t>34,180</w:t>
            </w:r>
          </w:p>
        </w:tc>
        <w:tc>
          <w:tcPr>
            <w:tcW w:type="dxa" w:w="1440"/>
            <w:shd w:fill="FAFAFA" w:val="clear"/>
          </w:tcPr>
          <w:p>
            <w:r>
              <w:rPr>
                <w:b/>
                <w:sz w:val="17"/>
              </w:rPr>
              <w:t>37,080</w:t>
            </w:r>
          </w:p>
        </w:tc>
        <w:tc>
          <w:tcPr>
            <w:tcW w:type="dxa" w:w="1440"/>
            <w:shd w:fill="FAFAFA" w:val="clear"/>
          </w:tcPr>
          <w:p>
            <w:r>
              <w:rPr>
                <w:sz w:val="17"/>
              </w:rPr>
              <w:t>39,979</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2026-08-20</w:t>
            </w:r>
          </w:p>
        </w:tc>
        <w:tc>
          <w:tcPr>
            <w:tcW w:type="dxa" w:w="1440"/>
            <w:shd w:fill="FAFAFA" w:val="clear"/>
          </w:tcPr>
          <w:p>
            <w:r>
              <w:rPr>
                <w:sz w:val="17"/>
              </w:rPr>
              <w:t>33,874</w:t>
            </w:r>
          </w:p>
        </w:tc>
        <w:tc>
          <w:tcPr>
            <w:tcW w:type="dxa" w:w="1440"/>
            <w:shd w:fill="FAFAFA" w:val="clear"/>
          </w:tcPr>
          <w:p>
            <w:r>
              <w:rPr>
                <w:b/>
                <w:sz w:val="17"/>
              </w:rPr>
              <w:t>37,047</w:t>
            </w:r>
          </w:p>
        </w:tc>
        <w:tc>
          <w:tcPr>
            <w:tcW w:type="dxa" w:w="1440"/>
            <w:shd w:fill="FAFAFA" w:val="clear"/>
          </w:tcPr>
          <w:p>
            <w:r>
              <w:rPr>
                <w:sz w:val="17"/>
              </w:rPr>
              <w:t>40,221</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2026-08-21</w:t>
            </w:r>
          </w:p>
        </w:tc>
        <w:tc>
          <w:tcPr>
            <w:tcW w:type="dxa" w:w="1440"/>
            <w:shd w:fill="FAFAFA" w:val="clear"/>
          </w:tcPr>
          <w:p>
            <w:r>
              <w:rPr>
                <w:sz w:val="17"/>
              </w:rPr>
              <w:t>33,590</w:t>
            </w:r>
          </w:p>
        </w:tc>
        <w:tc>
          <w:tcPr>
            <w:tcW w:type="dxa" w:w="1440"/>
            <w:shd w:fill="FAFAFA" w:val="clear"/>
          </w:tcPr>
          <w:p>
            <w:r>
              <w:rPr>
                <w:b/>
                <w:sz w:val="17"/>
              </w:rPr>
              <w:t>37,015</w:t>
            </w:r>
          </w:p>
        </w:tc>
        <w:tc>
          <w:tcPr>
            <w:tcW w:type="dxa" w:w="1440"/>
            <w:shd w:fill="FAFAFA" w:val="clear"/>
          </w:tcPr>
          <w:p>
            <w:r>
              <w:rPr>
                <w:sz w:val="17"/>
              </w:rPr>
              <w:t>40,440</w:t>
            </w:r>
          </w:p>
        </w:tc>
        <w:tc>
          <w:tcPr>
            <w:tcW w:type="dxa" w:w="1440"/>
            <w:shd w:fill="FAFAFA" w:val="clear"/>
          </w:tcPr>
          <w:p>
            <w:r>
              <w:rPr>
                <w:b/>
                <w:color w:val="C00000"/>
                <w:sz w:val="17"/>
              </w:rPr>
              <w:t>-0.5%</w:t>
            </w:r>
          </w:p>
        </w:tc>
      </w:tr>
      <w:tr>
        <w:tc>
          <w:tcPr>
            <w:tcW w:type="dxa" w:w="1440"/>
            <w:shd w:fill="FAFAFA" w:val="clear"/>
          </w:tcPr>
          <w:p>
            <w:r>
              <w:rPr>
                <w:sz w:val="17"/>
              </w:rPr>
              <w:t>J+8  ⭐</w:t>
            </w:r>
          </w:p>
        </w:tc>
        <w:tc>
          <w:tcPr>
            <w:tcW w:type="dxa" w:w="1440"/>
            <w:shd w:fill="FAFAFA" w:val="clear"/>
          </w:tcPr>
          <w:p>
            <w:r>
              <w:rPr>
                <w:sz w:val="17"/>
              </w:rPr>
              <w:t>2026-08-24</w:t>
            </w:r>
          </w:p>
        </w:tc>
        <w:tc>
          <w:tcPr>
            <w:tcW w:type="dxa" w:w="1440"/>
            <w:shd w:fill="FAFAFA" w:val="clear"/>
          </w:tcPr>
          <w:p>
            <w:r>
              <w:rPr>
                <w:sz w:val="17"/>
              </w:rPr>
              <w:t>33,324</w:t>
            </w:r>
          </w:p>
        </w:tc>
        <w:tc>
          <w:tcPr>
            <w:tcW w:type="dxa" w:w="1440"/>
            <w:shd w:fill="FAFAFA" w:val="clear"/>
          </w:tcPr>
          <w:p>
            <w:r>
              <w:rPr>
                <w:b/>
                <w:sz w:val="17"/>
              </w:rPr>
              <w:t>36,982</w:t>
            </w:r>
          </w:p>
        </w:tc>
        <w:tc>
          <w:tcPr>
            <w:tcW w:type="dxa" w:w="1440"/>
            <w:shd w:fill="FAFAFA" w:val="clear"/>
          </w:tcPr>
          <w:p>
            <w:r>
              <w:rPr>
                <w:sz w:val="17"/>
              </w:rPr>
              <w:t>40,641</w:t>
            </w:r>
          </w:p>
        </w:tc>
        <w:tc>
          <w:tcPr>
            <w:tcW w:type="dxa" w:w="1440"/>
            <w:shd w:fill="FAFAFA" w:val="clear"/>
          </w:tcPr>
          <w:p>
            <w:r>
              <w:rPr>
                <w:b/>
                <w:color w:val="C00000"/>
                <w:sz w:val="17"/>
              </w:rPr>
              <w:t>-0.6%</w:t>
            </w:r>
          </w:p>
        </w:tc>
      </w:tr>
      <w:tr>
        <w:tc>
          <w:tcPr>
            <w:tcW w:type="dxa" w:w="1440"/>
            <w:shd w:fill="FAFAFA" w:val="clear"/>
          </w:tcPr>
          <w:p>
            <w:r>
              <w:rPr>
                <w:sz w:val="17"/>
              </w:rPr>
              <w:t>J+9  ⭐</w:t>
            </w:r>
          </w:p>
        </w:tc>
        <w:tc>
          <w:tcPr>
            <w:tcW w:type="dxa" w:w="1440"/>
            <w:shd w:fill="FAFAFA" w:val="clear"/>
          </w:tcPr>
          <w:p>
            <w:r>
              <w:rPr>
                <w:sz w:val="17"/>
              </w:rPr>
              <w:t>2026-08-25</w:t>
            </w:r>
          </w:p>
        </w:tc>
        <w:tc>
          <w:tcPr>
            <w:tcW w:type="dxa" w:w="1440"/>
            <w:shd w:fill="FAFAFA" w:val="clear"/>
          </w:tcPr>
          <w:p>
            <w:r>
              <w:rPr>
                <w:sz w:val="17"/>
              </w:rPr>
              <w:t>33,074</w:t>
            </w:r>
          </w:p>
        </w:tc>
        <w:tc>
          <w:tcPr>
            <w:tcW w:type="dxa" w:w="1440"/>
            <w:shd w:fill="FAFAFA" w:val="clear"/>
          </w:tcPr>
          <w:p>
            <w:r>
              <w:rPr>
                <w:b/>
                <w:sz w:val="17"/>
              </w:rPr>
              <w:t>36,950</w:t>
            </w:r>
          </w:p>
        </w:tc>
        <w:tc>
          <w:tcPr>
            <w:tcW w:type="dxa" w:w="1440"/>
            <w:shd w:fill="FAFAFA" w:val="clear"/>
          </w:tcPr>
          <w:p>
            <w:r>
              <w:rPr>
                <w:sz w:val="17"/>
              </w:rPr>
              <w:t>40,827</w:t>
            </w:r>
          </w:p>
        </w:tc>
        <w:tc>
          <w:tcPr>
            <w:tcW w:type="dxa" w:w="1440"/>
            <w:shd w:fill="FAFAFA" w:val="clear"/>
          </w:tcPr>
          <w:p>
            <w:r>
              <w:rPr>
                <w:b/>
                <w:color w:val="C00000"/>
                <w:sz w:val="17"/>
              </w:rPr>
              <w:t>-0.7%</w:t>
            </w:r>
          </w:p>
        </w:tc>
      </w:tr>
      <w:tr>
        <w:tc>
          <w:tcPr>
            <w:tcW w:type="dxa" w:w="1440"/>
            <w:shd w:fill="FAFAFA" w:val="clear"/>
          </w:tcPr>
          <w:p>
            <w:r>
              <w:rPr>
                <w:sz w:val="17"/>
              </w:rPr>
              <w:t>J+10  ⭐</w:t>
            </w:r>
          </w:p>
        </w:tc>
        <w:tc>
          <w:tcPr>
            <w:tcW w:type="dxa" w:w="1440"/>
            <w:shd w:fill="FAFAFA" w:val="clear"/>
          </w:tcPr>
          <w:p>
            <w:r>
              <w:rPr>
                <w:sz w:val="17"/>
              </w:rPr>
              <w:t>2026-08-27</w:t>
            </w:r>
          </w:p>
        </w:tc>
        <w:tc>
          <w:tcPr>
            <w:tcW w:type="dxa" w:w="1440"/>
            <w:shd w:fill="FAFAFA" w:val="clear"/>
          </w:tcPr>
          <w:p>
            <w:r>
              <w:rPr>
                <w:sz w:val="17"/>
              </w:rPr>
              <w:t>32,835</w:t>
            </w:r>
          </w:p>
        </w:tc>
        <w:tc>
          <w:tcPr>
            <w:tcW w:type="dxa" w:w="1440"/>
            <w:shd w:fill="FAFAFA" w:val="clear"/>
          </w:tcPr>
          <w:p>
            <w:r>
              <w:rPr>
                <w:b/>
                <w:sz w:val="17"/>
              </w:rPr>
              <w:t>36,918</w:t>
            </w:r>
          </w:p>
        </w:tc>
        <w:tc>
          <w:tcPr>
            <w:tcW w:type="dxa" w:w="1440"/>
            <w:shd w:fill="FAFAFA" w:val="clear"/>
          </w:tcPr>
          <w:p>
            <w:r>
              <w:rPr>
                <w:sz w:val="17"/>
              </w:rPr>
              <w:t>41,001</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SLBC s'établit à 612,34 milliards FCFA, ce qui positionne la société parmi les valeurs à grande capitalisation de la BRVM, reflétant son statut de leader dans le secteur des boissons en Afrique de l'Ouest. Le BPA de 2 781 FCFA indique que chaque action génère un bénéfice substantiel, justifiant un PER de 13,4x, légèrement supérieur à la moyenne historique de la BRVM (8-12x), ce qui traduit une prime de croissance accordée par le marché aux excellentes performances récentes de l'entreprise. Le P/B de 3,14x confirme cette prime, le marché valorisant la société à plus de trois fois sa valeur comptable, signe de confiance dans la création de valeur future. Enfin, l'EV/EBITDA de 7,3x se situe dans une fourchette raisonnable (5-10x), indiquant que la valeur totale de l'entreprise reste cohérente avec sa capacité opérationnelle à générer des flux, malgré la prime de valorisation sur les bénéfices.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SLBC a enregistré une variation totale de -5,85%, avec une légère baisse de -0,53% lors de la dernière séance, s'établissant à 37 200 FCFA. Le titre a évolué dans une fourchette de 35 540 FCFA (plus bas) à 41 500 FCFA (plus haut), montrant une amplitude de près de 6 000 FCFA. La moyenne du cours sur la période est de 38 482 FCFA, très proche de la médiane de 38 748 FCFA, ce qui indique une distribution relativement symétrique des prix, confirmée par un skewness de -0,061. L'écart-type de 946 FCFA, avec un coefficient de variation de seulement 2,5%, révèle une dispersion très faible autour de la moyenne, tandis que le kurtosis de 0,322 (mésokurtique) suggère l'absence de mouvements extrêmes ou de pics de volatilité inhabituels. La volatilité annualisée de 28,7% classe le titre dans la catégorie modérée à élevée, reflétant une certaine nervosité du marché malgré une tendance générale baissière sur la période.</w:t>
      </w:r>
    </w:p>
    <w:p>
      <w:pPr>
        <w:spacing w:after="120" w:line="276" w:lineRule="auto" w:before="240"/>
      </w:pPr>
      <w:r>
        <w:rPr>
          <w:b/>
          <w:color w:val="003366"/>
          <w:sz w:val="24"/>
        </w:rPr>
        <w:t>**PARTIE 2 : ANALYSE TECHNIQUE DÉTAILLÉE**</w:t>
      </w:r>
    </w:p>
    <w:p>
      <w:pPr>
        <w:spacing w:after="120" w:line="276" w:lineRule="auto"/>
      </w:pPr>
      <w:r>
        <w:t>**Moyennes Mobiles** : Les MM20 (38 390 FCFA) et MM50 (38 724 FCFA) se situent toutes deux au-dessus du cours actuel de 37 200 FCFA, avec une MM50 supérieure à la MM20, configuration typique d'une tendance baissière à moyen terme. Le croisement baissier et la position du prix sous ces moyennes mobiles justifient la décision de Vente, indiquant que la pression vendeuse domine actuellement.</w:t>
      </w:r>
    </w:p>
    <w:p>
      <w:pPr>
        <w:spacing w:after="120" w:line="276" w:lineRule="auto"/>
      </w:pPr>
      <w:r>
        <w:t>**Bandes de Bollinger** : Le cours évolue entre la borne inférieure (36 230,819 FCFA) et la borne supérieure (40 549,181 FCFA), se rapprochant de la borne inférieure, ce qui suggère une phase de faiblesse relative. La décision Neutre s'explique par le fait que le prix n'a pas encore franchi la borne inférieure, mais la proximité de celle-ci indique une volatilité croissante et un potentiel de rebond technique ou de poursuite de la baisse.</w:t>
      </w:r>
    </w:p>
    <w:p>
      <w:pPr>
        <w:spacing w:after="120" w:line="276" w:lineRule="auto"/>
      </w:pPr>
      <w:r>
        <w:t>**MACD** : Le MACD (-520,893) est nettement inférieur à sa ligne de signal (-348,348), confirmant un momentum baissier prononcé. Cette divergence négative indique que la dynamique des prix reste orientée à la baisse, justifiant la décision de Vente, bien que l'écart important entre les deux lignes puisse suggérer une possible correction technique à court terme.</w:t>
      </w:r>
    </w:p>
    <w:p>
      <w:pPr>
        <w:spacing w:after="120" w:line="276" w:lineRule="auto"/>
      </w:pPr>
      <w:r>
        <w:t>**RSI** : À 39,944, le RSI se situe en zone neutre (entre 30 et 70), mais proche de la zone de survente (30). Cette valeur indique une faiblesse relative du titre sans toutefois signaler une condition extrême de survente, d'où la décision Neutre. Un passage sous 30 pourrait déclencher un signal d'achat technique.</w:t>
      </w:r>
    </w:p>
    <w:p>
      <w:pPr>
        <w:spacing w:after="120" w:line="276" w:lineRule="auto"/>
      </w:pPr>
      <w:r>
        <w:t>**Stochastique** : Le %K (9,693) et le %D (9,747) sont tous deux profondément en zone de survente (sous 20), avec un %K légèrement inférieur au %D. Cette configuration extrême suggère un épuisement de la pression vendeuse et un potentiel de rebond imminent, justifiant la décision d'Achat.</w:t>
      </w:r>
    </w:p>
    <w:p>
      <w:pPr>
        <w:spacing w:after="120" w:line="276" w:lineRule="auto"/>
      </w:pPr>
      <w:r>
        <w:t>**Conclusion technique** : Les indicateurs sont mitigés avec une prédominance baissière (MM, MACD) mais des signaux de survente extrême (Stochastique, RSI proche de 30). La configuration suggère une possible stabilisation à court terme, mais la tendance de fond reste négative tant que le cours n'aura pas repris les moyennes mobiles.</w:t>
      </w:r>
    </w:p>
    <w:p>
      <w:pPr>
        <w:spacing w:after="120" w:line="276" w:lineRule="auto" w:before="240"/>
      </w:pPr>
      <w:r>
        <w:rPr>
          <w:b/>
          <w:color w:val="003366"/>
          <w:sz w:val="24"/>
        </w:rPr>
        <w:t>**PARTIE 3 : ANALYSE FONDAMENTALE (SECTION CRITIQUE)**</w:t>
      </w:r>
    </w:p>
    <w:p>
      <w:pPr>
        <w:spacing w:after="120" w:line="276" w:lineRule="auto"/>
      </w:pPr>
      <w:r>
        <w:t>En 2025, SLBC a réalisé un chiffre d'affaires de 378,123 milliards FCFA, en croissance de +22,1% par rapport à 2024, avec un résultat net de 45,781 milliards FCFA, soit une marge nette de 12,1% contre 6,9% en 2024. La rentabilité des fonds propres (ROE) atteint 23,46%, un niveau excellent, et le ROA s'établit à 13,48%, témoignant d'une utilisation efficace des actifs. En tant qu'entreprise industrielle, l'analyse des délais d'exploitation révèle un délai clients de 64 jours, un délai fournisseurs de 77 jours et une durée de stockage de 117 jours, ce qui génère un BFR de 61,587 milliards FCFA, nécessitant une gestion rigoureuse de la trésorerie. L'endettement reste maîtrisé avec un ratio d'endettement de 42,5% et une capacité de remboursement de seulement 0,67 année. Le rapport du premier trimestre 2026 (publié en mai 2026) confirme la dynamique avec un CA de 93,46 milliards FCFA (+7,6%) et un résultat net de 16,26 milliards FCFA (+4,8%), permettant d'estimer un exercice 2026 potentiellement en ligne avec 2025, avec une croissance plus modérée. Les rapports de 2023 et 2024 montrent une trajectoire ascendante remarquable : le CA est passé de 309,7 milliards FCFA en 2024 à 378,1 milliards en 2025, et le résultat net a plus que doublé entre 2024 (21,47 milliards) et 2025 (45,78 milliards), confirmant une amélioration spectaculaire de la rentabilité opérationnelle.</w:t>
      </w:r>
    </w:p>
    <w:p>
      <w:pPr>
        <w:spacing w:after="120" w:line="276" w:lineRule="auto" w:before="240"/>
      </w:pPr>
      <w:r>
        <w:rPr>
          <w:b/>
          <w:color w:val="003366"/>
          <w:sz w:val="24"/>
        </w:rPr>
        <w:t>**PARTIE 4 : CONCLUSION D'INVESTISSEMENT**</w:t>
      </w:r>
    </w:p>
    <w:p>
      <w:pPr>
        <w:spacing w:after="120" w:line="276" w:lineRule="auto"/>
      </w:pPr>
      <w:r>
        <w:t>La valorisation de SLBC (PER 13,4x, P/B 3,14x, EV/EBITDA 7,3x) indique une prime de croissance justifiée par des fondamentaux exceptionnels, tandis que le comportement du cours sur 100 jours (-5,85%) montre une correction qui contraste avec la solidité financière. Les signaux techniques sont mitigés, avec une tendance baissière (MM, MACD) mais des conditions de survente extrême (Stochastique) suggérant un potentiel de rebond technique. Les fondamentaux restent très solides avec une croissance de 22% du CA en 2025, un ROE de 23,5% et une politique de dividende généreuse (2 127 FCFA par action proposé pour 2025). Les prédictions IA (37 175 FCFA à J+1, 37 080 FCFA à J+10) indiquent une stabilisation autour des niveaux actuels, confirmant une phase d'essoufflement baissier. La convergence entre la solidité fondamentale, la valorisation raisonnable et les signaux de survente technique suggère une opportunité d'achat progressive. **Recommandation : ACHAT** avec un niveau de confiance **Moyen** et un risque global **Moyen**. L'horizon d'investissement optimal est le **moyen terme (3-12 mois)**, permettant de capter à la fois le potentiel de rebond technique et la poursuite de la croissance fondamentale, avec un rendement de dividende attractif en soutien.</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128.62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1,252 titres</w:t>
            </w:r>
          </w:p>
        </w:tc>
        <w:tc>
          <w:tcPr>
            <w:tcW w:type="dxa" w:w="2268"/>
            <w:shd w:fill="FFF2CC" w:val="clear"/>
          </w:tcPr>
          <w:p>
            <w:r>
              <w:rPr>
                <w:b/>
                <w:color w:val="503200"/>
                <w:sz w:val="16"/>
              </w:rPr>
              <w:t xml:space="preserve">Cours actuel : </w:t>
            </w:r>
            <w:r>
              <w:rPr>
                <w:color w:val="000000"/>
                <w:sz w:val="17"/>
              </w:rPr>
              <w:t>16,500 FCFA</w:t>
            </w:r>
          </w:p>
          <w:p>
            <w:r>
              <w:rPr>
                <w:b/>
                <w:color w:val="503200"/>
                <w:sz w:val="16"/>
              </w:rPr>
              <w:t xml:space="preserve">Var. 100 jours : </w:t>
            </w:r>
            <w:r>
              <w:rPr>
                <w:b/>
                <w:color w:val="007800"/>
                <w:sz w:val="17"/>
              </w:rPr>
              <w:t>+23.13%</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14.88% (Moyenne) — μ=14,236 FCFA, σ=2,118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β=-0.6252 (Contre-cyclique) — Cov=-0.000023, Var(idx)=0.000036, ρ=-0.154,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1,252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σ_j=2.43%/j (Stable) — Vol. annualisée≈38.6%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2026-08-13</w:t>
            </w:r>
          </w:p>
        </w:tc>
        <w:tc>
          <w:tcPr>
            <w:tcW w:type="dxa" w:w="1440"/>
            <w:shd w:fill="FAFAFA" w:val="clear"/>
          </w:tcPr>
          <w:p>
            <w:r>
              <w:rPr>
                <w:sz w:val="17"/>
              </w:rPr>
              <w:t>15,753</w:t>
            </w:r>
          </w:p>
        </w:tc>
        <w:tc>
          <w:tcPr>
            <w:tcW w:type="dxa" w:w="1440"/>
            <w:shd w:fill="FAFAFA" w:val="clear"/>
          </w:tcPr>
          <w:p>
            <w:r>
              <w:rPr>
                <w:b/>
                <w:sz w:val="17"/>
              </w:rPr>
              <w:t>16,382</w:t>
            </w:r>
          </w:p>
        </w:tc>
        <w:tc>
          <w:tcPr>
            <w:tcW w:type="dxa" w:w="1440"/>
            <w:shd w:fill="FAFAFA" w:val="clear"/>
          </w:tcPr>
          <w:p>
            <w:r>
              <w:rPr>
                <w:sz w:val="17"/>
              </w:rPr>
              <w:t>17,011</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2026-08-14</w:t>
            </w:r>
          </w:p>
        </w:tc>
        <w:tc>
          <w:tcPr>
            <w:tcW w:type="dxa" w:w="1440"/>
            <w:shd w:fill="FAFAFA" w:val="clear"/>
          </w:tcPr>
          <w:p>
            <w:r>
              <w:rPr>
                <w:sz w:val="17"/>
              </w:rPr>
              <w:t>15,435</w:t>
            </w:r>
          </w:p>
        </w:tc>
        <w:tc>
          <w:tcPr>
            <w:tcW w:type="dxa" w:w="1440"/>
            <w:shd w:fill="FAFAFA" w:val="clear"/>
          </w:tcPr>
          <w:p>
            <w:r>
              <w:rPr>
                <w:b/>
                <w:sz w:val="17"/>
              </w:rPr>
              <w:t>16,321</w:t>
            </w:r>
          </w:p>
        </w:tc>
        <w:tc>
          <w:tcPr>
            <w:tcW w:type="dxa" w:w="1440"/>
            <w:shd w:fill="FAFAFA" w:val="clear"/>
          </w:tcPr>
          <w:p>
            <w:r>
              <w:rPr>
                <w:sz w:val="17"/>
              </w:rPr>
              <w:t>17,207</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2026-08-17</w:t>
            </w:r>
          </w:p>
        </w:tc>
        <w:tc>
          <w:tcPr>
            <w:tcW w:type="dxa" w:w="1440"/>
            <w:shd w:fill="FAFAFA" w:val="clear"/>
          </w:tcPr>
          <w:p>
            <w:r>
              <w:rPr>
                <w:sz w:val="17"/>
              </w:rPr>
              <w:t>15,178</w:t>
            </w:r>
          </w:p>
        </w:tc>
        <w:tc>
          <w:tcPr>
            <w:tcW w:type="dxa" w:w="1440"/>
            <w:shd w:fill="FAFAFA" w:val="clear"/>
          </w:tcPr>
          <w:p>
            <w:r>
              <w:rPr>
                <w:b/>
                <w:sz w:val="17"/>
              </w:rPr>
              <w:t>16,259</w:t>
            </w:r>
          </w:p>
        </w:tc>
        <w:tc>
          <w:tcPr>
            <w:tcW w:type="dxa" w:w="1440"/>
            <w:shd w:fill="FAFAFA" w:val="clear"/>
          </w:tcPr>
          <w:p>
            <w:r>
              <w:rPr>
                <w:sz w:val="17"/>
              </w:rPr>
              <w:t>17,340</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2026-08-18</w:t>
            </w:r>
          </w:p>
        </w:tc>
        <w:tc>
          <w:tcPr>
            <w:tcW w:type="dxa" w:w="1440"/>
            <w:shd w:fill="FAFAFA" w:val="clear"/>
          </w:tcPr>
          <w:p>
            <w:r>
              <w:rPr>
                <w:sz w:val="17"/>
              </w:rPr>
              <w:t>14,957</w:t>
            </w:r>
          </w:p>
        </w:tc>
        <w:tc>
          <w:tcPr>
            <w:tcW w:type="dxa" w:w="1440"/>
            <w:shd w:fill="FAFAFA" w:val="clear"/>
          </w:tcPr>
          <w:p>
            <w:r>
              <w:rPr>
                <w:b/>
                <w:sz w:val="17"/>
              </w:rPr>
              <w:t>16,201</w:t>
            </w:r>
          </w:p>
        </w:tc>
        <w:tc>
          <w:tcPr>
            <w:tcW w:type="dxa" w:w="1440"/>
            <w:shd w:fill="FAFAFA" w:val="clear"/>
          </w:tcPr>
          <w:p>
            <w:r>
              <w:rPr>
                <w:sz w:val="17"/>
              </w:rPr>
              <w:t>17,445</w:t>
            </w:r>
          </w:p>
        </w:tc>
        <w:tc>
          <w:tcPr>
            <w:tcW w:type="dxa" w:w="1440"/>
            <w:shd w:fill="FAFAFA" w:val="clear"/>
          </w:tcPr>
          <w:p>
            <w:r>
              <w:rPr>
                <w:b/>
                <w:color w:val="C00000"/>
                <w:sz w:val="17"/>
              </w:rPr>
              <w:t>-1.8%</w:t>
            </w:r>
          </w:p>
        </w:tc>
      </w:tr>
      <w:tr>
        <w:tc>
          <w:tcPr>
            <w:tcW w:type="dxa" w:w="1440"/>
            <w:shd w:fill="FFDCE0" w:val="clear"/>
          </w:tcPr>
          <w:p>
            <w:r>
              <w:rPr>
                <w:sz w:val="17"/>
              </w:rPr>
              <w:t>J+5  ⭐</w:t>
            </w:r>
          </w:p>
        </w:tc>
        <w:tc>
          <w:tcPr>
            <w:tcW w:type="dxa" w:w="1440"/>
            <w:shd w:fill="FFDCE0" w:val="clear"/>
          </w:tcPr>
          <w:p>
            <w:r>
              <w:rPr>
                <w:sz w:val="17"/>
              </w:rPr>
              <w:t>2026-08-19</w:t>
            </w:r>
          </w:p>
        </w:tc>
        <w:tc>
          <w:tcPr>
            <w:tcW w:type="dxa" w:w="1440"/>
            <w:shd w:fill="FFDCE0" w:val="clear"/>
          </w:tcPr>
          <w:p>
            <w:r>
              <w:rPr>
                <w:sz w:val="17"/>
              </w:rPr>
              <w:t>14,758</w:t>
            </w:r>
          </w:p>
        </w:tc>
        <w:tc>
          <w:tcPr>
            <w:tcW w:type="dxa" w:w="1440"/>
            <w:shd w:fill="FFDCE0" w:val="clear"/>
          </w:tcPr>
          <w:p>
            <w:r>
              <w:rPr>
                <w:b/>
                <w:sz w:val="17"/>
              </w:rPr>
              <w:t>16,144</w:t>
            </w:r>
          </w:p>
        </w:tc>
        <w:tc>
          <w:tcPr>
            <w:tcW w:type="dxa" w:w="1440"/>
            <w:shd w:fill="FFDCE0" w:val="clear"/>
          </w:tcPr>
          <w:p>
            <w:r>
              <w:rPr>
                <w:sz w:val="17"/>
              </w:rPr>
              <w:t>17,530</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2026-08-20</w:t>
            </w:r>
          </w:p>
        </w:tc>
        <w:tc>
          <w:tcPr>
            <w:tcW w:type="dxa" w:w="1440"/>
            <w:shd w:fill="FFDCE0" w:val="clear"/>
          </w:tcPr>
          <w:p>
            <w:r>
              <w:rPr>
                <w:sz w:val="17"/>
              </w:rPr>
              <w:t>14,576</w:t>
            </w:r>
          </w:p>
        </w:tc>
        <w:tc>
          <w:tcPr>
            <w:tcW w:type="dxa" w:w="1440"/>
            <w:shd w:fill="FFDCE0" w:val="clear"/>
          </w:tcPr>
          <w:p>
            <w:r>
              <w:rPr>
                <w:b/>
                <w:sz w:val="17"/>
              </w:rPr>
              <w:t>16,089</w:t>
            </w:r>
          </w:p>
        </w:tc>
        <w:tc>
          <w:tcPr>
            <w:tcW w:type="dxa" w:w="1440"/>
            <w:shd w:fill="FFDCE0" w:val="clear"/>
          </w:tcPr>
          <w:p>
            <w:r>
              <w:rPr>
                <w:sz w:val="17"/>
              </w:rPr>
              <w:t>17,602</w:t>
            </w:r>
          </w:p>
        </w:tc>
        <w:tc>
          <w:tcPr>
            <w:tcW w:type="dxa" w:w="1440"/>
            <w:shd w:fill="FFDCE0" w:val="clear"/>
          </w:tcPr>
          <w:p>
            <w:r>
              <w:rPr>
                <w:b/>
                <w:color w:val="C00000"/>
                <w:sz w:val="17"/>
              </w:rPr>
              <w:t>-2.5%</w:t>
            </w:r>
          </w:p>
        </w:tc>
      </w:tr>
      <w:tr>
        <w:tc>
          <w:tcPr>
            <w:tcW w:type="dxa" w:w="1440"/>
            <w:shd w:fill="FFDCE0" w:val="clear"/>
          </w:tcPr>
          <w:p>
            <w:r>
              <w:rPr>
                <w:sz w:val="17"/>
              </w:rPr>
              <w:t>J+7  ⭐</w:t>
            </w:r>
          </w:p>
        </w:tc>
        <w:tc>
          <w:tcPr>
            <w:tcW w:type="dxa" w:w="1440"/>
            <w:shd w:fill="FFDCE0" w:val="clear"/>
          </w:tcPr>
          <w:p>
            <w:r>
              <w:rPr>
                <w:sz w:val="17"/>
              </w:rPr>
              <w:t>2026-08-21</w:t>
            </w:r>
          </w:p>
        </w:tc>
        <w:tc>
          <w:tcPr>
            <w:tcW w:type="dxa" w:w="1440"/>
            <w:shd w:fill="FFDCE0" w:val="clear"/>
          </w:tcPr>
          <w:p>
            <w:r>
              <w:rPr>
                <w:sz w:val="17"/>
              </w:rPr>
              <w:t>14,405</w:t>
            </w:r>
          </w:p>
        </w:tc>
        <w:tc>
          <w:tcPr>
            <w:tcW w:type="dxa" w:w="1440"/>
            <w:shd w:fill="FFDCE0" w:val="clear"/>
          </w:tcPr>
          <w:p>
            <w:r>
              <w:rPr>
                <w:b/>
                <w:sz w:val="17"/>
              </w:rPr>
              <w:t>16,034</w:t>
            </w:r>
          </w:p>
        </w:tc>
        <w:tc>
          <w:tcPr>
            <w:tcW w:type="dxa" w:w="1440"/>
            <w:shd w:fill="FFDCE0" w:val="clear"/>
          </w:tcPr>
          <w:p>
            <w:r>
              <w:rPr>
                <w:sz w:val="17"/>
              </w:rPr>
              <w:t>17,663</w:t>
            </w:r>
          </w:p>
        </w:tc>
        <w:tc>
          <w:tcPr>
            <w:tcW w:type="dxa" w:w="1440"/>
            <w:shd w:fill="FFDCE0" w:val="clear"/>
          </w:tcPr>
          <w:p>
            <w:r>
              <w:rPr>
                <w:b/>
                <w:color w:val="C00000"/>
                <w:sz w:val="17"/>
              </w:rPr>
              <w:t>-2.8%</w:t>
            </w:r>
          </w:p>
        </w:tc>
      </w:tr>
      <w:tr>
        <w:tc>
          <w:tcPr>
            <w:tcW w:type="dxa" w:w="1440"/>
            <w:shd w:fill="FFDCE0" w:val="clear"/>
          </w:tcPr>
          <w:p>
            <w:r>
              <w:rPr>
                <w:sz w:val="17"/>
              </w:rPr>
              <w:t>J+8  ⭐</w:t>
            </w:r>
          </w:p>
        </w:tc>
        <w:tc>
          <w:tcPr>
            <w:tcW w:type="dxa" w:w="1440"/>
            <w:shd w:fill="FFDCE0" w:val="clear"/>
          </w:tcPr>
          <w:p>
            <w:r>
              <w:rPr>
                <w:sz w:val="17"/>
              </w:rPr>
              <w:t>2026-08-24</w:t>
            </w:r>
          </w:p>
        </w:tc>
        <w:tc>
          <w:tcPr>
            <w:tcW w:type="dxa" w:w="1440"/>
            <w:shd w:fill="FFDCE0" w:val="clear"/>
          </w:tcPr>
          <w:p>
            <w:r>
              <w:rPr>
                <w:sz w:val="17"/>
              </w:rPr>
              <w:t>14,245</w:t>
            </w:r>
          </w:p>
        </w:tc>
        <w:tc>
          <w:tcPr>
            <w:tcW w:type="dxa" w:w="1440"/>
            <w:shd w:fill="FFDCE0" w:val="clear"/>
          </w:tcPr>
          <w:p>
            <w:r>
              <w:rPr>
                <w:b/>
                <w:sz w:val="17"/>
              </w:rPr>
              <w:t>15,980</w:t>
            </w:r>
          </w:p>
        </w:tc>
        <w:tc>
          <w:tcPr>
            <w:tcW w:type="dxa" w:w="1440"/>
            <w:shd w:fill="FFDCE0" w:val="clear"/>
          </w:tcPr>
          <w:p>
            <w:r>
              <w:rPr>
                <w:sz w:val="17"/>
              </w:rPr>
              <w:t>17,716</w:t>
            </w:r>
          </w:p>
        </w:tc>
        <w:tc>
          <w:tcPr>
            <w:tcW w:type="dxa" w:w="1440"/>
            <w:shd w:fill="FFDCE0" w:val="clear"/>
          </w:tcPr>
          <w:p>
            <w:r>
              <w:rPr>
                <w:b/>
                <w:color w:val="C00000"/>
                <w:sz w:val="17"/>
              </w:rPr>
              <w:t>-3.1%</w:t>
            </w:r>
          </w:p>
        </w:tc>
      </w:tr>
      <w:tr>
        <w:tc>
          <w:tcPr>
            <w:tcW w:type="dxa" w:w="1440"/>
            <w:shd w:fill="FFDCE0" w:val="clear"/>
          </w:tcPr>
          <w:p>
            <w:r>
              <w:rPr>
                <w:sz w:val="17"/>
              </w:rPr>
              <w:t>J+9  ⭐</w:t>
            </w:r>
          </w:p>
        </w:tc>
        <w:tc>
          <w:tcPr>
            <w:tcW w:type="dxa" w:w="1440"/>
            <w:shd w:fill="FFDCE0" w:val="clear"/>
          </w:tcPr>
          <w:p>
            <w:r>
              <w:rPr>
                <w:sz w:val="17"/>
              </w:rPr>
              <w:t>2026-08-25</w:t>
            </w:r>
          </w:p>
        </w:tc>
        <w:tc>
          <w:tcPr>
            <w:tcW w:type="dxa" w:w="1440"/>
            <w:shd w:fill="FFDCE0" w:val="clear"/>
          </w:tcPr>
          <w:p>
            <w:r>
              <w:rPr>
                <w:sz w:val="17"/>
              </w:rPr>
              <w:t>14,093</w:t>
            </w:r>
          </w:p>
        </w:tc>
        <w:tc>
          <w:tcPr>
            <w:tcW w:type="dxa" w:w="1440"/>
            <w:shd w:fill="FFDCE0" w:val="clear"/>
          </w:tcPr>
          <w:p>
            <w:r>
              <w:rPr>
                <w:b/>
                <w:sz w:val="17"/>
              </w:rPr>
              <w:t>15,927</w:t>
            </w:r>
          </w:p>
        </w:tc>
        <w:tc>
          <w:tcPr>
            <w:tcW w:type="dxa" w:w="1440"/>
            <w:shd w:fill="FFDCE0" w:val="clear"/>
          </w:tcPr>
          <w:p>
            <w:r>
              <w:rPr>
                <w:sz w:val="17"/>
              </w:rPr>
              <w:t>17,762</w:t>
            </w:r>
          </w:p>
        </w:tc>
        <w:tc>
          <w:tcPr>
            <w:tcW w:type="dxa" w:w="1440"/>
            <w:shd w:fill="FFDCE0" w:val="clear"/>
          </w:tcPr>
          <w:p>
            <w:r>
              <w:rPr>
                <w:b/>
                <w:color w:val="C00000"/>
                <w:sz w:val="17"/>
              </w:rPr>
              <w:t>-3.5%</w:t>
            </w:r>
          </w:p>
        </w:tc>
      </w:tr>
      <w:tr>
        <w:tc>
          <w:tcPr>
            <w:tcW w:type="dxa" w:w="1440"/>
            <w:shd w:fill="FFDCE0" w:val="clear"/>
          </w:tcPr>
          <w:p>
            <w:r>
              <w:rPr>
                <w:sz w:val="17"/>
              </w:rPr>
              <w:t>J+10  ⭐</w:t>
            </w:r>
          </w:p>
        </w:tc>
        <w:tc>
          <w:tcPr>
            <w:tcW w:type="dxa" w:w="1440"/>
            <w:shd w:fill="FFDCE0" w:val="clear"/>
          </w:tcPr>
          <w:p>
            <w:r>
              <w:rPr>
                <w:sz w:val="17"/>
              </w:rPr>
              <w:t>2026-08-27</w:t>
            </w:r>
          </w:p>
        </w:tc>
        <w:tc>
          <w:tcPr>
            <w:tcW w:type="dxa" w:w="1440"/>
            <w:shd w:fill="FFDCE0" w:val="clear"/>
          </w:tcPr>
          <w:p>
            <w:r>
              <w:rPr>
                <w:sz w:val="17"/>
              </w:rPr>
              <w:t>13,948</w:t>
            </w:r>
          </w:p>
        </w:tc>
        <w:tc>
          <w:tcPr>
            <w:tcW w:type="dxa" w:w="1440"/>
            <w:shd w:fill="FFDCE0" w:val="clear"/>
          </w:tcPr>
          <w:p>
            <w:r>
              <w:rPr>
                <w:b/>
                <w:sz w:val="17"/>
              </w:rPr>
              <w:t>15,875</w:t>
            </w:r>
          </w:p>
        </w:tc>
        <w:tc>
          <w:tcPr>
            <w:tcW w:type="dxa" w:w="1440"/>
            <w:shd w:fill="FFDCE0" w:val="clear"/>
          </w:tcPr>
          <w:p>
            <w:r>
              <w:rPr>
                <w:sz w:val="17"/>
              </w:rPr>
              <w:t>17,802</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128,62 milliards FCFA, un niveau qui la positionne parmi les valeurs moyennes de la cote BRVM, avec un BPA de 1 677 FCFA par action. Le PER de 9,8x se situe dans la fourchette basse de la référence BRVM (8-12x), indiquant que les investisseurs paient un prix raisonnable par rapport aux bénéfices générés, avec un potentiel de sous-évaluation. Le P/B de 3,00x reflète une prime de croissance accordée par le marché, cohérente avec la forte rentabilité des capitaux propres (ROE de 30,5%). Enfin, l'EV/EBITDA de 6,2x, dans la zone médiane de 5-10x, confirme une valorisation globale raisonnable de la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SMBC affiche une progression remarquable de +23,13%, malgré un léger repli de -0,60% lors de la dernière séance, pour s'établir à 16 500 FCFA. Le cours a évolué dans une fourchette large de 11 450 FCFA (plus bas) à 17 735 FCFA (plus haut), démontrant une dynamique haussière soutenue. La moyenne (14 236 FCFA) est supérieure à la médiane (13 450 FCFA), indiquant une distribution légèrement asymétrique avec des valeurs extrêmes élevées, confirmée par un skewness positif de 0,121. L'écart-type de 2 129 FCFA (CV de 15,0%) révèle une dispersion modérée, tandis que le kurtosis de -1,565 (platykurtique) suggère une distribution aplatie avec peu de pics extrêmes. La volatilité annualisée de 38,6% classe le titre comme très volatil, ce qui implique un risque élevé mais aussi un fort potentiel de rendement.</w:t>
      </w:r>
    </w:p>
    <w:p>
      <w:pPr>
        <w:spacing w:after="120" w:line="276" w:lineRule="auto" w:before="240"/>
      </w:pPr>
      <w:r>
        <w:rPr>
          <w:b/>
          <w:color w:val="003366"/>
          <w:sz w:val="24"/>
        </w:rPr>
        <w:t>**PARTIE 2 : ANALYSE TECHNIQUE DÉTAILLÉE**</w:t>
      </w:r>
    </w:p>
    <w:p>
      <w:pPr>
        <w:spacing w:after="120" w:line="276" w:lineRule="auto"/>
      </w:pPr>
      <w:r>
        <w:t>Les Moyennes Mobiles (MM20 à 16 050 FCFA et MM50 à 16 176,7 FCFA) sont toutes deux inférieures au cours actuel de 16 500 FCFA, indiquant une tendance haussière sous-jacente. Cependant, la décision de "Vente" suggère un possible retournement à court terme, le cours se rapprochant de ses moyennes après une période de hausse soutenue.</w:t>
      </w:r>
    </w:p>
    <w:p>
      <w:pPr>
        <w:spacing w:after="120" w:line="276" w:lineRule="auto"/>
      </w:pPr>
      <w:r>
        <w:t>Les Bandes de Bollinger (borne supérieure à 16 905,7 FCFA, borne inférieure à 15 194,3 FCFA) montrent un cours positionné dans la partie supérieure de l'enveloppe, sans atteindre la borne extrême. La décision "Neutre" reflète une volatilité modérée, le cours évoluant dans une zone de confort sans signal clair de surachat ou de survente.</w:t>
      </w:r>
    </w:p>
    <w:p>
      <w:pPr>
        <w:spacing w:after="120" w:line="276" w:lineRule="auto"/>
      </w:pPr>
      <w:r>
        <w:t>Le MACD (valeur à 76,7 contre signal à 25,9) affiche une divergence positive nette, avec un momentum haussier clairement en faveur des acheteurs. La décision "Achat" est justifiée par cette configuration, indiquant une dynamique positive qui pourrait se poursuivre à court terme.</w:t>
      </w:r>
    </w:p>
    <w:p>
      <w:pPr>
        <w:spacing w:after="120" w:line="276" w:lineRule="auto"/>
      </w:pPr>
      <w:r>
        <w:t>Le RSI à 46,9 se situe en zone neutre (entre 30 et 70), ne montrant ni surachat ni survente. La décision "Neutre" est cohérente avec une absence de signal directionnel fort, laissant place à une évolution indécise du cours.</w:t>
      </w:r>
    </w:p>
    <w:p>
      <w:pPr>
        <w:spacing w:after="120" w:line="276" w:lineRule="auto"/>
      </w:pPr>
      <w:r>
        <w:t>Le Stochastique (%K à 91,0 et %D à 92,1) est en zone de surachat, avec des valeurs très élevées. La décision "Vente" est justifiée par cette configuration, suggérant un possible repli technique à court terme après une phase d'accumulation excessive.</w:t>
      </w:r>
    </w:p>
    <w:p>
      <w:pPr>
        <w:spacing w:after="120" w:line="276" w:lineRule="auto"/>
      </w:pPr>
      <w:r>
        <w:t>La conclusion technique est mitigée : les indicateurs de tendance (MACD) sont positifs, mais les oscillateurs de momentum (Stochastique) signalent un épuisement potentiel. Les moyennes mobiles et les bandes de Bollinger restent neutres, créant une divergence entre les signaux à court et moyen terme. Cette configuration suggère une consolidation probable avant la poursuite de la tendance haussière.</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206,740 milliards FCFA, en baisse de 9,7% par rapport à 2024, mais avec un résultat net en forte progression de 50,3% à 13,075 milliards FCFA. La marge nette s'améliore spectaculairement, passant de 3,8% à 6,3%, grâce à une hausse de l'EBE de 41,8% à 18,480 milliards FCFA. Le ROE atteint 30,5%, un niveau excellent, et le ROA s'établit à 7,3%. La structure financière est solide avec des capitaux propres de 42,913 milliards FCFA (+21,6%) et une trésorerie nette positive de 23,988 milliards FCFA. Le BFR est faible (1,693 milliards FCFA), mais les délais clients (193,75 jours) et fournisseurs (207,07 jours) sont élevés, créant un risque de trésorerie. Les rapports trimestriels 2025 (T1, S1, 9M) montrent une baisse du CA mais une amélioration des marges, avec un résultat net en croissance de 6% au 9M. Le rapport du 31 décembre 2025 (analysé par DeepSeek) recommande de conserver le titre, notant une excellente performance opérationnelle malgré la baisse des revenus. Les perspectives restent positives avec une demande locale soutenue par les projets d'infrastructures routières en Côte d'Ivoire et une expansion régionale.</w:t>
      </w:r>
    </w:p>
    <w:p>
      <w:pPr>
        <w:spacing w:after="120" w:line="276" w:lineRule="auto" w:before="240"/>
      </w:pPr>
      <w:r>
        <w:rPr>
          <w:b/>
          <w:color w:val="003366"/>
          <w:sz w:val="24"/>
        </w:rPr>
        <w:t>**PARTIE 4 : CONCLUSION D'INVESTISSEMENT**</w:t>
      </w:r>
    </w:p>
    <w:p>
      <w:pPr>
        <w:spacing w:after="120" w:line="276" w:lineRule="auto"/>
      </w:pPr>
      <w:r>
        <w:t>La valorisation de SMBC (PER à 9,8x, P/B à 3,0x, EV/EBITDA à 6,2x) indique une sous-évaluation relative avec une prime de croissance justifiée par un ROE exceptionnel de 30,5%. Le comportement du cours sur 100 jours (+23,13%) est favorable, mais la volatilité élevée (38,6%) et le kurtosis platykurtique suggèrent un risque de mouvements brusques. Les signaux techniques sont partagés : le MACD est positif, mais le Stochastique en surachat et les moyennes mobiles en position de vente créent une divergence. Les fondamentaux sont solides avec une amélioration spectaculaire de la rentabilité en 2025, malgré une baisse du chiffre d'affaires. Les prédictions IA (16 382 à 16 144 FCFA sur J+1 à J+10) indiquent un léger repli, confirmant la prudence technique à court terme. La convergence entre la sous-évaluation, la solidité financière et les perspectives de croissance justifie une recommandation **ACHAT** avec un niveau de confiance **Moyen** et un risque global **Élevé**. L'horizon d'investissement optimal est le **moyen terme (3-12 mois)**, permettant de capitaliser sur la reprise des marges et la dynamique des infrastructures régionales.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3200.00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9,235 titres</w:t>
            </w:r>
          </w:p>
        </w:tc>
        <w:tc>
          <w:tcPr>
            <w:tcW w:type="dxa" w:w="2268"/>
            <w:shd w:fill="FFF2CC" w:val="clear"/>
          </w:tcPr>
          <w:p>
            <w:r>
              <w:rPr>
                <w:b/>
                <w:color w:val="503200"/>
                <w:sz w:val="16"/>
              </w:rPr>
              <w:t xml:space="preserve">Cours actuel : </w:t>
            </w:r>
            <w:r>
              <w:rPr>
                <w:color w:val="000000"/>
                <w:sz w:val="17"/>
              </w:rPr>
              <w:t>32,000 FCFA</w:t>
            </w:r>
          </w:p>
          <w:p>
            <w:r>
              <w:rPr>
                <w:b/>
                <w:color w:val="503200"/>
                <w:sz w:val="16"/>
              </w:rPr>
              <w:t xml:space="preserve">Var. 100 jours : </w:t>
            </w:r>
            <w:r>
              <w:rPr>
                <w:b/>
                <w:color w:val="007800"/>
                <w:sz w:val="17"/>
              </w:rPr>
              <w:t>+10.40%</w:t>
            </w:r>
          </w:p>
          <w:p>
            <w:r>
              <w:rPr>
                <w:b/>
                <w:color w:val="503200"/>
                <w:sz w:val="16"/>
              </w:rPr>
              <w:t xml:space="preserve">Plus haut 100j : </w:t>
            </w:r>
            <w:r>
              <w:rPr>
                <w:color w:val="000000"/>
                <w:sz w:val="17"/>
              </w:rPr>
              <w:t>32,500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25.6%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16.3/100 → Faible</w:t>
      </w:r>
    </w:p>
    <w:p>
      <w:pPr>
        <w:spacing w:before="40" w:after="80"/>
      </w:pPr>
      <w:r>
        <w:rPr>
          <w:rFonts w:ascii="Courier New" w:hAnsi="Courier New"/>
          <w:color w:val="006400"/>
          <w:sz w:val="18"/>
        </w:rPr>
        <w:t>███░░░░░░░░░░░░░░░░░  16.3/100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4.36% (Faible) — μ=29,334 FCFA, σ=1,279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β=1.2716 (Agressif) — Cov=0.000046, Var(idx)=0.000036, ρ=0.472,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9,235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σ_j=1.62%/j (Stable) — Vol. annualisée≈25.6%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2026-08-13</w:t>
            </w:r>
          </w:p>
        </w:tc>
        <w:tc>
          <w:tcPr>
            <w:tcW w:type="dxa" w:w="1440"/>
            <w:shd w:fill="FAFAFA" w:val="clear"/>
          </w:tcPr>
          <w:p>
            <w:r>
              <w:rPr>
                <w:sz w:val="17"/>
              </w:rPr>
              <w:t>30,739</w:t>
            </w:r>
          </w:p>
        </w:tc>
        <w:tc>
          <w:tcPr>
            <w:tcW w:type="dxa" w:w="1440"/>
            <w:shd w:fill="FAFAFA" w:val="clear"/>
          </w:tcPr>
          <w:p>
            <w:r>
              <w:rPr>
                <w:b/>
                <w:sz w:val="17"/>
              </w:rPr>
              <w:t>31,566</w:t>
            </w:r>
          </w:p>
        </w:tc>
        <w:tc>
          <w:tcPr>
            <w:tcW w:type="dxa" w:w="1440"/>
            <w:shd w:fill="FAFAFA" w:val="clear"/>
          </w:tcPr>
          <w:p>
            <w:r>
              <w:rPr>
                <w:sz w:val="17"/>
              </w:rPr>
              <w:t>32,392</w:t>
            </w:r>
          </w:p>
        </w:tc>
        <w:tc>
          <w:tcPr>
            <w:tcW w:type="dxa" w:w="1440"/>
            <w:shd w:fill="FAFAFA" w:val="clear"/>
          </w:tcPr>
          <w:p>
            <w:r>
              <w:rPr>
                <w:b/>
                <w:color w:val="C00000"/>
                <w:sz w:val="17"/>
              </w:rPr>
              <w:t>-1.4%</w:t>
            </w:r>
          </w:p>
        </w:tc>
      </w:tr>
      <w:tr>
        <w:tc>
          <w:tcPr>
            <w:tcW w:type="dxa" w:w="1440"/>
            <w:shd w:fill="FAFAFA" w:val="clear"/>
          </w:tcPr>
          <w:p>
            <w:r>
              <w:rPr>
                <w:sz w:val="17"/>
              </w:rPr>
              <w:t>J+2  Moyenne</w:t>
            </w:r>
          </w:p>
        </w:tc>
        <w:tc>
          <w:tcPr>
            <w:tcW w:type="dxa" w:w="1440"/>
            <w:shd w:fill="FAFAFA" w:val="clear"/>
          </w:tcPr>
          <w:p>
            <w:r>
              <w:rPr>
                <w:sz w:val="17"/>
              </w:rPr>
              <w:t>2026-08-14</w:t>
            </w:r>
          </w:p>
        </w:tc>
        <w:tc>
          <w:tcPr>
            <w:tcW w:type="dxa" w:w="1440"/>
            <w:shd w:fill="FAFAFA" w:val="clear"/>
          </w:tcPr>
          <w:p>
            <w:r>
              <w:rPr>
                <w:sz w:val="17"/>
              </w:rPr>
              <w:t>30,385</w:t>
            </w:r>
          </w:p>
        </w:tc>
        <w:tc>
          <w:tcPr>
            <w:tcW w:type="dxa" w:w="1440"/>
            <w:shd w:fill="FAFAFA" w:val="clear"/>
          </w:tcPr>
          <w:p>
            <w:r>
              <w:rPr>
                <w:b/>
                <w:sz w:val="17"/>
              </w:rPr>
              <w:t>31,554</w:t>
            </w:r>
          </w:p>
        </w:tc>
        <w:tc>
          <w:tcPr>
            <w:tcW w:type="dxa" w:w="1440"/>
            <w:shd w:fill="FAFAFA" w:val="clear"/>
          </w:tcPr>
          <w:p>
            <w:r>
              <w:rPr>
                <w:sz w:val="17"/>
              </w:rPr>
              <w:t>32,722</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2026-08-17</w:t>
            </w:r>
          </w:p>
        </w:tc>
        <w:tc>
          <w:tcPr>
            <w:tcW w:type="dxa" w:w="1440"/>
            <w:shd w:fill="FAFAFA" w:val="clear"/>
          </w:tcPr>
          <w:p>
            <w:r>
              <w:rPr>
                <w:sz w:val="17"/>
              </w:rPr>
              <w:t>30,072</w:t>
            </w:r>
          </w:p>
        </w:tc>
        <w:tc>
          <w:tcPr>
            <w:tcW w:type="dxa" w:w="1440"/>
            <w:shd w:fill="FAFAFA" w:val="clear"/>
          </w:tcPr>
          <w:p>
            <w:r>
              <w:rPr>
                <w:b/>
                <w:sz w:val="17"/>
              </w:rPr>
              <w:t>31,500</w:t>
            </w:r>
          </w:p>
        </w:tc>
        <w:tc>
          <w:tcPr>
            <w:tcW w:type="dxa" w:w="1440"/>
            <w:shd w:fill="FAFAFA" w:val="clear"/>
          </w:tcPr>
          <w:p>
            <w:r>
              <w:rPr>
                <w:sz w:val="17"/>
              </w:rPr>
              <w:t>32,928</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2026-08-18</w:t>
            </w:r>
          </w:p>
        </w:tc>
        <w:tc>
          <w:tcPr>
            <w:tcW w:type="dxa" w:w="1440"/>
            <w:shd w:fill="FAFAFA" w:val="clear"/>
          </w:tcPr>
          <w:p>
            <w:r>
              <w:rPr>
                <w:sz w:val="17"/>
              </w:rPr>
              <w:t>29,803</w:t>
            </w:r>
          </w:p>
        </w:tc>
        <w:tc>
          <w:tcPr>
            <w:tcW w:type="dxa" w:w="1440"/>
            <w:shd w:fill="FAFAFA" w:val="clear"/>
          </w:tcPr>
          <w:p>
            <w:r>
              <w:rPr>
                <w:b/>
                <w:sz w:val="17"/>
              </w:rPr>
              <w:t>31,450</w:t>
            </w:r>
          </w:p>
        </w:tc>
        <w:tc>
          <w:tcPr>
            <w:tcW w:type="dxa" w:w="1440"/>
            <w:shd w:fill="FAFAFA" w:val="clear"/>
          </w:tcPr>
          <w:p>
            <w:r>
              <w:rPr>
                <w:sz w:val="17"/>
              </w:rPr>
              <w:t>33,097</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2026-08-19</w:t>
            </w:r>
          </w:p>
        </w:tc>
        <w:tc>
          <w:tcPr>
            <w:tcW w:type="dxa" w:w="1440"/>
            <w:shd w:fill="FAFAFA" w:val="clear"/>
          </w:tcPr>
          <w:p>
            <w:r>
              <w:rPr>
                <w:sz w:val="17"/>
              </w:rPr>
              <w:t>29,569</w:t>
            </w:r>
          </w:p>
        </w:tc>
        <w:tc>
          <w:tcPr>
            <w:tcW w:type="dxa" w:w="1440"/>
            <w:shd w:fill="FAFAFA" w:val="clear"/>
          </w:tcPr>
          <w:p>
            <w:r>
              <w:rPr>
                <w:b/>
                <w:sz w:val="17"/>
              </w:rPr>
              <w:t>31,408</w:t>
            </w:r>
          </w:p>
        </w:tc>
        <w:tc>
          <w:tcPr>
            <w:tcW w:type="dxa" w:w="1440"/>
            <w:shd w:fill="FAFAFA" w:val="clear"/>
          </w:tcPr>
          <w:p>
            <w:r>
              <w:rPr>
                <w:sz w:val="17"/>
              </w:rPr>
              <w:t>33,246</w:t>
            </w:r>
          </w:p>
        </w:tc>
        <w:tc>
          <w:tcPr>
            <w:tcW w:type="dxa" w:w="1440"/>
            <w:shd w:fill="FAFAFA" w:val="clear"/>
          </w:tcPr>
          <w:p>
            <w:r>
              <w:rPr>
                <w:b/>
                <w:color w:val="C00000"/>
                <w:sz w:val="17"/>
              </w:rPr>
              <w:t>-1.9%</w:t>
            </w:r>
          </w:p>
        </w:tc>
      </w:tr>
      <w:tr>
        <w:tc>
          <w:tcPr>
            <w:tcW w:type="dxa" w:w="1440"/>
            <w:shd w:fill="FAFAFA" w:val="clear"/>
          </w:tcPr>
          <w:p>
            <w:r>
              <w:rPr>
                <w:sz w:val="17"/>
              </w:rPr>
              <w:t>J+6  ⭐</w:t>
            </w:r>
          </w:p>
        </w:tc>
        <w:tc>
          <w:tcPr>
            <w:tcW w:type="dxa" w:w="1440"/>
            <w:shd w:fill="FAFAFA" w:val="clear"/>
          </w:tcPr>
          <w:p>
            <w:r>
              <w:rPr>
                <w:sz w:val="17"/>
              </w:rPr>
              <w:t>2026-08-20</w:t>
            </w:r>
          </w:p>
        </w:tc>
        <w:tc>
          <w:tcPr>
            <w:tcW w:type="dxa" w:w="1440"/>
            <w:shd w:fill="FAFAFA" w:val="clear"/>
          </w:tcPr>
          <w:p>
            <w:r>
              <w:rPr>
                <w:sz w:val="17"/>
              </w:rPr>
              <w:t>29,358</w:t>
            </w:r>
          </w:p>
        </w:tc>
        <w:tc>
          <w:tcPr>
            <w:tcW w:type="dxa" w:w="1440"/>
            <w:shd w:fill="FAFAFA" w:val="clear"/>
          </w:tcPr>
          <w:p>
            <w:r>
              <w:rPr>
                <w:b/>
                <w:sz w:val="17"/>
              </w:rPr>
              <w:t>31,370</w:t>
            </w:r>
          </w:p>
        </w:tc>
        <w:tc>
          <w:tcPr>
            <w:tcW w:type="dxa" w:w="1440"/>
            <w:shd w:fill="FAFAFA" w:val="clear"/>
          </w:tcPr>
          <w:p>
            <w:r>
              <w:rPr>
                <w:sz w:val="17"/>
              </w:rPr>
              <w:t>33,381</w:t>
            </w:r>
          </w:p>
        </w:tc>
        <w:tc>
          <w:tcPr>
            <w:tcW w:type="dxa" w:w="1440"/>
            <w:shd w:fill="FAFAFA"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2026-08-21</w:t>
            </w:r>
          </w:p>
        </w:tc>
        <w:tc>
          <w:tcPr>
            <w:tcW w:type="dxa" w:w="1440"/>
            <w:shd w:fill="FFDCE0" w:val="clear"/>
          </w:tcPr>
          <w:p>
            <w:r>
              <w:rPr>
                <w:sz w:val="17"/>
              </w:rPr>
              <w:t>29,163</w:t>
            </w:r>
          </w:p>
        </w:tc>
        <w:tc>
          <w:tcPr>
            <w:tcW w:type="dxa" w:w="1440"/>
            <w:shd w:fill="FFDCE0" w:val="clear"/>
          </w:tcPr>
          <w:p>
            <w:r>
              <w:rPr>
                <w:b/>
                <w:sz w:val="17"/>
              </w:rPr>
              <w:t>31,333</w:t>
            </w:r>
          </w:p>
        </w:tc>
        <w:tc>
          <w:tcPr>
            <w:tcW w:type="dxa" w:w="1440"/>
            <w:shd w:fill="FFDCE0" w:val="clear"/>
          </w:tcPr>
          <w:p>
            <w:r>
              <w:rPr>
                <w:sz w:val="17"/>
              </w:rPr>
              <w:t>33,504</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2026-08-24</w:t>
            </w:r>
          </w:p>
        </w:tc>
        <w:tc>
          <w:tcPr>
            <w:tcW w:type="dxa" w:w="1440"/>
            <w:shd w:fill="FFDCE0" w:val="clear"/>
          </w:tcPr>
          <w:p>
            <w:r>
              <w:rPr>
                <w:sz w:val="17"/>
              </w:rPr>
              <w:t>28,981</w:t>
            </w:r>
          </w:p>
        </w:tc>
        <w:tc>
          <w:tcPr>
            <w:tcW w:type="dxa" w:w="1440"/>
            <w:shd w:fill="FFDCE0" w:val="clear"/>
          </w:tcPr>
          <w:p>
            <w:r>
              <w:rPr>
                <w:b/>
                <w:sz w:val="17"/>
              </w:rPr>
              <w:t>31,298</w:t>
            </w:r>
          </w:p>
        </w:tc>
        <w:tc>
          <w:tcPr>
            <w:tcW w:type="dxa" w:w="1440"/>
            <w:shd w:fill="FFDCE0" w:val="clear"/>
          </w:tcPr>
          <w:p>
            <w:r>
              <w:rPr>
                <w:sz w:val="17"/>
              </w:rPr>
              <w:t>33,616</w:t>
            </w:r>
          </w:p>
        </w:tc>
        <w:tc>
          <w:tcPr>
            <w:tcW w:type="dxa" w:w="1440"/>
            <w:shd w:fill="FFDCE0" w:val="clear"/>
          </w:tcPr>
          <w:p>
            <w:r>
              <w:rPr>
                <w:b/>
                <w:color w:val="C00000"/>
                <w:sz w:val="17"/>
              </w:rPr>
              <w:t>-2.2%</w:t>
            </w:r>
          </w:p>
        </w:tc>
      </w:tr>
      <w:tr>
        <w:tc>
          <w:tcPr>
            <w:tcW w:type="dxa" w:w="1440"/>
            <w:shd w:fill="FFDCE0" w:val="clear"/>
          </w:tcPr>
          <w:p>
            <w:r>
              <w:rPr>
                <w:sz w:val="17"/>
              </w:rPr>
              <w:t>J+9  ⭐</w:t>
            </w:r>
          </w:p>
        </w:tc>
        <w:tc>
          <w:tcPr>
            <w:tcW w:type="dxa" w:w="1440"/>
            <w:shd w:fill="FFDCE0" w:val="clear"/>
          </w:tcPr>
          <w:p>
            <w:r>
              <w:rPr>
                <w:sz w:val="17"/>
              </w:rPr>
              <w:t>2026-08-25</w:t>
            </w:r>
          </w:p>
        </w:tc>
        <w:tc>
          <w:tcPr>
            <w:tcW w:type="dxa" w:w="1440"/>
            <w:shd w:fill="FFDCE0" w:val="clear"/>
          </w:tcPr>
          <w:p>
            <w:r>
              <w:rPr>
                <w:sz w:val="17"/>
              </w:rPr>
              <w:t>28,808</w:t>
            </w:r>
          </w:p>
        </w:tc>
        <w:tc>
          <w:tcPr>
            <w:tcW w:type="dxa" w:w="1440"/>
            <w:shd w:fill="FFDCE0" w:val="clear"/>
          </w:tcPr>
          <w:p>
            <w:r>
              <w:rPr>
                <w:b/>
                <w:sz w:val="17"/>
              </w:rPr>
              <w:t>31,264</w:t>
            </w:r>
          </w:p>
        </w:tc>
        <w:tc>
          <w:tcPr>
            <w:tcW w:type="dxa" w:w="1440"/>
            <w:shd w:fill="FFDCE0" w:val="clear"/>
          </w:tcPr>
          <w:p>
            <w:r>
              <w:rPr>
                <w:sz w:val="17"/>
              </w:rPr>
              <w:t>33,719</w:t>
            </w:r>
          </w:p>
        </w:tc>
        <w:tc>
          <w:tcPr>
            <w:tcW w:type="dxa" w:w="1440"/>
            <w:shd w:fill="FFDCE0" w:val="clear"/>
          </w:tcPr>
          <w:p>
            <w:r>
              <w:rPr>
                <w:b/>
                <w:color w:val="C00000"/>
                <w:sz w:val="17"/>
              </w:rPr>
              <w:t>-2.3%</w:t>
            </w:r>
          </w:p>
        </w:tc>
      </w:tr>
      <w:tr>
        <w:tc>
          <w:tcPr>
            <w:tcW w:type="dxa" w:w="1440"/>
            <w:shd w:fill="FFDCE0" w:val="clear"/>
          </w:tcPr>
          <w:p>
            <w:r>
              <w:rPr>
                <w:sz w:val="17"/>
              </w:rPr>
              <w:t>J+10  ⭐</w:t>
            </w:r>
          </w:p>
        </w:tc>
        <w:tc>
          <w:tcPr>
            <w:tcW w:type="dxa" w:w="1440"/>
            <w:shd w:fill="FFDCE0" w:val="clear"/>
          </w:tcPr>
          <w:p>
            <w:r>
              <w:rPr>
                <w:sz w:val="17"/>
              </w:rPr>
              <w:t>2026-08-27</w:t>
            </w:r>
          </w:p>
        </w:tc>
        <w:tc>
          <w:tcPr>
            <w:tcW w:type="dxa" w:w="1440"/>
            <w:shd w:fill="FFDCE0" w:val="clear"/>
          </w:tcPr>
          <w:p>
            <w:r>
              <w:rPr>
                <w:sz w:val="17"/>
              </w:rPr>
              <w:t>28,644</w:t>
            </w:r>
          </w:p>
        </w:tc>
        <w:tc>
          <w:tcPr>
            <w:tcW w:type="dxa" w:w="1440"/>
            <w:shd w:fill="FFDCE0" w:val="clear"/>
          </w:tcPr>
          <w:p>
            <w:r>
              <w:rPr>
                <w:b/>
                <w:sz w:val="17"/>
              </w:rPr>
              <w:t>31,230</w:t>
            </w:r>
          </w:p>
        </w:tc>
        <w:tc>
          <w:tcPr>
            <w:tcW w:type="dxa" w:w="1440"/>
            <w:shd w:fill="FFDCE0" w:val="clear"/>
          </w:tcPr>
          <w:p>
            <w:r>
              <w:rPr>
                <w:sz w:val="17"/>
              </w:rPr>
              <w:t>33,815</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de l'analyse : 12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SNTS s'établit à 3 200 milliards FCFA, ce qui en fait l'une des plus importantes capitalisations de la BRVM, représentant une part significative de l'indice composite. Avec un BPA de 4 136 FCFA, le titre se négocie à un PER de 7,7x, nettement inférieur à la moyenne historique de la BRVM (8-12x), ce qui suggère une sous-évaluation relative du titre par rapport à ses bénéfices. Le P/B de 2,29x indique que le marché valorise la société à plus de deux fois sa valeur comptable, reflétant une prime de croissance justifiée par la solidité de ses fondamentaux. Enfin, l'EV/EBITDA de 3,3x, très inférieur au seuil de 5x, confirme que la valeur totale de l'entreprise (dette incluse) est très bon marché par rapport à sa capacité opérationnelle de génération de cash. Ces ratios combinés suggèrent que le titre offre une marge de sécurité intéressante.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progression totale de +10,40%, avec une dernière séance stable (+0,00%) à 32 000 FCFA. Le titre a évolué dans une fourchette de 27 160 FCFA (plus bas) à 32 500 FCFA (plus haut), démontrant une tendance haussière soutenue. La moyenne du cours sur la période (29 334 FCFA) est inférieure à la médiane (28 875 FCFA), et le skewness positif de 0,974 indique une distribution asymétrique avec davantage de journées sous la moyenne, mais des mouvements haussiers plus prononcés. L'écart-type de 1 286 FCFA (CV=4,4%) révèle une dispersion modérée, tandis que le kurtosis de -0,376 (mésokurtique) suggère une distribution proche de la normale, sans risque de pics extrêmes. La volatilité annualisée de 25,6% classe le titre dans la catégorie modérée (15-30%), offrant un équilibre entre potentiel de rendement et maîtrise du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(32 000 FCFA) est nettement au-dessus de la MM20 (31 470,5 FCFA) et de la MM50 (30 063,9 FCFA), confirmant une dynamique haussière à court et moyen terme. La configuration des MM, avec la MM20 au-dessus de la MM50, valide la tendance haussière et justifie la décision d'achat.</w:t>
      </w:r>
    </w:p>
    <w:p>
      <w:pPr>
        <w:spacing w:after="120" w:line="276" w:lineRule="auto"/>
      </w:pPr>
      <w:r>
        <w:t>**Bandes de Bollinger** : Le prix se situe à 32 000 FCFA, proche de la borne supérieure (32 595 FCFA) mais dans la zone neutre. La largeur des bandes (2 249 FCFA) indique une volatilité modérée. La décision neutre reflète une position qui n'est ni surachetée ni survendue, laissant place à une poursuite potentielle de la tendance.</w:t>
      </w:r>
    </w:p>
    <w:p>
      <w:pPr>
        <w:spacing w:after="120" w:line="276" w:lineRule="auto"/>
      </w:pPr>
      <w:r>
        <w:t>**MACD** : Le MACD (384,578) est légèrement inférieur à son signal (392,374), indiquant un momentum baissier à très court terme. Cette divergence, bien que faible, suggère une possible consolidation ou correction technique après la récente hausse, justifiant la décision de vente.</w:t>
      </w:r>
    </w:p>
    <w:p>
      <w:pPr>
        <w:spacing w:after="120" w:line="276" w:lineRule="auto"/>
      </w:pPr>
      <w:r>
        <w:t>**RSI** : À 55,556, le RSI se situe dans la zone neutre (30-70), indiquant un équilibre entre pression acheteuse et vendeuse. Cette valeur ne signale ni surachat ni survente, laissant une marge de progression avant d'atteindre des niveaux extrêmes.</w:t>
      </w:r>
    </w:p>
    <w:p>
      <w:pPr>
        <w:spacing w:after="120" w:line="276" w:lineRule="auto"/>
      </w:pPr>
      <w:r>
        <w:t>**Stochastique** : Le %K et le %D sont tous deux à 100,0, signalant une condition de surachat extrême. Cette configuration suggère un risque élevé de retournement ou de consolidation à court terme, justifiant la décision de vente.</w:t>
      </w:r>
    </w:p>
    <w:p>
      <w:pPr>
        <w:spacing w:after="120" w:line="276" w:lineRule="auto"/>
      </w:pPr>
      <w:r>
        <w:t>**Conclusion technique** : Les indicateurs sont mitigés : les moyennes mobiles confirment la tendance haussière de fond, mais le MACD et le stochastique signalent un essoufflement à court terme. Le RSI et les bandes de Bollinger restent neutres. Cette divergence suggère une possible phase de consolidation avant la poursuite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En 2025, SNTS a réalisé un chiffre d'affaires consolidé de 1 923,1 milliards FCFA, en progression de +8,3% par rapport à 2024 (1 776,4 milliards FCFA), avec un résultat net de 413,6 milliards FCFA (+5,1%). La marge nette s'établit à 21,5%, tandis que le ROE atteint 29,6% et le ROA 12,6%, des niveaux excellents témoignant d'une gestion efficace des capitaux propres et des actifs. Le BFR négatif de -284,9 milliards FCFA est un signal très favorable, indiquant que l'entreprise finance son cycle d'exploitation par ses fournisseurs (délai fournisseurs de 201 jours contre 46 jours pour les clients). Le ratio d'endettement de 57,2% reste maîtrisé, avec une capacité de remboursement de seulement 0,64 an. Les rapports trimestriels 2025 confirment cette dynamique : le T1 2025 affichait une croissance du résultat net de +14,9%, le S1 2025 de +8,0%, et le T3 2025 de +8,0%. Sur la base du communiqué de presse du S1 2026 (publié le 24 juillet 2026), le chiffre d'affaires atteint 1 049,8 milliards FCFA (+9,3%) et le résultat net 230 milliards FCFA (+10,5%), avec une marge d'EBITDAAL de 48,7%. On estime que l'exercice 2026 pourrait dépasser les 2 100 milliards FCFA de chiffre d'affaires et les 450 milliards FCFA de résultat net, confirmant la solidité du modèle économique et la pertinence de la stratégie de diversification vers la data, la fibre et Orange Money.</w:t>
      </w:r>
    </w:p>
    <w:p>
      <w:pPr>
        <w:spacing w:after="120" w:line="276" w:lineRule="auto"/>
      </w:pPr>
      <w:r>
        <w:t>---</w:t>
      </w:r>
    </w:p>
    <w:p>
      <w:pPr>
        <w:spacing w:after="120" w:line="276" w:lineRule="auto"/>
      </w:pPr>
      <w:r>
        <w:t>### PARTIE 4 : CONCLUSION D'INVESTISSEMENT</w:t>
      </w:r>
    </w:p>
    <w:p>
      <w:pPr>
        <w:spacing w:after="120" w:line="276" w:lineRule="auto"/>
      </w:pPr>
      <w:r>
        <w:t>La valorisation de SNTS (PER 7,7x, EV/EBITDA 3,3x) indique une sous-évaluation relative du titre, malgré une prime de croissance justifiée (P/B 2,29x). Le comportement du cours sur 100 jours (+10,4%) démontre une tendance haussière solide, avec une volatilité modérée (25,6%) et une distribution statistique saine. Les signaux techniques sont mitigés : les moyennes mobiles confirment la tendance, mais le MACD et le stochastique suggèrent une consolidation à court terme. Les fondamentaux restent excellents, avec une croissance soutenue du chiffre d'affaires et du résultat net, des marges élevées et une structure financière saine. Les prédictions IA (31 566 à 31 408 FCFA sur 10 jours) indiquent une légère correction, cohérente avec les signaux techniques de surachat. La convergence entre la sous-évaluation, la solidité fondamentale et la tendance haussière de fond, malgré la correction technique attendue, conduit à une recommandation **ACHAT** avec un niveau de confiance **Élevé**. Le risque global est **Moyen**, principalement lié aux pressions réglementaires et concurrentielles. L'horizon d'investissement optimal est le **moyen terme (3-12 mois)**, permettant de capitaliser sur la croissance des activités data et fibre tout en absorbant la volatilité à court terme.</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169.79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4,194 titres</w:t>
            </w:r>
          </w:p>
        </w:tc>
        <w:tc>
          <w:tcPr>
            <w:tcW w:type="dxa" w:w="2268"/>
            <w:shd w:fill="FFF2CC" w:val="clear"/>
          </w:tcPr>
          <w:p>
            <w:r>
              <w:rPr>
                <w:b/>
                <w:color w:val="503200"/>
                <w:sz w:val="16"/>
              </w:rPr>
              <w:t xml:space="preserve">Cours actuel : </w:t>
            </w:r>
            <w:r>
              <w:rPr>
                <w:color w:val="000000"/>
                <w:sz w:val="17"/>
              </w:rPr>
              <w:t>7,860 FCFA</w:t>
            </w:r>
          </w:p>
          <w:p>
            <w:r>
              <w:rPr>
                <w:b/>
                <w:color w:val="503200"/>
                <w:sz w:val="16"/>
              </w:rPr>
              <w:t xml:space="preserve">Var. 100 jours : </w:t>
            </w:r>
            <w:r>
              <w:rPr>
                <w:b/>
                <w:color w:val="B40000"/>
                <w:sz w:val="17"/>
              </w:rPr>
              <w:t>-12.52%</w:t>
            </w:r>
          </w:p>
          <w:p>
            <w:r>
              <w:rPr>
                <w:b/>
                <w:color w:val="503200"/>
                <w:sz w:val="16"/>
              </w:rPr>
              <w:t xml:space="preserve">Plus haut 100j : </w:t>
            </w:r>
            <w:r>
              <w:rPr>
                <w:color w:val="000000"/>
                <w:sz w:val="17"/>
              </w:rPr>
              <w:t>8,985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5.14% (Moyenne) — μ=8,010 FCFA, σ=412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β=0.7354 (Défensif) — Cov=0.000027, Var(idx)=0.000036, ρ=0.194,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3244"/>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3324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2026-08-13</w:t>
            </w:r>
          </w:p>
        </w:tc>
        <w:tc>
          <w:tcPr>
            <w:tcW w:type="dxa" w:w="1440"/>
            <w:shd w:fill="FAFAFA" w:val="clear"/>
          </w:tcPr>
          <w:p>
            <w:r>
              <w:rPr>
                <w:sz w:val="17"/>
              </w:rPr>
              <w:t>7,664</w:t>
            </w:r>
          </w:p>
        </w:tc>
        <w:tc>
          <w:tcPr>
            <w:tcW w:type="dxa" w:w="1440"/>
            <w:shd w:fill="FAFAFA" w:val="clear"/>
          </w:tcPr>
          <w:p>
            <w:r>
              <w:rPr>
                <w:b/>
                <w:sz w:val="17"/>
              </w:rPr>
              <w:t>7,919</w:t>
            </w:r>
          </w:p>
        </w:tc>
        <w:tc>
          <w:tcPr>
            <w:tcW w:type="dxa" w:w="1440"/>
            <w:shd w:fill="FAFAFA" w:val="clear"/>
          </w:tcPr>
          <w:p>
            <w:r>
              <w:rPr>
                <w:sz w:val="17"/>
              </w:rPr>
              <w:t>8,175</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2026-08-14</w:t>
            </w:r>
          </w:p>
        </w:tc>
        <w:tc>
          <w:tcPr>
            <w:tcW w:type="dxa" w:w="1440"/>
            <w:shd w:fill="FAFAFA" w:val="clear"/>
          </w:tcPr>
          <w:p>
            <w:r>
              <w:rPr>
                <w:sz w:val="17"/>
              </w:rPr>
              <w:t>7,571</w:t>
            </w:r>
          </w:p>
        </w:tc>
        <w:tc>
          <w:tcPr>
            <w:tcW w:type="dxa" w:w="1440"/>
            <w:shd w:fill="FAFAFA" w:val="clear"/>
          </w:tcPr>
          <w:p>
            <w:r>
              <w:rPr>
                <w:b/>
                <w:sz w:val="17"/>
              </w:rPr>
              <w:t>7,933</w:t>
            </w:r>
          </w:p>
        </w:tc>
        <w:tc>
          <w:tcPr>
            <w:tcW w:type="dxa" w:w="1440"/>
            <w:shd w:fill="FAFAFA" w:val="clear"/>
          </w:tcPr>
          <w:p>
            <w:r>
              <w:rPr>
                <w:sz w:val="17"/>
              </w:rPr>
              <w:t>8,294</w:t>
            </w:r>
          </w:p>
        </w:tc>
        <w:tc>
          <w:tcPr>
            <w:tcW w:type="dxa" w:w="1440"/>
            <w:shd w:fill="FAFAFA" w:val="clear"/>
          </w:tcPr>
          <w:p>
            <w:r>
              <w:rPr>
                <w:b/>
                <w:color w:val="008000"/>
                <w:sz w:val="17"/>
              </w:rPr>
              <w:t>+0.9%</w:t>
            </w:r>
          </w:p>
        </w:tc>
      </w:tr>
      <w:tr>
        <w:tc>
          <w:tcPr>
            <w:tcW w:type="dxa" w:w="1440"/>
            <w:shd w:fill="FAFAFA" w:val="clear"/>
          </w:tcPr>
          <w:p>
            <w:r>
              <w:rPr>
                <w:sz w:val="17"/>
              </w:rPr>
              <w:t>J+3  ⭐⭐⭐</w:t>
            </w:r>
          </w:p>
        </w:tc>
        <w:tc>
          <w:tcPr>
            <w:tcW w:type="dxa" w:w="1440"/>
            <w:shd w:fill="FAFAFA" w:val="clear"/>
          </w:tcPr>
          <w:p>
            <w:r>
              <w:rPr>
                <w:sz w:val="17"/>
              </w:rPr>
              <w:t>2026-08-17</w:t>
            </w:r>
          </w:p>
        </w:tc>
        <w:tc>
          <w:tcPr>
            <w:tcW w:type="dxa" w:w="1440"/>
            <w:shd w:fill="FAFAFA" w:val="clear"/>
          </w:tcPr>
          <w:p>
            <w:r>
              <w:rPr>
                <w:sz w:val="17"/>
              </w:rPr>
              <w:t>7,504</w:t>
            </w:r>
          </w:p>
        </w:tc>
        <w:tc>
          <w:tcPr>
            <w:tcW w:type="dxa" w:w="1440"/>
            <w:shd w:fill="FAFAFA" w:val="clear"/>
          </w:tcPr>
          <w:p>
            <w:r>
              <w:rPr>
                <w:b/>
                <w:sz w:val="17"/>
              </w:rPr>
              <w:t>7,948</w:t>
            </w:r>
          </w:p>
        </w:tc>
        <w:tc>
          <w:tcPr>
            <w:tcW w:type="dxa" w:w="1440"/>
            <w:shd w:fill="FAFAFA" w:val="clear"/>
          </w:tcPr>
          <w:p>
            <w:r>
              <w:rPr>
                <w:sz w:val="17"/>
              </w:rPr>
              <w:t>8,391</w:t>
            </w:r>
          </w:p>
        </w:tc>
        <w:tc>
          <w:tcPr>
            <w:tcW w:type="dxa" w:w="1440"/>
            <w:shd w:fill="FAFAFA" w:val="clear"/>
          </w:tcPr>
          <w:p>
            <w:r>
              <w:rPr>
                <w:b/>
                <w:color w:val="008000"/>
                <w:sz w:val="17"/>
              </w:rPr>
              <w:t>+1.1%</w:t>
            </w:r>
          </w:p>
        </w:tc>
      </w:tr>
      <w:tr>
        <w:tc>
          <w:tcPr>
            <w:tcW w:type="dxa" w:w="1440"/>
            <w:shd w:fill="FAFAFA" w:val="clear"/>
          </w:tcPr>
          <w:p>
            <w:r>
              <w:rPr>
                <w:sz w:val="17"/>
              </w:rPr>
              <w:t>J+4  Moyenne</w:t>
            </w:r>
          </w:p>
        </w:tc>
        <w:tc>
          <w:tcPr>
            <w:tcW w:type="dxa" w:w="1440"/>
            <w:shd w:fill="FAFAFA" w:val="clear"/>
          </w:tcPr>
          <w:p>
            <w:r>
              <w:rPr>
                <w:sz w:val="17"/>
              </w:rPr>
              <w:t>2026-08-18</w:t>
            </w:r>
          </w:p>
        </w:tc>
        <w:tc>
          <w:tcPr>
            <w:tcW w:type="dxa" w:w="1440"/>
            <w:shd w:fill="FAFAFA" w:val="clear"/>
          </w:tcPr>
          <w:p>
            <w:r>
              <w:rPr>
                <w:sz w:val="17"/>
              </w:rPr>
              <w:t>7,448</w:t>
            </w:r>
          </w:p>
        </w:tc>
        <w:tc>
          <w:tcPr>
            <w:tcW w:type="dxa" w:w="1440"/>
            <w:shd w:fill="FAFAFA" w:val="clear"/>
          </w:tcPr>
          <w:p>
            <w:r>
              <w:rPr>
                <w:b/>
                <w:sz w:val="17"/>
              </w:rPr>
              <w:t>7,961</w:t>
            </w:r>
          </w:p>
        </w:tc>
        <w:tc>
          <w:tcPr>
            <w:tcW w:type="dxa" w:w="1440"/>
            <w:shd w:fill="FAFAFA" w:val="clear"/>
          </w:tcPr>
          <w:p>
            <w:r>
              <w:rPr>
                <w:sz w:val="17"/>
              </w:rPr>
              <w:t>8,475</w:t>
            </w:r>
          </w:p>
        </w:tc>
        <w:tc>
          <w:tcPr>
            <w:tcW w:type="dxa" w:w="1440"/>
            <w:shd w:fill="FAFAFA" w:val="clear"/>
          </w:tcPr>
          <w:p>
            <w:r>
              <w:rPr>
                <w:b/>
                <w:color w:val="008000"/>
                <w:sz w:val="17"/>
              </w:rPr>
              <w:t>+1.3%</w:t>
            </w:r>
          </w:p>
        </w:tc>
      </w:tr>
      <w:tr>
        <w:tc>
          <w:tcPr>
            <w:tcW w:type="dxa" w:w="1440"/>
            <w:shd w:fill="FAFAFA" w:val="clear"/>
          </w:tcPr>
          <w:p>
            <w:r>
              <w:rPr>
                <w:sz w:val="17"/>
              </w:rPr>
              <w:t>J+5  Moyenne</w:t>
            </w:r>
          </w:p>
        </w:tc>
        <w:tc>
          <w:tcPr>
            <w:tcW w:type="dxa" w:w="1440"/>
            <w:shd w:fill="FAFAFA" w:val="clear"/>
          </w:tcPr>
          <w:p>
            <w:r>
              <w:rPr>
                <w:sz w:val="17"/>
              </w:rPr>
              <w:t>2026-08-19</w:t>
            </w:r>
          </w:p>
        </w:tc>
        <w:tc>
          <w:tcPr>
            <w:tcW w:type="dxa" w:w="1440"/>
            <w:shd w:fill="FAFAFA" w:val="clear"/>
          </w:tcPr>
          <w:p>
            <w:r>
              <w:rPr>
                <w:sz w:val="17"/>
              </w:rPr>
              <w:t>7,400</w:t>
            </w:r>
          </w:p>
        </w:tc>
        <w:tc>
          <w:tcPr>
            <w:tcW w:type="dxa" w:w="1440"/>
            <w:shd w:fill="FAFAFA" w:val="clear"/>
          </w:tcPr>
          <w:p>
            <w:r>
              <w:rPr>
                <w:b/>
                <w:sz w:val="17"/>
              </w:rPr>
              <w:t>7,975</w:t>
            </w:r>
          </w:p>
        </w:tc>
        <w:tc>
          <w:tcPr>
            <w:tcW w:type="dxa" w:w="1440"/>
            <w:shd w:fill="FAFAFA" w:val="clear"/>
          </w:tcPr>
          <w:p>
            <w:r>
              <w:rPr>
                <w:sz w:val="17"/>
              </w:rPr>
              <w:t>8,549</w:t>
            </w:r>
          </w:p>
        </w:tc>
        <w:tc>
          <w:tcPr>
            <w:tcW w:type="dxa" w:w="1440"/>
            <w:shd w:fill="FAFAFA" w:val="clear"/>
          </w:tcPr>
          <w:p>
            <w:r>
              <w:rPr>
                <w:b/>
                <w:color w:val="008000"/>
                <w:sz w:val="17"/>
              </w:rPr>
              <w:t>+1.5%</w:t>
            </w:r>
          </w:p>
        </w:tc>
      </w:tr>
      <w:tr>
        <w:tc>
          <w:tcPr>
            <w:tcW w:type="dxa" w:w="1440"/>
            <w:shd w:fill="FAFAFA" w:val="clear"/>
          </w:tcPr>
          <w:p>
            <w:r>
              <w:rPr>
                <w:sz w:val="17"/>
              </w:rPr>
              <w:t>J+6  Moyenne</w:t>
            </w:r>
          </w:p>
        </w:tc>
        <w:tc>
          <w:tcPr>
            <w:tcW w:type="dxa" w:w="1440"/>
            <w:shd w:fill="FAFAFA" w:val="clear"/>
          </w:tcPr>
          <w:p>
            <w:r>
              <w:rPr>
                <w:sz w:val="17"/>
              </w:rPr>
              <w:t>2026-08-20</w:t>
            </w:r>
          </w:p>
        </w:tc>
        <w:tc>
          <w:tcPr>
            <w:tcW w:type="dxa" w:w="1440"/>
            <w:shd w:fill="FAFAFA" w:val="clear"/>
          </w:tcPr>
          <w:p>
            <w:r>
              <w:rPr>
                <w:sz w:val="17"/>
              </w:rPr>
              <w:t>7,357</w:t>
            </w:r>
          </w:p>
        </w:tc>
        <w:tc>
          <w:tcPr>
            <w:tcW w:type="dxa" w:w="1440"/>
            <w:shd w:fill="FAFAFA" w:val="clear"/>
          </w:tcPr>
          <w:p>
            <w:r>
              <w:rPr>
                <w:b/>
                <w:sz w:val="17"/>
              </w:rPr>
              <w:t>7,988</w:t>
            </w:r>
          </w:p>
        </w:tc>
        <w:tc>
          <w:tcPr>
            <w:tcW w:type="dxa" w:w="1440"/>
            <w:shd w:fill="FAFAFA" w:val="clear"/>
          </w:tcPr>
          <w:p>
            <w:r>
              <w:rPr>
                <w:sz w:val="17"/>
              </w:rPr>
              <w:t>8,618</w:t>
            </w:r>
          </w:p>
        </w:tc>
        <w:tc>
          <w:tcPr>
            <w:tcW w:type="dxa" w:w="1440"/>
            <w:shd w:fill="FAFAFA" w:val="clear"/>
          </w:tcPr>
          <w:p>
            <w:r>
              <w:rPr>
                <w:b/>
                <w:color w:val="008000"/>
                <w:sz w:val="17"/>
              </w:rPr>
              <w:t>+1.6%</w:t>
            </w:r>
          </w:p>
        </w:tc>
      </w:tr>
      <w:tr>
        <w:tc>
          <w:tcPr>
            <w:tcW w:type="dxa" w:w="1440"/>
            <w:shd w:fill="FAFAFA" w:val="clear"/>
          </w:tcPr>
          <w:p>
            <w:r>
              <w:rPr>
                <w:sz w:val="17"/>
              </w:rPr>
              <w:t>J+7  Moyenne</w:t>
            </w:r>
          </w:p>
        </w:tc>
        <w:tc>
          <w:tcPr>
            <w:tcW w:type="dxa" w:w="1440"/>
            <w:shd w:fill="FAFAFA" w:val="clear"/>
          </w:tcPr>
          <w:p>
            <w:r>
              <w:rPr>
                <w:sz w:val="17"/>
              </w:rPr>
              <w:t>2026-08-21</w:t>
            </w:r>
          </w:p>
        </w:tc>
        <w:tc>
          <w:tcPr>
            <w:tcW w:type="dxa" w:w="1440"/>
            <w:shd w:fill="FAFAFA" w:val="clear"/>
          </w:tcPr>
          <w:p>
            <w:r>
              <w:rPr>
                <w:sz w:val="17"/>
              </w:rPr>
              <w:t>7,319</w:t>
            </w:r>
          </w:p>
        </w:tc>
        <w:tc>
          <w:tcPr>
            <w:tcW w:type="dxa" w:w="1440"/>
            <w:shd w:fill="FAFAFA" w:val="clear"/>
          </w:tcPr>
          <w:p>
            <w:r>
              <w:rPr>
                <w:b/>
                <w:sz w:val="17"/>
              </w:rPr>
              <w:t>8,001</w:t>
            </w:r>
          </w:p>
        </w:tc>
        <w:tc>
          <w:tcPr>
            <w:tcW w:type="dxa" w:w="1440"/>
            <w:shd w:fill="FAFAFA" w:val="clear"/>
          </w:tcPr>
          <w:p>
            <w:r>
              <w:rPr>
                <w:sz w:val="17"/>
              </w:rPr>
              <w:t>8,683</w:t>
            </w:r>
          </w:p>
        </w:tc>
        <w:tc>
          <w:tcPr>
            <w:tcW w:type="dxa" w:w="1440"/>
            <w:shd w:fill="FAFAFA" w:val="clear"/>
          </w:tcPr>
          <w:p>
            <w:r>
              <w:rPr>
                <w:b/>
                <w:color w:val="008000"/>
                <w:sz w:val="17"/>
              </w:rPr>
              <w:t>+1.8%</w:t>
            </w:r>
          </w:p>
        </w:tc>
      </w:tr>
      <w:tr>
        <w:tc>
          <w:tcPr>
            <w:tcW w:type="dxa" w:w="1440"/>
            <w:shd w:fill="FAFAFA" w:val="clear"/>
          </w:tcPr>
          <w:p>
            <w:r>
              <w:rPr>
                <w:sz w:val="17"/>
              </w:rPr>
              <w:t>J+8  Moyenne</w:t>
            </w:r>
          </w:p>
        </w:tc>
        <w:tc>
          <w:tcPr>
            <w:tcW w:type="dxa" w:w="1440"/>
            <w:shd w:fill="FAFAFA" w:val="clear"/>
          </w:tcPr>
          <w:p>
            <w:r>
              <w:rPr>
                <w:sz w:val="17"/>
              </w:rPr>
              <w:t>2026-08-24</w:t>
            </w:r>
          </w:p>
        </w:tc>
        <w:tc>
          <w:tcPr>
            <w:tcW w:type="dxa" w:w="1440"/>
            <w:shd w:fill="FAFAFA" w:val="clear"/>
          </w:tcPr>
          <w:p>
            <w:r>
              <w:rPr>
                <w:sz w:val="17"/>
              </w:rPr>
              <w:t>7,283</w:t>
            </w:r>
          </w:p>
        </w:tc>
        <w:tc>
          <w:tcPr>
            <w:tcW w:type="dxa" w:w="1440"/>
            <w:shd w:fill="FAFAFA" w:val="clear"/>
          </w:tcPr>
          <w:p>
            <w:r>
              <w:rPr>
                <w:b/>
                <w:sz w:val="17"/>
              </w:rPr>
              <w:t>8,014</w:t>
            </w:r>
          </w:p>
        </w:tc>
        <w:tc>
          <w:tcPr>
            <w:tcW w:type="dxa" w:w="1440"/>
            <w:shd w:fill="FAFAFA" w:val="clear"/>
          </w:tcPr>
          <w:p>
            <w:r>
              <w:rPr>
                <w:sz w:val="17"/>
              </w:rPr>
              <w:t>8,744</w:t>
            </w:r>
          </w:p>
        </w:tc>
        <w:tc>
          <w:tcPr>
            <w:tcW w:type="dxa" w:w="1440"/>
            <w:shd w:fill="FAFAFA" w:val="clear"/>
          </w:tcPr>
          <w:p>
            <w:r>
              <w:rPr>
                <w:b/>
                <w:color w:val="008000"/>
                <w:sz w:val="17"/>
              </w:rPr>
              <w:t>+2.0%</w:t>
            </w:r>
          </w:p>
        </w:tc>
      </w:tr>
      <w:tr>
        <w:tc>
          <w:tcPr>
            <w:tcW w:type="dxa" w:w="1440"/>
            <w:shd w:fill="C6EFCE" w:val="clear"/>
          </w:tcPr>
          <w:p>
            <w:r>
              <w:rPr>
                <w:sz w:val="17"/>
              </w:rPr>
              <w:t>J+9  Moyenne</w:t>
            </w:r>
          </w:p>
        </w:tc>
        <w:tc>
          <w:tcPr>
            <w:tcW w:type="dxa" w:w="1440"/>
            <w:shd w:fill="C6EFCE" w:val="clear"/>
          </w:tcPr>
          <w:p>
            <w:r>
              <w:rPr>
                <w:sz w:val="17"/>
              </w:rPr>
              <w:t>2026-08-25</w:t>
            </w:r>
          </w:p>
        </w:tc>
        <w:tc>
          <w:tcPr>
            <w:tcW w:type="dxa" w:w="1440"/>
            <w:shd w:fill="C6EFCE" w:val="clear"/>
          </w:tcPr>
          <w:p>
            <w:r>
              <w:rPr>
                <w:sz w:val="17"/>
              </w:rPr>
              <w:t>7,251</w:t>
            </w:r>
          </w:p>
        </w:tc>
        <w:tc>
          <w:tcPr>
            <w:tcW w:type="dxa" w:w="1440"/>
            <w:shd w:fill="C6EFCE" w:val="clear"/>
          </w:tcPr>
          <w:p>
            <w:r>
              <w:rPr>
                <w:b/>
                <w:sz w:val="17"/>
              </w:rPr>
              <w:t>8,027</w:t>
            </w:r>
          </w:p>
        </w:tc>
        <w:tc>
          <w:tcPr>
            <w:tcW w:type="dxa" w:w="1440"/>
            <w:shd w:fill="C6EFCE" w:val="clear"/>
          </w:tcPr>
          <w:p>
            <w:r>
              <w:rPr>
                <w:sz w:val="17"/>
              </w:rPr>
              <w:t>8,803</w:t>
            </w:r>
          </w:p>
        </w:tc>
        <w:tc>
          <w:tcPr>
            <w:tcW w:type="dxa" w:w="1440"/>
            <w:shd w:fill="C6EFCE" w:val="clear"/>
          </w:tcPr>
          <w:p>
            <w:r>
              <w:rPr>
                <w:b/>
                <w:color w:val="008000"/>
                <w:sz w:val="17"/>
              </w:rPr>
              <w:t>+2.1%</w:t>
            </w:r>
          </w:p>
        </w:tc>
      </w:tr>
      <w:tr>
        <w:tc>
          <w:tcPr>
            <w:tcW w:type="dxa" w:w="1440"/>
            <w:shd w:fill="C6EFCE" w:val="clear"/>
          </w:tcPr>
          <w:p>
            <w:r>
              <w:rPr>
                <w:sz w:val="17"/>
              </w:rPr>
              <w:t>J+10  Moyenne</w:t>
            </w:r>
          </w:p>
        </w:tc>
        <w:tc>
          <w:tcPr>
            <w:tcW w:type="dxa" w:w="1440"/>
            <w:shd w:fill="C6EFCE" w:val="clear"/>
          </w:tcPr>
          <w:p>
            <w:r>
              <w:rPr>
                <w:sz w:val="17"/>
              </w:rPr>
              <w:t>2026-08-27</w:t>
            </w:r>
          </w:p>
        </w:tc>
        <w:tc>
          <w:tcPr>
            <w:tcW w:type="dxa" w:w="1440"/>
            <w:shd w:fill="C6EFCE" w:val="clear"/>
          </w:tcPr>
          <w:p>
            <w:r>
              <w:rPr>
                <w:sz w:val="17"/>
              </w:rPr>
              <w:t>7,220</w:t>
            </w:r>
          </w:p>
        </w:tc>
        <w:tc>
          <w:tcPr>
            <w:tcW w:type="dxa" w:w="1440"/>
            <w:shd w:fill="C6EFCE" w:val="clear"/>
          </w:tcPr>
          <w:p>
            <w:r>
              <w:rPr>
                <w:b/>
                <w:sz w:val="17"/>
              </w:rPr>
              <w:t>8,040</w:t>
            </w:r>
          </w:p>
        </w:tc>
        <w:tc>
          <w:tcPr>
            <w:tcW w:type="dxa" w:w="1440"/>
            <w:shd w:fill="C6EFCE" w:val="clear"/>
          </w:tcPr>
          <w:p>
            <w:r>
              <w:rPr>
                <w:sz w:val="17"/>
              </w:rPr>
              <w:t>8,859</w:t>
            </w:r>
          </w:p>
        </w:tc>
        <w:tc>
          <w:tcPr>
            <w:tcW w:type="dxa" w:w="1440"/>
            <w:shd w:fill="C6EFCE" w:val="clear"/>
          </w:tcPr>
          <w:p>
            <w:r>
              <w:rPr>
                <w:b/>
                <w:color w:val="008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**Date : 12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SOGC s'établit à 169,79 milliards FCFA, positionnant le titre parmi les valeurs moyennes de la BRVM, avec une liquidité modérée (volume moyen de 4 194 titres/jour). Le BPA de 578 FCFA indique que chaque action génère un bénéfice substantiel, justifiant un PER de 13,6x. Ce ratio est légèrement supérieur à la moyenne historique de la BRVM (8-12x), ce qui suggère que le marché accorde une prime de croissance à la société, mais sans excès. Le P/B de 2,48x confirme cette lecture, le marché valorisant le titre 2,5 fois sa valeur comptable, une prime raisonnable pour une entreprise affichant un ROE de 18,26%. Enfin, l'EV/EBITDA de 7,0x se situe dans la fourchette basse de la zone "raisonnable" (5-10x), indiquant que la valeur d'entreprise reste modérée par rapport à sa capacité opérationnelle. Globalement, la valorisation est cohérente avec une entreprise de qualité, ni surévaluée ni sous-évaluée de manière flagrante.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SOGC a enregistré une baisse de 12,52%, avec une dernière séance en repli de 0,69% à 7 860 FCFA. Le titre a évolué dans une fourchette de 7 100 à 8 985 FCFA, montrant une amplitude de trading de près de 27%, signe d'une volatilité significative. La tendance générale est clairement baissière, le cours s'étant éloigné de ses plus hauts pour se rapprocher de ses plus bas. Les statistiques descriptives révèlent une moyenne de 8 010 FCFA et une médiane de 8 005 FCFA, quasi identiques, indiquant une distribution symétrique des prix, confirmée par un skewness de -0,104. L'écart-type de 414 FCFA (CV=5,2%) montre une dispersion modérée autour de la moyenne. Le kurtosis de -0,663 (mésokurtique) suggère l'absence de pics extrêmes ou de queues de distribution épaisses. La volatilité annualisée de 36,1% est élevée (&gt;30%), reflétant un risque de marché important pour ce titre, cohérent avec le secteur des matières premières agricoles.</w:t>
      </w:r>
    </w:p>
    <w:p>
      <w:pPr>
        <w:spacing w:after="120" w:line="276" w:lineRule="auto"/>
      </w:pPr>
      <w:r>
        <w:t>---</w:t>
      </w:r>
    </w:p>
    <w:p>
      <w:pPr>
        <w:spacing w:after="120" w:line="276" w:lineRule="auto"/>
      </w:pPr>
      <w:r>
        <w:t>### PARTIE 2 : ANALYSE TECHNIQUE DÉTAILLÉE</w:t>
      </w:r>
    </w:p>
    <w:p>
      <w:pPr>
        <w:spacing w:after="120" w:line="276" w:lineRule="auto"/>
      </w:pPr>
      <w:r>
        <w:t>**Moyennes Mobiles :** La MM20 (8 120,75 FCFA) et la MM50 (8 276 FCFA) sont toutes deux situées au-dessus du cours actuel de 7 860 FCFA. Cette configuration, où le prix évolue sous les deux moyennes, confirme une dynamique baissière à court et moyen terme. Le signal de "Vente" est justifié par cette structure baissière, le titre n'ayant pas réussi à se maintenir au-dessus de ses moyennes mobiles clés.</w:t>
      </w:r>
    </w:p>
    <w:p>
      <w:pPr>
        <w:spacing w:after="120" w:line="276" w:lineRule="auto"/>
      </w:pPr>
      <w:r>
        <w:t>**Bandes de Bollinger :** Le cours (7 860 FCFA) se situe près de la borne inférieure (7 786,95 FCFA), indiquant que le titre est proche de sa zone de survente technique. La décision "Neutre" est cohérente avec cette position, car elle suggère que le potentiel de baisse supplémentaire pourrait être limité, mais sans signal de retournement haussier confirmé. La largeur des bandes reflète la volatilité élevée du titre.</w:t>
      </w:r>
    </w:p>
    <w:p>
      <w:pPr>
        <w:spacing w:after="120" w:line="276" w:lineRule="auto"/>
      </w:pPr>
      <w:r>
        <w:t>**MACD :** Le MACD (-76,66) est négatif et inférieur à sa ligne de signal (-36,4), confirmant un momentum baissier en cours. La divergence négative entre les deux lignes indique que la pression vendeuse reste dominante. La décision "Vente" est justifiée par cette configuration, qui ne montre pas encore de signe d'épuisement de la tendance baissière.</w:t>
      </w:r>
    </w:p>
    <w:p>
      <w:pPr>
        <w:spacing w:after="120" w:line="276" w:lineRule="auto"/>
      </w:pPr>
      <w:r>
        <w:t>**RSI :** Le RSI à 42,2 se situe en zone neutre (30-70), ne montrant ni surachat ni survente. Cette valeur indique que le momentum baissier perd de l'intensité, mais sans signal d'achat fort. La décision "Neutre" est appropriée, car le RSI n'a pas encore atteint la zone de survente (&lt;30) qui pourrait déclencher un rebond technique.</w:t>
      </w:r>
    </w:p>
    <w:p>
      <w:pPr>
        <w:spacing w:after="120" w:line="276" w:lineRule="auto"/>
      </w:pPr>
      <w:r>
        <w:t>**Stochastique :** Le %K (0,0) et le %D (2,54) sont à des niveaux extrêmement bas, en zone de survente profonde. Cette configuration suggère que le titre est techniquement survendu, ce qui pourrait précéder un rebond à court terme. La décision "Achat" est justifiée par ces niveaux extrêmes, bien qu'il soit prudent d'attendre un croisement haussier des deux lignes pour confirmer le signal.</w:t>
      </w:r>
    </w:p>
    <w:p>
      <w:pPr>
        <w:spacing w:after="120" w:line="276" w:lineRule="auto"/>
      </w:pPr>
      <w:r>
        <w:t>**Conclusion technique :** Les indicateurs techniques sont majoritairement baissiers (MM, MACD), mais les oscillateurs de retournement (Stochastique, RSI) commencent à montrer des signes de survente. Cette divergence suggère que la tendance baissière pourrait perdre de son élan, mais un signal de retournement haussier n'est pas encore confirmé. La prudence reste de mise à court terme.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SOGC font état d'un chiffre d'affaires de 98,98 milliards FCFA, en hausse de 5,8% par rapport à 2024 (93,52 milliards FCFA), et d'un résultat net de 12,49 milliards FCFA, en léger repli de 5% par rapport aux 13,11 milliards FCFA de 2024. La rentabilité reste excellente avec un ROE de 18,26% et un ROA de 13,84%, témoignant d'une gestion efficace des actifs et des fonds propres. La marge nette s'établit à 12,62%, en baisse par rapport aux 14,0% de 2024, impactée par la hausse des coûts des matières premières (+15%). La structure financière est très saine avec une autonomie financière de 75,79% et un endettement limité (ratio d'endettement de 24,21%). Le BFR de 7,12 milliards FCFA est positif mais maîtrisé, avec un délai clients de 29,6 jours et un délai fournisseurs de 31,7 jours, indiquant une gestion équilibrée du cycle d'exploitation. La durée de stockage de 97,7 jours reste élevée, typique du secteur agricole. **Sur la base des rapports trimestriels 2025**, la dynamique est contrastée : le T1 2025 a été exceptionnel (CA +63%, RN +263%), mais le S1 2025 (CA +51,9%, RN +151,6%) et le cumul 9M 2025 (CA +21,3%, RN +39,5%) montrent un ralentissement progressif. **On estime que** l'exercice 2026 devrait être plus difficile, la direction anticipant une concurrence accrue sur l'achat du coagulum et une baisse des cours internationaux du caoutchouc. La trésorerie nette s'est améliorée à 4,58 milliards FCFA, et la capacité d'autofinancement reste robuste à 18,94 milliards FCFA. La politique de dividende est très généreuse avec un dividende proposé de 570 FCFA par action pour 2025 (taux de distribution de 98,6%), ce qui limite les capacités de réinvestissement mais offre un rendement attractif.</w:t>
      </w:r>
    </w:p>
    <w:p>
      <w:pPr>
        <w:spacing w:after="120" w:line="276" w:lineRule="auto"/>
      </w:pPr>
      <w:r>
        <w:t>---</w:t>
      </w:r>
    </w:p>
    <w:p>
      <w:pPr>
        <w:spacing w:after="120" w:line="276" w:lineRule="auto"/>
      </w:pPr>
      <w:r>
        <w:t>### PARTIE 4 : CONCLUSION D'INVESTISSEMENT</w:t>
      </w:r>
    </w:p>
    <w:p>
      <w:pPr>
        <w:spacing w:after="120" w:line="276" w:lineRule="auto"/>
      </w:pPr>
      <w:r>
        <w:t>La valorisation de SOGC (PER 13,6x, P/B 2,48x, EV/EBITDA 7,0x) est raisonnable, sans signal fort de sous ou surévaluation. Le comportement du cours sur 100 jours est préoccupant avec une baisse de 12,52%, une volatilité élevée (36,1%) et une distribution symétrique sans signe de retournement imminent. Les signaux techniques sont majoritairement baissiers (MM, MACD), mais les oscillateurs (Stochastique en survente extrême, RSI neutre) suggèrent un possible rebond technique à court terme. Les fondamentaux restent solides avec un ROE de 18,26%, une structure financière saine et une génération de cash-flow robuste, mais les perspectives 2026 sont prudentes en raison de la pression sur les marges. Les prédictions IA (7 919 à 7 975 FCFA sur 10 jours) indiquent un léger rebond, contredisant la tendance baissière récente mais confirmant le potentiel de sursaut technique. En synthèse, les signaux sont mitigés : la valorisation est correcte, les fondamentaux solides mais en ralentissement, et la technique montre des signes de stabilisation. **Recommandation : CONSERVER** avec un niveau de confiance **Moyen** et un risque global **Élevé** (volatilité des matières premières). L'horizon d'investissement optimal est le **moyen terme (3-12 mois)**, en attendant une clarification de l'évolution des prix du caoutchouc et une éventuelle amélioration des marges.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201.14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4,545 titres</w:t>
            </w:r>
          </w:p>
        </w:tc>
        <w:tc>
          <w:tcPr>
            <w:tcW w:type="dxa" w:w="2268"/>
            <w:shd w:fill="FFF2CC" w:val="clear"/>
          </w:tcPr>
          <w:p>
            <w:r>
              <w:rPr>
                <w:b/>
                <w:color w:val="503200"/>
                <w:sz w:val="16"/>
              </w:rPr>
              <w:t xml:space="preserve">Cours actuel : </w:t>
            </w:r>
            <w:r>
              <w:rPr>
                <w:color w:val="000000"/>
                <w:sz w:val="17"/>
              </w:rPr>
              <w:t>7,870 FCFA</w:t>
            </w:r>
          </w:p>
          <w:p>
            <w:r>
              <w:rPr>
                <w:b/>
                <w:color w:val="503200"/>
                <w:sz w:val="16"/>
              </w:rPr>
              <w:t xml:space="preserve">Var. 100 jours : </w:t>
            </w:r>
            <w:r>
              <w:rPr>
                <w:b/>
                <w:color w:val="B40000"/>
                <w:sz w:val="17"/>
              </w:rPr>
              <w:t>-6.70%</w:t>
            </w:r>
          </w:p>
          <w:p>
            <w:r>
              <w:rPr>
                <w:b/>
                <w:color w:val="503200"/>
                <w:sz w:val="16"/>
              </w:rPr>
              <w:t xml:space="preserve">Plus haut 100j : </w:t>
            </w:r>
            <w:r>
              <w:rPr>
                <w:color w:val="000000"/>
                <w:sz w:val="17"/>
              </w:rPr>
              <w:t>8,435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16.3/100 → Faible</w:t>
      </w:r>
    </w:p>
    <w:p>
      <w:pPr>
        <w:spacing w:before="40" w:after="80"/>
      </w:pPr>
      <w:r>
        <w:rPr>
          <w:rFonts w:ascii="Courier New" w:hAnsi="Courier New"/>
          <w:color w:val="006400"/>
          <w:sz w:val="18"/>
        </w:rPr>
        <w:t>███░░░░░░░░░░░░░░░░░  16.3/100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4.70% (Faible) — μ=7,400 FCFA, σ=348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β=1.5372 (Agressif) — Cov=0.000056, Var(idx)=0.000036, ρ=0.358,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4,545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σ_j=2.58%/j (Stable) — Vol. annualisée≈40.9%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2026-08-13</w:t>
            </w:r>
          </w:p>
        </w:tc>
        <w:tc>
          <w:tcPr>
            <w:tcW w:type="dxa" w:w="1440"/>
            <w:shd w:fill="FAFAFA" w:val="clear"/>
          </w:tcPr>
          <w:p>
            <w:r>
              <w:rPr>
                <w:sz w:val="17"/>
              </w:rPr>
              <w:t>7,525</w:t>
            </w:r>
          </w:p>
        </w:tc>
        <w:tc>
          <w:tcPr>
            <w:tcW w:type="dxa" w:w="1440"/>
            <w:shd w:fill="FAFAFA" w:val="clear"/>
          </w:tcPr>
          <w:p>
            <w:r>
              <w:rPr>
                <w:b/>
                <w:sz w:val="17"/>
              </w:rPr>
              <w:t>7,813</w:t>
            </w:r>
          </w:p>
        </w:tc>
        <w:tc>
          <w:tcPr>
            <w:tcW w:type="dxa" w:w="1440"/>
            <w:shd w:fill="FAFAFA" w:val="clear"/>
          </w:tcPr>
          <w:p>
            <w:r>
              <w:rPr>
                <w:sz w:val="17"/>
              </w:rPr>
              <w:t>8,100</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2026-08-14</w:t>
            </w:r>
          </w:p>
        </w:tc>
        <w:tc>
          <w:tcPr>
            <w:tcW w:type="dxa" w:w="1440"/>
            <w:shd w:fill="FAFAFA" w:val="clear"/>
          </w:tcPr>
          <w:p>
            <w:r>
              <w:rPr>
                <w:sz w:val="17"/>
              </w:rPr>
              <w:t>7,393</w:t>
            </w:r>
          </w:p>
        </w:tc>
        <w:tc>
          <w:tcPr>
            <w:tcW w:type="dxa" w:w="1440"/>
            <w:shd w:fill="FAFAFA" w:val="clear"/>
          </w:tcPr>
          <w:p>
            <w:r>
              <w:rPr>
                <w:b/>
                <w:sz w:val="17"/>
              </w:rPr>
              <w:t>7,799</w:t>
            </w:r>
          </w:p>
        </w:tc>
        <w:tc>
          <w:tcPr>
            <w:tcW w:type="dxa" w:w="1440"/>
            <w:shd w:fill="FAFAFA" w:val="clear"/>
          </w:tcPr>
          <w:p>
            <w:r>
              <w:rPr>
                <w:sz w:val="17"/>
              </w:rPr>
              <w:t>8,204</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2026-08-17</w:t>
            </w:r>
          </w:p>
        </w:tc>
        <w:tc>
          <w:tcPr>
            <w:tcW w:type="dxa" w:w="1440"/>
            <w:shd w:fill="FAFAFA" w:val="clear"/>
          </w:tcPr>
          <w:p>
            <w:r>
              <w:rPr>
                <w:sz w:val="17"/>
              </w:rPr>
              <w:t>7,286</w:t>
            </w:r>
          </w:p>
        </w:tc>
        <w:tc>
          <w:tcPr>
            <w:tcW w:type="dxa" w:w="1440"/>
            <w:shd w:fill="FAFAFA" w:val="clear"/>
          </w:tcPr>
          <w:p>
            <w:r>
              <w:rPr>
                <w:b/>
                <w:sz w:val="17"/>
              </w:rPr>
              <w:t>7,782</w:t>
            </w:r>
          </w:p>
        </w:tc>
        <w:tc>
          <w:tcPr>
            <w:tcW w:type="dxa" w:w="1440"/>
            <w:shd w:fill="FAFAFA" w:val="clear"/>
          </w:tcPr>
          <w:p>
            <w:r>
              <w:rPr>
                <w:sz w:val="17"/>
              </w:rPr>
              <w:t>8,278</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2026-08-18</w:t>
            </w:r>
          </w:p>
        </w:tc>
        <w:tc>
          <w:tcPr>
            <w:tcW w:type="dxa" w:w="1440"/>
            <w:shd w:fill="FAFAFA" w:val="clear"/>
          </w:tcPr>
          <w:p>
            <w:r>
              <w:rPr>
                <w:sz w:val="17"/>
              </w:rPr>
              <w:t>7,195</w:t>
            </w:r>
          </w:p>
        </w:tc>
        <w:tc>
          <w:tcPr>
            <w:tcW w:type="dxa" w:w="1440"/>
            <w:shd w:fill="FAFAFA" w:val="clear"/>
          </w:tcPr>
          <w:p>
            <w:r>
              <w:rPr>
                <w:b/>
                <w:sz w:val="17"/>
              </w:rPr>
              <w:t>7,767</w:t>
            </w:r>
          </w:p>
        </w:tc>
        <w:tc>
          <w:tcPr>
            <w:tcW w:type="dxa" w:w="1440"/>
            <w:shd w:fill="FAFAFA" w:val="clear"/>
          </w:tcPr>
          <w:p>
            <w:r>
              <w:rPr>
                <w:sz w:val="17"/>
              </w:rPr>
              <w:t>8,338</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2026-08-19</w:t>
            </w:r>
          </w:p>
        </w:tc>
        <w:tc>
          <w:tcPr>
            <w:tcW w:type="dxa" w:w="1440"/>
            <w:shd w:fill="FAFAFA" w:val="clear"/>
          </w:tcPr>
          <w:p>
            <w:r>
              <w:rPr>
                <w:sz w:val="17"/>
              </w:rPr>
              <w:t>7,114</w:t>
            </w:r>
          </w:p>
        </w:tc>
        <w:tc>
          <w:tcPr>
            <w:tcW w:type="dxa" w:w="1440"/>
            <w:shd w:fill="FAFAFA" w:val="clear"/>
          </w:tcPr>
          <w:p>
            <w:r>
              <w:rPr>
                <w:b/>
                <w:sz w:val="17"/>
              </w:rPr>
              <w:t>7,752</w:t>
            </w:r>
          </w:p>
        </w:tc>
        <w:tc>
          <w:tcPr>
            <w:tcW w:type="dxa" w:w="1440"/>
            <w:shd w:fill="FAFAFA" w:val="clear"/>
          </w:tcPr>
          <w:p>
            <w:r>
              <w:rPr>
                <w:sz w:val="17"/>
              </w:rPr>
              <w:t>8,389</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2026-08-20</w:t>
            </w:r>
          </w:p>
        </w:tc>
        <w:tc>
          <w:tcPr>
            <w:tcW w:type="dxa" w:w="1440"/>
            <w:shd w:fill="FAFAFA" w:val="clear"/>
          </w:tcPr>
          <w:p>
            <w:r>
              <w:rPr>
                <w:sz w:val="17"/>
              </w:rPr>
              <w:t>7,039</w:t>
            </w:r>
          </w:p>
        </w:tc>
        <w:tc>
          <w:tcPr>
            <w:tcW w:type="dxa" w:w="1440"/>
            <w:shd w:fill="FAFAFA" w:val="clear"/>
          </w:tcPr>
          <w:p>
            <w:r>
              <w:rPr>
                <w:b/>
                <w:sz w:val="17"/>
              </w:rPr>
              <w:t>7,736</w:t>
            </w:r>
          </w:p>
        </w:tc>
        <w:tc>
          <w:tcPr>
            <w:tcW w:type="dxa" w:w="1440"/>
            <w:shd w:fill="FAFAFA" w:val="clear"/>
          </w:tcPr>
          <w:p>
            <w:r>
              <w:rPr>
                <w:sz w:val="17"/>
              </w:rPr>
              <w:t>8,434</w:t>
            </w:r>
          </w:p>
        </w:tc>
        <w:tc>
          <w:tcPr>
            <w:tcW w:type="dxa" w:w="1440"/>
            <w:shd w:fill="FAFAFA" w:val="clear"/>
          </w:tcPr>
          <w:p>
            <w:r>
              <w:rPr>
                <w:b/>
                <w:color w:val="C00000"/>
                <w:sz w:val="17"/>
              </w:rPr>
              <w:t>-1.7%</w:t>
            </w:r>
          </w:p>
        </w:tc>
      </w:tr>
      <w:tr>
        <w:tc>
          <w:tcPr>
            <w:tcW w:type="dxa" w:w="1440"/>
            <w:shd w:fill="FAFAFA" w:val="clear"/>
          </w:tcPr>
          <w:p>
            <w:r>
              <w:rPr>
                <w:sz w:val="17"/>
              </w:rPr>
              <w:t>J+7  ⭐</w:t>
            </w:r>
          </w:p>
        </w:tc>
        <w:tc>
          <w:tcPr>
            <w:tcW w:type="dxa" w:w="1440"/>
            <w:shd w:fill="FAFAFA" w:val="clear"/>
          </w:tcPr>
          <w:p>
            <w:r>
              <w:rPr>
                <w:sz w:val="17"/>
              </w:rPr>
              <w:t>2026-08-21</w:t>
            </w:r>
          </w:p>
        </w:tc>
        <w:tc>
          <w:tcPr>
            <w:tcW w:type="dxa" w:w="1440"/>
            <w:shd w:fill="FAFAFA" w:val="clear"/>
          </w:tcPr>
          <w:p>
            <w:r>
              <w:rPr>
                <w:sz w:val="17"/>
              </w:rPr>
              <w:t>6,969</w:t>
            </w:r>
          </w:p>
        </w:tc>
        <w:tc>
          <w:tcPr>
            <w:tcW w:type="dxa" w:w="1440"/>
            <w:shd w:fill="FAFAFA" w:val="clear"/>
          </w:tcPr>
          <w:p>
            <w:r>
              <w:rPr>
                <w:b/>
                <w:sz w:val="17"/>
              </w:rPr>
              <w:t>7,721</w:t>
            </w:r>
          </w:p>
        </w:tc>
        <w:tc>
          <w:tcPr>
            <w:tcW w:type="dxa" w:w="1440"/>
            <w:shd w:fill="FAFAFA" w:val="clear"/>
          </w:tcPr>
          <w:p>
            <w:r>
              <w:rPr>
                <w:sz w:val="17"/>
              </w:rPr>
              <w:t>8,473</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2026-08-24</w:t>
            </w:r>
          </w:p>
        </w:tc>
        <w:tc>
          <w:tcPr>
            <w:tcW w:type="dxa" w:w="1440"/>
            <w:shd w:fill="FFDCE0" w:val="clear"/>
          </w:tcPr>
          <w:p>
            <w:r>
              <w:rPr>
                <w:sz w:val="17"/>
              </w:rPr>
              <w:t>6,903</w:t>
            </w:r>
          </w:p>
        </w:tc>
        <w:tc>
          <w:tcPr>
            <w:tcW w:type="dxa" w:w="1440"/>
            <w:shd w:fill="FFDCE0" w:val="clear"/>
          </w:tcPr>
          <w:p>
            <w:r>
              <w:rPr>
                <w:b/>
                <w:sz w:val="17"/>
              </w:rPr>
              <w:t>7,705</w:t>
            </w:r>
          </w:p>
        </w:tc>
        <w:tc>
          <w:tcPr>
            <w:tcW w:type="dxa" w:w="1440"/>
            <w:shd w:fill="FFDCE0" w:val="clear"/>
          </w:tcPr>
          <w:p>
            <w:r>
              <w:rPr>
                <w:sz w:val="17"/>
              </w:rPr>
              <w:t>8,507</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2026-08-25</w:t>
            </w:r>
          </w:p>
        </w:tc>
        <w:tc>
          <w:tcPr>
            <w:tcW w:type="dxa" w:w="1440"/>
            <w:shd w:fill="FFDCE0" w:val="clear"/>
          </w:tcPr>
          <w:p>
            <w:r>
              <w:rPr>
                <w:sz w:val="17"/>
              </w:rPr>
              <w:t>6,841</w:t>
            </w:r>
          </w:p>
        </w:tc>
        <w:tc>
          <w:tcPr>
            <w:tcW w:type="dxa" w:w="1440"/>
            <w:shd w:fill="FFDCE0" w:val="clear"/>
          </w:tcPr>
          <w:p>
            <w:r>
              <w:rPr>
                <w:b/>
                <w:sz w:val="17"/>
              </w:rPr>
              <w:t>7,690</w:t>
            </w:r>
          </w:p>
        </w:tc>
        <w:tc>
          <w:tcPr>
            <w:tcW w:type="dxa" w:w="1440"/>
            <w:shd w:fill="FFDCE0" w:val="clear"/>
          </w:tcPr>
          <w:p>
            <w:r>
              <w:rPr>
                <w:sz w:val="17"/>
              </w:rPr>
              <w:t>8,539</w:t>
            </w:r>
          </w:p>
        </w:tc>
        <w:tc>
          <w:tcPr>
            <w:tcW w:type="dxa" w:w="1440"/>
            <w:shd w:fill="FFDCE0" w:val="clear"/>
          </w:tcPr>
          <w:p>
            <w:r>
              <w:rPr>
                <w:b/>
                <w:color w:val="C00000"/>
                <w:sz w:val="17"/>
              </w:rPr>
              <w:t>-2.3%</w:t>
            </w:r>
          </w:p>
        </w:tc>
      </w:tr>
      <w:tr>
        <w:tc>
          <w:tcPr>
            <w:tcW w:type="dxa" w:w="1440"/>
            <w:shd w:fill="FFDCE0" w:val="clear"/>
          </w:tcPr>
          <w:p>
            <w:r>
              <w:rPr>
                <w:sz w:val="17"/>
              </w:rPr>
              <w:t>J+10  ⭐</w:t>
            </w:r>
          </w:p>
        </w:tc>
        <w:tc>
          <w:tcPr>
            <w:tcW w:type="dxa" w:w="1440"/>
            <w:shd w:fill="FFDCE0" w:val="clear"/>
          </w:tcPr>
          <w:p>
            <w:r>
              <w:rPr>
                <w:sz w:val="17"/>
              </w:rPr>
              <w:t>2026-08-27</w:t>
            </w:r>
          </w:p>
        </w:tc>
        <w:tc>
          <w:tcPr>
            <w:tcW w:type="dxa" w:w="1440"/>
            <w:shd w:fill="FFDCE0" w:val="clear"/>
          </w:tcPr>
          <w:p>
            <w:r>
              <w:rPr>
                <w:sz w:val="17"/>
              </w:rPr>
              <w:t>6,782</w:t>
            </w:r>
          </w:p>
        </w:tc>
        <w:tc>
          <w:tcPr>
            <w:tcW w:type="dxa" w:w="1440"/>
            <w:shd w:fill="FFDCE0" w:val="clear"/>
          </w:tcPr>
          <w:p>
            <w:r>
              <w:rPr>
                <w:b/>
                <w:sz w:val="17"/>
              </w:rPr>
              <w:t>7,675</w:t>
            </w:r>
          </w:p>
        </w:tc>
        <w:tc>
          <w:tcPr>
            <w:tcW w:type="dxa" w:w="1440"/>
            <w:shd w:fill="FFDCE0" w:val="clear"/>
          </w:tcPr>
          <w:p>
            <w:r>
              <w:rPr>
                <w:sz w:val="17"/>
              </w:rPr>
              <w:t>8,568</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SPHC s'établit à 201,14 milliards FCFA, un niveau qui la positionne parmi les valeurs moyennes à grandes capitalisations de la BRVM, reflétant son statut de leader régional dans le secteur du caoutchouc. Avec un BPA de 977 FCFA, chaque action génère un bénéfice substantiel, ce qui justifie un PER de 8,1x, inférieur à la moyenne historique du marché BRVM (8-12x), indiquant une sous-évaluation relative du titre par rapport à ses bénéfices. Le P/B de 1,46x, situé dans la zone de valorisation raisonnable (1-2x), suggère que le marché valorise les actifs de la société à un niveau légèrement supérieur à leur valeur comptable, sans prime excessive. Enfin, l'EV/EBITDA de 5,1x, dans la fourchette basse de la zone raisonnable (5-10x), confirme que la valeur totale de l'entreprise (capitalisation plus dette nette) reste attractive par rapport à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SPHC a enregistré une variation totale de -6,70%, avec une légère baisse de -0,38% lors de la dernière séance, s'établissant à 7 870 FCFA. Le titre a évolué dans un range de trading significatif, oscillant entre un plus bas de 6 720 FCFA et un plus haut de 8 435 FCFA, démontrant une amplitude de plus de 25% sur la période. La moyenne et la médiane du cours sont identiques à 7 400 FCFA, indiquant une distribution parfaitement symétrique des prix, tandis que le mode à 7 600 FCFA suggère une zone de prix privilégiée par le marché. L'écart-type de 350 FCFA, associé à un coefficient de variation de 4,7%, révèle une dispersion relativement faible des cours autour de la moyenne, signe d'une certaine stabilité relative. Le kurtosis de 0,385 (mésokurtique) et le skewness de 0,404 (distribution symétrique) confirment l'absence de mouvements extrêmes ou d'asymétrie marquée. La volatilité annualisée de 40,9% classe le titre dans la catégorie des valeurs à volatilité élevée (&gt;30%), ce qui implique un risque de fluctuation important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7 870 FCFA se positionne au-dessus de la MM20 (7 539,75 FCFA) et de la MM50 (7 603,5 FCFA), indiquant une dynamique haussière à court et moyen terme. Cependant, la décision de "Vente" suggère que le croisement récent des moyennes ou la distance excessive du cours par rapport à celles-ci pourrait signaler un essoufflement potentiel de la tendance, justifiant une prudence technique.</w:t>
      </w:r>
    </w:p>
    <w:p>
      <w:pPr>
        <w:spacing w:after="120" w:line="276" w:lineRule="auto"/>
      </w:pPr>
      <w:r>
        <w:t>**Bandes de Bollinger** : Le prix actuel est très proche de la borne supérieure (7 885,209 FCFA), à seulement 15 FCFA de distance, ce qui indique que le titre est en zone de surachat technique. La décision "Neutre" reflète une situation où la volatilité, bien que présente, ne montre pas de signal directionnel fort, mais la proximité de la borne supérieure suggère un risque de correction à court terme.</w:t>
      </w:r>
    </w:p>
    <w:p>
      <w:pPr>
        <w:spacing w:after="120" w:line="276" w:lineRule="auto"/>
      </w:pPr>
      <w:r>
        <w:t>**MACD** : La valeur du MACD (70,585) est nettement supérieure à son signal (23,682), avec un écart positif de près de 47 points, indiquant un momentum haussier puissant. La décision "Achat" est cohérente avec cette configuration, car la divergence positive entre le MACD et son signal confirme la vigueur de la tendance haussière en cours, malgré les signaux de surachat provenant d'autres indicateurs.</w:t>
      </w:r>
    </w:p>
    <w:p>
      <w:pPr>
        <w:spacing w:after="120" w:line="276" w:lineRule="auto"/>
      </w:pPr>
      <w:r>
        <w:t>**RSI** : Le RSI à 72,414 dépasse le seuil de surachat (&gt;70), signalant que le titre est techniquement surévalué à court terme. La décision "Vente" est justifiée par cette situation, car un RSI aussi élevé indique que les acheteurs ont poussé le prix trop loin trop rapidement, augmentant la probabilité d'un repli ou d'une consolidation dans les prochaines séances.</w:t>
      </w:r>
    </w:p>
    <w:p>
      <w:pPr>
        <w:spacing w:after="120" w:line="276" w:lineRule="auto"/>
      </w:pPr>
      <w:r>
        <w:t>**Stochastique** : Avec %K à 94,0 et %D à 98,0, l'indicateur stochastique est profondément ancré en zone de surachat (&gt;80). Le %D étant supérieur au %K, cela suggère un affaiblissement imminent du momentum haussier, justifiant la décision "Vente". Cette configuration indique que le marché est saturé d'achats et qu'un retournement baissier est probable à court terme.</w:t>
      </w:r>
    </w:p>
    <w:p>
      <w:pPr>
        <w:spacing w:after="120" w:line="276" w:lineRule="auto"/>
      </w:pPr>
      <w:r>
        <w:t>**Conclusion technique** : Les indicateurs techniques présentent un tableau contrasté : le MACD est résolument haussier, tandis que le RSI, le Stochastique et les Moyennes Mobiles signalent une prudence accrue. La convergence des signaux de surachat (RSI, Stochastique, proximité de la borne supérieure de Bollinger) suggère qu'un repli technique est probable, mais la force du MACD indique que la tendance de fond reste positive. Cette divergence appelle à la vigilance, avec un risque de correction à court terme avant une éventuelle reprise de la tendance haussière.</w:t>
      </w:r>
    </w:p>
    <w:p>
      <w:pPr>
        <w:spacing w:after="120" w:line="276" w:lineRule="auto" w:before="240"/>
      </w:pPr>
      <w:r>
        <w:rPr>
          <w:b/>
          <w:color w:val="003366"/>
          <w:sz w:val="24"/>
        </w:rPr>
        <w:t>**PARTIE 3 : ANALYSE FONDAMENTALE (SECTION CRITIQUE)**</w:t>
      </w:r>
    </w:p>
    <w:p>
      <w:pPr>
        <w:spacing w:after="120" w:line="276" w:lineRule="auto"/>
      </w:pPr>
      <w:r>
        <w:t>En 2025, SPHC a réalisé un chiffre d'affaires de 340,831 milliards FCFA, en croissance de 22,0% par rapport à 2024 (279,44 milliards FCFA), avec un résultat net de 24,972 milliards FCFA, en hausse de 32,9% (contre 18,79 milliards en 2024). La rentabilité est excellente avec un ROE de 18,1% et un ROA de 11,1%, reflétant une utilisation efficace des capitaux propres et des actifs. La marge nette s'améliore à 7,3% (contre 6,7% en 2024), tandis que la marge opérationnelle atteint 11,2%. Le BFR de 65,389 milliards FCFA est positif, indiquant un besoin de financement du cycle d'exploitation, avec un délai clients de 35 jours et une durée de stockage de 72 jours, des niveaux modérés pour une entreprise industrielle. L'endettement reste maîtrisé avec un ratio d'endettement de 25,8% et une capacité de remboursement de 0,97 an. Les rapports trimestriels 2025 confirment cette dynamique : le T1 2025 affichait un CA de 94,3 milliards FCFA (+72%) et un résultat net de 11,8 milliards FCFA (+949%), le S1 2025 un CA de 171,4 milliards FCFA (+51%) et un résultat net de 18,1 milliards FCFA (+449%), et le T3 2025 un CA de 253,7 milliards FCFA (+36%) et un résultat net de 23,2 milliards FCFA (+131%). Cependant, le rapport T1 2026 (daté de 2026) montre un net ralentissement avec un CA de 71,8 milliards FCFA (-24%) et un résultat net de 2,6 milliards FCFA (-78%), pénalisé par la chute des cours mondiaux du caoutchouc et l'engorgement du port de San Pedro. Sur la base de ce T1 2026, on estime que l'exercice 2026 pourrait être nettement moins performant que 2025, avec un résultat net potentiellement en baisse de 50% à 70%, sauf si les cours mondiaux se redressent significativement. La société maintient une structure financière solide avec des capitaux propres de 137,937 milliards FCFA, une autonomie financière de 61,1% et une solvabilité générale de 256,9%. La recommandation fondamentale est de CONSERVER, avec une surveillance active de la trésorerie et de l'évolution des cours du caoutchouc.</w:t>
      </w:r>
    </w:p>
    <w:p>
      <w:pPr>
        <w:spacing w:after="120" w:line="276" w:lineRule="auto" w:before="240"/>
      </w:pPr>
      <w:r>
        <w:rPr>
          <w:b/>
          <w:color w:val="003366"/>
          <w:sz w:val="24"/>
        </w:rPr>
        <w:t>**PARTIE 4 : CONCLUSION D'INVESTISSEMENT**</w:t>
      </w:r>
    </w:p>
    <w:p>
      <w:pPr>
        <w:spacing w:after="120" w:line="276" w:lineRule="auto"/>
      </w:pPr>
      <w:r>
        <w:t>La valorisation de SPHC (PER 8,1x, P/B 1,46x, EV/EBITDA 5,1x) indique une sous-évaluation relative du titre par rapport à ses fondamentaux, offrant une marge de sécurité intéressante pour les investisseurs. Le comportement du cours sur 100 jours montre une tendance baissière modérée (-6,70%) avec une volatilité élevée (40,9%), mais une distribution symétrique des prix (skewness 0,404) et l'absence de mouvements extrêmes (kurtosis 0,385) suggèrent une stabilité relative. Les signaux techniques sont mitigés : le MACD est haussier, mais le RSI (72,4) et le Stochastique (94/98) sont en zone de surachat, indiquant un risque de correction à court terme, tandis que les prédictions IA (7 813 à 7 752 FCFA sur J+1 à J+10) confirment cette anticipation de repli progressif. Les fondamentaux restent solides avec une croissance de 22% du CA et de 32,9% du résultat net en 2025, mais le T1 2026 montre un net ralentissement (-24% CA, -78% résultat net) dû à la chute des cours mondiaux. La convergence entre la sous-évaluation (valorisation), la solidité financière (fondamentaux) et la prudence technique (surachat) suggère une recommandation de **CONSERVER** avec un niveau de confiance **Moyen**. Le risque global est **Élevé** en raison de la volatilité des cours du caoutchouc et de la dépendance sectorielle. L'horizon d'investissement optimal est le **moyen terme (3-12 mois)**, en attendant une stabilisation des cours mondiaux et une confirmation de la reprise au T2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35.75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6,289 titres</w:t>
            </w:r>
          </w:p>
        </w:tc>
        <w:tc>
          <w:tcPr>
            <w:tcW w:type="dxa" w:w="2268"/>
            <w:shd w:fill="FFF2CC" w:val="clear"/>
          </w:tcPr>
          <w:p>
            <w:r>
              <w:rPr>
                <w:b/>
                <w:color w:val="503200"/>
                <w:sz w:val="16"/>
              </w:rPr>
              <w:t xml:space="preserve">Cours actuel : </w:t>
            </w:r>
            <w:r>
              <w:rPr>
                <w:color w:val="000000"/>
                <w:sz w:val="17"/>
              </w:rPr>
              <w:t>2,660 FCFA</w:t>
            </w:r>
          </w:p>
          <w:p>
            <w:r>
              <w:rPr>
                <w:b/>
                <w:color w:val="503200"/>
                <w:sz w:val="16"/>
              </w:rPr>
              <w:t xml:space="preserve">Var. 100 jours : </w:t>
            </w:r>
            <w:r>
              <w:rPr>
                <w:b/>
                <w:color w:val="007800"/>
                <w:sz w:val="17"/>
              </w:rPr>
              <w:t>+0.00%</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2,285 FCFA</w:t>
            </w:r>
          </w:p>
          <w:p>
            <w:r>
              <w:rPr>
                <w:b/>
                <w:color w:val="503200"/>
                <w:sz w:val="16"/>
              </w:rPr>
              <w:t xml:space="preserve">Volatilité ann. : </w:t>
            </w:r>
            <w:r>
              <w:rPr>
                <w:color w:val="000000"/>
                <w:sz w:val="17"/>
              </w:rPr>
              <w:t>70.6%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11.73% (Moyenne) — μ=3,025 FCFA, σ=355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β=-1.1347 (Contre-cyclique) — Cov=-0.000041, Var(idx)=0.000036, ρ=-0.155,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6,289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σ_j=4.44%/j (Modérée) — Vol. annualisée≈70.6%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2026-08-13</w:t>
            </w:r>
          </w:p>
        </w:tc>
        <w:tc>
          <w:tcPr>
            <w:tcW w:type="dxa" w:w="1440"/>
            <w:shd w:fill="FFDCE0" w:val="clear"/>
          </w:tcPr>
          <w:p>
            <w:r>
              <w:rPr>
                <w:sz w:val="17"/>
              </w:rPr>
              <w:t>2,382</w:t>
            </w:r>
          </w:p>
        </w:tc>
        <w:tc>
          <w:tcPr>
            <w:tcW w:type="dxa" w:w="1440"/>
            <w:shd w:fill="FFDCE0" w:val="clear"/>
          </w:tcPr>
          <w:p>
            <w:r>
              <w:rPr>
                <w:b/>
                <w:sz w:val="17"/>
              </w:rPr>
              <w:t>2,509</w:t>
            </w:r>
          </w:p>
        </w:tc>
        <w:tc>
          <w:tcPr>
            <w:tcW w:type="dxa" w:w="1440"/>
            <w:shd w:fill="FFDCE0" w:val="clear"/>
          </w:tcPr>
          <w:p>
            <w:r>
              <w:rPr>
                <w:sz w:val="17"/>
              </w:rPr>
              <w:t>2,636</w:t>
            </w:r>
          </w:p>
        </w:tc>
        <w:tc>
          <w:tcPr>
            <w:tcW w:type="dxa" w:w="1440"/>
            <w:shd w:fill="FFDCE0" w:val="clear"/>
          </w:tcPr>
          <w:p>
            <w:r>
              <w:rPr>
                <w:b/>
                <w:color w:val="C00000"/>
                <w:sz w:val="17"/>
              </w:rPr>
              <w:t>-5.7%</w:t>
            </w:r>
          </w:p>
        </w:tc>
      </w:tr>
      <w:tr>
        <w:tc>
          <w:tcPr>
            <w:tcW w:type="dxa" w:w="1440"/>
            <w:shd w:fill="FFDCE0" w:val="clear"/>
          </w:tcPr>
          <w:p>
            <w:r>
              <w:rPr>
                <w:sz w:val="17"/>
              </w:rPr>
              <w:t>J+2  Moyenne</w:t>
            </w:r>
          </w:p>
        </w:tc>
        <w:tc>
          <w:tcPr>
            <w:tcW w:type="dxa" w:w="1440"/>
            <w:shd w:fill="FFDCE0" w:val="clear"/>
          </w:tcPr>
          <w:p>
            <w:r>
              <w:rPr>
                <w:sz w:val="17"/>
              </w:rPr>
              <w:t>2026-08-14</w:t>
            </w:r>
          </w:p>
        </w:tc>
        <w:tc>
          <w:tcPr>
            <w:tcW w:type="dxa" w:w="1440"/>
            <w:shd w:fill="FFDCE0" w:val="clear"/>
          </w:tcPr>
          <w:p>
            <w:r>
              <w:rPr>
                <w:sz w:val="17"/>
              </w:rPr>
              <w:t>2,204</w:t>
            </w:r>
          </w:p>
        </w:tc>
        <w:tc>
          <w:tcPr>
            <w:tcW w:type="dxa" w:w="1440"/>
            <w:shd w:fill="FFDCE0" w:val="clear"/>
          </w:tcPr>
          <w:p>
            <w:r>
              <w:rPr>
                <w:b/>
                <w:sz w:val="17"/>
              </w:rPr>
              <w:t>2,374</w:t>
            </w:r>
          </w:p>
        </w:tc>
        <w:tc>
          <w:tcPr>
            <w:tcW w:type="dxa" w:w="1440"/>
            <w:shd w:fill="FFDCE0" w:val="clear"/>
          </w:tcPr>
          <w:p>
            <w:r>
              <w:rPr>
                <w:sz w:val="17"/>
              </w:rPr>
              <w:t>2,544</w:t>
            </w:r>
          </w:p>
        </w:tc>
        <w:tc>
          <w:tcPr>
            <w:tcW w:type="dxa" w:w="1440"/>
            <w:shd w:fill="FFDCE0" w:val="clear"/>
          </w:tcPr>
          <w:p>
            <w:r>
              <w:rPr>
                <w:b/>
                <w:color w:val="C00000"/>
                <w:sz w:val="17"/>
              </w:rPr>
              <w:t>-10.8%</w:t>
            </w:r>
          </w:p>
        </w:tc>
      </w:tr>
      <w:tr>
        <w:tc>
          <w:tcPr>
            <w:tcW w:type="dxa" w:w="1440"/>
            <w:shd w:fill="FFDCE0" w:val="clear"/>
          </w:tcPr>
          <w:p>
            <w:r>
              <w:rPr>
                <w:sz w:val="17"/>
              </w:rPr>
              <w:t>J+3  Moyenne</w:t>
            </w:r>
          </w:p>
        </w:tc>
        <w:tc>
          <w:tcPr>
            <w:tcW w:type="dxa" w:w="1440"/>
            <w:shd w:fill="FFDCE0" w:val="clear"/>
          </w:tcPr>
          <w:p>
            <w:r>
              <w:rPr>
                <w:sz w:val="17"/>
              </w:rPr>
              <w:t>2026-08-17</w:t>
            </w:r>
          </w:p>
        </w:tc>
        <w:tc>
          <w:tcPr>
            <w:tcW w:type="dxa" w:w="1440"/>
            <w:shd w:fill="FFDCE0" w:val="clear"/>
          </w:tcPr>
          <w:p>
            <w:r>
              <w:rPr>
                <w:sz w:val="17"/>
              </w:rPr>
              <w:t>2,026</w:t>
            </w:r>
          </w:p>
        </w:tc>
        <w:tc>
          <w:tcPr>
            <w:tcW w:type="dxa" w:w="1440"/>
            <w:shd w:fill="FFDCE0" w:val="clear"/>
          </w:tcPr>
          <w:p>
            <w:r>
              <w:rPr>
                <w:b/>
                <w:sz w:val="17"/>
              </w:rPr>
              <w:t>2,221</w:t>
            </w:r>
          </w:p>
        </w:tc>
        <w:tc>
          <w:tcPr>
            <w:tcW w:type="dxa" w:w="1440"/>
            <w:shd w:fill="FFDCE0" w:val="clear"/>
          </w:tcPr>
          <w:p>
            <w:r>
              <w:rPr>
                <w:sz w:val="17"/>
              </w:rPr>
              <w:t>2,416</w:t>
            </w:r>
          </w:p>
        </w:tc>
        <w:tc>
          <w:tcPr>
            <w:tcW w:type="dxa" w:w="1440"/>
            <w:shd w:fill="FFDCE0" w:val="clear"/>
          </w:tcPr>
          <w:p>
            <w:r>
              <w:rPr>
                <w:b/>
                <w:color w:val="C00000"/>
                <w:sz w:val="17"/>
              </w:rPr>
              <w:t>-16.5%</w:t>
            </w:r>
          </w:p>
        </w:tc>
      </w:tr>
      <w:tr>
        <w:tc>
          <w:tcPr>
            <w:tcW w:type="dxa" w:w="1440"/>
            <w:shd w:fill="FFDCE0" w:val="clear"/>
          </w:tcPr>
          <w:p>
            <w:r>
              <w:rPr>
                <w:sz w:val="17"/>
              </w:rPr>
              <w:t>J+4  ⭐</w:t>
            </w:r>
          </w:p>
        </w:tc>
        <w:tc>
          <w:tcPr>
            <w:tcW w:type="dxa" w:w="1440"/>
            <w:shd w:fill="FFDCE0" w:val="clear"/>
          </w:tcPr>
          <w:p>
            <w:r>
              <w:rPr>
                <w:sz w:val="17"/>
              </w:rPr>
              <w:t>2026-08-18</w:t>
            </w:r>
          </w:p>
        </w:tc>
        <w:tc>
          <w:tcPr>
            <w:tcW w:type="dxa" w:w="1440"/>
            <w:shd w:fill="FFDCE0" w:val="clear"/>
          </w:tcPr>
          <w:p>
            <w:r>
              <w:rPr>
                <w:sz w:val="17"/>
              </w:rPr>
              <w:t>1,869</w:t>
            </w:r>
          </w:p>
        </w:tc>
        <w:tc>
          <w:tcPr>
            <w:tcW w:type="dxa" w:w="1440"/>
            <w:shd w:fill="FFDCE0" w:val="clear"/>
          </w:tcPr>
          <w:p>
            <w:r>
              <w:rPr>
                <w:b/>
                <w:sz w:val="17"/>
              </w:rPr>
              <w:t>2,080</w:t>
            </w:r>
          </w:p>
        </w:tc>
        <w:tc>
          <w:tcPr>
            <w:tcW w:type="dxa" w:w="1440"/>
            <w:shd w:fill="FFDCE0" w:val="clear"/>
          </w:tcPr>
          <w:p>
            <w:r>
              <w:rPr>
                <w:sz w:val="17"/>
              </w:rPr>
              <w:t>2,290</w:t>
            </w:r>
          </w:p>
        </w:tc>
        <w:tc>
          <w:tcPr>
            <w:tcW w:type="dxa" w:w="1440"/>
            <w:shd w:fill="FFDCE0" w:val="clear"/>
          </w:tcPr>
          <w:p>
            <w:r>
              <w:rPr>
                <w:b/>
                <w:color w:val="C00000"/>
                <w:sz w:val="17"/>
              </w:rPr>
              <w:t>-21.8%</w:t>
            </w:r>
          </w:p>
        </w:tc>
      </w:tr>
      <w:tr>
        <w:tc>
          <w:tcPr>
            <w:tcW w:type="dxa" w:w="1440"/>
            <w:shd w:fill="FFDCE0" w:val="clear"/>
          </w:tcPr>
          <w:p>
            <w:r>
              <w:rPr>
                <w:sz w:val="17"/>
              </w:rPr>
              <w:t>J+5  ⭐</w:t>
            </w:r>
          </w:p>
        </w:tc>
        <w:tc>
          <w:tcPr>
            <w:tcW w:type="dxa" w:w="1440"/>
            <w:shd w:fill="FFDCE0" w:val="clear"/>
          </w:tcPr>
          <w:p>
            <w:r>
              <w:rPr>
                <w:sz w:val="17"/>
              </w:rPr>
              <w:t>2026-08-19</w:t>
            </w:r>
          </w:p>
        </w:tc>
        <w:tc>
          <w:tcPr>
            <w:tcW w:type="dxa" w:w="1440"/>
            <w:shd w:fill="FFDCE0" w:val="clear"/>
          </w:tcPr>
          <w:p>
            <w:r>
              <w:rPr>
                <w:sz w:val="17"/>
              </w:rPr>
              <w:t>1,737</w:t>
            </w:r>
          </w:p>
        </w:tc>
        <w:tc>
          <w:tcPr>
            <w:tcW w:type="dxa" w:w="1440"/>
            <w:shd w:fill="FFDCE0" w:val="clear"/>
          </w:tcPr>
          <w:p>
            <w:r>
              <w:rPr>
                <w:b/>
                <w:sz w:val="17"/>
              </w:rPr>
              <w:t>1,959</w:t>
            </w:r>
          </w:p>
        </w:tc>
        <w:tc>
          <w:tcPr>
            <w:tcW w:type="dxa" w:w="1440"/>
            <w:shd w:fill="FFDCE0" w:val="clear"/>
          </w:tcPr>
          <w:p>
            <w:r>
              <w:rPr>
                <w:sz w:val="17"/>
              </w:rPr>
              <w:t>2,181</w:t>
            </w:r>
          </w:p>
        </w:tc>
        <w:tc>
          <w:tcPr>
            <w:tcW w:type="dxa" w:w="1440"/>
            <w:shd w:fill="FFDCE0" w:val="clear"/>
          </w:tcPr>
          <w:p>
            <w:r>
              <w:rPr>
                <w:b/>
                <w:color w:val="C00000"/>
                <w:sz w:val="17"/>
              </w:rPr>
              <w:t>-26.4%</w:t>
            </w:r>
          </w:p>
        </w:tc>
      </w:tr>
      <w:tr>
        <w:tc>
          <w:tcPr>
            <w:tcW w:type="dxa" w:w="1440"/>
            <w:shd w:fill="FFDCE0" w:val="clear"/>
          </w:tcPr>
          <w:p>
            <w:r>
              <w:rPr>
                <w:sz w:val="17"/>
              </w:rPr>
              <w:t>J+6  ⭐</w:t>
            </w:r>
          </w:p>
        </w:tc>
        <w:tc>
          <w:tcPr>
            <w:tcW w:type="dxa" w:w="1440"/>
            <w:shd w:fill="FFDCE0" w:val="clear"/>
          </w:tcPr>
          <w:p>
            <w:r>
              <w:rPr>
                <w:sz w:val="17"/>
              </w:rPr>
              <w:t>2026-08-20</w:t>
            </w:r>
          </w:p>
        </w:tc>
        <w:tc>
          <w:tcPr>
            <w:tcW w:type="dxa" w:w="1440"/>
            <w:shd w:fill="FFDCE0" w:val="clear"/>
          </w:tcPr>
          <w:p>
            <w:r>
              <w:rPr>
                <w:sz w:val="17"/>
              </w:rPr>
              <w:t>1,629</w:t>
            </w:r>
          </w:p>
        </w:tc>
        <w:tc>
          <w:tcPr>
            <w:tcW w:type="dxa" w:w="1440"/>
            <w:shd w:fill="FFDCE0" w:val="clear"/>
          </w:tcPr>
          <w:p>
            <w:r>
              <w:rPr>
                <w:b/>
                <w:sz w:val="17"/>
              </w:rPr>
              <w:t>1,860</w:t>
            </w:r>
          </w:p>
        </w:tc>
        <w:tc>
          <w:tcPr>
            <w:tcW w:type="dxa" w:w="1440"/>
            <w:shd w:fill="FFDCE0" w:val="clear"/>
          </w:tcPr>
          <w:p>
            <w:r>
              <w:rPr>
                <w:sz w:val="17"/>
              </w:rPr>
              <w:t>2,090</w:t>
            </w:r>
          </w:p>
        </w:tc>
        <w:tc>
          <w:tcPr>
            <w:tcW w:type="dxa" w:w="1440"/>
            <w:shd w:fill="FFDCE0" w:val="clear"/>
          </w:tcPr>
          <w:p>
            <w:r>
              <w:rPr>
                <w:b/>
                <w:color w:val="C00000"/>
                <w:sz w:val="17"/>
              </w:rPr>
              <w:t>-30.1%</w:t>
            </w:r>
          </w:p>
        </w:tc>
      </w:tr>
      <w:tr>
        <w:tc>
          <w:tcPr>
            <w:tcW w:type="dxa" w:w="1440"/>
            <w:shd w:fill="FFDCE0" w:val="clear"/>
          </w:tcPr>
          <w:p>
            <w:r>
              <w:rPr>
                <w:sz w:val="17"/>
              </w:rPr>
              <w:t>J+7  ⭐</w:t>
            </w:r>
          </w:p>
        </w:tc>
        <w:tc>
          <w:tcPr>
            <w:tcW w:type="dxa" w:w="1440"/>
            <w:shd w:fill="FFDCE0" w:val="clear"/>
          </w:tcPr>
          <w:p>
            <w:r>
              <w:rPr>
                <w:sz w:val="17"/>
              </w:rPr>
              <w:t>2026-08-21</w:t>
            </w:r>
          </w:p>
        </w:tc>
        <w:tc>
          <w:tcPr>
            <w:tcW w:type="dxa" w:w="1440"/>
            <w:shd w:fill="FFDCE0" w:val="clear"/>
          </w:tcPr>
          <w:p>
            <w:r>
              <w:rPr>
                <w:sz w:val="17"/>
              </w:rPr>
              <w:t>1,541</w:t>
            </w:r>
          </w:p>
        </w:tc>
        <w:tc>
          <w:tcPr>
            <w:tcW w:type="dxa" w:w="1440"/>
            <w:shd w:fill="FFDCE0" w:val="clear"/>
          </w:tcPr>
          <w:p>
            <w:r>
              <w:rPr>
                <w:b/>
                <w:sz w:val="17"/>
              </w:rPr>
              <w:t>1,779</w:t>
            </w:r>
          </w:p>
        </w:tc>
        <w:tc>
          <w:tcPr>
            <w:tcW w:type="dxa" w:w="1440"/>
            <w:shd w:fill="FFDCE0" w:val="clear"/>
          </w:tcPr>
          <w:p>
            <w:r>
              <w:rPr>
                <w:sz w:val="17"/>
              </w:rPr>
              <w:t>2,017</w:t>
            </w:r>
          </w:p>
        </w:tc>
        <w:tc>
          <w:tcPr>
            <w:tcW w:type="dxa" w:w="1440"/>
            <w:shd w:fill="FFDCE0" w:val="clear"/>
          </w:tcPr>
          <w:p>
            <w:r>
              <w:rPr>
                <w:b/>
                <w:color w:val="C00000"/>
                <w:sz w:val="17"/>
              </w:rPr>
              <w:t>-33.1%</w:t>
            </w:r>
          </w:p>
        </w:tc>
      </w:tr>
      <w:tr>
        <w:tc>
          <w:tcPr>
            <w:tcW w:type="dxa" w:w="1440"/>
            <w:shd w:fill="FFDCE0" w:val="clear"/>
          </w:tcPr>
          <w:p>
            <w:r>
              <w:rPr>
                <w:sz w:val="17"/>
              </w:rPr>
              <w:t>J+8  ⭐</w:t>
            </w:r>
          </w:p>
        </w:tc>
        <w:tc>
          <w:tcPr>
            <w:tcW w:type="dxa" w:w="1440"/>
            <w:shd w:fill="FFDCE0" w:val="clear"/>
          </w:tcPr>
          <w:p>
            <w:r>
              <w:rPr>
                <w:sz w:val="17"/>
              </w:rPr>
              <w:t>2026-08-24</w:t>
            </w:r>
          </w:p>
        </w:tc>
        <w:tc>
          <w:tcPr>
            <w:tcW w:type="dxa" w:w="1440"/>
            <w:shd w:fill="FFDCE0" w:val="clear"/>
          </w:tcPr>
          <w:p>
            <w:r>
              <w:rPr>
                <w:sz w:val="17"/>
              </w:rPr>
              <w:t>1,468</w:t>
            </w:r>
          </w:p>
        </w:tc>
        <w:tc>
          <w:tcPr>
            <w:tcW w:type="dxa" w:w="1440"/>
            <w:shd w:fill="FFDCE0" w:val="clear"/>
          </w:tcPr>
          <w:p>
            <w:r>
              <w:rPr>
                <w:b/>
                <w:sz w:val="17"/>
              </w:rPr>
              <w:t>1,713</w:t>
            </w:r>
          </w:p>
        </w:tc>
        <w:tc>
          <w:tcPr>
            <w:tcW w:type="dxa" w:w="1440"/>
            <w:shd w:fill="FFDCE0" w:val="clear"/>
          </w:tcPr>
          <w:p>
            <w:r>
              <w:rPr>
                <w:sz w:val="17"/>
              </w:rPr>
              <w:t>1,958</w:t>
            </w:r>
          </w:p>
        </w:tc>
        <w:tc>
          <w:tcPr>
            <w:tcW w:type="dxa" w:w="1440"/>
            <w:shd w:fill="FFDCE0" w:val="clear"/>
          </w:tcPr>
          <w:p>
            <w:r>
              <w:rPr>
                <w:b/>
                <w:color w:val="C00000"/>
                <w:sz w:val="17"/>
              </w:rPr>
              <w:t>-35.6%</w:t>
            </w:r>
          </w:p>
        </w:tc>
      </w:tr>
      <w:tr>
        <w:tc>
          <w:tcPr>
            <w:tcW w:type="dxa" w:w="1440"/>
            <w:shd w:fill="FFDCE0" w:val="clear"/>
          </w:tcPr>
          <w:p>
            <w:r>
              <w:rPr>
                <w:sz w:val="17"/>
              </w:rPr>
              <w:t>J+9  ⭐</w:t>
            </w:r>
          </w:p>
        </w:tc>
        <w:tc>
          <w:tcPr>
            <w:tcW w:type="dxa" w:w="1440"/>
            <w:shd w:fill="FFDCE0" w:val="clear"/>
          </w:tcPr>
          <w:p>
            <w:r>
              <w:rPr>
                <w:sz w:val="17"/>
              </w:rPr>
              <w:t>2026-08-25</w:t>
            </w:r>
          </w:p>
        </w:tc>
        <w:tc>
          <w:tcPr>
            <w:tcW w:type="dxa" w:w="1440"/>
            <w:shd w:fill="FFDCE0" w:val="clear"/>
          </w:tcPr>
          <w:p>
            <w:r>
              <w:rPr>
                <w:sz w:val="17"/>
              </w:rPr>
              <w:t>1,406</w:t>
            </w:r>
          </w:p>
        </w:tc>
        <w:tc>
          <w:tcPr>
            <w:tcW w:type="dxa" w:w="1440"/>
            <w:shd w:fill="FFDCE0" w:val="clear"/>
          </w:tcPr>
          <w:p>
            <w:r>
              <w:rPr>
                <w:b/>
                <w:sz w:val="17"/>
              </w:rPr>
              <w:t>1,658</w:t>
            </w:r>
          </w:p>
        </w:tc>
        <w:tc>
          <w:tcPr>
            <w:tcW w:type="dxa" w:w="1440"/>
            <w:shd w:fill="FFDCE0" w:val="clear"/>
          </w:tcPr>
          <w:p>
            <w:r>
              <w:rPr>
                <w:sz w:val="17"/>
              </w:rPr>
              <w:t>1,910</w:t>
            </w:r>
          </w:p>
        </w:tc>
        <w:tc>
          <w:tcPr>
            <w:tcW w:type="dxa" w:w="1440"/>
            <w:shd w:fill="FFDCE0" w:val="clear"/>
          </w:tcPr>
          <w:p>
            <w:r>
              <w:rPr>
                <w:b/>
                <w:color w:val="C00000"/>
                <w:sz w:val="17"/>
              </w:rPr>
              <w:t>-37.7%</w:t>
            </w:r>
          </w:p>
        </w:tc>
      </w:tr>
      <w:tr>
        <w:tc>
          <w:tcPr>
            <w:tcW w:type="dxa" w:w="1440"/>
            <w:shd w:fill="FFDCE0" w:val="clear"/>
          </w:tcPr>
          <w:p>
            <w:r>
              <w:rPr>
                <w:sz w:val="17"/>
              </w:rPr>
              <w:t>J+10  ⭐</w:t>
            </w:r>
          </w:p>
        </w:tc>
        <w:tc>
          <w:tcPr>
            <w:tcW w:type="dxa" w:w="1440"/>
            <w:shd w:fill="FFDCE0" w:val="clear"/>
          </w:tcPr>
          <w:p>
            <w:r>
              <w:rPr>
                <w:sz w:val="17"/>
              </w:rPr>
              <w:t>2026-08-27</w:t>
            </w:r>
          </w:p>
        </w:tc>
        <w:tc>
          <w:tcPr>
            <w:tcW w:type="dxa" w:w="1440"/>
            <w:shd w:fill="FFDCE0" w:val="clear"/>
          </w:tcPr>
          <w:p>
            <w:r>
              <w:rPr>
                <w:sz w:val="17"/>
              </w:rPr>
              <w:t>1,354</w:t>
            </w:r>
          </w:p>
        </w:tc>
        <w:tc>
          <w:tcPr>
            <w:tcW w:type="dxa" w:w="1440"/>
            <w:shd w:fill="FFDCE0" w:val="clear"/>
          </w:tcPr>
          <w:p>
            <w:r>
              <w:rPr>
                <w:b/>
                <w:sz w:val="17"/>
              </w:rPr>
              <w:t>1,612</w:t>
            </w:r>
          </w:p>
        </w:tc>
        <w:tc>
          <w:tcPr>
            <w:tcW w:type="dxa" w:w="1440"/>
            <w:shd w:fill="FFDCE0" w:val="clear"/>
          </w:tcPr>
          <w:p>
            <w:r>
              <w:rPr>
                <w:sz w:val="17"/>
              </w:rPr>
              <w:t>1,870</w:t>
            </w:r>
          </w:p>
        </w:tc>
        <w:tc>
          <w:tcPr>
            <w:tcW w:type="dxa" w:w="1440"/>
            <w:shd w:fill="FFDCE0" w:val="clear"/>
          </w:tcPr>
          <w:p>
            <w:r>
              <w:rPr>
                <w:b/>
                <w:color w:val="C00000"/>
                <w:sz w:val="17"/>
              </w:rPr>
              <w:t>-39.4%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 CI)**</w:t>
        <w:br/>
        <w:t>**Date : 12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35,75 milliards FCFA, un niveau qui la positionne parmi les valeurs moyennes de la cote, mais qui apparaît considérablement surévalué au regard des fondamentaux actuels. Le BPA est négatif à -7 FCFA, ce qui rend le PER non significatif (-370,2x) et traduit l'incapacité de la société à générer des bénéfices pour ses actionnaires. Le P/B de 100,21x est extrêmement élevé, indiquant que le marché valorise l'action à plus de 100 fois sa valeur comptable, une prime totalement injustifiée pour une entreprise en perte. En l'absence d'EBITDA positif, le ratio EV/EBITDA ne peut être calculé, confirmant la déconnexion entre la valorisation boursière et la réalité opérationnelle. Ces ratios signalent une surévaluation flagrante par rapport aux références du marché BRVM (PER moyen de 8-12x).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STAC affiche une variation totale nulle (+0,00%), mais la dernière séance enregistre une hausse de +1,14% à 2 660 FCFA. Le titre a évolué dans une fourchette très large, entre un plus bas de 2 285 FCFA et un plus haut de 3 895 FCFA, illustrant une volatilité extrême. La moyenne du cours sur la période est de 3 025 FCFA, légèrement supérieure à la médiane de 2 990 FCFA, avec un mode à 3 000 FCFA, indiquant une distribution relativement symétrique (skewness de 0,172). L'écart-type de 357 FCFA (CV = 11,8%) montre une dispersion modérée, tandis que le kurtosis de -0,685 (mésokurtique) suggère une distribution proche de la normale, sans risque de pics extrêmes. La volatilité annualisée de 70,6% est extrêmement élevée, bien au-dessus du seuil de 30%, reflétant un titre très spéculatif et risqué.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2 660 FCFA se situe nettement sous la MM20 (2 876,75 FCFA) et la MM50 (3 151,2 FCFA), confirmant une tendance baissière à court et moyen terme. La décision de Vente est justifiée par cette configuration baissière, le prix évoluant sous ses moyennes mobiles clés.</w:t>
      </w:r>
    </w:p>
    <w:p>
      <w:pPr>
        <w:spacing w:after="120" w:line="276" w:lineRule="auto"/>
      </w:pPr>
      <w:r>
        <w:t>**Bandes de Bollinger** : Le cours se positionne dans la moitié inférieure des bandes, entre la borne inférieure (2 463,25 FCFA) et la moyenne, proche de la borne basse. La décision Neutre s'explique par le fait que le prix n'a pas encore atteint les extrêmes, mais la pression vendeuse reste présente avec une volatilité élevée.</w:t>
      </w:r>
    </w:p>
    <w:p>
      <w:pPr>
        <w:spacing w:after="120" w:line="276" w:lineRule="auto"/>
      </w:pPr>
      <w:r>
        <w:t>**MACD** : Le MACD (-148,512) est inférieur à son signal (-134,442), indiquant un momentum baissier persistant. La décision de Vente est confirmée par cette divergence négative, suggérant une poursuite probable de la baisse à court terme.</w:t>
      </w:r>
    </w:p>
    <w:p>
      <w:pPr>
        <w:spacing w:after="120" w:line="276" w:lineRule="auto"/>
      </w:pPr>
      <w:r>
        <w:t>**RSI** : À 33,663, le RSI se situe en zone neutre, proche du seuil de survente (30). La décision Neutre reflète une absence de signal fort, mais une possible stabilisation pourrait émerger si le RSI rebondit depuis ces niveaux.</w:t>
      </w:r>
    </w:p>
    <w:p>
      <w:pPr>
        <w:spacing w:after="120" w:line="276" w:lineRule="auto"/>
      </w:pPr>
      <w:r>
        <w:t>**Stochastique** : Le %K (8,108) et le %D (2,703) sont en zone de survente profonde, avec un croisement haussier potentiel. La décision d'Achat suggère un possible rebond technique à très court terme, mais ce signal est fragile dans un contexte baissier global.</w:t>
      </w:r>
    </w:p>
    <w:p>
      <w:pPr>
        <w:spacing w:after="120" w:line="276" w:lineRule="auto"/>
      </w:pPr>
      <w:r>
        <w:t>**Conclusion technique** : Les indicateurs sont majoritairement baissiers (MM, MACD), avec des signaux de survente (Stochastique, RSI proche de 30). La configuration technique reste fragile, avec un biais vendeur dominant, malgré des signaux de rebond technique possibles à très court terme.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révèlent une situation financière très dégradée : le chiffre d'affaires s'établit à 3,878 milliards FCFA, mais le résultat net est une perte de -96,56 millions FCFA, avec une marge nette de -2,49% et une marge opérationnelle de -19,90%. Le ROE est profondément négatif à -27,07%, et le ROA à -1,77%, illustrant une rentabilité inexistante. La structure financière est précaire avec des capitaux propres de seulement 356,75 millions FCFA (autonomie financière de 6,55%), un endettement massif (dettes totales de 5,09 milliards FCFA) et une trésorerie nette positive de 1,33 milliard FCFA. Le BFR négatif de -930,47 millions FCFA est un point positif, indiquant une gestion efficace du cycle d'exploitation. **Les rapports trimestriels 2025** montrent une reprise d'activité : le CA du S1 2025 atteint 2,271 milliards FCFA (+290% vs S1 2024), et le cumul 9 mois 2025 s'établit à 3,456 milliards FCFA (+176%), porté par le chantier de l'aéroport d'Abidjan. Cependant, la perte nette cumulée sur 9 mois reste de -477 millions FCFA, bien que réduite de 22%. **En 2024**, le CA s'était effondré à 1,793 milliard FCFA (-80,6% vs 2023), avec une perte de -348 millions FCFA. La société traverse une phase critique, avec une amélioration opérationnelle récente mais une rentabilité encore lointaine.</w:t>
      </w:r>
    </w:p>
    <w:p>
      <w:pPr>
        <w:spacing w:after="120" w:line="276" w:lineRule="auto"/>
      </w:pPr>
      <w:r>
        <w:t>---</w:t>
      </w:r>
    </w:p>
    <w:p>
      <w:pPr>
        <w:spacing w:after="120" w:line="276" w:lineRule="auto"/>
      </w:pPr>
      <w:r>
        <w:t>### PARTIE 4 : CONCLUSION D'INVESTISSEMENT</w:t>
      </w:r>
    </w:p>
    <w:p>
      <w:pPr>
        <w:spacing w:after="120" w:line="276" w:lineRule="auto"/>
      </w:pPr>
      <w:r>
        <w:t>La valorisation de STAC est extrêmement surévaluée (P/B de 100x, PER négatif), reflétant une déconnexion totale avec les fondamentaux. Le comportement du cours montre une volatilité excessive (70,6% annualisée) et une tendance baissière, malgré une stabilisation récente. Les signaux techniques sont majoritairement baissiers (MM, MACD), avec des signaux de survente (Stochastique) pouvant générer un rebond technique temporaire. Les fondamentaux sont très fragiles : pertes récurrentes, capitaux propres minimes, mais une reprise d'activité notable en 2025 portée par l'aéroport d'Abidjan. Les prédictions IA (2 509 FCFA à J+1, 1 959 FCFA à J+10) confirment une trajectoire baissière, en ligne avec les signaux techniques. La convergence des signaux (valorisation, technique, prédictions) est clairement négative, malgré une amélioration opérationnelle timide. **Recommandation : VENTE FORTE** avec un niveau de confiance Élevé, un risque global Élevé, et un horizon d'investissement optimal à court terme (&lt;3 mois) pour les positions existantes. Les investisseurs devraient éviter toute nouvelle position et surveiller les prochains rapports trimestriels pour détecter un éventuel retournement fondamental.</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421.94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3,447 titres</w:t>
            </w:r>
          </w:p>
        </w:tc>
        <w:tc>
          <w:tcPr>
            <w:tcW w:type="dxa" w:w="2268"/>
            <w:shd w:fill="FFF2CC" w:val="clear"/>
          </w:tcPr>
          <w:p>
            <w:r>
              <w:rPr>
                <w:b/>
                <w:color w:val="503200"/>
                <w:sz w:val="16"/>
              </w:rPr>
              <w:t xml:space="preserve">Cours actuel : </w:t>
            </w:r>
            <w:r>
              <w:rPr>
                <w:color w:val="000000"/>
                <w:sz w:val="17"/>
              </w:rPr>
              <w:t>23,500 FCFA</w:t>
            </w:r>
          </w:p>
          <w:p>
            <w:r>
              <w:rPr>
                <w:b/>
                <w:color w:val="503200"/>
                <w:sz w:val="16"/>
              </w:rPr>
              <w:t xml:space="preserve">Var. 100 jours : </w:t>
            </w:r>
            <w:r>
              <w:rPr>
                <w:b/>
                <w:color w:val="007800"/>
                <w:sz w:val="17"/>
              </w:rPr>
              <w:t>+8.32%</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6.15% (Moyenne) — μ=22,173 FCFA, σ=1,364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β=0.1050 (Défensif) — Cov=0.000004, Var(idx)=0.000036, ρ=0.032,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2026-08-13</w:t>
            </w:r>
          </w:p>
        </w:tc>
        <w:tc>
          <w:tcPr>
            <w:tcW w:type="dxa" w:w="1440"/>
            <w:shd w:fill="C6EFCE" w:val="clear"/>
          </w:tcPr>
          <w:p>
            <w:r>
              <w:rPr>
                <w:sz w:val="17"/>
              </w:rPr>
              <w:t>23,086</w:t>
            </w:r>
          </w:p>
        </w:tc>
        <w:tc>
          <w:tcPr>
            <w:tcW w:type="dxa" w:w="1440"/>
            <w:shd w:fill="C6EFCE" w:val="clear"/>
          </w:tcPr>
          <w:p>
            <w:r>
              <w:rPr>
                <w:b/>
                <w:sz w:val="17"/>
              </w:rPr>
              <w:t>24,100</w:t>
            </w:r>
          </w:p>
        </w:tc>
        <w:tc>
          <w:tcPr>
            <w:tcW w:type="dxa" w:w="1440"/>
            <w:shd w:fill="C6EFCE" w:val="clear"/>
          </w:tcPr>
          <w:p>
            <w:r>
              <w:rPr>
                <w:sz w:val="17"/>
              </w:rPr>
              <w:t>25,113</w:t>
            </w:r>
          </w:p>
        </w:tc>
        <w:tc>
          <w:tcPr>
            <w:tcW w:type="dxa" w:w="1440"/>
            <w:shd w:fill="C6EFCE" w:val="clear"/>
          </w:tcPr>
          <w:p>
            <w:r>
              <w:rPr>
                <w:b/>
                <w:color w:val="008000"/>
                <w:sz w:val="17"/>
              </w:rPr>
              <w:t>+2.6%</w:t>
            </w:r>
          </w:p>
        </w:tc>
      </w:tr>
      <w:tr>
        <w:tc>
          <w:tcPr>
            <w:tcW w:type="dxa" w:w="1440"/>
            <w:shd w:fill="C6EFCE" w:val="clear"/>
          </w:tcPr>
          <w:p>
            <w:r>
              <w:rPr>
                <w:sz w:val="17"/>
              </w:rPr>
              <w:t>J+2  ⭐</w:t>
            </w:r>
          </w:p>
        </w:tc>
        <w:tc>
          <w:tcPr>
            <w:tcW w:type="dxa" w:w="1440"/>
            <w:shd w:fill="C6EFCE" w:val="clear"/>
          </w:tcPr>
          <w:p>
            <w:r>
              <w:rPr>
                <w:sz w:val="17"/>
              </w:rPr>
              <w:t>2026-08-14</w:t>
            </w:r>
          </w:p>
        </w:tc>
        <w:tc>
          <w:tcPr>
            <w:tcW w:type="dxa" w:w="1440"/>
            <w:shd w:fill="C6EFCE" w:val="clear"/>
          </w:tcPr>
          <w:p>
            <w:r>
              <w:rPr>
                <w:sz w:val="17"/>
              </w:rPr>
              <w:t>22,812</w:t>
            </w:r>
          </w:p>
        </w:tc>
        <w:tc>
          <w:tcPr>
            <w:tcW w:type="dxa" w:w="1440"/>
            <w:shd w:fill="C6EFCE" w:val="clear"/>
          </w:tcPr>
          <w:p>
            <w:r>
              <w:rPr>
                <w:b/>
                <w:sz w:val="17"/>
              </w:rPr>
              <w:t>24,253</w:t>
            </w:r>
          </w:p>
        </w:tc>
        <w:tc>
          <w:tcPr>
            <w:tcW w:type="dxa" w:w="1440"/>
            <w:shd w:fill="C6EFCE" w:val="clear"/>
          </w:tcPr>
          <w:p>
            <w:r>
              <w:rPr>
                <w:sz w:val="17"/>
              </w:rPr>
              <w:t>25,695</w:t>
            </w:r>
          </w:p>
        </w:tc>
        <w:tc>
          <w:tcPr>
            <w:tcW w:type="dxa" w:w="1440"/>
            <w:shd w:fill="C6EFCE" w:val="clear"/>
          </w:tcPr>
          <w:p>
            <w:r>
              <w:rPr>
                <w:b/>
                <w:color w:val="008000"/>
                <w:sz w:val="17"/>
              </w:rPr>
              <w:t>+3.2%</w:t>
            </w:r>
          </w:p>
        </w:tc>
      </w:tr>
      <w:tr>
        <w:tc>
          <w:tcPr>
            <w:tcW w:type="dxa" w:w="1440"/>
            <w:shd w:fill="C6EFCE" w:val="clear"/>
          </w:tcPr>
          <w:p>
            <w:r>
              <w:rPr>
                <w:sz w:val="17"/>
              </w:rPr>
              <w:t>J+3  ⭐</w:t>
            </w:r>
          </w:p>
        </w:tc>
        <w:tc>
          <w:tcPr>
            <w:tcW w:type="dxa" w:w="1440"/>
            <w:shd w:fill="C6EFCE" w:val="clear"/>
          </w:tcPr>
          <w:p>
            <w:r>
              <w:rPr>
                <w:sz w:val="17"/>
              </w:rPr>
              <w:t>2026-08-17</w:t>
            </w:r>
          </w:p>
        </w:tc>
        <w:tc>
          <w:tcPr>
            <w:tcW w:type="dxa" w:w="1440"/>
            <w:shd w:fill="C6EFCE" w:val="clear"/>
          </w:tcPr>
          <w:p>
            <w:r>
              <w:rPr>
                <w:sz w:val="17"/>
              </w:rPr>
              <w:t>22,661</w:t>
            </w:r>
          </w:p>
        </w:tc>
        <w:tc>
          <w:tcPr>
            <w:tcW w:type="dxa" w:w="1440"/>
            <w:shd w:fill="C6EFCE" w:val="clear"/>
          </w:tcPr>
          <w:p>
            <w:r>
              <w:rPr>
                <w:b/>
                <w:sz w:val="17"/>
              </w:rPr>
              <w:t>24,440</w:t>
            </w:r>
          </w:p>
        </w:tc>
        <w:tc>
          <w:tcPr>
            <w:tcW w:type="dxa" w:w="1440"/>
            <w:shd w:fill="C6EFCE" w:val="clear"/>
          </w:tcPr>
          <w:p>
            <w:r>
              <w:rPr>
                <w:sz w:val="17"/>
              </w:rPr>
              <w:t>26,220</w:t>
            </w:r>
          </w:p>
        </w:tc>
        <w:tc>
          <w:tcPr>
            <w:tcW w:type="dxa" w:w="1440"/>
            <w:shd w:fill="C6EFCE" w:val="clear"/>
          </w:tcPr>
          <w:p>
            <w:r>
              <w:rPr>
                <w:b/>
                <w:color w:val="008000"/>
                <w:sz w:val="17"/>
              </w:rPr>
              <w:t>+4.0%</w:t>
            </w:r>
          </w:p>
        </w:tc>
      </w:tr>
      <w:tr>
        <w:tc>
          <w:tcPr>
            <w:tcW w:type="dxa" w:w="1440"/>
            <w:shd w:fill="C6EFCE" w:val="clear"/>
          </w:tcPr>
          <w:p>
            <w:r>
              <w:rPr>
                <w:sz w:val="17"/>
              </w:rPr>
              <w:t>J+4  ⭐</w:t>
            </w:r>
          </w:p>
        </w:tc>
        <w:tc>
          <w:tcPr>
            <w:tcW w:type="dxa" w:w="1440"/>
            <w:shd w:fill="C6EFCE" w:val="clear"/>
          </w:tcPr>
          <w:p>
            <w:r>
              <w:rPr>
                <w:sz w:val="17"/>
              </w:rPr>
              <w:t>2026-08-18</w:t>
            </w:r>
          </w:p>
        </w:tc>
        <w:tc>
          <w:tcPr>
            <w:tcW w:type="dxa" w:w="1440"/>
            <w:shd w:fill="C6EFCE" w:val="clear"/>
          </w:tcPr>
          <w:p>
            <w:r>
              <w:rPr>
                <w:sz w:val="17"/>
              </w:rPr>
              <w:t>22,581</w:t>
            </w:r>
          </w:p>
        </w:tc>
        <w:tc>
          <w:tcPr>
            <w:tcW w:type="dxa" w:w="1440"/>
            <w:shd w:fill="C6EFCE" w:val="clear"/>
          </w:tcPr>
          <w:p>
            <w:r>
              <w:rPr>
                <w:b/>
                <w:sz w:val="17"/>
              </w:rPr>
              <w:t>24,653</w:t>
            </w:r>
          </w:p>
        </w:tc>
        <w:tc>
          <w:tcPr>
            <w:tcW w:type="dxa" w:w="1440"/>
            <w:shd w:fill="C6EFCE" w:val="clear"/>
          </w:tcPr>
          <w:p>
            <w:r>
              <w:rPr>
                <w:sz w:val="17"/>
              </w:rPr>
              <w:t>26,726</w:t>
            </w:r>
          </w:p>
        </w:tc>
        <w:tc>
          <w:tcPr>
            <w:tcW w:type="dxa" w:w="1440"/>
            <w:shd w:fill="C6EFCE" w:val="clear"/>
          </w:tcPr>
          <w:p>
            <w:r>
              <w:rPr>
                <w:b/>
                <w:color w:val="008000"/>
                <w:sz w:val="17"/>
              </w:rPr>
              <w:t>+4.9%</w:t>
            </w:r>
          </w:p>
        </w:tc>
      </w:tr>
      <w:tr>
        <w:tc>
          <w:tcPr>
            <w:tcW w:type="dxa" w:w="1440"/>
            <w:shd w:fill="C6EFCE" w:val="clear"/>
          </w:tcPr>
          <w:p>
            <w:r>
              <w:rPr>
                <w:sz w:val="17"/>
              </w:rPr>
              <w:t>J+5  ⭐</w:t>
            </w:r>
          </w:p>
        </w:tc>
        <w:tc>
          <w:tcPr>
            <w:tcW w:type="dxa" w:w="1440"/>
            <w:shd w:fill="C6EFCE" w:val="clear"/>
          </w:tcPr>
          <w:p>
            <w:r>
              <w:rPr>
                <w:sz w:val="17"/>
              </w:rPr>
              <w:t>2026-08-19</w:t>
            </w:r>
          </w:p>
        </w:tc>
        <w:tc>
          <w:tcPr>
            <w:tcW w:type="dxa" w:w="1440"/>
            <w:shd w:fill="C6EFCE" w:val="clear"/>
          </w:tcPr>
          <w:p>
            <w:r>
              <w:rPr>
                <w:sz w:val="17"/>
              </w:rPr>
              <w:t>22,535</w:t>
            </w:r>
          </w:p>
        </w:tc>
        <w:tc>
          <w:tcPr>
            <w:tcW w:type="dxa" w:w="1440"/>
            <w:shd w:fill="C6EFCE" w:val="clear"/>
          </w:tcPr>
          <w:p>
            <w:r>
              <w:rPr>
                <w:b/>
                <w:sz w:val="17"/>
              </w:rPr>
              <w:t>24,873</w:t>
            </w:r>
          </w:p>
        </w:tc>
        <w:tc>
          <w:tcPr>
            <w:tcW w:type="dxa" w:w="1440"/>
            <w:shd w:fill="C6EFCE" w:val="clear"/>
          </w:tcPr>
          <w:p>
            <w:r>
              <w:rPr>
                <w:sz w:val="17"/>
              </w:rPr>
              <w:t>27,211</w:t>
            </w:r>
          </w:p>
        </w:tc>
        <w:tc>
          <w:tcPr>
            <w:tcW w:type="dxa" w:w="1440"/>
            <w:shd w:fill="C6EFCE" w:val="clear"/>
          </w:tcPr>
          <w:p>
            <w:r>
              <w:rPr>
                <w:b/>
                <w:color w:val="008000"/>
                <w:sz w:val="17"/>
              </w:rPr>
              <w:t>+5.8%</w:t>
            </w:r>
          </w:p>
        </w:tc>
      </w:tr>
      <w:tr>
        <w:tc>
          <w:tcPr>
            <w:tcW w:type="dxa" w:w="1440"/>
            <w:shd w:fill="C6EFCE" w:val="clear"/>
          </w:tcPr>
          <w:p>
            <w:r>
              <w:rPr>
                <w:sz w:val="17"/>
              </w:rPr>
              <w:t>J+6  ⭐</w:t>
            </w:r>
          </w:p>
        </w:tc>
        <w:tc>
          <w:tcPr>
            <w:tcW w:type="dxa" w:w="1440"/>
            <w:shd w:fill="C6EFCE" w:val="clear"/>
          </w:tcPr>
          <w:p>
            <w:r>
              <w:rPr>
                <w:sz w:val="17"/>
              </w:rPr>
              <w:t>2026-08-20</w:t>
            </w:r>
          </w:p>
        </w:tc>
        <w:tc>
          <w:tcPr>
            <w:tcW w:type="dxa" w:w="1440"/>
            <w:shd w:fill="C6EFCE" w:val="clear"/>
          </w:tcPr>
          <w:p>
            <w:r>
              <w:rPr>
                <w:sz w:val="17"/>
              </w:rPr>
              <w:t>22,512</w:t>
            </w:r>
          </w:p>
        </w:tc>
        <w:tc>
          <w:tcPr>
            <w:tcW w:type="dxa" w:w="1440"/>
            <w:shd w:fill="C6EFCE" w:val="clear"/>
          </w:tcPr>
          <w:p>
            <w:r>
              <w:rPr>
                <w:b/>
                <w:sz w:val="17"/>
              </w:rPr>
              <w:t>25,096</w:t>
            </w:r>
          </w:p>
        </w:tc>
        <w:tc>
          <w:tcPr>
            <w:tcW w:type="dxa" w:w="1440"/>
            <w:shd w:fill="C6EFCE" w:val="clear"/>
          </w:tcPr>
          <w:p>
            <w:r>
              <w:rPr>
                <w:sz w:val="17"/>
              </w:rPr>
              <w:t>27,680</w:t>
            </w:r>
          </w:p>
        </w:tc>
        <w:tc>
          <w:tcPr>
            <w:tcW w:type="dxa" w:w="1440"/>
            <w:shd w:fill="C6EFCE" w:val="clear"/>
          </w:tcPr>
          <w:p>
            <w:r>
              <w:rPr>
                <w:b/>
                <w:color w:val="008000"/>
                <w:sz w:val="17"/>
              </w:rPr>
              <w:t>+6.8%</w:t>
            </w:r>
          </w:p>
        </w:tc>
      </w:tr>
      <w:tr>
        <w:tc>
          <w:tcPr>
            <w:tcW w:type="dxa" w:w="1440"/>
            <w:shd w:fill="C6EFCE" w:val="clear"/>
          </w:tcPr>
          <w:p>
            <w:r>
              <w:rPr>
                <w:sz w:val="17"/>
              </w:rPr>
              <w:t>J+7  ⭐</w:t>
            </w:r>
          </w:p>
        </w:tc>
        <w:tc>
          <w:tcPr>
            <w:tcW w:type="dxa" w:w="1440"/>
            <w:shd w:fill="C6EFCE" w:val="clear"/>
          </w:tcPr>
          <w:p>
            <w:r>
              <w:rPr>
                <w:sz w:val="17"/>
              </w:rPr>
              <w:t>2026-08-21</w:t>
            </w:r>
          </w:p>
        </w:tc>
        <w:tc>
          <w:tcPr>
            <w:tcW w:type="dxa" w:w="1440"/>
            <w:shd w:fill="C6EFCE" w:val="clear"/>
          </w:tcPr>
          <w:p>
            <w:r>
              <w:rPr>
                <w:sz w:val="17"/>
              </w:rPr>
              <w:t>22,504</w:t>
            </w:r>
          </w:p>
        </w:tc>
        <w:tc>
          <w:tcPr>
            <w:tcW w:type="dxa" w:w="1440"/>
            <w:shd w:fill="C6EFCE" w:val="clear"/>
          </w:tcPr>
          <w:p>
            <w:r>
              <w:rPr>
                <w:b/>
                <w:sz w:val="17"/>
              </w:rPr>
              <w:t>25,320</w:t>
            </w:r>
          </w:p>
        </w:tc>
        <w:tc>
          <w:tcPr>
            <w:tcW w:type="dxa" w:w="1440"/>
            <w:shd w:fill="C6EFCE" w:val="clear"/>
          </w:tcPr>
          <w:p>
            <w:r>
              <w:rPr>
                <w:sz w:val="17"/>
              </w:rPr>
              <w:t>28,136</w:t>
            </w:r>
          </w:p>
        </w:tc>
        <w:tc>
          <w:tcPr>
            <w:tcW w:type="dxa" w:w="1440"/>
            <w:shd w:fill="C6EFCE" w:val="clear"/>
          </w:tcPr>
          <w:p>
            <w:r>
              <w:rPr>
                <w:b/>
                <w:color w:val="008000"/>
                <w:sz w:val="17"/>
              </w:rPr>
              <w:t>+7.7%</w:t>
            </w:r>
          </w:p>
        </w:tc>
      </w:tr>
      <w:tr>
        <w:tc>
          <w:tcPr>
            <w:tcW w:type="dxa" w:w="1440"/>
            <w:shd w:fill="C6EFCE" w:val="clear"/>
          </w:tcPr>
          <w:p>
            <w:r>
              <w:rPr>
                <w:sz w:val="17"/>
              </w:rPr>
              <w:t>J+8  ⭐</w:t>
            </w:r>
          </w:p>
        </w:tc>
        <w:tc>
          <w:tcPr>
            <w:tcW w:type="dxa" w:w="1440"/>
            <w:shd w:fill="C6EFCE" w:val="clear"/>
          </w:tcPr>
          <w:p>
            <w:r>
              <w:rPr>
                <w:sz w:val="17"/>
              </w:rPr>
              <w:t>2026-08-24</w:t>
            </w:r>
          </w:p>
        </w:tc>
        <w:tc>
          <w:tcPr>
            <w:tcW w:type="dxa" w:w="1440"/>
            <w:shd w:fill="C6EFCE" w:val="clear"/>
          </w:tcPr>
          <w:p>
            <w:r>
              <w:rPr>
                <w:sz w:val="17"/>
              </w:rPr>
              <w:t>22,513</w:t>
            </w:r>
          </w:p>
        </w:tc>
        <w:tc>
          <w:tcPr>
            <w:tcW w:type="dxa" w:w="1440"/>
            <w:shd w:fill="C6EFCE" w:val="clear"/>
          </w:tcPr>
          <w:p>
            <w:r>
              <w:rPr>
                <w:b/>
                <w:sz w:val="17"/>
              </w:rPr>
              <w:t>25,551</w:t>
            </w:r>
          </w:p>
        </w:tc>
        <w:tc>
          <w:tcPr>
            <w:tcW w:type="dxa" w:w="1440"/>
            <w:shd w:fill="C6EFCE" w:val="clear"/>
          </w:tcPr>
          <w:p>
            <w:r>
              <w:rPr>
                <w:sz w:val="17"/>
              </w:rPr>
              <w:t>28,589</w:t>
            </w:r>
          </w:p>
        </w:tc>
        <w:tc>
          <w:tcPr>
            <w:tcW w:type="dxa" w:w="1440"/>
            <w:shd w:fill="C6EFCE" w:val="clear"/>
          </w:tcPr>
          <w:p>
            <w:r>
              <w:rPr>
                <w:b/>
                <w:color w:val="008000"/>
                <w:sz w:val="17"/>
              </w:rPr>
              <w:t>+8.7%</w:t>
            </w:r>
          </w:p>
        </w:tc>
      </w:tr>
      <w:tr>
        <w:tc>
          <w:tcPr>
            <w:tcW w:type="dxa" w:w="1440"/>
            <w:shd w:fill="C6EFCE" w:val="clear"/>
          </w:tcPr>
          <w:p>
            <w:r>
              <w:rPr>
                <w:sz w:val="17"/>
              </w:rPr>
              <w:t>J+9  ⭐</w:t>
            </w:r>
          </w:p>
        </w:tc>
        <w:tc>
          <w:tcPr>
            <w:tcW w:type="dxa" w:w="1440"/>
            <w:shd w:fill="C6EFCE" w:val="clear"/>
          </w:tcPr>
          <w:p>
            <w:r>
              <w:rPr>
                <w:sz w:val="17"/>
              </w:rPr>
              <w:t>2026-08-25</w:t>
            </w:r>
          </w:p>
        </w:tc>
        <w:tc>
          <w:tcPr>
            <w:tcW w:type="dxa" w:w="1440"/>
            <w:shd w:fill="C6EFCE" w:val="clear"/>
          </w:tcPr>
          <w:p>
            <w:r>
              <w:rPr>
                <w:sz w:val="17"/>
              </w:rPr>
              <w:t>22,540</w:t>
            </w:r>
          </w:p>
        </w:tc>
        <w:tc>
          <w:tcPr>
            <w:tcW w:type="dxa" w:w="1440"/>
            <w:shd w:fill="C6EFCE" w:val="clear"/>
          </w:tcPr>
          <w:p>
            <w:r>
              <w:rPr>
                <w:b/>
                <w:sz w:val="17"/>
              </w:rPr>
              <w:t>25,793</w:t>
            </w:r>
          </w:p>
        </w:tc>
        <w:tc>
          <w:tcPr>
            <w:tcW w:type="dxa" w:w="1440"/>
            <w:shd w:fill="C6EFCE" w:val="clear"/>
          </w:tcPr>
          <w:p>
            <w:r>
              <w:rPr>
                <w:sz w:val="17"/>
              </w:rPr>
              <w:t>29,046</w:t>
            </w:r>
          </w:p>
        </w:tc>
        <w:tc>
          <w:tcPr>
            <w:tcW w:type="dxa" w:w="1440"/>
            <w:shd w:fill="C6EFCE" w:val="clear"/>
          </w:tcPr>
          <w:p>
            <w:r>
              <w:rPr>
                <w:b/>
                <w:color w:val="008000"/>
                <w:sz w:val="17"/>
              </w:rPr>
              <w:t>+9.8%</w:t>
            </w:r>
          </w:p>
        </w:tc>
      </w:tr>
      <w:tr>
        <w:tc>
          <w:tcPr>
            <w:tcW w:type="dxa" w:w="1440"/>
            <w:shd w:fill="C6EFCE" w:val="clear"/>
          </w:tcPr>
          <w:p>
            <w:r>
              <w:rPr>
                <w:sz w:val="17"/>
              </w:rPr>
              <w:t>J+10  ⭐</w:t>
            </w:r>
          </w:p>
        </w:tc>
        <w:tc>
          <w:tcPr>
            <w:tcW w:type="dxa" w:w="1440"/>
            <w:shd w:fill="C6EFCE" w:val="clear"/>
          </w:tcPr>
          <w:p>
            <w:r>
              <w:rPr>
                <w:sz w:val="17"/>
              </w:rPr>
              <w:t>2026-08-27</w:t>
            </w:r>
          </w:p>
        </w:tc>
        <w:tc>
          <w:tcPr>
            <w:tcW w:type="dxa" w:w="1440"/>
            <w:shd w:fill="C6EFCE" w:val="clear"/>
          </w:tcPr>
          <w:p>
            <w:r>
              <w:rPr>
                <w:sz w:val="17"/>
              </w:rPr>
              <w:t>22,575</w:t>
            </w:r>
          </w:p>
        </w:tc>
        <w:tc>
          <w:tcPr>
            <w:tcW w:type="dxa" w:w="1440"/>
            <w:shd w:fill="C6EFCE" w:val="clear"/>
          </w:tcPr>
          <w:p>
            <w:r>
              <w:rPr>
                <w:b/>
                <w:sz w:val="17"/>
              </w:rPr>
              <w:t>26,036</w:t>
            </w:r>
          </w:p>
        </w:tc>
        <w:tc>
          <w:tcPr>
            <w:tcW w:type="dxa" w:w="1440"/>
            <w:shd w:fill="C6EFCE" w:val="clear"/>
          </w:tcPr>
          <w:p>
            <w:r>
              <w:rPr>
                <w:sz w:val="17"/>
              </w:rPr>
              <w:t>29,498</w:t>
            </w:r>
          </w:p>
        </w:tc>
        <w:tc>
          <w:tcPr>
            <w:tcW w:type="dxa" w:w="1440"/>
            <w:shd w:fill="C6EFCE" w:val="clear"/>
          </w:tcPr>
          <w:p>
            <w:r>
              <w:rPr>
                <w:b/>
                <w:color w:val="008000"/>
                <w:sz w:val="17"/>
              </w:rPr>
              <w:t>+10.8%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STBC s'établit à 421,94 milliards FCFA, ce qui en fait une valeur de première ligne sur la BRVM, reflétant la confiance des investisseurs dans ce leader du secteur du tabac en Afrique de l'Ouest. Avec un BPA de 2 014 FCFA, chaque action génère un bénéfice substantiel, justifiant un PER de 11,7x, légèrement au-dessus de la moyenne historique de la BRVM (8-12x), ce qui indique une valorisation raisonnable, les investisseurs acceptant de payer un léger premium pour la qualité de l'actif. Cependant, le P/B de 9,31x est particulièrement exigeant, le marché valorisant fortement l'actif net de la société, ce qui reflète une prime de rentabilité élevée. Enfin, l'EV/EBITDA de 8,4x, dans la fourchette raisonnable de 5-10x, suggère que la valeur totale de l'entreprise par rapport à sa capacité opérationnelle est correctement évaluée, sans excès majeur.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STBC affiche une progression de +8,32%, avec une accélération notable lors de la dernière séance (+1,75%), portant le cours à 23 500 FCFA. Le titre a évolué dans une fourchette de 19 705 FCFA (plus bas) à 25 000 FCFA (plus haut), démontrant une amplitude de trading significative de plus de 26%. La moyenne du cours sur la période (22 173 FCFA) est supérieure à la médiane (21 895 FCFA), et l'écart positif avec le mode (21 000 FCFA) indique une distribution asymétrique positive (skewness de 0.518), suggérant que le titre a passé plus de journées sous sa moyenne mais avec des pics haussiers marqués. L'écart-type de 1 371 FCFA (CV de 6,2%) témoigne d'une dispersion modérée autour de la moyenne, tandis que le kurtosis de -0.801 (mésokurtique) indique un profil de risque proche d'une distribution normale, sans risque de pics extrêmes. La volatilité annualisée de 31,0% classe le titre dans la catégorie élevée (&gt;30%), ce qui implique des fluctuations de prix importantes à prévoir.</w:t>
      </w:r>
    </w:p>
    <w:p>
      <w:pPr>
        <w:spacing w:after="120" w:line="276" w:lineRule="auto" w:before="240"/>
      </w:pPr>
      <w:r>
        <w:rPr>
          <w:b/>
          <w:color w:val="003366"/>
          <w:sz w:val="24"/>
        </w:rPr>
        <w:t>**PARTIE 2 : ANALYSE TECHNIQUE DÉTAILLÉE**</w:t>
      </w:r>
    </w:p>
    <w:p>
      <w:pPr>
        <w:spacing w:after="120" w:line="276" w:lineRule="auto"/>
      </w:pPr>
      <w:r>
        <w:t>**Moyennes Mobiles** : Le cours actuel de 23 500 FCFA se positionne au-dessus de la MM20 (23 574,75 FCFA) et de la MM50 (23 258,9 FCFA), avec une MM20 supérieure à la MM50, configuration typique d'une tendance haussière à court et moyen terme. La décision d'achat est justifiée par cette structure positive, le prix évoluant dans une dynamique ascendante soutenue par les moyennes mobiles.</w:t>
      </w:r>
    </w:p>
    <w:p>
      <w:pPr>
        <w:spacing w:after="120" w:line="276" w:lineRule="auto"/>
      </w:pPr>
      <w:r>
        <w:t>**Bandes de Bollinger** : Le prix se situe à 23 500 FCFA, entre la borne inférieure (22 106,817 FCFA) et la borne supérieure (25 042,683 FCFA), plus proche de la borne supérieure, indiquant une pression acheteuse modérée. La décision neutre s'explique par le fait que le cours n'a pas encore atteint les extrêmes des bandes, laissant une marge de manœuvre avant une éventuelle zone de surachat ou de survente.</w:t>
      </w:r>
    </w:p>
    <w:p>
      <w:pPr>
        <w:spacing w:after="120" w:line="276" w:lineRule="auto"/>
      </w:pPr>
      <w:r>
        <w:t>**MACD** : La valeur du MACD (212,807) est inférieure à son signal (225,129), générant une décision de vente. Cette configuration suggère un ralentissement du momentum haussier à court terme, les deux lignes étant toutefois proches, ce qui pourrait indiquer une consolidation avant une éventuelle reprise ou une poursuite de la correction.</w:t>
      </w:r>
    </w:p>
    <w:p>
      <w:pPr>
        <w:spacing w:after="120" w:line="276" w:lineRule="auto"/>
      </w:pPr>
      <w:r>
        <w:t>**RSI** : Le RSI est exactement à 50,0, une position parfaitement neutre qui indique un équilibre entre les forces acheteuses et vendeuses. Cette valeur ne signale ni surachat (&gt;70) ni survente (&lt;30), laissant le champ libre à une évolution dans les deux sens sans contrainte technique majeure.</w:t>
      </w:r>
    </w:p>
    <w:p>
      <w:pPr>
        <w:spacing w:after="120" w:line="276" w:lineRule="auto"/>
      </w:pPr>
      <w:r>
        <w:t>**Stochastique** : Le %K (25,187) est inférieur au %D (43,392), suggérant une dynamique baissière à court terme, bien que le %K soit en zone de survente relative (&lt;30). La décision neutre reflète l'absence de croisement haussier confirmé, mais la proximité de la zone de survente pourrait précéder un rebond technique.</w:t>
      </w:r>
    </w:p>
    <w:p>
      <w:pPr>
        <w:spacing w:after="120" w:line="276" w:lineRule="auto"/>
      </w:pPr>
      <w:r>
        <w:t>**Conclusion technique** : Les indicateurs sont globalement mitigés, avec une tendance de fond haussière (MM) mais un momentum à court terme en perte de vitesse (MACD, Stochastique). Le RSI neutre et les bandes de Bollinger sans extrême suggèrent une phase de consolidation. La prudence est de mise, mais la structure des moyennes mobiles reste le signal le plus fiable pour une orientation positive à moyen terme.</w:t>
      </w:r>
    </w:p>
    <w:p>
      <w:pPr>
        <w:spacing w:after="120" w:line="276" w:lineRule="auto" w:before="240"/>
      </w:pPr>
      <w:r>
        <w:rPr>
          <w:b/>
          <w:color w:val="003366"/>
          <w:sz w:val="24"/>
        </w:rPr>
        <w:t>**PARTIE 3 : ANALYSE FONDAMENTALE (SECTION CRITIQUE)**</w:t>
      </w:r>
    </w:p>
    <w:p>
      <w:pPr>
        <w:spacing w:after="120" w:line="276" w:lineRule="auto"/>
      </w:pPr>
      <w:r>
        <w:t>En 2025, la STBC (désormais SITAB) affiche un chiffre d'affaires de 268,537 milliards FCFA, en hausse de 25,3% par rapport à 2024 (213,794 milliards FCFA), selon les données structurées. Le résultat net s'établit à 36,158 milliards FCFA, en baisse de 18,1% par rapport à 2024 (44,174 milliards FCFA), reflétant une pression sur les marges. La marge nette se dégrade à 13,46% (contre 20,7% en 2024), tandis que le ROE reste excellent à 79,75% et le ROA à 48,09%, démontrant une rentabilité exceptionnelle des fonds propres et des actifs. Le BFR est négatif (-5,639 milliards FCFA), ce qui est favorable pour une entreprise, indiquant une gestion efficace du cycle d'exploitation. Les rapports trimestriels 2025 (T1, T3, T4) montrent une tendance contrastée : le T1 2025 a enregistré un résultat net en hausse de +146% à 9,4 milliards FCFA, mais le T4 2025 a subi une chute de -74% à 5,1 milliards FCFA, impacté par la hausse des droits d'accises (49% à 70%) et des charges exceptionnelles. Le rapport T1 2026 (daté de 2026) indique un chiffre d'affaires de 68,8 milliards FCFA (+12%) et un résultat net de 9,3 milliards FCFA (-1%), suggérant une stabilisation. Sur la base de ces éléments, on estime que l'exercice 2026 pourrait voir un chiffre d'affaires autour de 280-290 milliards FCFA, avec un résultat net stable autour de 36-38 milliards FCFA, si la maîtrise des coûts s'améliore. La société reste financièrement solide avec une trésorerie de 30,763 milliards FCFA et une absence quasi totale de dette financière, mais la politique de dividende très généreuse (taux de distribution de 84,9% en 2025) pourrait limiter les capacités de réinvestissement.</w:t>
      </w:r>
    </w:p>
    <w:p>
      <w:pPr>
        <w:spacing w:after="120" w:line="276" w:lineRule="auto" w:before="240"/>
      </w:pPr>
      <w:r>
        <w:rPr>
          <w:b/>
          <w:color w:val="003366"/>
          <w:sz w:val="24"/>
        </w:rPr>
        <w:t>**PARTIE 4 : CONCLUSION D'INVESTISSEMENT**</w:t>
      </w:r>
    </w:p>
    <w:p>
      <w:pPr>
        <w:spacing w:after="120" w:line="276" w:lineRule="auto"/>
      </w:pPr>
      <w:r>
        <w:t>La valorisation de STBC est raisonnable sur le plan du PER (11,7x) et de l'EV/EBITDA (8,4x), mais le P/B de 9,31x indique une prime élevée qui reflète une rentabilité exceptionnelle. Le comportement du cours sur 100 jours montre une tendance haussière (+8,32%) avec une volatilité élevée (31%), mais des statistiques saines (kurtosis mésokurtique, skewness positif). Les signaux techniques sont mitigés : les moyennes mobiles sont haussières, mais le MACD et le stochastique suggèrent un momentum à court terme en perte de vitesse, avec un RSI neutre. Les fondamentaux sont solides avec une croissance du CA de 25,3% en 2025, mais la baisse du résultat net (-18,1%) et la pression fiscale constituent des points de vigilance. Les prédictions IA pour les 10 prochains jours (24 100 à 24 873 FCFA) confirment une trajectoire haussière, en ligne avec la tendance des moyennes mobiles. La convergence entre la valorisation raisonnable, la tendance de fond positive et les prédictions IA, malgré des signaux techniques mitigés, conduit à une recommandation de **CONSERVER** avec un niveau de confiance **Moyen**. Le risque global est **Moyen**, principalement lié à la pression réglementaire et fiscale sur le secteur du tabac. L'horizon d'investissement optimal est le **moyen terme (3-12 mois)**, en attendant une clarification de la maîtrise des coûts et de la politique de dividende.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188.57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8,234 titres</w:t>
            </w:r>
          </w:p>
        </w:tc>
        <w:tc>
          <w:tcPr>
            <w:tcW w:type="dxa" w:w="2268"/>
            <w:shd w:fill="FFF2CC" w:val="clear"/>
          </w:tcPr>
          <w:p>
            <w:r>
              <w:rPr>
                <w:b/>
                <w:color w:val="503200"/>
                <w:sz w:val="16"/>
              </w:rPr>
              <w:t xml:space="preserve">Cours actuel : </w:t>
            </w:r>
            <w:r>
              <w:rPr>
                <w:color w:val="000000"/>
                <w:sz w:val="17"/>
              </w:rPr>
              <w:t>2,995 FCFA</w:t>
            </w:r>
          </w:p>
          <w:p>
            <w:r>
              <w:rPr>
                <w:b/>
                <w:color w:val="503200"/>
                <w:sz w:val="16"/>
              </w:rPr>
              <w:t xml:space="preserve">Var. 100 jours : </w:t>
            </w:r>
            <w:r>
              <w:rPr>
                <w:b/>
                <w:color w:val="007800"/>
                <w:sz w:val="17"/>
              </w:rPr>
              <w:t>+9.31%</w:t>
            </w:r>
          </w:p>
          <w:p>
            <w:r>
              <w:rPr>
                <w:b/>
                <w:color w:val="503200"/>
                <w:sz w:val="16"/>
              </w:rPr>
              <w:t xml:space="preserve">Plus haut 100j : </w:t>
            </w:r>
            <w:r>
              <w:rPr>
                <w:color w:val="000000"/>
                <w:sz w:val="17"/>
              </w:rPr>
              <w:t>3,060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3.35% (Faible) — μ=2,853 FCFA, σ=96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β=-0.1347 (Contre-cyclique) — Cov=-0.000005, Var(idx)=0.000036, ρ=-0.031,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8,234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σ_j=2.60%/j (Stable) — Vol. annualisée≈41.2%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3244"/>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324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2026-08-13</w:t>
            </w:r>
          </w:p>
        </w:tc>
        <w:tc>
          <w:tcPr>
            <w:tcW w:type="dxa" w:w="1440"/>
            <w:shd w:fill="FAFAFA" w:val="clear"/>
          </w:tcPr>
          <w:p>
            <w:r>
              <w:rPr>
                <w:sz w:val="17"/>
              </w:rPr>
              <w:t>2,814</w:t>
            </w:r>
          </w:p>
        </w:tc>
        <w:tc>
          <w:tcPr>
            <w:tcW w:type="dxa" w:w="1440"/>
            <w:shd w:fill="FAFAFA" w:val="clear"/>
          </w:tcPr>
          <w:p>
            <w:r>
              <w:rPr>
                <w:b/>
                <w:sz w:val="17"/>
              </w:rPr>
              <w:t>2,981</w:t>
            </w:r>
          </w:p>
        </w:tc>
        <w:tc>
          <w:tcPr>
            <w:tcW w:type="dxa" w:w="1440"/>
            <w:shd w:fill="FAFAFA" w:val="clear"/>
          </w:tcPr>
          <w:p>
            <w:r>
              <w:rPr>
                <w:sz w:val="17"/>
              </w:rPr>
              <w:t>3,147</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2026-08-14</w:t>
            </w:r>
          </w:p>
        </w:tc>
        <w:tc>
          <w:tcPr>
            <w:tcW w:type="dxa" w:w="1440"/>
            <w:shd w:fill="FAFAFA" w:val="clear"/>
          </w:tcPr>
          <w:p>
            <w:r>
              <w:rPr>
                <w:sz w:val="17"/>
              </w:rPr>
              <w:t>2,739</w:t>
            </w:r>
          </w:p>
        </w:tc>
        <w:tc>
          <w:tcPr>
            <w:tcW w:type="dxa" w:w="1440"/>
            <w:shd w:fill="FAFAFA" w:val="clear"/>
          </w:tcPr>
          <w:p>
            <w:r>
              <w:rPr>
                <w:b/>
                <w:sz w:val="17"/>
              </w:rPr>
              <w:t>2,974</w:t>
            </w:r>
          </w:p>
        </w:tc>
        <w:tc>
          <w:tcPr>
            <w:tcW w:type="dxa" w:w="1440"/>
            <w:shd w:fill="FAFAFA" w:val="clear"/>
          </w:tcPr>
          <w:p>
            <w:r>
              <w:rPr>
                <w:sz w:val="17"/>
              </w:rPr>
              <w:t>3,208</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2026-08-17</w:t>
            </w:r>
          </w:p>
        </w:tc>
        <w:tc>
          <w:tcPr>
            <w:tcW w:type="dxa" w:w="1440"/>
            <w:shd w:fill="FAFAFA" w:val="clear"/>
          </w:tcPr>
          <w:p>
            <w:r>
              <w:rPr>
                <w:sz w:val="17"/>
              </w:rPr>
              <w:t>2,679</w:t>
            </w:r>
          </w:p>
        </w:tc>
        <w:tc>
          <w:tcPr>
            <w:tcW w:type="dxa" w:w="1440"/>
            <w:shd w:fill="FAFAFA" w:val="clear"/>
          </w:tcPr>
          <w:p>
            <w:r>
              <w:rPr>
                <w:b/>
                <w:sz w:val="17"/>
              </w:rPr>
              <w:t>2,966</w:t>
            </w:r>
          </w:p>
        </w:tc>
        <w:tc>
          <w:tcPr>
            <w:tcW w:type="dxa" w:w="1440"/>
            <w:shd w:fill="FAFAFA" w:val="clear"/>
          </w:tcPr>
          <w:p>
            <w:r>
              <w:rPr>
                <w:sz w:val="17"/>
              </w:rPr>
              <w:t>3,252</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2026-08-18</w:t>
            </w:r>
          </w:p>
        </w:tc>
        <w:tc>
          <w:tcPr>
            <w:tcW w:type="dxa" w:w="1440"/>
            <w:shd w:fill="FAFAFA" w:val="clear"/>
          </w:tcPr>
          <w:p>
            <w:r>
              <w:rPr>
                <w:sz w:val="17"/>
              </w:rPr>
              <w:t>2,629</w:t>
            </w:r>
          </w:p>
        </w:tc>
        <w:tc>
          <w:tcPr>
            <w:tcW w:type="dxa" w:w="1440"/>
            <w:shd w:fill="FAFAFA" w:val="clear"/>
          </w:tcPr>
          <w:p>
            <w:r>
              <w:rPr>
                <w:b/>
                <w:sz w:val="17"/>
              </w:rPr>
              <w:t>2,959</w:t>
            </w:r>
          </w:p>
        </w:tc>
        <w:tc>
          <w:tcPr>
            <w:tcW w:type="dxa" w:w="1440"/>
            <w:shd w:fill="FAFAFA" w:val="clear"/>
          </w:tcPr>
          <w:p>
            <w:r>
              <w:rPr>
                <w:sz w:val="17"/>
              </w:rPr>
              <w:t>3,289</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2026-08-19</w:t>
            </w:r>
          </w:p>
        </w:tc>
        <w:tc>
          <w:tcPr>
            <w:tcW w:type="dxa" w:w="1440"/>
            <w:shd w:fill="FAFAFA" w:val="clear"/>
          </w:tcPr>
          <w:p>
            <w:r>
              <w:rPr>
                <w:sz w:val="17"/>
              </w:rPr>
              <w:t>2,584</w:t>
            </w:r>
          </w:p>
        </w:tc>
        <w:tc>
          <w:tcPr>
            <w:tcW w:type="dxa" w:w="1440"/>
            <w:shd w:fill="FAFAFA" w:val="clear"/>
          </w:tcPr>
          <w:p>
            <w:r>
              <w:rPr>
                <w:b/>
                <w:sz w:val="17"/>
              </w:rPr>
              <w:t>2,952</w:t>
            </w:r>
          </w:p>
        </w:tc>
        <w:tc>
          <w:tcPr>
            <w:tcW w:type="dxa" w:w="1440"/>
            <w:shd w:fill="FAFAFA" w:val="clear"/>
          </w:tcPr>
          <w:p>
            <w:r>
              <w:rPr>
                <w:sz w:val="17"/>
              </w:rPr>
              <w:t>3,321</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2026-08-20</w:t>
            </w:r>
          </w:p>
        </w:tc>
        <w:tc>
          <w:tcPr>
            <w:tcW w:type="dxa" w:w="1440"/>
            <w:shd w:fill="FAFAFA" w:val="clear"/>
          </w:tcPr>
          <w:p>
            <w:r>
              <w:rPr>
                <w:sz w:val="17"/>
              </w:rPr>
              <w:t>2,544</w:t>
            </w:r>
          </w:p>
        </w:tc>
        <w:tc>
          <w:tcPr>
            <w:tcW w:type="dxa" w:w="1440"/>
            <w:shd w:fill="FAFAFA" w:val="clear"/>
          </w:tcPr>
          <w:p>
            <w:r>
              <w:rPr>
                <w:b/>
                <w:sz w:val="17"/>
              </w:rPr>
              <w:t>2,946</w:t>
            </w:r>
          </w:p>
        </w:tc>
        <w:tc>
          <w:tcPr>
            <w:tcW w:type="dxa" w:w="1440"/>
            <w:shd w:fill="FAFAFA" w:val="clear"/>
          </w:tcPr>
          <w:p>
            <w:r>
              <w:rPr>
                <w:sz w:val="17"/>
              </w:rPr>
              <w:t>3,349</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2026-08-21</w:t>
            </w:r>
          </w:p>
        </w:tc>
        <w:tc>
          <w:tcPr>
            <w:tcW w:type="dxa" w:w="1440"/>
            <w:shd w:fill="FAFAFA" w:val="clear"/>
          </w:tcPr>
          <w:p>
            <w:r>
              <w:rPr>
                <w:sz w:val="17"/>
              </w:rPr>
              <w:t>2,507</w:t>
            </w:r>
          </w:p>
        </w:tc>
        <w:tc>
          <w:tcPr>
            <w:tcW w:type="dxa" w:w="1440"/>
            <w:shd w:fill="FAFAFA" w:val="clear"/>
          </w:tcPr>
          <w:p>
            <w:r>
              <w:rPr>
                <w:b/>
                <w:sz w:val="17"/>
              </w:rPr>
              <w:t>2,941</w:t>
            </w:r>
          </w:p>
        </w:tc>
        <w:tc>
          <w:tcPr>
            <w:tcW w:type="dxa" w:w="1440"/>
            <w:shd w:fill="FAFAFA" w:val="clear"/>
          </w:tcPr>
          <w:p>
            <w:r>
              <w:rPr>
                <w:sz w:val="17"/>
              </w:rPr>
              <w:t>3,375</w:t>
            </w:r>
          </w:p>
        </w:tc>
        <w:tc>
          <w:tcPr>
            <w:tcW w:type="dxa" w:w="1440"/>
            <w:shd w:fill="FAFAFA" w:val="clear"/>
          </w:tcPr>
          <w:p>
            <w:r>
              <w:rPr>
                <w:b/>
                <w:color w:val="C00000"/>
                <w:sz w:val="17"/>
              </w:rPr>
              <w:t>-1.8%</w:t>
            </w:r>
          </w:p>
        </w:tc>
      </w:tr>
      <w:tr>
        <w:tc>
          <w:tcPr>
            <w:tcW w:type="dxa" w:w="1440"/>
            <w:shd w:fill="FFDCE0" w:val="clear"/>
          </w:tcPr>
          <w:p>
            <w:r>
              <w:rPr>
                <w:sz w:val="17"/>
              </w:rPr>
              <w:t>J+8  ⭐</w:t>
            </w:r>
          </w:p>
        </w:tc>
        <w:tc>
          <w:tcPr>
            <w:tcW w:type="dxa" w:w="1440"/>
            <w:shd w:fill="FFDCE0" w:val="clear"/>
          </w:tcPr>
          <w:p>
            <w:r>
              <w:rPr>
                <w:sz w:val="17"/>
              </w:rPr>
              <w:t>2026-08-24</w:t>
            </w:r>
          </w:p>
        </w:tc>
        <w:tc>
          <w:tcPr>
            <w:tcW w:type="dxa" w:w="1440"/>
            <w:shd w:fill="FFDCE0" w:val="clear"/>
          </w:tcPr>
          <w:p>
            <w:r>
              <w:rPr>
                <w:sz w:val="17"/>
              </w:rPr>
              <w:t>2,472</w:t>
            </w:r>
          </w:p>
        </w:tc>
        <w:tc>
          <w:tcPr>
            <w:tcW w:type="dxa" w:w="1440"/>
            <w:shd w:fill="FFDCE0" w:val="clear"/>
          </w:tcPr>
          <w:p>
            <w:r>
              <w:rPr>
                <w:b/>
                <w:sz w:val="17"/>
              </w:rPr>
              <w:t>2,935</w:t>
            </w:r>
          </w:p>
        </w:tc>
        <w:tc>
          <w:tcPr>
            <w:tcW w:type="dxa" w:w="1440"/>
            <w:shd w:fill="FFDCE0" w:val="clear"/>
          </w:tcPr>
          <w:p>
            <w:r>
              <w:rPr>
                <w:sz w:val="17"/>
              </w:rPr>
              <w:t>3,398</w:t>
            </w:r>
          </w:p>
        </w:tc>
        <w:tc>
          <w:tcPr>
            <w:tcW w:type="dxa" w:w="1440"/>
            <w:shd w:fill="FFDCE0"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2026-08-25</w:t>
            </w:r>
          </w:p>
        </w:tc>
        <w:tc>
          <w:tcPr>
            <w:tcW w:type="dxa" w:w="1440"/>
            <w:shd w:fill="FFDCE0" w:val="clear"/>
          </w:tcPr>
          <w:p>
            <w:r>
              <w:rPr>
                <w:sz w:val="17"/>
              </w:rPr>
              <w:t>2,439</w:t>
            </w:r>
          </w:p>
        </w:tc>
        <w:tc>
          <w:tcPr>
            <w:tcW w:type="dxa" w:w="1440"/>
            <w:shd w:fill="FFDCE0" w:val="clear"/>
          </w:tcPr>
          <w:p>
            <w:r>
              <w:rPr>
                <w:b/>
                <w:sz w:val="17"/>
              </w:rPr>
              <w:t>2,930</w:t>
            </w:r>
          </w:p>
        </w:tc>
        <w:tc>
          <w:tcPr>
            <w:tcW w:type="dxa" w:w="1440"/>
            <w:shd w:fill="FFDCE0" w:val="clear"/>
          </w:tcPr>
          <w:p>
            <w:r>
              <w:rPr>
                <w:sz w:val="17"/>
              </w:rPr>
              <w:t>3,420</w:t>
            </w:r>
          </w:p>
        </w:tc>
        <w:tc>
          <w:tcPr>
            <w:tcW w:type="dxa" w:w="1440"/>
            <w:shd w:fill="FFDCE0" w:val="clear"/>
          </w:tcPr>
          <w:p>
            <w:r>
              <w:rPr>
                <w:b/>
                <w:color w:val="C00000"/>
                <w:sz w:val="17"/>
              </w:rPr>
              <w:t>-2.2%</w:t>
            </w:r>
          </w:p>
        </w:tc>
      </w:tr>
      <w:tr>
        <w:tc>
          <w:tcPr>
            <w:tcW w:type="dxa" w:w="1440"/>
            <w:shd w:fill="FFDCE0" w:val="clear"/>
          </w:tcPr>
          <w:p>
            <w:r>
              <w:rPr>
                <w:sz w:val="17"/>
              </w:rPr>
              <w:t>J+10  ⭐</w:t>
            </w:r>
          </w:p>
        </w:tc>
        <w:tc>
          <w:tcPr>
            <w:tcW w:type="dxa" w:w="1440"/>
            <w:shd w:fill="FFDCE0" w:val="clear"/>
          </w:tcPr>
          <w:p>
            <w:r>
              <w:rPr>
                <w:sz w:val="17"/>
              </w:rPr>
              <w:t>2026-08-27</w:t>
            </w:r>
          </w:p>
        </w:tc>
        <w:tc>
          <w:tcPr>
            <w:tcW w:type="dxa" w:w="1440"/>
            <w:shd w:fill="FFDCE0" w:val="clear"/>
          </w:tcPr>
          <w:p>
            <w:r>
              <w:rPr>
                <w:sz w:val="17"/>
              </w:rPr>
              <w:t>2,408</w:t>
            </w:r>
          </w:p>
        </w:tc>
        <w:tc>
          <w:tcPr>
            <w:tcW w:type="dxa" w:w="1440"/>
            <w:shd w:fill="FFDCE0" w:val="clear"/>
          </w:tcPr>
          <w:p>
            <w:r>
              <w:rPr>
                <w:b/>
                <w:sz w:val="17"/>
              </w:rPr>
              <w:t>2,924</w:t>
            </w:r>
          </w:p>
        </w:tc>
        <w:tc>
          <w:tcPr>
            <w:tcW w:type="dxa" w:w="1440"/>
            <w:shd w:fill="FFDCE0" w:val="clear"/>
          </w:tcPr>
          <w:p>
            <w:r>
              <w:rPr>
                <w:sz w:val="17"/>
              </w:rPr>
              <w:t>3,440</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TTLC s'établit à 188,57 milliards FCFA, ce qui en fait une valeur de première importance sur la BRVM, reflétant la position dominante de TotalEnergies dans la distribution de produits pétroliers en Côte d'Ivoire. Avec un BPA de 144 FCFA, le titre se négocie à un PER de 20,8x, nettement supérieur à la moyenne historique de la BRVM (8-12x), ce qui traduit une prime de valorisation significative, les investisseurs anticipant probablement une croissance future des bénéfices. Le P/B de 5,21x confirme cette lecture, le marché valorisant l'actif net comptable plus de cinq fois au-dessus de sa valeur, signe d'une confiance élevée dans la marque et la rentabilité de la société. Enfin, l'EV/EBITDA de 10,9x, bien que dans la fourchette haute (10-15x), reste cohérent avec une entreprise disposant d'une forte capacité opérationnelle, justifiant en partie cette prime de valorisation.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TTLC a enregistré une progression totale de +9,31%, avec une dernière séance en hausse de +1,53% pour clôturer à 2 995 FCFA. Le titre a évolué dans une fourchette de 2 650 à 3 060 FCFA, démontrant une dynamique haussière soutenue, bien que non linéaire. La moyenne du cours sur la période (2 853 FCFA) est légèrement inférieure à la médiane (2 870 FCFA), indiquant une distribution quasi symétrique, confirmée par un skewness de -0,203. L'écart-type de 96 FCFA, soit un coefficient de variation de 3,4%, révèle une dispersion très faible des prix autour de la moyenne, témoignant d'une stabilité relative. Le kurtosis de -0,739 (mésokurtique) suggère l'absence de mouvements extrêmes ou de pics de volatilité inhabituels. Cependant, la volatilité annualisée de 41,2% classe le titre dans la catégorie élevée (&gt;30%), ce qui contraste avec la stabilité quotidienne observée et signale un risque potentiel sur des horizons plus longs.</w:t>
      </w:r>
    </w:p>
    <w:p>
      <w:pPr>
        <w:spacing w:after="120" w:line="276" w:lineRule="auto" w:before="240"/>
      </w:pPr>
      <w:r>
        <w:rPr>
          <w:b/>
          <w:color w:val="003366"/>
          <w:sz w:val="24"/>
        </w:rPr>
        <w:t>**PARTIE 2 : ANALYSE TECHNIQUE DÉTAILLÉE**</w:t>
      </w:r>
    </w:p>
    <w:p>
      <w:pPr>
        <w:spacing w:after="120" w:line="276" w:lineRule="auto"/>
      </w:pPr>
      <w:r>
        <w:t>Les moyennes mobiles MM20 (2 932,5 FCFA) et MM50 (2 899,9 FCFA) sont toutes deux inférieures au cours actuel de 2 995 FCFA, avec une MM20 au-dessus de la MM50, configuration typique d'une tendance haussière en place. Le signal d'achat généré par ces moyennes mobiles est cohérent avec la dynamique positive du titre, qui évolue au-dessus de ses supports dynamiques à court et moyen terme.</w:t>
      </w:r>
    </w:p>
    <w:p>
      <w:pPr>
        <w:spacing w:after="120" w:line="276" w:lineRule="auto"/>
      </w:pPr>
      <w:r>
        <w:t>Le cours se situe à 2 995 FCFA, entre la borne supérieure (3 080,5 FCFA) et la borne inférieure (2 784,5 FCFA) des bandes de Bollinger, mais plus proche de la borne haute. Cette position indique une pression acheteuse modérée sans atteindre des niveaux extrêmes de surachat. La décision neutre reflète un équilibre entre la tendance haussière et la proximité de la zone de résistance, suggérant une possible consolidation avant une nouvelle impulsion.</w:t>
      </w:r>
    </w:p>
    <w:p>
      <w:pPr>
        <w:spacing w:after="120" w:line="276" w:lineRule="auto"/>
      </w:pPr>
      <w:r>
        <w:t>Le MACD affiche une valeur de 15,705, au-dessus de son signal à 14,671, avec un écart positif qui se creuse. Cette configuration signale un momentum haussier en renforcement, confirmant la tendance positive du titre. La décision d'achat est justifiée par cette dynamique, bien que l'écart relativement modeste invite à la prudence quant à l'intensité du mouvement.</w:t>
      </w:r>
    </w:p>
    <w:p>
      <w:pPr>
        <w:spacing w:after="120" w:line="276" w:lineRule="auto"/>
      </w:pPr>
      <w:r>
        <w:t>Le RSI s'établit à 51,98, positionné exactement dans la zone neutre (30-70), indiquant un équilibre entre pressions acheteuses et vendeuses. Cette valeur ne signale ni surachat ni survente, laissant une marge de manœuvre pour une poursuite de la hausse sans risque immédiat de retournement. La décision neutre est donc appropriée, le titre disposant d'un potentiel haussier non épuisé.</w:t>
      </w:r>
    </w:p>
    <w:p>
      <w:pPr>
        <w:spacing w:after="120" w:line="276" w:lineRule="auto"/>
      </w:pPr>
      <w:r>
        <w:t>Le stochastique affiche des valeurs extrêmement élevées avec %K à 97,8 et %D à 91,3, nettement au-dessus du seuil de surachat (80). Cette configuration signale une forte pression acheteuse à court terme, mais également un risque élevé de correction technique. La décision de vente est justifiée par ces niveaux extrêmes, qui suggèrent une probable consolidation ou un repli technique dans les prochaines séances.</w:t>
      </w:r>
    </w:p>
    <w:p>
      <w:pPr>
        <w:spacing w:after="120" w:line="276" w:lineRule="auto"/>
      </w:pPr>
      <w:r>
        <w:t>La convergence des indicateurs techniques est mitigée : les moyennes mobiles et le MACD confirment une tendance haussière de fond, tandis que le stochastique alerte sur des conditions de surachat à court terme. Le RSI neutre et les bandes de Bollinger sans signal extrême tempèrent ce tableau. Globalement, la tendance demeure positive mais un repli technique est probable à très court terme, offrant potentiellement un point d'entrée plus favorable.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TTLC révèlent un chiffre d'affaires de 588,709 milliards FCFA, en repli de 5,2% par rapport à 2024 (621 milliards FCFA), mais avec une amélioration notable de la rentabilité opérationnelle : le résultat d'exploitation progresse de 18% à 12,329 milliards FCFA et l'EBE de 12% à 22,347 milliards FCFA. Le résultat net s'établit à 9,087 milliards FCFA (-3% vs 2024), avec un ROE de 25,1% et un ROA de 4,8%, confirmant une excellente rentabilité des fonds propres malgré un contexte de baisse d'activité. La marge nette s'améliore légèrement à 1,54%, tandis que le BFR négatif de -9,662 milliards FCFA constitue un avantage structurel, la société finançant son exploitation grâce aux délais fournisseurs (49,7 jours). Cependant, la trésorerie nette se dégrade fortement à -21,926 milliards FCFA, et le ratio d'endettement atteint 90,2%, signalant une dépendance accrue aux financements court terme. Sur la base du rapport T1 2026 (croissance du CA de +4,3% à 154,4 milliards et résultat net en hausse de +5,5% à 2,329 milliards), on estime que l'exercice 2026 devrait confirmer le redressement commercial, avec un CA annuel projeté autour de 610-620 milliards FCFA et un résultat net potentiellement supérieur à 10 milliards FCFA, si la tendance se maintient. La politique de dividende reste généreuse avec 10 milliards FCFA proposés pour 2025 (taux de distribution &gt;100%), soutenue par une CAF solide de 19,1 milliards FCFA, mais la soutenabilité de cette distribution à long terme dépendra de la capacité de la société à restaurer sa trésorerie.</w:t>
      </w:r>
    </w:p>
    <w:p>
      <w:pPr>
        <w:spacing w:after="120" w:line="276" w:lineRule="auto" w:before="240"/>
      </w:pPr>
      <w:r>
        <w:rPr>
          <w:b/>
          <w:color w:val="003366"/>
          <w:sz w:val="24"/>
        </w:rPr>
        <w:t>**PARTIE 4 : CONCLUSION D'INVESTISSEMENT**</w:t>
      </w:r>
    </w:p>
    <w:p>
      <w:pPr>
        <w:spacing w:after="120" w:line="276" w:lineRule="auto"/>
      </w:pPr>
      <w:r>
        <w:t>La valorisation de TTLC apparaît exigeante avec un PER de 20,8x et un P/B de 5,21x, nettement supérieurs aux moyennes du marché BRVM, ce qui intègre déjà des anticipations de croissance solide. Le comportement du cours sur 100 jours est favorable (+9,31%) avec une volatilité annualisée élevée (41,2%) mais une dispersion quotidienne très faible (CV=3,4%), traduisant une progression maîtrisée. Les signaux techniques sont partagés : la tendance de fond reste haussière (MM, MACD) mais le stochastique en surachat extrême suggère un repli technique imminent. Les fondamentaux demeurent solides avec un ROE de 25,1%, une amélioration opérationnelle et un BFR négatif favorable, malgré une trésorerie sous pression et un endettement croissant. Les prédictions IA (2 981 à 2 952 FCFA sur 10 jours) anticipent une légère correction, cohérente avec les signaux de surachat technique. La convergence entre la prédiction IA et les signaux techniques de court terme, contrastant avec la solidité fondamentale et la tendance de fond haussière, conduit à une recommandation **CONSERVER** avec un niveau de confiance **Moyen** et un risque global **Moyen**. L'horizon d'investissement optimal serait le **moyen terme (3-12 mois)**, permettant d'absorber la correction technique attendue tout en bénéficiant du redressement commercial anticipé pour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117.28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2,804 titres</w:t>
            </w:r>
          </w:p>
        </w:tc>
        <w:tc>
          <w:tcPr>
            <w:tcW w:type="dxa" w:w="2268"/>
            <w:shd w:fill="FFF2CC" w:val="clear"/>
          </w:tcPr>
          <w:p>
            <w:r>
              <w:rPr>
                <w:b/>
                <w:color w:val="503200"/>
                <w:sz w:val="16"/>
              </w:rPr>
              <w:t xml:space="preserve">Cours actuel : </w:t>
            </w:r>
            <w:r>
              <w:rPr>
                <w:color w:val="000000"/>
                <w:sz w:val="17"/>
              </w:rPr>
              <w:t>3,600 FCFA</w:t>
            </w:r>
          </w:p>
          <w:p>
            <w:r>
              <w:rPr>
                <w:b/>
                <w:color w:val="503200"/>
                <w:sz w:val="16"/>
              </w:rPr>
              <w:t xml:space="preserve">Var. 100 jours : </w:t>
            </w:r>
            <w:r>
              <w:rPr>
                <w:b/>
                <w:color w:val="007800"/>
                <w:sz w:val="17"/>
              </w:rPr>
              <w:t>+12.68%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22.0/100 → Moyen</w:t>
      </w:r>
    </w:p>
    <w:p>
      <w:pPr>
        <w:spacing w:before="40" w:after="80"/>
      </w:pPr>
      <w:r>
        <w:rPr>
          <w:rFonts w:ascii="Courier New" w:hAnsi="Courier New"/>
          <w:color w:val="825A00"/>
          <w:sz w:val="18"/>
        </w:rPr>
        <w:t>████░░░░░░░░░░░░░░░░  22.0/100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10.69% (Moyenne) — μ=3,445 FCFA, σ=368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β=1.4011 (Agressif) — Cov=0.000051, Var(idx)=0.000036, ρ=0.267,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2,804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3244"/>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3244"/>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2026-08-13</w:t>
            </w:r>
          </w:p>
        </w:tc>
        <w:tc>
          <w:tcPr>
            <w:tcW w:type="dxa" w:w="1440"/>
            <w:shd w:fill="FFDCE0" w:val="clear"/>
          </w:tcPr>
          <w:p>
            <w:r>
              <w:rPr>
                <w:sz w:val="17"/>
              </w:rPr>
              <w:t>3,292</w:t>
            </w:r>
          </w:p>
        </w:tc>
        <w:tc>
          <w:tcPr>
            <w:tcW w:type="dxa" w:w="1440"/>
            <w:shd w:fill="FFDCE0" w:val="clear"/>
          </w:tcPr>
          <w:p>
            <w:r>
              <w:rPr>
                <w:b/>
                <w:sz w:val="17"/>
              </w:rPr>
              <w:t>3,488</w:t>
            </w:r>
          </w:p>
        </w:tc>
        <w:tc>
          <w:tcPr>
            <w:tcW w:type="dxa" w:w="1440"/>
            <w:shd w:fill="FFDCE0" w:val="clear"/>
          </w:tcPr>
          <w:p>
            <w:r>
              <w:rPr>
                <w:sz w:val="17"/>
              </w:rPr>
              <w:t>3,684</w:t>
            </w:r>
          </w:p>
        </w:tc>
        <w:tc>
          <w:tcPr>
            <w:tcW w:type="dxa" w:w="1440"/>
            <w:shd w:fill="FFDCE0" w:val="clear"/>
          </w:tcPr>
          <w:p>
            <w:r>
              <w:rPr>
                <w:b/>
                <w:color w:val="C00000"/>
                <w:sz w:val="17"/>
              </w:rPr>
              <w:t>-3.1%</w:t>
            </w:r>
          </w:p>
        </w:tc>
      </w:tr>
      <w:tr>
        <w:tc>
          <w:tcPr>
            <w:tcW w:type="dxa" w:w="1440"/>
            <w:shd w:fill="FFDCE0" w:val="clear"/>
          </w:tcPr>
          <w:p>
            <w:r>
              <w:rPr>
                <w:sz w:val="17"/>
              </w:rPr>
              <w:t>J+2  ⭐</w:t>
            </w:r>
          </w:p>
        </w:tc>
        <w:tc>
          <w:tcPr>
            <w:tcW w:type="dxa" w:w="1440"/>
            <w:shd w:fill="FFDCE0" w:val="clear"/>
          </w:tcPr>
          <w:p>
            <w:r>
              <w:rPr>
                <w:sz w:val="17"/>
              </w:rPr>
              <w:t>2026-08-14</w:t>
            </w:r>
          </w:p>
        </w:tc>
        <w:tc>
          <w:tcPr>
            <w:tcW w:type="dxa" w:w="1440"/>
            <w:shd w:fill="FFDCE0" w:val="clear"/>
          </w:tcPr>
          <w:p>
            <w:r>
              <w:rPr>
                <w:sz w:val="17"/>
              </w:rPr>
              <w:t>3,163</w:t>
            </w:r>
          </w:p>
        </w:tc>
        <w:tc>
          <w:tcPr>
            <w:tcW w:type="dxa" w:w="1440"/>
            <w:shd w:fill="FFDCE0" w:val="clear"/>
          </w:tcPr>
          <w:p>
            <w:r>
              <w:rPr>
                <w:b/>
                <w:sz w:val="17"/>
              </w:rPr>
              <w:t>3,437</w:t>
            </w:r>
          </w:p>
        </w:tc>
        <w:tc>
          <w:tcPr>
            <w:tcW w:type="dxa" w:w="1440"/>
            <w:shd w:fill="FFDCE0" w:val="clear"/>
          </w:tcPr>
          <w:p>
            <w:r>
              <w:rPr>
                <w:sz w:val="17"/>
              </w:rPr>
              <w:t>3,710</w:t>
            </w:r>
          </w:p>
        </w:tc>
        <w:tc>
          <w:tcPr>
            <w:tcW w:type="dxa" w:w="1440"/>
            <w:shd w:fill="FFDCE0" w:val="clear"/>
          </w:tcPr>
          <w:p>
            <w:r>
              <w:rPr>
                <w:b/>
                <w:color w:val="C00000"/>
                <w:sz w:val="17"/>
              </w:rPr>
              <w:t>-4.5%</w:t>
            </w:r>
          </w:p>
        </w:tc>
      </w:tr>
      <w:tr>
        <w:tc>
          <w:tcPr>
            <w:tcW w:type="dxa" w:w="1440"/>
            <w:shd w:fill="FFDCE0" w:val="clear"/>
          </w:tcPr>
          <w:p>
            <w:r>
              <w:rPr>
                <w:sz w:val="17"/>
              </w:rPr>
              <w:t>J+3  ⭐</w:t>
            </w:r>
          </w:p>
        </w:tc>
        <w:tc>
          <w:tcPr>
            <w:tcW w:type="dxa" w:w="1440"/>
            <w:shd w:fill="FFDCE0" w:val="clear"/>
          </w:tcPr>
          <w:p>
            <w:r>
              <w:rPr>
                <w:sz w:val="17"/>
              </w:rPr>
              <w:t>2026-08-17</w:t>
            </w:r>
          </w:p>
        </w:tc>
        <w:tc>
          <w:tcPr>
            <w:tcW w:type="dxa" w:w="1440"/>
            <w:shd w:fill="FFDCE0" w:val="clear"/>
          </w:tcPr>
          <w:p>
            <w:r>
              <w:rPr>
                <w:sz w:val="17"/>
              </w:rPr>
              <w:t>3,061</w:t>
            </w:r>
          </w:p>
        </w:tc>
        <w:tc>
          <w:tcPr>
            <w:tcW w:type="dxa" w:w="1440"/>
            <w:shd w:fill="FFDCE0" w:val="clear"/>
          </w:tcPr>
          <w:p>
            <w:r>
              <w:rPr>
                <w:b/>
                <w:sz w:val="17"/>
              </w:rPr>
              <w:t>3,392</w:t>
            </w:r>
          </w:p>
        </w:tc>
        <w:tc>
          <w:tcPr>
            <w:tcW w:type="dxa" w:w="1440"/>
            <w:shd w:fill="FFDCE0" w:val="clear"/>
          </w:tcPr>
          <w:p>
            <w:r>
              <w:rPr>
                <w:sz w:val="17"/>
              </w:rPr>
              <w:t>3,723</w:t>
            </w:r>
          </w:p>
        </w:tc>
        <w:tc>
          <w:tcPr>
            <w:tcW w:type="dxa" w:w="1440"/>
            <w:shd w:fill="FFDCE0" w:val="clear"/>
          </w:tcPr>
          <w:p>
            <w:r>
              <w:rPr>
                <w:b/>
                <w:color w:val="C00000"/>
                <w:sz w:val="17"/>
              </w:rPr>
              <w:t>-5.8%</w:t>
            </w:r>
          </w:p>
        </w:tc>
      </w:tr>
      <w:tr>
        <w:tc>
          <w:tcPr>
            <w:tcW w:type="dxa" w:w="1440"/>
            <w:shd w:fill="FFDCE0" w:val="clear"/>
          </w:tcPr>
          <w:p>
            <w:r>
              <w:rPr>
                <w:sz w:val="17"/>
              </w:rPr>
              <w:t>J+4  ⭐</w:t>
            </w:r>
          </w:p>
        </w:tc>
        <w:tc>
          <w:tcPr>
            <w:tcW w:type="dxa" w:w="1440"/>
            <w:shd w:fill="FFDCE0" w:val="clear"/>
          </w:tcPr>
          <w:p>
            <w:r>
              <w:rPr>
                <w:sz w:val="17"/>
              </w:rPr>
              <w:t>2026-08-18</w:t>
            </w:r>
          </w:p>
        </w:tc>
        <w:tc>
          <w:tcPr>
            <w:tcW w:type="dxa" w:w="1440"/>
            <w:shd w:fill="FFDCE0" w:val="clear"/>
          </w:tcPr>
          <w:p>
            <w:r>
              <w:rPr>
                <w:sz w:val="17"/>
              </w:rPr>
              <w:t>2,976</w:t>
            </w:r>
          </w:p>
        </w:tc>
        <w:tc>
          <w:tcPr>
            <w:tcW w:type="dxa" w:w="1440"/>
            <w:shd w:fill="FFDCE0" w:val="clear"/>
          </w:tcPr>
          <w:p>
            <w:r>
              <w:rPr>
                <w:b/>
                <w:sz w:val="17"/>
              </w:rPr>
              <w:t>3,353</w:t>
            </w:r>
          </w:p>
        </w:tc>
        <w:tc>
          <w:tcPr>
            <w:tcW w:type="dxa" w:w="1440"/>
            <w:shd w:fill="FFDCE0" w:val="clear"/>
          </w:tcPr>
          <w:p>
            <w:r>
              <w:rPr>
                <w:sz w:val="17"/>
              </w:rPr>
              <w:t>3,731</w:t>
            </w:r>
          </w:p>
        </w:tc>
        <w:tc>
          <w:tcPr>
            <w:tcW w:type="dxa" w:w="1440"/>
            <w:shd w:fill="FFDCE0" w:val="clear"/>
          </w:tcPr>
          <w:p>
            <w:r>
              <w:rPr>
                <w:b/>
                <w:color w:val="C00000"/>
                <w:sz w:val="17"/>
              </w:rPr>
              <w:t>-6.8%</w:t>
            </w:r>
          </w:p>
        </w:tc>
      </w:tr>
      <w:tr>
        <w:tc>
          <w:tcPr>
            <w:tcW w:type="dxa" w:w="1440"/>
            <w:shd w:fill="FFDCE0" w:val="clear"/>
          </w:tcPr>
          <w:p>
            <w:r>
              <w:rPr>
                <w:sz w:val="17"/>
              </w:rPr>
              <w:t>J+5  ⭐</w:t>
            </w:r>
          </w:p>
        </w:tc>
        <w:tc>
          <w:tcPr>
            <w:tcW w:type="dxa" w:w="1440"/>
            <w:shd w:fill="FFDCE0" w:val="clear"/>
          </w:tcPr>
          <w:p>
            <w:r>
              <w:rPr>
                <w:sz w:val="17"/>
              </w:rPr>
              <w:t>2026-08-19</w:t>
            </w:r>
          </w:p>
        </w:tc>
        <w:tc>
          <w:tcPr>
            <w:tcW w:type="dxa" w:w="1440"/>
            <w:shd w:fill="FFDCE0" w:val="clear"/>
          </w:tcPr>
          <w:p>
            <w:r>
              <w:rPr>
                <w:sz w:val="17"/>
              </w:rPr>
              <w:t>2,901</w:t>
            </w:r>
          </w:p>
        </w:tc>
        <w:tc>
          <w:tcPr>
            <w:tcW w:type="dxa" w:w="1440"/>
            <w:shd w:fill="FFDCE0" w:val="clear"/>
          </w:tcPr>
          <w:p>
            <w:r>
              <w:rPr>
                <w:b/>
                <w:sz w:val="17"/>
              </w:rPr>
              <w:t>3,318</w:t>
            </w:r>
          </w:p>
        </w:tc>
        <w:tc>
          <w:tcPr>
            <w:tcW w:type="dxa" w:w="1440"/>
            <w:shd w:fill="FFDCE0" w:val="clear"/>
          </w:tcPr>
          <w:p>
            <w:r>
              <w:rPr>
                <w:sz w:val="17"/>
              </w:rPr>
              <w:t>3,736</w:t>
            </w:r>
          </w:p>
        </w:tc>
        <w:tc>
          <w:tcPr>
            <w:tcW w:type="dxa" w:w="1440"/>
            <w:shd w:fill="FFDCE0" w:val="clear"/>
          </w:tcPr>
          <w:p>
            <w:r>
              <w:rPr>
                <w:b/>
                <w:color w:val="C00000"/>
                <w:sz w:val="17"/>
              </w:rPr>
              <w:t>-7.8%</w:t>
            </w:r>
          </w:p>
        </w:tc>
      </w:tr>
      <w:tr>
        <w:tc>
          <w:tcPr>
            <w:tcW w:type="dxa" w:w="1440"/>
            <w:shd w:fill="FFDCE0" w:val="clear"/>
          </w:tcPr>
          <w:p>
            <w:r>
              <w:rPr>
                <w:sz w:val="17"/>
              </w:rPr>
              <w:t>J+6  ⭐</w:t>
            </w:r>
          </w:p>
        </w:tc>
        <w:tc>
          <w:tcPr>
            <w:tcW w:type="dxa" w:w="1440"/>
            <w:shd w:fill="FFDCE0" w:val="clear"/>
          </w:tcPr>
          <w:p>
            <w:r>
              <w:rPr>
                <w:sz w:val="17"/>
              </w:rPr>
              <w:t>2026-08-20</w:t>
            </w:r>
          </w:p>
        </w:tc>
        <w:tc>
          <w:tcPr>
            <w:tcW w:type="dxa" w:w="1440"/>
            <w:shd w:fill="FFDCE0" w:val="clear"/>
          </w:tcPr>
          <w:p>
            <w:r>
              <w:rPr>
                <w:sz w:val="17"/>
              </w:rPr>
              <w:t>2,833</w:t>
            </w:r>
          </w:p>
        </w:tc>
        <w:tc>
          <w:tcPr>
            <w:tcW w:type="dxa" w:w="1440"/>
            <w:shd w:fill="FFDCE0" w:val="clear"/>
          </w:tcPr>
          <w:p>
            <w:r>
              <w:rPr>
                <w:b/>
                <w:sz w:val="17"/>
              </w:rPr>
              <w:t>3,286</w:t>
            </w:r>
          </w:p>
        </w:tc>
        <w:tc>
          <w:tcPr>
            <w:tcW w:type="dxa" w:w="1440"/>
            <w:shd w:fill="FFDCE0" w:val="clear"/>
          </w:tcPr>
          <w:p>
            <w:r>
              <w:rPr>
                <w:sz w:val="17"/>
              </w:rPr>
              <w:t>3,739</w:t>
            </w:r>
          </w:p>
        </w:tc>
        <w:tc>
          <w:tcPr>
            <w:tcW w:type="dxa" w:w="1440"/>
            <w:shd w:fill="FFDCE0" w:val="clear"/>
          </w:tcPr>
          <w:p>
            <w:r>
              <w:rPr>
                <w:b/>
                <w:color w:val="C00000"/>
                <w:sz w:val="17"/>
              </w:rPr>
              <w:t>-8.7%</w:t>
            </w:r>
          </w:p>
        </w:tc>
      </w:tr>
      <w:tr>
        <w:tc>
          <w:tcPr>
            <w:tcW w:type="dxa" w:w="1440"/>
            <w:shd w:fill="FFDCE0" w:val="clear"/>
          </w:tcPr>
          <w:p>
            <w:r>
              <w:rPr>
                <w:sz w:val="17"/>
              </w:rPr>
              <w:t>J+7  ⭐</w:t>
            </w:r>
          </w:p>
        </w:tc>
        <w:tc>
          <w:tcPr>
            <w:tcW w:type="dxa" w:w="1440"/>
            <w:shd w:fill="FFDCE0" w:val="clear"/>
          </w:tcPr>
          <w:p>
            <w:r>
              <w:rPr>
                <w:sz w:val="17"/>
              </w:rPr>
              <w:t>2026-08-21</w:t>
            </w:r>
          </w:p>
        </w:tc>
        <w:tc>
          <w:tcPr>
            <w:tcW w:type="dxa" w:w="1440"/>
            <w:shd w:fill="FFDCE0" w:val="clear"/>
          </w:tcPr>
          <w:p>
            <w:r>
              <w:rPr>
                <w:sz w:val="17"/>
              </w:rPr>
              <w:t>2,771</w:t>
            </w:r>
          </w:p>
        </w:tc>
        <w:tc>
          <w:tcPr>
            <w:tcW w:type="dxa" w:w="1440"/>
            <w:shd w:fill="FFDCE0" w:val="clear"/>
          </w:tcPr>
          <w:p>
            <w:r>
              <w:rPr>
                <w:b/>
                <w:sz w:val="17"/>
              </w:rPr>
              <w:t>3,255</w:t>
            </w:r>
          </w:p>
        </w:tc>
        <w:tc>
          <w:tcPr>
            <w:tcW w:type="dxa" w:w="1440"/>
            <w:shd w:fill="FFDCE0" w:val="clear"/>
          </w:tcPr>
          <w:p>
            <w:r>
              <w:rPr>
                <w:sz w:val="17"/>
              </w:rPr>
              <w:t>3,740</w:t>
            </w:r>
          </w:p>
        </w:tc>
        <w:tc>
          <w:tcPr>
            <w:tcW w:type="dxa" w:w="1440"/>
            <w:shd w:fill="FFDCE0" w:val="clear"/>
          </w:tcPr>
          <w:p>
            <w:r>
              <w:rPr>
                <w:b/>
                <w:color w:val="C00000"/>
                <w:sz w:val="17"/>
              </w:rPr>
              <w:t>-9.6%</w:t>
            </w:r>
          </w:p>
        </w:tc>
      </w:tr>
      <w:tr>
        <w:tc>
          <w:tcPr>
            <w:tcW w:type="dxa" w:w="1440"/>
            <w:shd w:fill="FFDCE0" w:val="clear"/>
          </w:tcPr>
          <w:p>
            <w:r>
              <w:rPr>
                <w:sz w:val="17"/>
              </w:rPr>
              <w:t>J+8  ⭐</w:t>
            </w:r>
          </w:p>
        </w:tc>
        <w:tc>
          <w:tcPr>
            <w:tcW w:type="dxa" w:w="1440"/>
            <w:shd w:fill="FFDCE0" w:val="clear"/>
          </w:tcPr>
          <w:p>
            <w:r>
              <w:rPr>
                <w:sz w:val="17"/>
              </w:rPr>
              <w:t>2026-08-24</w:t>
            </w:r>
          </w:p>
        </w:tc>
        <w:tc>
          <w:tcPr>
            <w:tcW w:type="dxa" w:w="1440"/>
            <w:shd w:fill="FFDCE0" w:val="clear"/>
          </w:tcPr>
          <w:p>
            <w:r>
              <w:rPr>
                <w:sz w:val="17"/>
              </w:rPr>
              <w:t>2,713</w:t>
            </w:r>
          </w:p>
        </w:tc>
        <w:tc>
          <w:tcPr>
            <w:tcW w:type="dxa" w:w="1440"/>
            <w:shd w:fill="FFDCE0" w:val="clear"/>
          </w:tcPr>
          <w:p>
            <w:r>
              <w:rPr>
                <w:b/>
                <w:sz w:val="17"/>
              </w:rPr>
              <w:t>3,226</w:t>
            </w:r>
          </w:p>
        </w:tc>
        <w:tc>
          <w:tcPr>
            <w:tcW w:type="dxa" w:w="1440"/>
            <w:shd w:fill="FFDCE0" w:val="clear"/>
          </w:tcPr>
          <w:p>
            <w:r>
              <w:rPr>
                <w:sz w:val="17"/>
              </w:rPr>
              <w:t>3,740</w:t>
            </w:r>
          </w:p>
        </w:tc>
        <w:tc>
          <w:tcPr>
            <w:tcW w:type="dxa" w:w="1440"/>
            <w:shd w:fill="FFDCE0" w:val="clear"/>
          </w:tcPr>
          <w:p>
            <w:r>
              <w:rPr>
                <w:b/>
                <w:color w:val="C00000"/>
                <w:sz w:val="17"/>
              </w:rPr>
              <w:t>-10.4%</w:t>
            </w:r>
          </w:p>
        </w:tc>
      </w:tr>
      <w:tr>
        <w:tc>
          <w:tcPr>
            <w:tcW w:type="dxa" w:w="1440"/>
            <w:shd w:fill="FFDCE0" w:val="clear"/>
          </w:tcPr>
          <w:p>
            <w:r>
              <w:rPr>
                <w:sz w:val="17"/>
              </w:rPr>
              <w:t>J+9  ⭐</w:t>
            </w:r>
          </w:p>
        </w:tc>
        <w:tc>
          <w:tcPr>
            <w:tcW w:type="dxa" w:w="1440"/>
            <w:shd w:fill="FFDCE0" w:val="clear"/>
          </w:tcPr>
          <w:p>
            <w:r>
              <w:rPr>
                <w:sz w:val="17"/>
              </w:rPr>
              <w:t>2026-08-25</w:t>
            </w:r>
          </w:p>
        </w:tc>
        <w:tc>
          <w:tcPr>
            <w:tcW w:type="dxa" w:w="1440"/>
            <w:shd w:fill="FFDCE0" w:val="clear"/>
          </w:tcPr>
          <w:p>
            <w:r>
              <w:rPr>
                <w:sz w:val="17"/>
              </w:rPr>
              <w:t>2,659</w:t>
            </w:r>
          </w:p>
        </w:tc>
        <w:tc>
          <w:tcPr>
            <w:tcW w:type="dxa" w:w="1440"/>
            <w:shd w:fill="FFDCE0" w:val="clear"/>
          </w:tcPr>
          <w:p>
            <w:r>
              <w:rPr>
                <w:b/>
                <w:sz w:val="17"/>
              </w:rPr>
              <w:t>3,199</w:t>
            </w:r>
          </w:p>
        </w:tc>
        <w:tc>
          <w:tcPr>
            <w:tcW w:type="dxa" w:w="1440"/>
            <w:shd w:fill="FFDCE0" w:val="clear"/>
          </w:tcPr>
          <w:p>
            <w:r>
              <w:rPr>
                <w:sz w:val="17"/>
              </w:rPr>
              <w:t>3,739</w:t>
            </w:r>
          </w:p>
        </w:tc>
        <w:tc>
          <w:tcPr>
            <w:tcW w:type="dxa" w:w="1440"/>
            <w:shd w:fill="FFDCE0" w:val="clear"/>
          </w:tcPr>
          <w:p>
            <w:r>
              <w:rPr>
                <w:b/>
                <w:color w:val="C00000"/>
                <w:sz w:val="17"/>
              </w:rPr>
              <w:t>-11.1%</w:t>
            </w:r>
          </w:p>
        </w:tc>
      </w:tr>
      <w:tr>
        <w:tc>
          <w:tcPr>
            <w:tcW w:type="dxa" w:w="1440"/>
            <w:shd w:fill="FFDCE0" w:val="clear"/>
          </w:tcPr>
          <w:p>
            <w:r>
              <w:rPr>
                <w:sz w:val="17"/>
              </w:rPr>
              <w:t>J+10  ⭐</w:t>
            </w:r>
          </w:p>
        </w:tc>
        <w:tc>
          <w:tcPr>
            <w:tcW w:type="dxa" w:w="1440"/>
            <w:shd w:fill="FFDCE0" w:val="clear"/>
          </w:tcPr>
          <w:p>
            <w:r>
              <w:rPr>
                <w:sz w:val="17"/>
              </w:rPr>
              <w:t>2026-08-27</w:t>
            </w:r>
          </w:p>
        </w:tc>
        <w:tc>
          <w:tcPr>
            <w:tcW w:type="dxa" w:w="1440"/>
            <w:shd w:fill="FFDCE0" w:val="clear"/>
          </w:tcPr>
          <w:p>
            <w:r>
              <w:rPr>
                <w:sz w:val="17"/>
              </w:rPr>
              <w:t>2,609</w:t>
            </w:r>
          </w:p>
        </w:tc>
        <w:tc>
          <w:tcPr>
            <w:tcW w:type="dxa" w:w="1440"/>
            <w:shd w:fill="FFDCE0" w:val="clear"/>
          </w:tcPr>
          <w:p>
            <w:r>
              <w:rPr>
                <w:b/>
                <w:sz w:val="17"/>
              </w:rPr>
              <w:t>3,174</w:t>
            </w:r>
          </w:p>
        </w:tc>
        <w:tc>
          <w:tcPr>
            <w:tcW w:type="dxa" w:w="1440"/>
            <w:shd w:fill="FFDCE0" w:val="clear"/>
          </w:tcPr>
          <w:p>
            <w:r>
              <w:rPr>
                <w:sz w:val="17"/>
              </w:rPr>
              <w:t>3,738</w:t>
            </w:r>
          </w:p>
        </w:tc>
        <w:tc>
          <w:tcPr>
            <w:tcW w:type="dxa" w:w="1440"/>
            <w:shd w:fill="FFDCE0" w:val="clear"/>
          </w:tcPr>
          <w:p>
            <w:r>
              <w:rPr>
                <w:b/>
                <w:color w:val="C00000"/>
                <w:sz w:val="17"/>
              </w:rPr>
              <w:t>-11.8%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117,28 milliards FCFA, un niveau significatif sur la BRVM qui positionne le titre parmi les valeurs moyennes de la cote, avec une liquidité relativement faible (volume moyen de 2 804 titres/jour). Le BPA de 208 FCFA par action génère un PER de 17,3x, nettement supérieur à la moyenne historique de la BRVM (8-12x), ce qui indique que les investisseurs paient une prime substantielle pour accéder aux bénéfices de la société. Le P/B de 4,15x confirme cette valorisation exigeante, le marché valorisant le titre à plus de quatre fois sa valeur comptable, traduisant une forte confiance dans les actifs et la marque TotalEnergies. Enfin, l'EV/EBITDA de 7,3x se situe dans la fourchette raisonnable (5-10x), tempérant légèrement le jugement sur la valorisation globale en la plaçant dans une zone de relative cohérence avec la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TTLS affiche une progression totale de +12,68%, avec une dernière séance stable (+0,00%), témoignant d'une tendance haussière soutenue malgré une pause récente. Le cours a évolué dans une fourchette large de 2 845 FCFA (plus bas) à 4 500 FCFA (plus haut), soit une amplitude de 58%, indiquant une forte volatilité intra-période. La moyenne de 3 445 FCFA est supérieure à la médiane de 3 368 FCFA, et le mode de 3 250 FCFA est inférieur aux deux, ce qui, combiné au skewness positif de 0,891, révèle une distribution asymétrique avec un plus grand nombre de journées sous la moyenne mais des épisodes de hausse marqués. L'écart-type de 370 FCFA (CV=10,7%) montre une dispersion modérée autour de la moyenne, tandis que le kurtosis de 0,333 (mésokurtique) indique une distribution proche de la normale, sans risque extrême de pics. La volatilité annualisée de 49,9% classe le titre dans la catégorie des valeurs à volatilité élevée, nécessitant une gestion de risque rigoureuse.</w:t>
      </w:r>
    </w:p>
    <w:p>
      <w:pPr>
        <w:spacing w:after="120" w:line="276" w:lineRule="auto" w:before="240"/>
      </w:pPr>
      <w:r>
        <w:rPr>
          <w:b/>
          <w:color w:val="003366"/>
          <w:sz w:val="24"/>
        </w:rPr>
        <w:t>**PARTIE 2 : ANALYSE TECHNIQUE DÉTAILLÉE**</w:t>
      </w:r>
    </w:p>
    <w:p>
      <w:pPr>
        <w:spacing w:after="120" w:line="276" w:lineRule="auto"/>
      </w:pPr>
      <w:r>
        <w:t>**Moyennes Mobiles** : Le cours actuel de 3 600 FCFA se situe sous la MM20 (3 708,75 FCFA) et la MM50 (3 725 FCFA), configuration baissière à court et moyen terme. Le croisement du cours sous ces moyennes suggère une perte de momentum haussier, justifiant la décision de Vente, bien que l'écart reste limité (environ 3%), laissant place à un possible retournement.</w:t>
      </w:r>
    </w:p>
    <w:p>
      <w:pPr>
        <w:spacing w:after="120" w:line="276" w:lineRule="auto"/>
      </w:pPr>
      <w:r>
        <w:t>**Bandes de Bollinger** : Le prix évolue à 3 600 FCFA, entre la borne inférieure (3 403,35 FCFA) et la borne supérieure (4 014,16 FCFA), positionné dans la moitié inférieure du canal. Cette position neutre indique une volatilité modérée sans pression directionnelle forte, le marché attendant un signal de sortie de cette zone de consolidation.</w:t>
      </w:r>
    </w:p>
    <w:p>
      <w:pPr>
        <w:spacing w:after="120" w:line="276" w:lineRule="auto"/>
      </w:pPr>
      <w:r>
        <w:t>**MACD** : La valeur MACD de -65,98 est inférieure au signal de -42,71, confirmant un momentum baissier en cours. La divergence négative entre ces deux lignes indique une pression vendeuse persistante, justifiant la décision de Vente, même si l'ampleur de l'écart suggère une possible atténuation prochaine de la tendance baissière.</w:t>
      </w:r>
    </w:p>
    <w:p>
      <w:pPr>
        <w:spacing w:after="120" w:line="276" w:lineRule="auto"/>
      </w:pPr>
      <w:r>
        <w:t>**RSI** : À 43,90, le RSI se situe dans la zone neutre (30-70), sans signal de surachat ni de survente. Cette valeur reflète un équilibre relatif entre acheteurs et vendeurs, avec une légère prédominance baissière, mais sans excès qui justifierait un retournement imminent.</w:t>
      </w:r>
    </w:p>
    <w:p>
      <w:pPr>
        <w:spacing w:after="120" w:line="276" w:lineRule="auto"/>
      </w:pPr>
      <w:r>
        <w:t>**Stochastique** : Les valeurs %K et %D sont identiques à 33,33, indiquant une absence de croisement directionnel et un momentum neutre. Cette configuration suggère une phase de consolidation, le marché n'ayant pas encore tranché entre une poursuite de la baisse ou un rebond.</w:t>
      </w:r>
    </w:p>
    <w:p>
      <w:pPr>
        <w:spacing w:after="120" w:line="276" w:lineRule="auto"/>
      </w:pPr>
      <w:r>
        <w:t>**Conclusion technique** : La convergence des indicateurs (MM, MACD) vers des signaux de vente, tempérée par la neutralité du RSI, des bandes de Bollinger et du stochastique, dessine un tableau mitigé. Le titre semble dans une phase de correction modérée après une hausse significative, sans signal fort de poursuite baissière ni de retournement haussier, appelant à la prudence à court terme.</w:t>
      </w:r>
    </w:p>
    <w:p>
      <w:pPr>
        <w:spacing w:after="120" w:line="276" w:lineRule="auto" w:before="240"/>
      </w:pPr>
      <w:r>
        <w:rPr>
          <w:b/>
          <w:color w:val="003366"/>
          <w:sz w:val="24"/>
        </w:rPr>
        <w:t>**PARTIE 3 : ANALYSE FONDAMENTALE (SECTION CRITIQUE)**</w:t>
      </w:r>
    </w:p>
    <w:p>
      <w:pPr>
        <w:spacing w:after="120" w:line="276" w:lineRule="auto"/>
      </w:pPr>
      <w:r>
        <w:t>En 2025, les données structurées de TTLS révèlent une entreprise non bancaire avec un chiffre d'affaires de 455,209 milliards FCFA, en baisse de 6,13% par rapport à 2024, et un résultat net de 6,779 milliards FCFA, soit une marge nette de 1,49%. Le ROE de 24,01% est excellent, nettement supérieur au seuil de 15%, démontrant une utilisation très efficace des capitaux propres (28,239 milliards FCFA), tandis que le ROA de 3,95% reflète une rentabilité plus modérée des actifs totaux (171,778 milliards FCFA). Le BFR négatif de -36,899 milliards FCFA est un signal très favorable, indiquant que l'entreprise finance son exploitation grâce aux délais fournisseurs (97,76 jours) nettement supérieurs aux délais clients (47,43 jours), créant ainsi une source de financement gratuite. La trésorerie nette positive de 13,941 milliards FCFA et un free cash flow de 17,483 milliards FCFA confirment la solidité financière, avec une capacité de remboursement de seulement 0,94 an. Les rapports narratifs de décembre 2025 (analysés par DeepSeek et Mistral) confirment cette tendance, avec un CA en baisse de 6% attribuée à l'arrêt du fuel lourd, mais un résultat d'exploitation stable à 8,693 milliards FCFA. Le rapport du T1 2026 (daté du 31 mars 2026) montre une résilience remarquable : malgré une baisse de CA de 10% à 99,9 milliards FCFA due à la révision des prix à la pompe par l'État, le résultat net progresse de 5% à 1,585 milliards FCFA grâce à l'amélioration des marges sur les lubrifiants. Sur la base de ce T1 2026, on estime que l'exercice 2026 pourrait voir un résultat net stable ou en légère hausse, entre 6,5 et 7 milliards FCFA, si la tendance se maintient. La société conserve une position de leader avec 140 stations-service et des perspectives de croissance liées aux projets Sangomar et GNL.</w:t>
      </w:r>
    </w:p>
    <w:p>
      <w:pPr>
        <w:spacing w:after="120" w:line="276" w:lineRule="auto" w:before="240"/>
      </w:pPr>
      <w:r>
        <w:rPr>
          <w:b/>
          <w:color w:val="003366"/>
          <w:sz w:val="24"/>
        </w:rPr>
        <w:t>**PARTIE 4 : CONCLUSION D'INVESTISSEMENT**</w:t>
      </w:r>
    </w:p>
    <w:p>
      <w:pPr>
        <w:spacing w:after="120" w:line="276" w:lineRule="auto"/>
      </w:pPr>
      <w:r>
        <w:t>La synthèse globale fait ressortir une valorisation exigeante (PER 17,3x, P/B 4,15x) qui contraste avec des fondamentaux solides mais en légère érosion (CA en baisse, résultat net en repli), tandis que le comportement du cours montre une tendance haussière récente (+12,68% sur 100 jours) mais avec une volatilité élevée (49,9%) et des statistiques indiquant une distribution asymétrique positive. Les signaux techniques sont mitigés, avec une prédominance de décisions de vente (MM, MACD) tempérée par des indicateurs neutres (RSI, Bollinger, Stochastique), suggérant une phase de consolidation. Les fondamentaux, bien que marqués par une baisse du CA, démontrent une résilience opérationnelle remarquable (ROE de 24%, BFR négatif favorable, trésorerie nette positive) et des perspectives de croissance liées aux nouveaux projets énergétiques sénégalais. Les prédictions IA pour les 10 prochains jours (3 488 à 3 318 FCFA) confirment la tendance baissière technique à court terme, avec une correction attendue de 8% par rapport au cours actuel. En convergence, ces éléments justifient une recommandation **CONSERVER** avec un niveau de confiance **Moyen** et un risque global **Moyen**, l'horizon d'investissement optimal étant le **moyen terme (3-12 mois)** pour capitaliser sur les fondamentaux solides tout en attendant une clarification de la politique de dividende et une reprise des volumes.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532.64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29 titres</w:t>
            </w:r>
          </w:p>
        </w:tc>
        <w:tc>
          <w:tcPr>
            <w:tcW w:type="dxa" w:w="2268"/>
            <w:shd w:fill="FFF2CC" w:val="clear"/>
          </w:tcPr>
          <w:p>
            <w:r>
              <w:rPr>
                <w:b/>
                <w:color w:val="503200"/>
                <w:sz w:val="16"/>
              </w:rPr>
              <w:t xml:space="preserve">Cours actuel : </w:t>
            </w:r>
            <w:r>
              <w:rPr>
                <w:color w:val="000000"/>
                <w:sz w:val="17"/>
              </w:rPr>
              <w:t>58,000 FCFA</w:t>
            </w:r>
          </w:p>
          <w:p>
            <w:r>
              <w:rPr>
                <w:b/>
                <w:color w:val="503200"/>
                <w:sz w:val="16"/>
              </w:rPr>
              <w:t xml:space="preserve">Var. 100 jours : </w:t>
            </w:r>
            <w:r>
              <w:rPr>
                <w:b/>
                <w:color w:val="B40000"/>
                <w:sz w:val="17"/>
              </w:rPr>
              <w:t>-17.14%</w:t>
            </w:r>
          </w:p>
          <w:p>
            <w:r>
              <w:rPr>
                <w:b/>
                <w:color w:val="503200"/>
                <w:sz w:val="16"/>
              </w:rPr>
              <w:t xml:space="preserve">Plus haut 100j : </w:t>
            </w:r>
            <w:r>
              <w:rPr>
                <w:color w:val="000000"/>
                <w:sz w:val="17"/>
              </w:rPr>
              <w:t>70,000 FCFA</w:t>
            </w:r>
          </w:p>
          <w:p>
            <w:r>
              <w:rPr>
                <w:b/>
                <w:color w:val="503200"/>
                <w:sz w:val="16"/>
              </w:rPr>
              <w:t xml:space="preserve">Plus bas 100j : </w:t>
            </w:r>
            <w:r>
              <w:rPr>
                <w:color w:val="000000"/>
                <w:sz w:val="17"/>
              </w:rPr>
              <w:t>49,630 FCFA</w:t>
            </w:r>
          </w:p>
          <w:p>
            <w:r>
              <w:rPr>
                <w:b/>
                <w:color w:val="503200"/>
                <w:sz w:val="16"/>
              </w:rPr>
              <w:t xml:space="preserve">Volatilité ann. : </w:t>
            </w:r>
            <w:r>
              <w:rPr>
                <w:color w:val="000000"/>
                <w:sz w:val="17"/>
              </w:rPr>
              <w:t>68.4%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32.8/100 → Moyen</w:t>
      </w:r>
    </w:p>
    <w:p>
      <w:pPr>
        <w:spacing w:before="40" w:after="80"/>
      </w:pPr>
      <w:r>
        <w:rPr>
          <w:rFonts w:ascii="Courier New" w:hAnsi="Courier New"/>
          <w:color w:val="825A00"/>
          <w:sz w:val="18"/>
        </w:rPr>
        <w:t>██████░░░░░░░░░░░░░░  32.8/100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7.12% (Moyenne) — μ=57,138 FCFA, σ=4,066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β=2.0391 (Très agressif) — Cov=0.000073, Var(idx)=0.000036, ρ=0.285,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FFEB9C" w:val="clear"/>
          </w:tcPr>
          <w:p>
            <w:r>
              <w:rPr>
                <w:b/>
                <w:sz w:val="15"/>
              </w:rPr>
              <w:t>29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σ_j=4.31%/j (Modérée) — Vol. annualisée≈68.4%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A06400"/>
          <w:sz w:val="26"/>
        </w:rPr>
        <w:t>53/100  (Moyen)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2026-08-13</w:t>
            </w:r>
          </w:p>
        </w:tc>
        <w:tc>
          <w:tcPr>
            <w:tcW w:type="dxa" w:w="1440"/>
            <w:shd w:fill="FAFAFA" w:val="clear"/>
          </w:tcPr>
          <w:p>
            <w:r>
              <w:rPr>
                <w:sz w:val="17"/>
              </w:rPr>
              <w:t>54,194</w:t>
            </w:r>
          </w:p>
        </w:tc>
        <w:tc>
          <w:tcPr>
            <w:tcW w:type="dxa" w:w="1440"/>
            <w:shd w:fill="FAFAFA" w:val="clear"/>
          </w:tcPr>
          <w:p>
            <w:r>
              <w:rPr>
                <w:b/>
                <w:sz w:val="17"/>
              </w:rPr>
              <w:t>57,743</w:t>
            </w:r>
          </w:p>
        </w:tc>
        <w:tc>
          <w:tcPr>
            <w:tcW w:type="dxa" w:w="1440"/>
            <w:shd w:fill="FAFAFA" w:val="clear"/>
          </w:tcPr>
          <w:p>
            <w:r>
              <w:rPr>
                <w:sz w:val="17"/>
              </w:rPr>
              <w:t>61,293</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2026-08-14</w:t>
            </w:r>
          </w:p>
        </w:tc>
        <w:tc>
          <w:tcPr>
            <w:tcW w:type="dxa" w:w="1440"/>
            <w:shd w:fill="FAFAFA" w:val="clear"/>
          </w:tcPr>
          <w:p>
            <w:r>
              <w:rPr>
                <w:sz w:val="17"/>
              </w:rPr>
              <w:t>53,438</w:t>
            </w:r>
          </w:p>
        </w:tc>
        <w:tc>
          <w:tcPr>
            <w:tcW w:type="dxa" w:w="1440"/>
            <w:shd w:fill="FAFAFA" w:val="clear"/>
          </w:tcPr>
          <w:p>
            <w:r>
              <w:rPr>
                <w:b/>
                <w:sz w:val="17"/>
              </w:rPr>
              <w:t>58,525</w:t>
            </w:r>
          </w:p>
        </w:tc>
        <w:tc>
          <w:tcPr>
            <w:tcW w:type="dxa" w:w="1440"/>
            <w:shd w:fill="FAFAFA" w:val="clear"/>
          </w:tcPr>
          <w:p>
            <w:r>
              <w:rPr>
                <w:sz w:val="17"/>
              </w:rPr>
              <w:t>63,612</w:t>
            </w:r>
          </w:p>
        </w:tc>
        <w:tc>
          <w:tcPr>
            <w:tcW w:type="dxa" w:w="1440"/>
            <w:shd w:fill="FAFAFA" w:val="clear"/>
          </w:tcPr>
          <w:p>
            <w:r>
              <w:rPr>
                <w:b/>
                <w:color w:val="008000"/>
                <w:sz w:val="17"/>
              </w:rPr>
              <w:t>+0.9%</w:t>
            </w:r>
          </w:p>
        </w:tc>
      </w:tr>
      <w:tr>
        <w:tc>
          <w:tcPr>
            <w:tcW w:type="dxa" w:w="1440"/>
            <w:shd w:fill="C6EFCE" w:val="clear"/>
          </w:tcPr>
          <w:p>
            <w:r>
              <w:rPr>
                <w:sz w:val="17"/>
              </w:rPr>
              <w:t>J+3  ⭐</w:t>
            </w:r>
          </w:p>
        </w:tc>
        <w:tc>
          <w:tcPr>
            <w:tcW w:type="dxa" w:w="1440"/>
            <w:shd w:fill="C6EFCE" w:val="clear"/>
          </w:tcPr>
          <w:p>
            <w:r>
              <w:rPr>
                <w:sz w:val="17"/>
              </w:rPr>
              <w:t>2026-08-17</w:t>
            </w:r>
          </w:p>
        </w:tc>
        <w:tc>
          <w:tcPr>
            <w:tcW w:type="dxa" w:w="1440"/>
            <w:shd w:fill="C6EFCE" w:val="clear"/>
          </w:tcPr>
          <w:p>
            <w:r>
              <w:rPr>
                <w:sz w:val="17"/>
              </w:rPr>
              <w:t>52,910</w:t>
            </w:r>
          </w:p>
        </w:tc>
        <w:tc>
          <w:tcPr>
            <w:tcW w:type="dxa" w:w="1440"/>
            <w:shd w:fill="C6EFCE" w:val="clear"/>
          </w:tcPr>
          <w:p>
            <w:r>
              <w:rPr>
                <w:b/>
                <w:sz w:val="17"/>
              </w:rPr>
              <w:t>59,214</w:t>
            </w:r>
          </w:p>
        </w:tc>
        <w:tc>
          <w:tcPr>
            <w:tcW w:type="dxa" w:w="1440"/>
            <w:shd w:fill="C6EFCE" w:val="clear"/>
          </w:tcPr>
          <w:p>
            <w:r>
              <w:rPr>
                <w:sz w:val="17"/>
              </w:rPr>
              <w:t>65,518</w:t>
            </w:r>
          </w:p>
        </w:tc>
        <w:tc>
          <w:tcPr>
            <w:tcW w:type="dxa" w:w="1440"/>
            <w:shd w:fill="C6EFCE" w:val="clear"/>
          </w:tcPr>
          <w:p>
            <w:r>
              <w:rPr>
                <w:b/>
                <w:color w:val="008000"/>
                <w:sz w:val="17"/>
              </w:rPr>
              <w:t>+2.1%</w:t>
            </w:r>
          </w:p>
        </w:tc>
      </w:tr>
      <w:tr>
        <w:tc>
          <w:tcPr>
            <w:tcW w:type="dxa" w:w="1440"/>
            <w:shd w:fill="C6EFCE" w:val="clear"/>
          </w:tcPr>
          <w:p>
            <w:r>
              <w:rPr>
                <w:sz w:val="17"/>
              </w:rPr>
              <w:t>J+4  ⭐</w:t>
            </w:r>
          </w:p>
        </w:tc>
        <w:tc>
          <w:tcPr>
            <w:tcW w:type="dxa" w:w="1440"/>
            <w:shd w:fill="C6EFCE" w:val="clear"/>
          </w:tcPr>
          <w:p>
            <w:r>
              <w:rPr>
                <w:sz w:val="17"/>
              </w:rPr>
              <w:t>2026-08-18</w:t>
            </w:r>
          </w:p>
        </w:tc>
        <w:tc>
          <w:tcPr>
            <w:tcW w:type="dxa" w:w="1440"/>
            <w:shd w:fill="C6EFCE" w:val="clear"/>
          </w:tcPr>
          <w:p>
            <w:r>
              <w:rPr>
                <w:sz w:val="17"/>
              </w:rPr>
              <w:t>52,521</w:t>
            </w:r>
          </w:p>
        </w:tc>
        <w:tc>
          <w:tcPr>
            <w:tcW w:type="dxa" w:w="1440"/>
            <w:shd w:fill="C6EFCE" w:val="clear"/>
          </w:tcPr>
          <w:p>
            <w:r>
              <w:rPr>
                <w:b/>
                <w:sz w:val="17"/>
              </w:rPr>
              <w:t>59,882</w:t>
            </w:r>
          </w:p>
        </w:tc>
        <w:tc>
          <w:tcPr>
            <w:tcW w:type="dxa" w:w="1440"/>
            <w:shd w:fill="C6EFCE" w:val="clear"/>
          </w:tcPr>
          <w:p>
            <w:r>
              <w:rPr>
                <w:sz w:val="17"/>
              </w:rPr>
              <w:t>67,243</w:t>
            </w:r>
          </w:p>
        </w:tc>
        <w:tc>
          <w:tcPr>
            <w:tcW w:type="dxa" w:w="1440"/>
            <w:shd w:fill="C6EFCE" w:val="clear"/>
          </w:tcPr>
          <w:p>
            <w:r>
              <w:rPr>
                <w:b/>
                <w:color w:val="008000"/>
                <w:sz w:val="17"/>
              </w:rPr>
              <w:t>+3.2%</w:t>
            </w:r>
          </w:p>
        </w:tc>
      </w:tr>
      <w:tr>
        <w:tc>
          <w:tcPr>
            <w:tcW w:type="dxa" w:w="1440"/>
            <w:shd w:fill="C6EFCE" w:val="clear"/>
          </w:tcPr>
          <w:p>
            <w:r>
              <w:rPr>
                <w:sz w:val="17"/>
              </w:rPr>
              <w:t>J+5  ⭐</w:t>
            </w:r>
          </w:p>
        </w:tc>
        <w:tc>
          <w:tcPr>
            <w:tcW w:type="dxa" w:w="1440"/>
            <w:shd w:fill="C6EFCE" w:val="clear"/>
          </w:tcPr>
          <w:p>
            <w:r>
              <w:rPr>
                <w:sz w:val="17"/>
              </w:rPr>
              <w:t>2026-08-19</w:t>
            </w:r>
          </w:p>
        </w:tc>
        <w:tc>
          <w:tcPr>
            <w:tcW w:type="dxa" w:w="1440"/>
            <w:shd w:fill="C6EFCE" w:val="clear"/>
          </w:tcPr>
          <w:p>
            <w:r>
              <w:rPr>
                <w:sz w:val="17"/>
              </w:rPr>
              <w:t>52,223</w:t>
            </w:r>
          </w:p>
        </w:tc>
        <w:tc>
          <w:tcPr>
            <w:tcW w:type="dxa" w:w="1440"/>
            <w:shd w:fill="C6EFCE" w:val="clear"/>
          </w:tcPr>
          <w:p>
            <w:r>
              <w:rPr>
                <w:b/>
                <w:sz w:val="17"/>
              </w:rPr>
              <w:t>60,545</w:t>
            </w:r>
          </w:p>
        </w:tc>
        <w:tc>
          <w:tcPr>
            <w:tcW w:type="dxa" w:w="1440"/>
            <w:shd w:fill="C6EFCE" w:val="clear"/>
          </w:tcPr>
          <w:p>
            <w:r>
              <w:rPr>
                <w:sz w:val="17"/>
              </w:rPr>
              <w:t>68,866</w:t>
            </w:r>
          </w:p>
        </w:tc>
        <w:tc>
          <w:tcPr>
            <w:tcW w:type="dxa" w:w="1440"/>
            <w:shd w:fill="C6EFCE" w:val="clear"/>
          </w:tcPr>
          <w:p>
            <w:r>
              <w:rPr>
                <w:b/>
                <w:color w:val="008000"/>
                <w:sz w:val="17"/>
              </w:rPr>
              <w:t>+4.4%</w:t>
            </w:r>
          </w:p>
        </w:tc>
      </w:tr>
      <w:tr>
        <w:tc>
          <w:tcPr>
            <w:tcW w:type="dxa" w:w="1440"/>
            <w:shd w:fill="C6EFCE" w:val="clear"/>
          </w:tcPr>
          <w:p>
            <w:r>
              <w:rPr>
                <w:sz w:val="17"/>
              </w:rPr>
              <w:t>J+6  ⭐</w:t>
            </w:r>
          </w:p>
        </w:tc>
        <w:tc>
          <w:tcPr>
            <w:tcW w:type="dxa" w:w="1440"/>
            <w:shd w:fill="C6EFCE" w:val="clear"/>
          </w:tcPr>
          <w:p>
            <w:r>
              <w:rPr>
                <w:sz w:val="17"/>
              </w:rPr>
              <w:t>2026-08-20</w:t>
            </w:r>
          </w:p>
        </w:tc>
        <w:tc>
          <w:tcPr>
            <w:tcW w:type="dxa" w:w="1440"/>
            <w:shd w:fill="C6EFCE" w:val="clear"/>
          </w:tcPr>
          <w:p>
            <w:r>
              <w:rPr>
                <w:sz w:val="17"/>
              </w:rPr>
              <w:t>51,991</w:t>
            </w:r>
          </w:p>
        </w:tc>
        <w:tc>
          <w:tcPr>
            <w:tcW w:type="dxa" w:w="1440"/>
            <w:shd w:fill="C6EFCE" w:val="clear"/>
          </w:tcPr>
          <w:p>
            <w:r>
              <w:rPr>
                <w:b/>
                <w:sz w:val="17"/>
              </w:rPr>
              <w:t>61,206</w:t>
            </w:r>
          </w:p>
        </w:tc>
        <w:tc>
          <w:tcPr>
            <w:tcW w:type="dxa" w:w="1440"/>
            <w:shd w:fill="C6EFCE" w:val="clear"/>
          </w:tcPr>
          <w:p>
            <w:r>
              <w:rPr>
                <w:sz w:val="17"/>
              </w:rPr>
              <w:t>70,421</w:t>
            </w:r>
          </w:p>
        </w:tc>
        <w:tc>
          <w:tcPr>
            <w:tcW w:type="dxa" w:w="1440"/>
            <w:shd w:fill="C6EFCE" w:val="clear"/>
          </w:tcPr>
          <w:p>
            <w:r>
              <w:rPr>
                <w:b/>
                <w:color w:val="008000"/>
                <w:sz w:val="17"/>
              </w:rPr>
              <w:t>+5.5%</w:t>
            </w:r>
          </w:p>
        </w:tc>
      </w:tr>
      <w:tr>
        <w:tc>
          <w:tcPr>
            <w:tcW w:type="dxa" w:w="1440"/>
            <w:shd w:fill="C6EFCE" w:val="clear"/>
          </w:tcPr>
          <w:p>
            <w:r>
              <w:rPr>
                <w:sz w:val="17"/>
              </w:rPr>
              <w:t>J+7  ⭐</w:t>
            </w:r>
          </w:p>
        </w:tc>
        <w:tc>
          <w:tcPr>
            <w:tcW w:type="dxa" w:w="1440"/>
            <w:shd w:fill="C6EFCE" w:val="clear"/>
          </w:tcPr>
          <w:p>
            <w:r>
              <w:rPr>
                <w:sz w:val="17"/>
              </w:rPr>
              <w:t>2026-08-21</w:t>
            </w:r>
          </w:p>
        </w:tc>
        <w:tc>
          <w:tcPr>
            <w:tcW w:type="dxa" w:w="1440"/>
            <w:shd w:fill="C6EFCE" w:val="clear"/>
          </w:tcPr>
          <w:p>
            <w:r>
              <w:rPr>
                <w:sz w:val="17"/>
              </w:rPr>
              <w:t>51,806</w:t>
            </w:r>
          </w:p>
        </w:tc>
        <w:tc>
          <w:tcPr>
            <w:tcW w:type="dxa" w:w="1440"/>
            <w:shd w:fill="C6EFCE" w:val="clear"/>
          </w:tcPr>
          <w:p>
            <w:r>
              <w:rPr>
                <w:b/>
                <w:sz w:val="17"/>
              </w:rPr>
              <w:t>61,867</w:t>
            </w:r>
          </w:p>
        </w:tc>
        <w:tc>
          <w:tcPr>
            <w:tcW w:type="dxa" w:w="1440"/>
            <w:shd w:fill="C6EFCE" w:val="clear"/>
          </w:tcPr>
          <w:p>
            <w:r>
              <w:rPr>
                <w:sz w:val="17"/>
              </w:rPr>
              <w:t>71,928</w:t>
            </w:r>
          </w:p>
        </w:tc>
        <w:tc>
          <w:tcPr>
            <w:tcW w:type="dxa" w:w="1440"/>
            <w:shd w:fill="C6EFCE" w:val="clear"/>
          </w:tcPr>
          <w:p>
            <w:r>
              <w:rPr>
                <w:b/>
                <w:color w:val="008000"/>
                <w:sz w:val="17"/>
              </w:rPr>
              <w:t>+6.7%</w:t>
            </w:r>
          </w:p>
        </w:tc>
      </w:tr>
      <w:tr>
        <w:tc>
          <w:tcPr>
            <w:tcW w:type="dxa" w:w="1440"/>
            <w:shd w:fill="C6EFCE" w:val="clear"/>
          </w:tcPr>
          <w:p>
            <w:r>
              <w:rPr>
                <w:sz w:val="17"/>
              </w:rPr>
              <w:t>J+8  ⭐</w:t>
            </w:r>
          </w:p>
        </w:tc>
        <w:tc>
          <w:tcPr>
            <w:tcW w:type="dxa" w:w="1440"/>
            <w:shd w:fill="C6EFCE" w:val="clear"/>
          </w:tcPr>
          <w:p>
            <w:r>
              <w:rPr>
                <w:sz w:val="17"/>
              </w:rPr>
              <w:t>2026-08-24</w:t>
            </w:r>
          </w:p>
        </w:tc>
        <w:tc>
          <w:tcPr>
            <w:tcW w:type="dxa" w:w="1440"/>
            <w:shd w:fill="C6EFCE" w:val="clear"/>
          </w:tcPr>
          <w:p>
            <w:r>
              <w:rPr>
                <w:sz w:val="17"/>
              </w:rPr>
              <w:t>51,658</w:t>
            </w:r>
          </w:p>
        </w:tc>
        <w:tc>
          <w:tcPr>
            <w:tcW w:type="dxa" w:w="1440"/>
            <w:shd w:fill="C6EFCE" w:val="clear"/>
          </w:tcPr>
          <w:p>
            <w:r>
              <w:rPr>
                <w:b/>
                <w:sz w:val="17"/>
              </w:rPr>
              <w:t>62,528</w:t>
            </w:r>
          </w:p>
        </w:tc>
        <w:tc>
          <w:tcPr>
            <w:tcW w:type="dxa" w:w="1440"/>
            <w:shd w:fill="C6EFCE" w:val="clear"/>
          </w:tcPr>
          <w:p>
            <w:r>
              <w:rPr>
                <w:sz w:val="17"/>
              </w:rPr>
              <w:t>73,399</w:t>
            </w:r>
          </w:p>
        </w:tc>
        <w:tc>
          <w:tcPr>
            <w:tcW w:type="dxa" w:w="1440"/>
            <w:shd w:fill="C6EFCE" w:val="clear"/>
          </w:tcPr>
          <w:p>
            <w:r>
              <w:rPr>
                <w:b/>
                <w:color w:val="008000"/>
                <w:sz w:val="17"/>
              </w:rPr>
              <w:t>+7.8%</w:t>
            </w:r>
          </w:p>
        </w:tc>
      </w:tr>
      <w:tr>
        <w:tc>
          <w:tcPr>
            <w:tcW w:type="dxa" w:w="1440"/>
            <w:shd w:fill="C6EFCE" w:val="clear"/>
          </w:tcPr>
          <w:p>
            <w:r>
              <w:rPr>
                <w:sz w:val="17"/>
              </w:rPr>
              <w:t>J+9  ⭐</w:t>
            </w:r>
          </w:p>
        </w:tc>
        <w:tc>
          <w:tcPr>
            <w:tcW w:type="dxa" w:w="1440"/>
            <w:shd w:fill="C6EFCE" w:val="clear"/>
          </w:tcPr>
          <w:p>
            <w:r>
              <w:rPr>
                <w:sz w:val="17"/>
              </w:rPr>
              <w:t>2026-08-25</w:t>
            </w:r>
          </w:p>
        </w:tc>
        <w:tc>
          <w:tcPr>
            <w:tcW w:type="dxa" w:w="1440"/>
            <w:shd w:fill="C6EFCE" w:val="clear"/>
          </w:tcPr>
          <w:p>
            <w:r>
              <w:rPr>
                <w:sz w:val="17"/>
              </w:rPr>
              <w:t>51,538</w:t>
            </w:r>
          </w:p>
        </w:tc>
        <w:tc>
          <w:tcPr>
            <w:tcW w:type="dxa" w:w="1440"/>
            <w:shd w:fill="C6EFCE" w:val="clear"/>
          </w:tcPr>
          <w:p>
            <w:r>
              <w:rPr>
                <w:b/>
                <w:sz w:val="17"/>
              </w:rPr>
              <w:t>63,190</w:t>
            </w:r>
          </w:p>
        </w:tc>
        <w:tc>
          <w:tcPr>
            <w:tcW w:type="dxa" w:w="1440"/>
            <w:shd w:fill="C6EFCE" w:val="clear"/>
          </w:tcPr>
          <w:p>
            <w:r>
              <w:rPr>
                <w:sz w:val="17"/>
              </w:rPr>
              <w:t>74,842</w:t>
            </w:r>
          </w:p>
        </w:tc>
        <w:tc>
          <w:tcPr>
            <w:tcW w:type="dxa" w:w="1440"/>
            <w:shd w:fill="C6EFCE" w:val="clear"/>
          </w:tcPr>
          <w:p>
            <w:r>
              <w:rPr>
                <w:b/>
                <w:color w:val="008000"/>
                <w:sz w:val="17"/>
              </w:rPr>
              <w:t>+8.9%</w:t>
            </w:r>
          </w:p>
        </w:tc>
      </w:tr>
      <w:tr>
        <w:tc>
          <w:tcPr>
            <w:tcW w:type="dxa" w:w="1440"/>
            <w:shd w:fill="C6EFCE" w:val="clear"/>
          </w:tcPr>
          <w:p>
            <w:r>
              <w:rPr>
                <w:sz w:val="17"/>
              </w:rPr>
              <w:t>J+10  ⭐</w:t>
            </w:r>
          </w:p>
        </w:tc>
        <w:tc>
          <w:tcPr>
            <w:tcW w:type="dxa" w:w="1440"/>
            <w:shd w:fill="C6EFCE" w:val="clear"/>
          </w:tcPr>
          <w:p>
            <w:r>
              <w:rPr>
                <w:sz w:val="17"/>
              </w:rPr>
              <w:t>2026-08-27</w:t>
            </w:r>
          </w:p>
        </w:tc>
        <w:tc>
          <w:tcPr>
            <w:tcW w:type="dxa" w:w="1440"/>
            <w:shd w:fill="C6EFCE" w:val="clear"/>
          </w:tcPr>
          <w:p>
            <w:r>
              <w:rPr>
                <w:sz w:val="17"/>
              </w:rPr>
              <w:t>51,441</w:t>
            </w:r>
          </w:p>
        </w:tc>
        <w:tc>
          <w:tcPr>
            <w:tcW w:type="dxa" w:w="1440"/>
            <w:shd w:fill="C6EFCE" w:val="clear"/>
          </w:tcPr>
          <w:p>
            <w:r>
              <w:rPr>
                <w:b/>
                <w:sz w:val="17"/>
              </w:rPr>
              <w:t>63,852</w:t>
            </w:r>
          </w:p>
        </w:tc>
        <w:tc>
          <w:tcPr>
            <w:tcW w:type="dxa" w:w="1440"/>
            <w:shd w:fill="C6EFCE" w:val="clear"/>
          </w:tcPr>
          <w:p>
            <w:r>
              <w:rPr>
                <w:sz w:val="17"/>
              </w:rPr>
              <w:t>76,263</w:t>
            </w:r>
          </w:p>
        </w:tc>
        <w:tc>
          <w:tcPr>
            <w:tcW w:type="dxa" w:w="1440"/>
            <w:shd w:fill="C6EFCE" w:val="clear"/>
          </w:tcPr>
          <w:p>
            <w:r>
              <w:rPr>
                <w:b/>
                <w:color w:val="008000"/>
                <w:sz w:val="17"/>
              </w:rPr>
              <w:t>+10.1%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532,64 milliards FCFA, un niveau significatif qui la positionne parmi les valeurs moyennes à grandes de la cote BRVM, reflétant la confiance des investisseurs dans la filiale ivoirienne du géant mondial Unilever. Les ratios de valorisation (BPA, PER, P/B, EV/EBITDA) ne sont malheureusement pas calculables en raison de l'absence de données financières structurées dans la base de données, ce qui limite une comparaison précise avec les références du marché (PER moyen BRVM de 8 à 12 fois). Toutefois, sur la base des rapports financiers disponibles, le bénéfice net de 640 millions FCFA en 2023 impliquerait un PER théorique extrêmement élevé (plus de 800 fois), signalant que le marché valorise fortement les actifs et la marque plutôt que la rentabilité actuelle. Cette situation suggère que les investisseurs parient sur un redressement structurel à long terme, avec une prime de risque considérable intégrée dans le cours actuel de 58 000 FCFA.</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enregistré une baisse significative de 17,14 %, passant de son plus haut à 70 000 FCFA à son plus bas à 49 630 FCFA, avant de rebondir à 58 000 FCFA lors de la dernière séance (+3,02 %). Cette évolution traduit une tendance globalement baissière marquée par une forte volatilité, avec un cours moyen de 57 138 FCFA et une médiane de 57 000 FCFA, indiquant une distribution relativement symétrique mais légèrement asymétrique positive (skewness de 0,812), signifiant que les journées sous la moyenne ont été plus fréquentes mais avec des pics à la hausse. L'écart-type de 4 086 FCFA (coefficient de variation de 7,2 %) révèle une dispersion modérée des prix autour de la moyenne, tandis que le kurtosis excédentaire de 1,190 (leptokurtique) suggère un risque de mouvements extrêmes, avec des queues de distribution épaisses. La volatilité annualisée de 68,4 % est extrêmement élevée, bien au-dessus du seuil de 30 % considéré comme élevé, ce qui positionne UNLC comme une valeur spéculative à haut risque, particulièrement sensible aux annonces et aux variations du marché régional.</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de 58 000 FCFA se situe au-dessus de la MM20 (53 469,5 FCFA) et de la MM50 (54 837,6 FCFA), ce qui indique un momentum haussier à court terme. Cependant, la décision globale reste "Vente" car la tendance de fond sur 100 jours demeure baissière, et le cours doit confirmer durablement son passage au-dessus de ces moyennes pour inverser la dynamique.</w:t>
      </w:r>
    </w:p>
    <w:p>
      <w:pPr>
        <w:spacing w:after="120" w:line="276" w:lineRule="auto"/>
      </w:pPr>
      <w:r>
        <w:t>**Bandes de Bollinger** : Le prix évolue à 58 000 FCFA, proche de la borne supérieure (57 605,5 FCFA), suggérant une pression acheteuse récente. La largeur des bandes (écart de 8 272 FCFA entre les bornes) reflète une volatilité élevée, et la décision "Vente" indique que le marché pourrait atteindre une zone de surachat temporaire, avec un risque de correction à court terme.</w:t>
      </w:r>
    </w:p>
    <w:p>
      <w:pPr>
        <w:spacing w:after="120" w:line="276" w:lineRule="auto"/>
      </w:pPr>
      <w:r>
        <w:t>**MACD** : La valeur du MACD (390,8) est nettement supérieure au signal (-277,6), formant un croisement haussier qui signale un momentum positif en train de s'installer. Cette divergence positive, bien que récente, suggère une dynamique d'achat qui pourrait se poursuivre si les volumes accompagnent, justifiant la décision "Achat".</w:t>
      </w:r>
    </w:p>
    <w:p>
      <w:pPr>
        <w:spacing w:after="120" w:line="276" w:lineRule="auto"/>
      </w:pPr>
      <w:r>
        <w:t>**RSI** : À 66,7, le RSI se situe en zone neutre-haute, proche du seuil de surachat (70), sans toutefois l'atteindre. Cela indique une pression acheteuse modérée mais pas encore excessive, laissant une marge de progression avant une éventuelle correction, d'où la décision "Neutre".</w:t>
      </w:r>
    </w:p>
    <w:p>
      <w:pPr>
        <w:spacing w:after="120" w:line="276" w:lineRule="auto"/>
      </w:pPr>
      <w:r>
        <w:t>**Stochastique** : Le %K à 100 et le %D à 92,1 sont en zone de surachat extrême, signalant que le marché est temporairement épuisé à la hausse. Cette configuration, avec un %K au maximum, suggère un risque élevé de retournement baissier à très court terme, justifiant la décision "Vente".</w:t>
      </w:r>
    </w:p>
    <w:p>
      <w:pPr>
        <w:spacing w:after="120" w:line="276" w:lineRule="auto"/>
      </w:pPr>
      <w:r>
        <w:t>**Conclusion technique** : Les indicateurs sont mitigés avec une divergence nette entre le MACD (haussier) et le Stochastique (surachat extrême), tandis que les moyennes mobiles et les bandes de Bollinger restent prudentes. Le titre montre des signes de rebond technique, mais la prudence est de mise face à un possible essoufflement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états financiers annuels d'UNLC, bien que datant de 2023 (rapport du 31 décembre 2023, analysé en mars 2026), révèlent une situation en redressement mais fragile. En 2023, le chiffre d'affaires s'établit à 24,336 milliards FCFA, stable par rapport à 2022, tandis que le résultat net passe d'une perte massive de 6,908 milliards FCFA en 2022 à un bénéfice modeste de 640 millions FCFA en 2023, soit une marge nette de 2,63 %, bien en dessous de la moyenne sectorielle de 5 à 10 %. Le résultat d'exploitation s'est nettement amélioré, passant de -6,258 milliards FCFA à +3,340 milliards FCFA, grâce à une réduction des charges et une meilleure gestion des stocks, mais les capitaux propres restent négatifs à -10,658 milliards FCFA, fragilisant la structure financière. L'endettement demeure élevé avec 4,379 milliards FCFA de dettes financières, et aucun dividende n'a été distribué, la priorité étant donnée à la reconstitution des fonds propres. En 2022, le CA était de 36,17 milliards FCFA (selon un rapport au 31/12/2022), montrant une baisse de 21,5 % due à la cession de l'activité thé, et la perte nette de 6,38 milliards FCFA reflétait une crise profonde. Sur la base de ces rapports anciens (2022-2023), on estime que l'exercice 2024-2025 pourrait poursuivre le redressement si la société maintient sa discipline opérationnelle, mais la rentabilité reste insuffisante pour couvrir les pertes passées, et le ROE est négatif en raison des capitaux propres négatifs. La recommandation fondamentale est donc "CONSERVER avec vigilance", car la société montre des signes d'amélioration mais reste exposée à des risques de liquidité et de solvabilité.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révèle une situation contrastée pour UNLC : la valorisation boursière (capitalisation de 532,64 milliards FCFA) apparaît surévaluée par rapport aux bénéfices actuels, avec un PER implicite extrêmement élevé, mais le comportement du cours sur 100 jours montre une tendance baissière (-17,14 %) avec une volatilité annualisée de 68,4 % et un kurtosis leptokurtique signalant des risques de mouvements extrêmes. Les signaux techniques sont mitigés, avec un MACD haussier contredit par un Stochastique en surachat extrême et des moyennes mobiles prudentes, tandis que les fondamentaux, basés sur les rapports 2022-2023, indiquent un redressement fragile avec des capitaux propres négatifs et une marge nette faible de 2,63 %. Les prédictions IA pour les 10 prochains jours (57 743 à 60 545 FCFA) suggèrent une poursuite du rebond haussier, confirmant le momentum technique à court terme, mais cette trajectoire contredit la prudence fondamentale. En conséquence, la recommandation finale est **CONSERVER** avec un niveau de confiance **Moyen** et un risque global **Élevé**, car la convergence entre le rebond technique et les prédictions IA est contrebalancée par la faiblesse structurelle des fondamentaux. L'horizon d'investissement optimal serait le **moyen terme (3-12 mois)**, en attendant une confirmation du redressement financier et une stabilisation des capitaux propres avant d'envisager un renforcement de position.</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39.94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12,081 titres</w:t>
            </w:r>
          </w:p>
        </w:tc>
        <w:tc>
          <w:tcPr>
            <w:tcW w:type="dxa" w:w="2268"/>
            <w:shd w:fill="FFF2CC" w:val="clear"/>
          </w:tcPr>
          <w:p>
            <w:r>
              <w:rPr>
                <w:b/>
                <w:color w:val="503200"/>
                <w:sz w:val="16"/>
              </w:rPr>
              <w:t xml:space="preserve">Cours actuel : </w:t>
            </w:r>
            <w:r>
              <w:rPr>
                <w:color w:val="000000"/>
                <w:sz w:val="17"/>
              </w:rPr>
              <w:t>1,925 FCFA</w:t>
            </w:r>
          </w:p>
          <w:p>
            <w:r>
              <w:rPr>
                <w:b/>
                <w:color w:val="503200"/>
                <w:sz w:val="16"/>
              </w:rPr>
              <w:t xml:space="preserve">Var. 100 jours : </w:t>
            </w:r>
            <w:r>
              <w:rPr>
                <w:b/>
                <w:color w:val="B40000"/>
                <w:sz w:val="17"/>
              </w:rPr>
              <w:t>-2.78%</w:t>
            </w:r>
          </w:p>
          <w:p>
            <w:r>
              <w:rPr>
                <w:b/>
                <w:color w:val="503200"/>
                <w:sz w:val="16"/>
              </w:rPr>
              <w:t xml:space="preserve">Plus haut 100j : </w:t>
            </w:r>
            <w:r>
              <w:rPr>
                <w:color w:val="000000"/>
                <w:sz w:val="17"/>
              </w:rPr>
              <w:t>2,095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18.0/100 → Faible</w:t>
      </w:r>
    </w:p>
    <w:p>
      <w:pPr>
        <w:spacing w:before="40" w:after="80"/>
      </w:pPr>
      <w:r>
        <w:rPr>
          <w:rFonts w:ascii="Courier New" w:hAnsi="Courier New"/>
          <w:color w:val="006400"/>
          <w:sz w:val="18"/>
        </w:rPr>
        <w:t>███░░░░░░░░░░░░░░░░░  18.0/100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8.88% (Moyenne) — μ=1,864 FCFA, σ=165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β=-0.8401 (Contre-cyclique) — Cov=-0.000030, Var(idx)=0.000036, ρ=-0.165,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12,081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σ_j=3.06%/j (Modérée) — Vol. annualisée≈48.6%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2026-08-13</w:t>
            </w:r>
          </w:p>
        </w:tc>
        <w:tc>
          <w:tcPr>
            <w:tcW w:type="dxa" w:w="1440"/>
            <w:shd w:fill="FAFAFA" w:val="clear"/>
          </w:tcPr>
          <w:p>
            <w:r>
              <w:rPr>
                <w:sz w:val="17"/>
              </w:rPr>
              <w:t>1,756</w:t>
            </w:r>
          </w:p>
        </w:tc>
        <w:tc>
          <w:tcPr>
            <w:tcW w:type="dxa" w:w="1440"/>
            <w:shd w:fill="FAFAFA" w:val="clear"/>
          </w:tcPr>
          <w:p>
            <w:r>
              <w:rPr>
                <w:b/>
                <w:sz w:val="17"/>
              </w:rPr>
              <w:t>1,894</w:t>
            </w:r>
          </w:p>
        </w:tc>
        <w:tc>
          <w:tcPr>
            <w:tcW w:type="dxa" w:w="1440"/>
            <w:shd w:fill="FAFAFA" w:val="clear"/>
          </w:tcPr>
          <w:p>
            <w:r>
              <w:rPr>
                <w:sz w:val="17"/>
              </w:rPr>
              <w:t>2,033</w:t>
            </w:r>
          </w:p>
        </w:tc>
        <w:tc>
          <w:tcPr>
            <w:tcW w:type="dxa" w:w="1440"/>
            <w:shd w:fill="FAFAFA" w:val="clear"/>
          </w:tcPr>
          <w:p>
            <w:r>
              <w:rPr>
                <w:b/>
                <w:color w:val="C00000"/>
                <w:sz w:val="17"/>
              </w:rPr>
              <w:t>-1.6%</w:t>
            </w:r>
          </w:p>
        </w:tc>
      </w:tr>
      <w:tr>
        <w:tc>
          <w:tcPr>
            <w:tcW w:type="dxa" w:w="1440"/>
            <w:shd w:fill="FAFAFA" w:val="clear"/>
          </w:tcPr>
          <w:p>
            <w:r>
              <w:rPr>
                <w:sz w:val="17"/>
              </w:rPr>
              <w:t>J+2  Moyenne</w:t>
            </w:r>
          </w:p>
        </w:tc>
        <w:tc>
          <w:tcPr>
            <w:tcW w:type="dxa" w:w="1440"/>
            <w:shd w:fill="FAFAFA" w:val="clear"/>
          </w:tcPr>
          <w:p>
            <w:r>
              <w:rPr>
                <w:sz w:val="17"/>
              </w:rPr>
              <w:t>2026-08-14</w:t>
            </w:r>
          </w:p>
        </w:tc>
        <w:tc>
          <w:tcPr>
            <w:tcW w:type="dxa" w:w="1440"/>
            <w:shd w:fill="FAFAFA" w:val="clear"/>
          </w:tcPr>
          <w:p>
            <w:r>
              <w:rPr>
                <w:sz w:val="17"/>
              </w:rPr>
              <w:t>1,692</w:t>
            </w:r>
          </w:p>
        </w:tc>
        <w:tc>
          <w:tcPr>
            <w:tcW w:type="dxa" w:w="1440"/>
            <w:shd w:fill="FAFAFA" w:val="clear"/>
          </w:tcPr>
          <w:p>
            <w:r>
              <w:rPr>
                <w:b/>
                <w:sz w:val="17"/>
              </w:rPr>
              <w:t>1,887</w:t>
            </w:r>
          </w:p>
        </w:tc>
        <w:tc>
          <w:tcPr>
            <w:tcW w:type="dxa" w:w="1440"/>
            <w:shd w:fill="FAFAFA" w:val="clear"/>
          </w:tcPr>
          <w:p>
            <w:r>
              <w:rPr>
                <w:sz w:val="17"/>
              </w:rPr>
              <w:t>2,082</w:t>
            </w:r>
          </w:p>
        </w:tc>
        <w:tc>
          <w:tcPr>
            <w:tcW w:type="dxa" w:w="1440"/>
            <w:shd w:fill="FAFAFA" w:val="clear"/>
          </w:tcPr>
          <w:p>
            <w:r>
              <w:rPr>
                <w:b/>
                <w:color w:val="C00000"/>
                <w:sz w:val="17"/>
              </w:rPr>
              <w:t>-2.0%</w:t>
            </w:r>
          </w:p>
        </w:tc>
      </w:tr>
      <w:tr>
        <w:tc>
          <w:tcPr>
            <w:tcW w:type="dxa" w:w="1440"/>
            <w:shd w:fill="FFDCE0" w:val="clear"/>
          </w:tcPr>
          <w:p>
            <w:r>
              <w:rPr>
                <w:sz w:val="17"/>
              </w:rPr>
              <w:t>J+3  Moyenne</w:t>
            </w:r>
          </w:p>
        </w:tc>
        <w:tc>
          <w:tcPr>
            <w:tcW w:type="dxa" w:w="1440"/>
            <w:shd w:fill="FFDCE0" w:val="clear"/>
          </w:tcPr>
          <w:p>
            <w:r>
              <w:rPr>
                <w:sz w:val="17"/>
              </w:rPr>
              <w:t>2026-08-17</w:t>
            </w:r>
          </w:p>
        </w:tc>
        <w:tc>
          <w:tcPr>
            <w:tcW w:type="dxa" w:w="1440"/>
            <w:shd w:fill="FFDCE0" w:val="clear"/>
          </w:tcPr>
          <w:p>
            <w:r>
              <w:rPr>
                <w:sz w:val="17"/>
              </w:rPr>
              <w:t>1,640</w:t>
            </w:r>
          </w:p>
        </w:tc>
        <w:tc>
          <w:tcPr>
            <w:tcW w:type="dxa" w:w="1440"/>
            <w:shd w:fill="FFDCE0" w:val="clear"/>
          </w:tcPr>
          <w:p>
            <w:r>
              <w:rPr>
                <w:b/>
                <w:sz w:val="17"/>
              </w:rPr>
              <w:t>1,877</w:t>
            </w:r>
          </w:p>
        </w:tc>
        <w:tc>
          <w:tcPr>
            <w:tcW w:type="dxa" w:w="1440"/>
            <w:shd w:fill="FFDCE0" w:val="clear"/>
          </w:tcPr>
          <w:p>
            <w:r>
              <w:rPr>
                <w:sz w:val="17"/>
              </w:rPr>
              <w:t>2,115</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2026-08-18</w:t>
            </w:r>
          </w:p>
        </w:tc>
        <w:tc>
          <w:tcPr>
            <w:tcW w:type="dxa" w:w="1440"/>
            <w:shd w:fill="FFDCE0" w:val="clear"/>
          </w:tcPr>
          <w:p>
            <w:r>
              <w:rPr>
                <w:sz w:val="17"/>
              </w:rPr>
              <w:t>1,595</w:t>
            </w:r>
          </w:p>
        </w:tc>
        <w:tc>
          <w:tcPr>
            <w:tcW w:type="dxa" w:w="1440"/>
            <w:shd w:fill="FFDCE0" w:val="clear"/>
          </w:tcPr>
          <w:p>
            <w:r>
              <w:rPr>
                <w:b/>
                <w:sz w:val="17"/>
              </w:rPr>
              <w:t>1,868</w:t>
            </w:r>
          </w:p>
        </w:tc>
        <w:tc>
          <w:tcPr>
            <w:tcW w:type="dxa" w:w="1440"/>
            <w:shd w:fill="FFDCE0" w:val="clear"/>
          </w:tcPr>
          <w:p>
            <w:r>
              <w:rPr>
                <w:sz w:val="17"/>
              </w:rPr>
              <w:t>2,140</w:t>
            </w:r>
          </w:p>
        </w:tc>
        <w:tc>
          <w:tcPr>
            <w:tcW w:type="dxa" w:w="1440"/>
            <w:shd w:fill="FFDCE0" w:val="clear"/>
          </w:tcPr>
          <w:p>
            <w:r>
              <w:rPr>
                <w:b/>
                <w:color w:val="C00000"/>
                <w:sz w:val="17"/>
              </w:rPr>
              <w:t>-3.0%</w:t>
            </w:r>
          </w:p>
        </w:tc>
      </w:tr>
      <w:tr>
        <w:tc>
          <w:tcPr>
            <w:tcW w:type="dxa" w:w="1440"/>
            <w:shd w:fill="FFDCE0" w:val="clear"/>
          </w:tcPr>
          <w:p>
            <w:r>
              <w:rPr>
                <w:sz w:val="17"/>
              </w:rPr>
              <w:t>J+5  ⭐</w:t>
            </w:r>
          </w:p>
        </w:tc>
        <w:tc>
          <w:tcPr>
            <w:tcW w:type="dxa" w:w="1440"/>
            <w:shd w:fill="FFDCE0" w:val="clear"/>
          </w:tcPr>
          <w:p>
            <w:r>
              <w:rPr>
                <w:sz w:val="17"/>
              </w:rPr>
              <w:t>2026-08-19</w:t>
            </w:r>
          </w:p>
        </w:tc>
        <w:tc>
          <w:tcPr>
            <w:tcW w:type="dxa" w:w="1440"/>
            <w:shd w:fill="FFDCE0" w:val="clear"/>
          </w:tcPr>
          <w:p>
            <w:r>
              <w:rPr>
                <w:sz w:val="17"/>
              </w:rPr>
              <w:t>1,555</w:t>
            </w:r>
          </w:p>
        </w:tc>
        <w:tc>
          <w:tcPr>
            <w:tcW w:type="dxa" w:w="1440"/>
            <w:shd w:fill="FFDCE0" w:val="clear"/>
          </w:tcPr>
          <w:p>
            <w:r>
              <w:rPr>
                <w:b/>
                <w:sz w:val="17"/>
              </w:rPr>
              <w:t>1,858</w:t>
            </w:r>
          </w:p>
        </w:tc>
        <w:tc>
          <w:tcPr>
            <w:tcW w:type="dxa" w:w="1440"/>
            <w:shd w:fill="FFDCE0" w:val="clear"/>
          </w:tcPr>
          <w:p>
            <w:r>
              <w:rPr>
                <w:sz w:val="17"/>
              </w:rPr>
              <w:t>2,162</w:t>
            </w:r>
          </w:p>
        </w:tc>
        <w:tc>
          <w:tcPr>
            <w:tcW w:type="dxa" w:w="1440"/>
            <w:shd w:fill="FFDCE0" w:val="clear"/>
          </w:tcPr>
          <w:p>
            <w:r>
              <w:rPr>
                <w:b/>
                <w:color w:val="C00000"/>
                <w:sz w:val="17"/>
              </w:rPr>
              <w:t>-3.5%</w:t>
            </w:r>
          </w:p>
        </w:tc>
      </w:tr>
      <w:tr>
        <w:tc>
          <w:tcPr>
            <w:tcW w:type="dxa" w:w="1440"/>
            <w:shd w:fill="FFDCE0" w:val="clear"/>
          </w:tcPr>
          <w:p>
            <w:r>
              <w:rPr>
                <w:sz w:val="17"/>
              </w:rPr>
              <w:t>J+6  ⭐</w:t>
            </w:r>
          </w:p>
        </w:tc>
        <w:tc>
          <w:tcPr>
            <w:tcW w:type="dxa" w:w="1440"/>
            <w:shd w:fill="FFDCE0" w:val="clear"/>
          </w:tcPr>
          <w:p>
            <w:r>
              <w:rPr>
                <w:sz w:val="17"/>
              </w:rPr>
              <w:t>2026-08-20</w:t>
            </w:r>
          </w:p>
        </w:tc>
        <w:tc>
          <w:tcPr>
            <w:tcW w:type="dxa" w:w="1440"/>
            <w:shd w:fill="FFDCE0" w:val="clear"/>
          </w:tcPr>
          <w:p>
            <w:r>
              <w:rPr>
                <w:sz w:val="17"/>
              </w:rPr>
              <w:t>1,519</w:t>
            </w:r>
          </w:p>
        </w:tc>
        <w:tc>
          <w:tcPr>
            <w:tcW w:type="dxa" w:w="1440"/>
            <w:shd w:fill="FFDCE0" w:val="clear"/>
          </w:tcPr>
          <w:p>
            <w:r>
              <w:rPr>
                <w:b/>
                <w:sz w:val="17"/>
              </w:rPr>
              <w:t>1,849</w:t>
            </w:r>
          </w:p>
        </w:tc>
        <w:tc>
          <w:tcPr>
            <w:tcW w:type="dxa" w:w="1440"/>
            <w:shd w:fill="FFDCE0" w:val="clear"/>
          </w:tcPr>
          <w:p>
            <w:r>
              <w:rPr>
                <w:sz w:val="17"/>
              </w:rPr>
              <w:t>2,180</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2026-08-21</w:t>
            </w:r>
          </w:p>
        </w:tc>
        <w:tc>
          <w:tcPr>
            <w:tcW w:type="dxa" w:w="1440"/>
            <w:shd w:fill="FFDCE0" w:val="clear"/>
          </w:tcPr>
          <w:p>
            <w:r>
              <w:rPr>
                <w:sz w:val="17"/>
              </w:rPr>
              <w:t>1,485</w:t>
            </w:r>
          </w:p>
        </w:tc>
        <w:tc>
          <w:tcPr>
            <w:tcW w:type="dxa" w:w="1440"/>
            <w:shd w:fill="FFDCE0" w:val="clear"/>
          </w:tcPr>
          <w:p>
            <w:r>
              <w:rPr>
                <w:b/>
                <w:sz w:val="17"/>
              </w:rPr>
              <w:t>1,840</w:t>
            </w:r>
          </w:p>
        </w:tc>
        <w:tc>
          <w:tcPr>
            <w:tcW w:type="dxa" w:w="1440"/>
            <w:shd w:fill="FFDCE0" w:val="clear"/>
          </w:tcPr>
          <w:p>
            <w:r>
              <w:rPr>
                <w:sz w:val="17"/>
              </w:rPr>
              <w:t>2,195</w:t>
            </w:r>
          </w:p>
        </w:tc>
        <w:tc>
          <w:tcPr>
            <w:tcW w:type="dxa" w:w="1440"/>
            <w:shd w:fill="FFDCE0" w:val="clear"/>
          </w:tcPr>
          <w:p>
            <w:r>
              <w:rPr>
                <w:b/>
                <w:color w:val="C00000"/>
                <w:sz w:val="17"/>
              </w:rPr>
              <w:t>-4.4%</w:t>
            </w:r>
          </w:p>
        </w:tc>
      </w:tr>
      <w:tr>
        <w:tc>
          <w:tcPr>
            <w:tcW w:type="dxa" w:w="1440"/>
            <w:shd w:fill="FFDCE0" w:val="clear"/>
          </w:tcPr>
          <w:p>
            <w:r>
              <w:rPr>
                <w:sz w:val="17"/>
              </w:rPr>
              <w:t>J+8  ⭐</w:t>
            </w:r>
          </w:p>
        </w:tc>
        <w:tc>
          <w:tcPr>
            <w:tcW w:type="dxa" w:w="1440"/>
            <w:shd w:fill="FFDCE0" w:val="clear"/>
          </w:tcPr>
          <w:p>
            <w:r>
              <w:rPr>
                <w:sz w:val="17"/>
              </w:rPr>
              <w:t>2026-08-24</w:t>
            </w:r>
          </w:p>
        </w:tc>
        <w:tc>
          <w:tcPr>
            <w:tcW w:type="dxa" w:w="1440"/>
            <w:shd w:fill="FFDCE0" w:val="clear"/>
          </w:tcPr>
          <w:p>
            <w:r>
              <w:rPr>
                <w:sz w:val="17"/>
              </w:rPr>
              <w:t>1,453</w:t>
            </w:r>
          </w:p>
        </w:tc>
        <w:tc>
          <w:tcPr>
            <w:tcW w:type="dxa" w:w="1440"/>
            <w:shd w:fill="FFDCE0" w:val="clear"/>
          </w:tcPr>
          <w:p>
            <w:r>
              <w:rPr>
                <w:b/>
                <w:sz w:val="17"/>
              </w:rPr>
              <w:t>1,831</w:t>
            </w:r>
          </w:p>
        </w:tc>
        <w:tc>
          <w:tcPr>
            <w:tcW w:type="dxa" w:w="1440"/>
            <w:shd w:fill="FFDCE0" w:val="clear"/>
          </w:tcPr>
          <w:p>
            <w:r>
              <w:rPr>
                <w:sz w:val="17"/>
              </w:rPr>
              <w:t>2,209</w:t>
            </w:r>
          </w:p>
        </w:tc>
        <w:tc>
          <w:tcPr>
            <w:tcW w:type="dxa" w:w="1440"/>
            <w:shd w:fill="FFDCE0" w:val="clear"/>
          </w:tcPr>
          <w:p>
            <w:r>
              <w:rPr>
                <w:b/>
                <w:color w:val="C00000"/>
                <w:sz w:val="17"/>
              </w:rPr>
              <w:t>-4.9%</w:t>
            </w:r>
          </w:p>
        </w:tc>
      </w:tr>
      <w:tr>
        <w:tc>
          <w:tcPr>
            <w:tcW w:type="dxa" w:w="1440"/>
            <w:shd w:fill="FFDCE0" w:val="clear"/>
          </w:tcPr>
          <w:p>
            <w:r>
              <w:rPr>
                <w:sz w:val="17"/>
              </w:rPr>
              <w:t>J+9  ⭐</w:t>
            </w:r>
          </w:p>
        </w:tc>
        <w:tc>
          <w:tcPr>
            <w:tcW w:type="dxa" w:w="1440"/>
            <w:shd w:fill="FFDCE0" w:val="clear"/>
          </w:tcPr>
          <w:p>
            <w:r>
              <w:rPr>
                <w:sz w:val="17"/>
              </w:rPr>
              <w:t>2026-08-25</w:t>
            </w:r>
          </w:p>
        </w:tc>
        <w:tc>
          <w:tcPr>
            <w:tcW w:type="dxa" w:w="1440"/>
            <w:shd w:fill="FFDCE0" w:val="clear"/>
          </w:tcPr>
          <w:p>
            <w:r>
              <w:rPr>
                <w:sz w:val="17"/>
              </w:rPr>
              <w:t>1,423</w:t>
            </w:r>
          </w:p>
        </w:tc>
        <w:tc>
          <w:tcPr>
            <w:tcW w:type="dxa" w:w="1440"/>
            <w:shd w:fill="FFDCE0" w:val="clear"/>
          </w:tcPr>
          <w:p>
            <w:r>
              <w:rPr>
                <w:b/>
                <w:sz w:val="17"/>
              </w:rPr>
              <w:t>1,822</w:t>
            </w:r>
          </w:p>
        </w:tc>
        <w:tc>
          <w:tcPr>
            <w:tcW w:type="dxa" w:w="1440"/>
            <w:shd w:fill="FFDCE0" w:val="clear"/>
          </w:tcPr>
          <w:p>
            <w:r>
              <w:rPr>
                <w:sz w:val="17"/>
              </w:rPr>
              <w:t>2,221</w:t>
            </w:r>
          </w:p>
        </w:tc>
        <w:tc>
          <w:tcPr>
            <w:tcW w:type="dxa" w:w="1440"/>
            <w:shd w:fill="FFDCE0" w:val="clear"/>
          </w:tcPr>
          <w:p>
            <w:r>
              <w:rPr>
                <w:b/>
                <w:color w:val="C00000"/>
                <w:sz w:val="17"/>
              </w:rPr>
              <w:t>-5.3%</w:t>
            </w:r>
          </w:p>
        </w:tc>
      </w:tr>
      <w:tr>
        <w:tc>
          <w:tcPr>
            <w:tcW w:type="dxa" w:w="1440"/>
            <w:shd w:fill="FFDCE0" w:val="clear"/>
          </w:tcPr>
          <w:p>
            <w:r>
              <w:rPr>
                <w:sz w:val="17"/>
              </w:rPr>
              <w:t>J+10  ⭐</w:t>
            </w:r>
          </w:p>
        </w:tc>
        <w:tc>
          <w:tcPr>
            <w:tcW w:type="dxa" w:w="1440"/>
            <w:shd w:fill="FFDCE0" w:val="clear"/>
          </w:tcPr>
          <w:p>
            <w:r>
              <w:rPr>
                <w:sz w:val="17"/>
              </w:rPr>
              <w:t>2026-08-27</w:t>
            </w:r>
          </w:p>
        </w:tc>
        <w:tc>
          <w:tcPr>
            <w:tcW w:type="dxa" w:w="1440"/>
            <w:shd w:fill="FFDCE0" w:val="clear"/>
          </w:tcPr>
          <w:p>
            <w:r>
              <w:rPr>
                <w:sz w:val="17"/>
              </w:rPr>
              <w:t>1,395</w:t>
            </w:r>
          </w:p>
        </w:tc>
        <w:tc>
          <w:tcPr>
            <w:tcW w:type="dxa" w:w="1440"/>
            <w:shd w:fill="FFDCE0" w:val="clear"/>
          </w:tcPr>
          <w:p>
            <w:r>
              <w:rPr>
                <w:b/>
                <w:sz w:val="17"/>
              </w:rPr>
              <w:t>1,813</w:t>
            </w:r>
          </w:p>
        </w:tc>
        <w:tc>
          <w:tcPr>
            <w:tcW w:type="dxa" w:w="1440"/>
            <w:shd w:fill="FFDCE0" w:val="clear"/>
          </w:tcPr>
          <w:p>
            <w:r>
              <w:rPr>
                <w:sz w:val="17"/>
              </w:rPr>
              <w:t>2,232</w:t>
            </w:r>
          </w:p>
        </w:tc>
        <w:tc>
          <w:tcPr>
            <w:tcW w:type="dxa" w:w="1440"/>
            <w:shd w:fill="FFDCE0" w:val="clear"/>
          </w:tcPr>
          <w:p>
            <w:r>
              <w:rPr>
                <w:b/>
                <w:color w:val="C00000"/>
                <w:sz w:val="17"/>
              </w:rPr>
              <w:t>-5.8%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39,94 milliards FCFA, ce qui la positionne comme une valeur de taille moyenne sur la BRVM, avec un niveau de liquidité relativement faible (volume moyen de 12 081 titres par jour). Le BPA est négatif à -105 FCFA, traduisant la perte nette enregistrée en 2024, ce qui rend le PER non significatif (-18,2x) et indique que le marché ne valorise pas des bénéfices actuels mais anticipe un redressement futur. Le P/B de 2,56x montre que le marché accorde une prime de croissance significative par rapport aux capitaux propres comptables, ce qui est cohérent avec les attentes de retour à la rentabilité. En l'absence de données fiables sur l'EBITDA, le ratio EV/EBITDA ne peut être calculé, mais cette prime de valorisation suggère que les investisseurs intègrent déjà une partie du scénario de redressement opérationnel dans le cours actuel.</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UNXC affiche une variation totale de -2,78%, avec une dernière séance en hausse de +1,32% à 1 925 FCFA. Le cours a évolué dans une fourchette large de 1 250 à 2 095 FCFA, soit une amplitude de près de 68%, indiquant une forte nervosité du marché. La moyenne (1 864 FCFA) est légèrement inférieure à la médiane (1 900 FCFA), et le mode est également à 1 900 FCFA, ce qui suggère une distribution légèrement asymétrique avec une concentration des cotations autour de ce niveau. L'écart-type de 166 FCFA (CV = 8,9%) reflète une dispersion modérée des prix autour de la moyenne. Le kurtosis excédentaire de 3,586 indique une distribution leptokurtique avec des queues épaisses, signifiant un risque de mouvements extrêmes plus élevé que la normale. Le skewness de -1,803 révèle une asymétrie négative marquée, avec des épisodes de fortes baisses plus fréquents que des hausses équivalentes. La volatilité annualisée de 48,6% classe le titre dans la catégorie des valeurs à très forte volatilité, bien au-dessus du seuil de 30%.</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de 1 925 FCFA se situe au-dessus de la MM20 (1 880,75 FCFA) et de la MM50 (1 814,8 FCFA), confirmant une dynamique haussière à court et moyen terme. La configuration des moyennes mobiles, avec la MM20 au-dessus de la MM50, valide la tendance positive et justifie la décision d'achat.</w:t>
      </w:r>
    </w:p>
    <w:p>
      <w:pPr>
        <w:spacing w:after="120" w:line="276" w:lineRule="auto"/>
      </w:pPr>
      <w:r>
        <w:t>**Bandes de Bollinger** : Le prix évolue à l'intérieur des bandes, entre la borne supérieure à 2 016,91 FCFA et la borne inférieure à 1 744,59 FCFA, avec une position légèrement au-dessus de la moyenne. La largeur des bandes reflète une volatilité élevée, mais l'absence de sortie des bandes indique une phase de consolidation relative, justifiant la décision neutre.</w:t>
      </w:r>
    </w:p>
    <w:p>
      <w:pPr>
        <w:spacing w:after="120" w:line="276" w:lineRule="auto"/>
      </w:pPr>
      <w:r>
        <w:t>**MACD** : Le MACD (47,73) est supérieur à son signal (44,27), avec un écart positif de 3,47 points, indiquant un momentum haussier en cours. Cette configuration, avec le MACD au-dessus de zéro, confirme la dynamique positive et justifie la décision d'achat.</w:t>
      </w:r>
    </w:p>
    <w:p>
      <w:pPr>
        <w:spacing w:after="120" w:line="276" w:lineRule="auto"/>
      </w:pPr>
      <w:r>
        <w:t>**RSI** : Le RSI à 53,68 se situe dans la zone neutre (30-70), sans signal de surachat ni de survente. Cette valeur reflète un équilibre entre les forces acheteuses et vendeuses, sans momentum directionnel fort, justifiant la décision neutre.</w:t>
      </w:r>
    </w:p>
    <w:p>
      <w:pPr>
        <w:spacing w:after="120" w:line="276" w:lineRule="auto"/>
      </w:pPr>
      <w:r>
        <w:t>**Stochastique** : Le %K (67,86) est supérieur au %D (64,29), avec les deux indicateurs dans la zone haute, suggérant une dynamique positive mais proche de la zone de surachat. Le croisement haussier récent soutient la tendance, mais la proximité du seuil de 70 appelle à la prudence, justifiant la décision neutre.</w:t>
      </w:r>
    </w:p>
    <w:p>
      <w:pPr>
        <w:spacing w:after="120" w:line="276" w:lineRule="auto"/>
      </w:pPr>
      <w:r>
        <w:t>**Conclusion technique** : La convergence des indicateurs (MM, MACD) vers des signaux d'achat, tempérée par la neutralité du RSI et du Stochastique, suggère une tendance haussière modérée mais fragile. Le titre semble dans une phase de consolidation haussière, avec un potentiel de poursuite si le cours maintient sa position au-dessus des moyennes mobiles clés.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révèlent une situation financière contrastée pour UNXC. Le chiffre d'affaires s'établit à 27,333 milliards FCFA, en baisse de 7,9% par rapport à l'exercice précédent, avec une marge nette négative de -8,0% et un résultat net de -2,189 milliards FCFA. Le ROE est déficitaire à -14,0% et le ROA à -6,4%, traduisant une destruction de valeur pour les actionnaires. L'EBE est négatif à -352 millions FCFA, mais le flux opérationnel reste positif à 1,879 milliards FCFA, grâce à une gestion du BFR favorable (BFR de 2,149 milliards FCFA, avec un délai fournisseurs très élevé de 267,8 jours contre 51 jours pour les clients). La structure financière reste solide avec une autonomie financière de 45,5% et une trésorerie nette positive de 2,495 milliards FCFA. Les rapports trimestriels 2025 montrent une amélioration spectaculaire : le CA du S1 2025 progresse de 12,5% à 15,711 milliards FCFA, avec un bénéfice net de 8,217 milliards FCFA, mais ce résultat est intégralement dû à la cession-bail du terrain (produit exceptionnel de 9,994 milliards FCFA). Le résultat des activités ordinaires reste déficitaire à -330 millions FCFA. Le rapport S1 2026 confirme le redressement avec un résultat d'exploitation redevenu positif à 771 millions FCFA et un résultat net de 771 millions FCFA, sans éléments exceptionnels. Le rapport annuel 2025 indique un CA de 29,03 milliards FCFA (+6,2%), un EBE positif à 1,13 milliard FCFA et une perte réduite à -624 millions FCFA. La trajectoire montre donc une amélioration progressive de la rentabilité opérationnelle, avec un point d'inflexion atteint au S1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actuelle d'UNXC intègre une prime de croissance (P/B de 2,56x) malgré des bénéfices négatifs, reflétant les attentes de redressement. Le comportement du cours sur 100 jours montre une tendance globalement stable (-2,78%) mais avec une volatilité très élevée (48,6%) et une asymétrie négative préoccupante (skewness de -1,803), indiquant un risque de chocs baissiers. Les signaux techniques sont globalement positifs (MM et MACD en achat) mais tempérés par la neutralité du RSI et du Stochastique. Les fondamentaux montrent une amélioration nette : le S1 2026 confirme le retour à une rentabilité opérationnelle positive (771 millions FCFA), après un exercice 2025 marqué par la réduction des pertes et le désendettement. Les prédictions IA sur 10 jours (1 894 à 1 858 FCFA) suggèrent une légère correction baissière, contredisant partiellement les signaux techniques haussiers. La convergence entre l'amélioration fondamentale et les signaux techniques positifs, malgré une valorisation exigeante, conduit à une recommandation **ACHAT** avec un niveau de confiance **Moyen** et un risque global **Élevé** compte tenu de la volatilité. L'horizon d'investissement optimal est le **moyen terme (3-12 mois)**, permettant de capturer la poursuite du redressement opérationnel tout en évitant la volatilité à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