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03366"/>
        </w:rPr>
        <w:t>RAPPORT D'ANALYSE BRVM</w:t>
      </w:r>
    </w:p>
    <w:p>
      <w:pPr>
        <w:jc w:val="center"/>
      </w:pPr>
      <w:r>
        <w:rPr>
          <w:color w:val="404040"/>
          <w:sz w:val="24"/>
        </w:rPr>
        <w:t>Rapport d'investissement professionnel - Édition Ultimate</w:t>
      </w:r>
    </w:p>
    <w:p>
      <w:pPr>
        <w:jc w:val="center"/>
      </w:pPr>
      <w:r>
        <w:rPr>
          <w:i/>
          <w:sz w:val="20"/>
        </w:rPr>
        <w:t>Généré le 28/08/2026 à 16:21</w:t>
      </w:r>
    </w:p>
    <w:p>
      <w:pPr>
        <w:jc w:val="center"/>
      </w:pPr>
      <w:r>
        <w:rPr>
          <w:i/>
          <w:color w:val="808080"/>
          <w:sz w:val="18"/>
        </w:rPr>
        <w:t>Version 30.2 - Analyses Multi-AI (DeepSeek + Gemini + Mistral)</w:t>
      </w:r>
    </w:p>
    <w:p/>
    <w:p/>
    <w:p>
      <w:pPr>
        <w:spacing w:before="120" w:after="120"/>
      </w:pPr>
    </w:p>
    <w:p>
      <w:pPr>
        <w:spacing w:before="20" w:after="20"/>
        <w:ind w:left="360" w:right="360"/>
        <w:shd w:val="clear" w:color="auto" w:fill="EBF5FB"/>
      </w:pPr>
      <w:r>
        <w:rPr>
          <w:b/>
          <w:color w:val="003366"/>
          <w:sz w:val="22"/>
        </w:rPr>
        <w:t>📊 RÉSUMÉ EXÉCUTIF</w:t>
      </w:r>
    </w:p>
    <w:p>
      <w:pPr>
        <w:spacing w:before="20" w:after="20"/>
        <w:ind w:left="360" w:right="360"/>
        <w:shd w:val="clear" w:color="auto" w:fill="EBF5FB"/>
      </w:pPr>
      <w:r>
        <w:rPr>
          <w:b/>
          <w:color w:val="003366"/>
          <w:sz w:val="22"/>
        </w:rPr>
      </w:r>
    </w:p>
    <w:p>
      <w:pPr>
        <w:spacing w:before="20" w:after="20"/>
        <w:ind w:left="360" w:right="360"/>
        <w:shd w:val="clear" w:color="auto" w:fill="EBF5FB"/>
      </w:pPr>
      <w:r>
        <w:rPr>
          <w:b/>
          <w:sz w:val="19"/>
        </w:rPr>
        <w:t xml:space="preserve">Marché :  </w:t>
      </w:r>
      <w:r>
        <w:rPr>
          <w:color w:val="505050"/>
          <w:sz w:val="19"/>
        </w:rPr>
        <w:t>HAUSSIER 📈</w:t>
      </w:r>
    </w:p>
    <w:p>
      <w:pPr>
        <w:spacing w:before="20" w:after="20"/>
        <w:ind w:left="360" w:right="360"/>
        <w:shd w:val="clear" w:color="auto" w:fill="EBF5FB"/>
      </w:pPr>
      <w:r>
        <w:rPr>
          <w:b/>
          <w:sz w:val="19"/>
        </w:rPr>
        <w:t xml:space="preserve">Signaux :  </w:t>
      </w:r>
      <w:r>
        <w:rPr>
          <w:color w:val="0050A0"/>
          <w:sz w:val="19"/>
        </w:rPr>
        <w:t>44 ACHAT  |  3 NEUTRE  |  0 VENTE  (sur 47 sociétés)</w:t>
      </w:r>
    </w:p>
    <w:p>
      <w:pPr>
        <w:spacing w:before="20" w:after="20"/>
        <w:ind w:left="360" w:right="360"/>
        <w:shd w:val="clear" w:color="auto" w:fill="EBF5FB"/>
      </w:pPr>
      <w:r>
        <w:rPr>
          <w:b/>
          <w:sz w:val="19"/>
        </w:rPr>
        <w:t xml:space="preserve">Top opportunité :  </w:t>
      </w:r>
      <w:r>
        <w:rPr>
          <w:color w:val="008000"/>
          <w:sz w:val="19"/>
        </w:rPr>
        <w:t>NSBC  (score 76/100)</w:t>
      </w:r>
    </w:p>
    <w:p>
      <w:pPr>
        <w:spacing w:before="20" w:after="20"/>
        <w:ind w:left="360" w:right="360"/>
        <w:shd w:val="clear" w:color="auto" w:fill="EBF5FB"/>
      </w:pPr>
      <w:r>
        <w:rPr>
          <w:b/>
          <w:sz w:val="19"/>
        </w:rPr>
        <w:t xml:space="preserve">Secteur surperformant :  </w:t>
      </w:r>
      <w:r>
        <w:rPr>
          <w:color w:val="008000"/>
          <w:sz w:val="19"/>
        </w:rPr>
        <w:t>SERVICES PUBLICS  (+84.0%)</w:t>
      </w:r>
    </w:p>
    <w:p>
      <w:pPr>
        <w:spacing w:before="20" w:after="20"/>
        <w:ind w:left="360" w:right="360"/>
        <w:shd w:val="clear" w:color="auto" w:fill="EBF5FB"/>
      </w:pPr>
      <w:r>
        <w:rPr>
          <w:b/>
          <w:sz w:val="19"/>
        </w:rPr>
        <w:t xml:space="preserve">Secteur sous-performant :  </w:t>
      </w:r>
      <w:r>
        <w:rPr>
          <w:color w:val="A03C00"/>
          <w:sz w:val="19"/>
        </w:rPr>
        <w:t>INDUSTRIELS</w:t>
      </w:r>
    </w:p>
    <w:p>
      <w:pPr>
        <w:spacing w:before="20" w:after="20"/>
        <w:ind w:left="360" w:right="360"/>
        <w:shd w:val="clear" w:color="auto" w:fill="EBF5FB"/>
      </w:pPr>
      <w:r>
        <w:rPr>
          <w:b/>
          <w:sz w:val="19"/>
        </w:rPr>
        <w:t xml:space="preserve">Divergences tech/fond :  </w:t>
      </w:r>
      <w:r>
        <w:rPr>
          <w:color w:val="A06400"/>
          <w:sz w:val="19"/>
        </w:rPr>
        <w:t>17 sociétés — vérifier avant d'investir</w:t>
      </w:r>
    </w:p>
    <w:p>
      <w:pPr>
        <w:spacing w:before="20" w:after="20"/>
        <w:ind w:left="360" w:right="360"/>
        <w:shd w:val="clear" w:color="auto" w:fill="EBF5FB"/>
      </w:pPr>
      <w:r>
        <w:rPr>
          <w:b/>
          <w:sz w:val="19"/>
        </w:rPr>
        <w:t xml:space="preserve">⚠️ Liquidité réduite :  </w:t>
      </w:r>
      <w:r>
        <w:rPr>
          <w:color w:val="C00000"/>
          <w:sz w:val="19"/>
        </w:rPr>
        <w:t>8 titres à faible liquidité — risque de sortie</w:t>
      </w:r>
    </w:p>
    <w:p/>
    <w:p>
      <w:r>
        <w:br w:type="page"/>
      </w:r>
    </w:p>
    <w:p>
      <w:pPr>
        <w:pStyle w:val="Heading1"/>
      </w:pPr>
      <w:r>
        <w:t>SYNTHÈSE GÉNÉRALE</w:t>
      </w:r>
    </w:p>
    <w:p>
      <w:pPr>
        <w:spacing w:after="240"/>
      </w:pPr>
      <w:r>
        <w:t xml:space="preserve">Ce rapport présente une analyse détaillée de 47 sociétés cotées à la Bourse Régionale des Valeurs Mobilières (BRVM). </w:t>
      </w:r>
      <w:r>
        <w:t xml:space="preserve">L'indice BRVM Composite s'établit à 529.94 points </w:t>
      </w:r>
      <w:r>
        <w:rPr>
          <w:color w:val="008000"/>
        </w:rPr>
        <w:t>(+1.15%)</w:t>
      </w:r>
      <w:r>
        <w:t xml:space="preserve"> sur la séance. </w:t>
      </w:r>
      <w:r>
        <w:t>La capitalisation globale du marché atteint 2 043,528 milliards FCFA.</w:t>
      </w:r>
    </w:p>
    <w:p/>
    <w:p>
      <w:pPr>
        <w:pStyle w:val="Heading3"/>
      </w:pPr>
      <w:r>
        <w:t>📊 Évolution de l'indice BRVM Composite (100 derniers jours)</w:t>
      </w:r>
    </w:p>
    <w:p>
      <w:r>
        <w:rPr>
          <w:b/>
        </w:rPr>
        <w:t xml:space="preserve">BRVM Composite — </w:t>
      </w:r>
      <w:r>
        <w:t xml:space="preserve">Sur les 100 derniers jours de cotation (2026-04-01 au 2026-08-27), l'indice BRVM Composite a évolué de </w:t>
      </w:r>
      <w:r>
        <w:rPr>
          <w:b/>
          <w:color w:val="008000"/>
        </w:rPr>
        <w:t>+29.67%</w:t>
      </w:r>
      <w:r>
        <w:t>, passant de 408.69 pts à 529.94 pts. Le plus haut atteint est 530.07 pts et le plus bas 397.33 pts. Sur l'ensemble de la période, la moyenne de l'indice s'établit à 446.44 pts, la médiane à 437.96 pts et le mode à 397.33 pts</w:t>
      </w:r>
      <w:r>
        <w:t xml:space="preserve"> (asymétrie positive — plus de jours sous la moyenne). </w:t>
      </w:r>
      <w:r>
        <w:t xml:space="preserve">L'écart-type de 37.79 pts (CV=8.5%) traduit une modérée dispersion des cotations. Le kurtosis de -0.94 indique une distribution distribution normale. </w:t>
      </w:r>
      <w:r>
        <w:t>L'indice affiche une tendance haussière sur la période, témoignant d'un regain de confiance des investisseurs.</w:t>
      </w:r>
    </w:p>
    <w:p>
      <w:pPr>
        <w:jc w:val="center"/>
      </w:pPr>
      <w:r>
        <w:drawing>
          <wp:inline xmlns:a="http://schemas.openxmlformats.org/drawingml/2006/main" xmlns:pic="http://schemas.openxmlformats.org/drawingml/2006/picture">
            <wp:extent cx="5943600" cy="195192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1951921"/>
                    </a:xfrm>
                    <a:prstGeom prst="rect"/>
                  </pic:spPr>
                </pic:pic>
              </a:graphicData>
            </a:graphic>
          </wp:inline>
        </w:drawing>
      </w:r>
    </w:p>
    <w:p/>
    <w:p/>
    <w:p>
      <w:r>
        <w:rPr>
          <w:b/>
        </w:rPr>
        <w:t xml:space="preserve">Capitalisation globale — </w:t>
      </w:r>
      <w:r>
        <w:t xml:space="preserve">La capitalisation boursière totale a évolué de </w:t>
      </w:r>
      <w:r>
        <w:rPr>
          <w:b/>
          <w:color w:val="C00000"/>
        </w:rPr>
        <w:t>-87.03%</w:t>
      </w:r>
      <w:r>
        <w:t xml:space="preserve"> sur la période, passant de 15 757,411 Mds FCFA à 2 043,528 Mds FCFA. Le pic de capitalisation observé est de 19 886,911 Mds FCFA et le plancher de 2 003,618 Mds FCFA. La moyenne de la capitalisation sur la période s'établit à 16 292,331 Mds FCFA, la médiane à 16 816,942 Mds FCFA et le mode à 2 003,618 Mds FCFA</w:t>
      </w:r>
      <w:r>
        <w:t xml:space="preserve"> (asymétrie négative). </w:t>
      </w:r>
      <w:r>
        <w:t>L'écart-type de 3 524,065 Mds FCFA (CV=21.6%) reflète une forte variabilité de la valorisation du marché. Le kurtosis de 10.77 indique une distribution leptokurtique — risque de pics de valorisation.</w:t>
      </w:r>
      <w:r>
        <w:t xml:space="preserve"> La contraction de la capitalisation traduit une sortie de capitaux et une pression baissière structurelle.</w:t>
      </w:r>
    </w:p>
    <w:p>
      <w:pPr>
        <w:jc w:val="center"/>
      </w:pPr>
      <w:r>
        <w:drawing>
          <wp:inline xmlns:a="http://schemas.openxmlformats.org/drawingml/2006/main" xmlns:pic="http://schemas.openxmlformats.org/drawingml/2006/picture">
            <wp:extent cx="5943600" cy="1958409"/>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1958409"/>
                    </a:xfrm>
                    <a:prstGeom prst="rect"/>
                  </pic:spPr>
                </pic:pic>
              </a:graphicData>
            </a:graphic>
          </wp:inline>
        </w:drawing>
      </w:r>
    </w:p>
    <w:p/>
    <w:p>
      <w:pPr>
        <w:pStyle w:val="Heading2"/>
      </w:pPr>
      <w:r>
        <w:t>📈 TOP 10 DES OPPORTUNITÉS D'ACHAT</w:t>
      </w:r>
    </w:p>
    <w:p>
      <w:pPr>
        <w:pStyle w:val="ListNumber"/>
      </w:pPr>
      <w:r>
        <w:rPr>
          <w:b/>
        </w:rPr>
        <w:t>ABJC - ABJC - SERVAIR ABIDJAN CI</w:t>
      </w:r>
      <w:r>
        <w:t xml:space="preserve"> | Prix: 3690 FCFA | </w:t>
      </w:r>
      <w:r>
        <w:rPr>
          <w:b/>
          <w:color w:val="008000"/>
        </w:rPr>
        <w:t>ACHAT</w:t>
      </w:r>
      <w:r>
        <w:t xml:space="preserve"> | Confiance: Moyen | Risque: Moyen</w:t>
      </w:r>
    </w:p>
    <w:p>
      <w:pPr>
        <w:pStyle w:val="ListNumber"/>
      </w:pPr>
      <w:r>
        <w:rPr>
          <w:b/>
        </w:rPr>
        <w:t>BICB - BIIC BN - Banque internationale pour le commerce du benin</w:t>
      </w:r>
      <w:r>
        <w:t xml:space="preserve"> | Prix: 8510 FCFA | </w:t>
      </w:r>
      <w:r>
        <w:rPr>
          <w:b/>
          <w:color w:val="008000"/>
        </w:rPr>
        <w:t>ACHAT</w:t>
      </w:r>
      <w:r>
        <w:t xml:space="preserve"> | Confiance: Faible | Risque: Moyen</w:t>
      </w:r>
    </w:p>
    <w:p>
      <w:pPr>
        <w:pStyle w:val="ListNumber"/>
      </w:pPr>
      <w:r>
        <w:rPr>
          <w:b/>
        </w:rPr>
        <w:t>BICC - BICI CI - Banque internationale pour le commerce et l'industrie de la Côte d'Ivoire</w:t>
      </w:r>
      <w:r>
        <w:t xml:space="preserve"> | Prix: 29970 FCFA | </w:t>
      </w:r>
      <w:r>
        <w:rPr>
          <w:b/>
          <w:color w:val="008000"/>
        </w:rPr>
        <w:t>ACHAT</w:t>
      </w:r>
      <w:r>
        <w:t xml:space="preserve"> | Confiance: Moyen | Risque: Moyen</w:t>
      </w:r>
    </w:p>
    <w:p>
      <w:pPr>
        <w:pStyle w:val="ListNumber"/>
      </w:pPr>
      <w:r>
        <w:rPr>
          <w:b/>
        </w:rPr>
        <w:t>BNBC - BNBC - BERNABE CI</w:t>
      </w:r>
      <w:r>
        <w:t xml:space="preserve"> | Prix: 2295 FCFA | </w:t>
      </w:r>
      <w:r>
        <w:rPr>
          <w:b/>
          <w:color w:val="008000"/>
        </w:rPr>
        <w:t>ACHAT</w:t>
      </w:r>
      <w:r>
        <w:t xml:space="preserve"> | Confiance: Faible | Risque: Moyen</w:t>
      </w:r>
    </w:p>
    <w:p>
      <w:pPr>
        <w:pStyle w:val="ListNumber"/>
      </w:pPr>
      <w:r>
        <w:rPr>
          <w:b/>
        </w:rPr>
        <w:t>BOAB - BANK OF AFRICA BENIN</w:t>
      </w:r>
      <w:r>
        <w:t xml:space="preserve"> | Prix: 10000 FCFA | </w:t>
      </w:r>
      <w:r>
        <w:rPr>
          <w:b/>
          <w:color w:val="008000"/>
        </w:rPr>
        <w:t>ACHAT</w:t>
      </w:r>
      <w:r>
        <w:t xml:space="preserve"> | Confiance: Élevée | Risque: Moyen</w:t>
      </w:r>
    </w:p>
    <w:p>
      <w:pPr>
        <w:pStyle w:val="ListNumber"/>
      </w:pPr>
      <w:r>
        <w:rPr>
          <w:b/>
        </w:rPr>
        <w:t>BOABF - BANK OF AFRICA BURKINA FASO</w:t>
      </w:r>
      <w:r>
        <w:t xml:space="preserve"> | Prix: 9090 FCFA | </w:t>
      </w:r>
      <w:r>
        <w:rPr>
          <w:b/>
          <w:color w:val="008000"/>
        </w:rPr>
        <w:t>ACHAT</w:t>
      </w:r>
      <w:r>
        <w:t xml:space="preserve"> | Confiance: Faible | Risque: Faible</w:t>
      </w:r>
    </w:p>
    <w:p>
      <w:pPr>
        <w:pStyle w:val="ListNumber"/>
      </w:pPr>
      <w:r>
        <w:rPr>
          <w:b/>
        </w:rPr>
        <w:t>BOAM - BANK OF AFRICA MALI</w:t>
      </w:r>
      <w:r>
        <w:t xml:space="preserve"> | Prix: 6650 FCFA | </w:t>
      </w:r>
      <w:r>
        <w:rPr>
          <w:b/>
          <w:color w:val="008000"/>
        </w:rPr>
        <w:t>ACHAT</w:t>
      </w:r>
      <w:r>
        <w:t xml:space="preserve"> | Confiance: Moyen | Risque: Faible</w:t>
      </w:r>
    </w:p>
    <w:p>
      <w:pPr>
        <w:pStyle w:val="ListNumber"/>
      </w:pPr>
      <w:r>
        <w:rPr>
          <w:b/>
        </w:rPr>
        <w:t>BOAN - BANK OF AFRICA NIGER</w:t>
      </w:r>
      <w:r>
        <w:t xml:space="preserve"> | Prix: 5645 FCFA | </w:t>
      </w:r>
      <w:r>
        <w:rPr>
          <w:b/>
          <w:color w:val="008000"/>
        </w:rPr>
        <w:t>ACHAT</w:t>
      </w:r>
      <w:r>
        <w:t xml:space="preserve"> | Confiance: Faible | Risque: Moyen</w:t>
      </w:r>
    </w:p>
    <w:p>
      <w:pPr>
        <w:pStyle w:val="ListNumber"/>
      </w:pPr>
      <w:r>
        <w:rPr>
          <w:b/>
        </w:rPr>
        <w:t>BOAS - BANK OF AFRICA SENEGAL</w:t>
      </w:r>
      <w:r>
        <w:t xml:space="preserve"> | Prix: 8445 FCFA | </w:t>
      </w:r>
      <w:r>
        <w:rPr>
          <w:b/>
          <w:color w:val="008000"/>
        </w:rPr>
        <w:t>ACHAT</w:t>
      </w:r>
      <w:r>
        <w:t xml:space="preserve"> | Confiance: Faible | Risque: Faible</w:t>
      </w:r>
    </w:p>
    <w:p>
      <w:pPr>
        <w:pStyle w:val="ListNumber"/>
      </w:pPr>
      <w:r>
        <w:rPr>
          <w:b/>
        </w:rPr>
        <w:t>CABC - CABC - SICABLE COTE D'IVOIRE</w:t>
      </w:r>
      <w:r>
        <w:t xml:space="preserve"> | Prix: 3500 FCFA | </w:t>
      </w:r>
      <w:r>
        <w:rPr>
          <w:b/>
          <w:color w:val="008000"/>
        </w:rPr>
        <w:t>ACHAT</w:t>
      </w:r>
      <w:r>
        <w:t xml:space="preserve"> | Confiance: Élevée | Risque: Faible</w:t>
      </w:r>
    </w:p>
    <w:p/>
    <w:p>
      <w:pPr>
        <w:pStyle w:val="Heading2"/>
      </w:pPr>
      <w:r>
        <w:t>📉 TOP 10 DES ACTIONS À ÉVITER</w:t>
      </w:r>
    </w:p>
    <w:p>
      <w:r>
        <w:t>Ces actions présentent des signaux de vente ou de dégradation fondamentale. Il est conseillé de les céder immédiatement ou d'éviter d'y investir.</w:t>
      </w:r>
    </w:p>
    <w:p>
      <w:pPr>
        <w:pStyle w:val="ListNumber"/>
      </w:pPr>
      <w:r>
        <w:rPr>
          <w:b/>
        </w:rPr>
        <w:t>SIVC - SIVC - ERIUM CI (Ex AIR LIQUIDECI)</w:t>
      </w:r>
      <w:r>
        <w:t xml:space="preserve"> | Prix: 2365 FCFA | </w:t>
      </w:r>
      <w:r>
        <w:rPr>
          <w:b/>
          <w:color w:val="C00000"/>
        </w:rPr>
        <w:t>CONSERVER ⚠️</w:t>
      </w:r>
      <w:r>
        <w:t xml:space="preserve"> | Confiance: Moyen | Risque: Faible</w:t>
      </w:r>
    </w:p>
    <w:p>
      <w:pPr>
        <w:pStyle w:val="ListNumber"/>
      </w:pPr>
      <w:r>
        <w:rPr>
          <w:b/>
        </w:rPr>
        <w:t>STBC - STBC - SITAB COTE D'IVOIRE</w:t>
      </w:r>
      <w:r>
        <w:t xml:space="preserve"> | Prix: 22690 FCFA | </w:t>
      </w:r>
      <w:r>
        <w:rPr>
          <w:b/>
          <w:color w:val="C00000"/>
        </w:rPr>
        <w:t>CONSERVER</w:t>
      </w:r>
      <w:r>
        <w:t xml:space="preserve"> | Confiance: Moyen | Risque: Faible</w:t>
      </w:r>
    </w:p>
    <w:p>
      <w:pPr>
        <w:pStyle w:val="ListNumber"/>
      </w:pPr>
      <w:r>
        <w:rPr>
          <w:b/>
        </w:rPr>
        <w:t>BOAC - BANK OF AFRICA COTE D'IVOIRE</w:t>
      </w:r>
      <w:r>
        <w:t xml:space="preserve"> | Prix: 12700 FCFA | </w:t>
      </w:r>
      <w:r>
        <w:rPr>
          <w:b/>
          <w:color w:val="C00000"/>
        </w:rPr>
        <w:t>CONSERVER ⚠️</w:t>
      </w:r>
      <w:r>
        <w:t xml:space="preserve"> | Confiance: Moyen | Risque: Faible</w:t>
      </w:r>
    </w:p>
    <w:p/>
    <w:p>
      <w:r>
        <w:br w:type="page"/>
      </w:r>
    </w:p>
    <w:p>
      <w:pPr>
        <w:pStyle w:val="Heading1"/>
      </w:pPr>
      <w:r>
        <w:t>📊 ANALYSE PAR SECTEUR</w:t>
      </w:r>
    </w:p>
    <w:p>
      <w:r>
        <w:t>Cette section présente une analyse comparative de tous les secteurs représentés à la BRVM, incluant la performance moyenne, le sentiment général du marché et le niveau de risque moyen.</w:t>
      </w:r>
    </w:p>
    <w:p/>
    <w:p>
      <w:pPr>
        <w:pStyle w:val="Heading3"/>
      </w:pPr>
      <w:r>
        <w:t>Secteur: SERVICES PUBLICS</w:t>
      </w:r>
    </w:p>
    <w:p>
      <w:r>
        <w:rPr>
          <w:b/>
        </w:rPr>
        <w:t xml:space="preserve">Nombre de sociétés: </w:t>
      </w:r>
      <w:r>
        <w:t xml:space="preserve">2  |  </w:t>
      </w:r>
      <w:r>
        <w:rPr>
          <w:b/>
        </w:rPr>
        <w:t xml:space="preserve">Performance moyenne (100j): </w:t>
      </w:r>
      <w:r>
        <w:rPr>
          <w:color w:val="008000"/>
        </w:rPr>
        <w:t>84.05%</w:t>
      </w:r>
      <w:r>
        <w:t xml:space="preserve">  |  </w:t>
      </w:r>
      <w:r>
        <w:rPr>
          <w:b/>
        </w:rPr>
        <w:t xml:space="preserve">vs BRVM Composite: </w:t>
      </w:r>
      <w:r>
        <w:rPr>
          <w:b/>
          <w:color w:val="008000"/>
        </w:rPr>
        <w:t>+54.38%  🟢 Surperformance</w:t>
      </w:r>
      <w:r>
        <w:br/>
      </w:r>
      <w:r>
        <w:rPr>
          <w:b/>
        </w:rPr>
        <w:t xml:space="preserve">Sentiment général: </w:t>
      </w:r>
      <w:r>
        <w:t xml:space="preserve">ACHAT  |  </w:t>
      </w:r>
      <w:r>
        <w:rPr>
          <w:b/>
        </w:rPr>
        <w:t xml:space="preserve">Risque moyen: </w:t>
      </w:r>
      <w:r>
        <w:t xml:space="preserve">Moyen  |  </w:t>
      </w:r>
      <w:r>
        <w:rPr>
          <w:b/>
        </w:rPr>
        <w:t xml:space="preserve">Prix moyen: </w:t>
      </w:r>
      <w:r>
        <w:t>9690 FCFA</w:t>
        <w:br/>
      </w:r>
      <w:r>
        <w:rPr>
          <w:b/>
        </w:rPr>
        <w:br/>
        <w:t xml:space="preserve">Sociétés: </w:t>
      </w:r>
      <w:r>
        <w:t>CIEC (CIEC - Compagnie Ivoirienne d'Electricité), SDCC (SDCC - Société de Distribution d'Eau de Côte d'Ivoire)</w:t>
      </w:r>
    </w:p>
    <w:p/>
    <w:p>
      <w:pPr>
        <w:pStyle w:val="Heading3"/>
      </w:pPr>
      <w:r>
        <w:t>Secteur: SERVICES FINANCIERS</w:t>
      </w:r>
    </w:p>
    <w:p>
      <w:r>
        <w:rPr>
          <w:b/>
        </w:rPr>
        <w:t xml:space="preserve">Nombre de sociétés: </w:t>
      </w:r>
      <w:r>
        <w:t xml:space="preserve">16  |  </w:t>
      </w:r>
      <w:r>
        <w:rPr>
          <w:b/>
        </w:rPr>
        <w:t xml:space="preserve">Performance moyenne (100j): </w:t>
      </w:r>
      <w:r>
        <w:rPr>
          <w:color w:val="008000"/>
        </w:rPr>
        <w:t>43.46%</w:t>
      </w:r>
      <w:r>
        <w:t xml:space="preserve">  |  </w:t>
      </w:r>
      <w:r>
        <w:rPr>
          <w:b/>
        </w:rPr>
        <w:t xml:space="preserve">vs BRVM Composite: </w:t>
      </w:r>
      <w:r>
        <w:rPr>
          <w:b/>
          <w:color w:val="008000"/>
        </w:rPr>
        <w:t>+13.79%  🟢 Surperformance</w:t>
      </w:r>
      <w:r>
        <w:br/>
      </w:r>
      <w:r>
        <w:rPr>
          <w:b/>
        </w:rPr>
        <w:t xml:space="preserve">Sentiment général: </w:t>
      </w:r>
      <w:r>
        <w:t xml:space="preserve">ACHAT  |  </w:t>
      </w:r>
      <w:r>
        <w:rPr>
          <w:b/>
        </w:rPr>
        <w:t xml:space="preserve">Risque moyen: </w:t>
      </w:r>
      <w:r>
        <w:t xml:space="preserve">Moyen  |  </w:t>
      </w:r>
      <w:r>
        <w:rPr>
          <w:b/>
        </w:rPr>
        <w:t xml:space="preserve">Prix moyen: </w:t>
      </w:r>
      <w:r>
        <w:t>13534 FCFA</w:t>
        <w:br/>
      </w:r>
      <w:r>
        <w:rPr>
          <w:b/>
        </w:rPr>
        <w:br/>
        <w:t xml:space="preserve">Sociétés: </w:t>
      </w:r>
      <w:r>
        <w:t>BICB (BIIC BN - Banque internationale pour le commerce du benin), BICC (BICI CI - Banque internationale pour le commerce et l'industrie de la Côte d'Ivoire), BOAB (BANK OF AFRICA BENIN), BOABF (BANK OF AFRICA BURKINA FASO), BOAC (BANK OF AFRICA COTE D'IVOIRE), BOAM (BANK OF AFRICA MALI), BOAN (BANK OF AFRICA NIGER), BOAS (BANK OF AFRICA SENEGAL), CBIBF (CBIBF - CORIS BANK INTERNATIONAL BURKINA FASO), ECOC (ECOC - ECOBANK COTE D'IVOIRE), ETIT (ETIT - Ecobank Transnational Incorporated Togo), NSBC (NSBC - NSIA BANQUE COTE D'IVOIRE), ORGT (ORGT - ORAGROUP TOGO), SAFC (SAFCA CI), SGBC (SGBC - SOCIETE GENERALE COTE D'IVOIRE), SIBC (SIBC - SOCIETE IVOIRIENNE DE BANQUE)</w:t>
      </w:r>
    </w:p>
    <w:p/>
    <w:p>
      <w:pPr>
        <w:pStyle w:val="Heading3"/>
      </w:pPr>
      <w:r>
        <w:t>Secteur: CONSOMMATION DE BASE</w:t>
      </w:r>
    </w:p>
    <w:p>
      <w:r>
        <w:rPr>
          <w:b/>
        </w:rPr>
        <w:t xml:space="preserve">Nombre de sociétés: </w:t>
      </w:r>
      <w:r>
        <w:t xml:space="preserve">9  |  </w:t>
      </w:r>
      <w:r>
        <w:rPr>
          <w:b/>
        </w:rPr>
        <w:t xml:space="preserve">Performance moyenne (100j): </w:t>
      </w:r>
      <w:r>
        <w:rPr>
          <w:color w:val="008000"/>
        </w:rPr>
        <w:t>31.44%</w:t>
      </w:r>
      <w:r>
        <w:t xml:space="preserve">  |  </w:t>
      </w:r>
      <w:r>
        <w:rPr>
          <w:b/>
        </w:rPr>
        <w:t xml:space="preserve">vs BRVM Composite: </w:t>
      </w:r>
      <w:r>
        <w:rPr>
          <w:b/>
          <w:color w:val="008000"/>
        </w:rPr>
        <w:t>+1.77%  🟢 Surperformance</w:t>
      </w:r>
      <w:r>
        <w:br/>
      </w:r>
      <w:r>
        <w:rPr>
          <w:b/>
        </w:rPr>
        <w:t xml:space="preserve">Sentiment général: </w:t>
      </w:r>
      <w:r>
        <w:t xml:space="preserve">ACHAT  |  </w:t>
      </w:r>
      <w:r>
        <w:rPr>
          <w:b/>
        </w:rPr>
        <w:t xml:space="preserve">Risque moyen: </w:t>
      </w:r>
      <w:r>
        <w:t xml:space="preserve">Faible  |  </w:t>
      </w:r>
      <w:r>
        <w:rPr>
          <w:b/>
        </w:rPr>
        <w:t xml:space="preserve">Prix moyen: </w:t>
      </w:r>
      <w:r>
        <w:t>18575 FCFA</w:t>
        <w:br/>
      </w:r>
      <w:r>
        <w:rPr>
          <w:b/>
        </w:rPr>
        <w:br/>
        <w:t xml:space="preserve">Sociétés: </w:t>
      </w:r>
      <w:r>
        <w:t>NTLC (NTLC - NESTLE COTE D'IVOIRE), PALC (PALC - PALM COTE D'IVOIRE), SCRC (SCRC - SUCRIVOIRE), SICC (SICC - SICOR COTE D'IVOIRE), SLBC (SLBC - SOLIBRA COTE D'IVOIRE), SOGC (SOGC - Société des caoutchoucs de Grand-Béréby), SPHC (SPHC - Société Africaine de Plantation d'Hévéas de Côte d'Ivoire), STBC (STBC - SITAB COTE D'IVOIRE), UNLC (UNLC - UNILEVER COTE D'IVOIRE)</w:t>
      </w:r>
    </w:p>
    <w:p/>
    <w:p>
      <w:pPr>
        <w:pStyle w:val="Heading3"/>
      </w:pPr>
      <w:r>
        <w:t>Secteur: CONSOMMATION DISCRETIONNAIRE</w:t>
      </w:r>
    </w:p>
    <w:p>
      <w:r>
        <w:rPr>
          <w:b/>
        </w:rPr>
        <w:t xml:space="preserve">Nombre de sociétés: </w:t>
      </w:r>
      <w:r>
        <w:t xml:space="preserve">7  |  </w:t>
      </w:r>
      <w:r>
        <w:rPr>
          <w:b/>
        </w:rPr>
        <w:t xml:space="preserve">Performance moyenne (100j): </w:t>
      </w:r>
      <w:r>
        <w:rPr>
          <w:color w:val="008000"/>
        </w:rPr>
        <w:t>24.37%</w:t>
      </w:r>
      <w:r>
        <w:t xml:space="preserve">  |  </w:t>
      </w:r>
      <w:r>
        <w:rPr>
          <w:b/>
        </w:rPr>
        <w:t xml:space="preserve">vs BRVM Composite: </w:t>
      </w:r>
      <w:r>
        <w:rPr>
          <w:b/>
          <w:color w:val="C00000"/>
        </w:rPr>
        <w:t>-5.30%  🔴 Sous-performance</w:t>
      </w:r>
      <w:r>
        <w:br/>
      </w:r>
      <w:r>
        <w:rPr>
          <w:b/>
        </w:rPr>
        <w:t xml:space="preserve">Sentiment général: </w:t>
      </w:r>
      <w:r>
        <w:t xml:space="preserve">ACHAT  |  </w:t>
      </w:r>
      <w:r>
        <w:rPr>
          <w:b/>
        </w:rPr>
        <w:t xml:space="preserve">Risque moyen: </w:t>
      </w:r>
      <w:r>
        <w:t xml:space="preserve">Moyen  |  </w:t>
      </w:r>
      <w:r>
        <w:rPr>
          <w:b/>
        </w:rPr>
        <w:t xml:space="preserve">Prix moyen: </w:t>
      </w:r>
      <w:r>
        <w:t>3071 FCFA</w:t>
        <w:br/>
      </w:r>
      <w:r>
        <w:rPr>
          <w:b/>
        </w:rPr>
        <w:br/>
        <w:t xml:space="preserve">Sociétés: </w:t>
      </w:r>
      <w:r>
        <w:t>ABJC (ABJC - SERVAIR ABIDJAN CI), BNBC (BNBC - BERNABE CI), CFAC (CFAC - CFAO MOTORS CI), LNBB (LNBB - LOTERIE NATIONALE DU BENIN), NEIC (NEIC - NEI-CEDA CI), PRSC (PRSC - TRACTAFRIC MOTORS CI), UNXC (UNXC - UNIWAX COTE D'IVOIRE)</w:t>
      </w:r>
    </w:p>
    <w:p/>
    <w:p>
      <w:pPr>
        <w:pStyle w:val="Heading3"/>
      </w:pPr>
      <w:r>
        <w:t>Secteur: ENERGIE</w:t>
      </w:r>
    </w:p>
    <w:p>
      <w:r>
        <w:rPr>
          <w:b/>
        </w:rPr>
        <w:t xml:space="preserve">Nombre de sociétés: </w:t>
      </w:r>
      <w:r>
        <w:t xml:space="preserve">4  |  </w:t>
      </w:r>
      <w:r>
        <w:rPr>
          <w:b/>
        </w:rPr>
        <w:t xml:space="preserve">Performance moyenne (100j): </w:t>
      </w:r>
      <w:r>
        <w:rPr>
          <w:color w:val="008000"/>
        </w:rPr>
        <w:t>21.97%</w:t>
      </w:r>
      <w:r>
        <w:t xml:space="preserve">  |  </w:t>
      </w:r>
      <w:r>
        <w:rPr>
          <w:b/>
        </w:rPr>
        <w:t xml:space="preserve">vs BRVM Composite: </w:t>
      </w:r>
      <w:r>
        <w:rPr>
          <w:b/>
          <w:color w:val="C00000"/>
        </w:rPr>
        <w:t>-7.70%  🔴 Sous-performance</w:t>
      </w:r>
      <w:r>
        <w:br/>
      </w:r>
      <w:r>
        <w:rPr>
          <w:b/>
        </w:rPr>
        <w:t xml:space="preserve">Sentiment général: </w:t>
      </w:r>
      <w:r>
        <w:t xml:space="preserve">ACHAT  |  </w:t>
      </w:r>
      <w:r>
        <w:rPr>
          <w:b/>
        </w:rPr>
        <w:t xml:space="preserve">Risque moyen: </w:t>
      </w:r>
      <w:r>
        <w:t xml:space="preserve">Moyen  |  </w:t>
      </w:r>
      <w:r>
        <w:rPr>
          <w:b/>
        </w:rPr>
        <w:t xml:space="preserve">Prix moyen: </w:t>
      </w:r>
      <w:r>
        <w:t>6662 FCFA</w:t>
        <w:br/>
      </w:r>
      <w:r>
        <w:rPr>
          <w:b/>
        </w:rPr>
        <w:br/>
        <w:t xml:space="preserve">Sociétés: </w:t>
      </w:r>
      <w:r>
        <w:t>SHEC (SHEC - VIVO ENERGY COTE D'IVOIRE), SMBC (SMBC - Société Multinationale de Bitumes COTE D'IVOIRE), TTLC (TTLC - TOTAL ENERGIES MARKETING COTE D'IVOIRE), TTLS (TTLS - TOTAL ENERGIES MARKETING SENEGAL)</w:t>
      </w:r>
    </w:p>
    <w:p/>
    <w:p>
      <w:pPr>
        <w:pStyle w:val="Heading3"/>
      </w:pPr>
      <w:r>
        <w:t>Secteur: TELECOMMUNICATIONS</w:t>
      </w:r>
    </w:p>
    <w:p>
      <w:r>
        <w:rPr>
          <w:b/>
        </w:rPr>
        <w:t xml:space="preserve">Nombre de sociétés: </w:t>
      </w:r>
      <w:r>
        <w:t xml:space="preserve">3  |  </w:t>
      </w:r>
      <w:r>
        <w:rPr>
          <w:b/>
        </w:rPr>
        <w:t xml:space="preserve">Performance moyenne (100j): </w:t>
      </w:r>
      <w:r>
        <w:rPr>
          <w:color w:val="008000"/>
        </w:rPr>
        <w:t>20.75%</w:t>
      </w:r>
      <w:r>
        <w:t xml:space="preserve">  |  </w:t>
      </w:r>
      <w:r>
        <w:rPr>
          <w:b/>
        </w:rPr>
        <w:t xml:space="preserve">vs BRVM Composite: </w:t>
      </w:r>
      <w:r>
        <w:rPr>
          <w:b/>
          <w:color w:val="C00000"/>
        </w:rPr>
        <w:t>-8.92%  🔴 Sous-performance</w:t>
      </w:r>
      <w:r>
        <w:br/>
      </w:r>
      <w:r>
        <w:rPr>
          <w:b/>
        </w:rPr>
        <w:t xml:space="preserve">Sentiment général: </w:t>
      </w:r>
      <w:r>
        <w:t xml:space="preserve">ACHAT  |  </w:t>
      </w:r>
      <w:r>
        <w:rPr>
          <w:b/>
        </w:rPr>
        <w:t xml:space="preserve">Risque moyen: </w:t>
      </w:r>
      <w:r>
        <w:t xml:space="preserve">Moyen  |  </w:t>
      </w:r>
      <w:r>
        <w:rPr>
          <w:b/>
        </w:rPr>
        <w:t xml:space="preserve">Prix moyen: </w:t>
      </w:r>
      <w:r>
        <w:t>20033 FCFA</w:t>
        <w:br/>
      </w:r>
      <w:r>
        <w:rPr>
          <w:b/>
        </w:rPr>
        <w:br/>
        <w:t xml:space="preserve">Sociétés: </w:t>
      </w:r>
      <w:r>
        <w:t>ONTBF (ONTBF - ONATEL BURKINA FASO), ORAC (ORAC - ORANGE COTE D'IVOIRE), SNTS (SNTS - SONATEL SN)</w:t>
      </w:r>
    </w:p>
    <w:p/>
    <w:p>
      <w:pPr>
        <w:pStyle w:val="Heading3"/>
      </w:pPr>
      <w:r>
        <w:t>Secteur: INDUSTRIELS</w:t>
      </w:r>
    </w:p>
    <w:p>
      <w:r>
        <w:rPr>
          <w:b/>
        </w:rPr>
        <w:t xml:space="preserve">Nombre de sociétés: </w:t>
      </w:r>
      <w:r>
        <w:t xml:space="preserve">6  |  </w:t>
      </w:r>
      <w:r>
        <w:rPr>
          <w:b/>
        </w:rPr>
        <w:t xml:space="preserve">Performance moyenne (100j): </w:t>
      </w:r>
      <w:r>
        <w:rPr>
          <w:color w:val="C00000"/>
        </w:rPr>
        <w:t>-5.06%</w:t>
      </w:r>
      <w:r>
        <w:t xml:space="preserve">  |  </w:t>
      </w:r>
      <w:r>
        <w:rPr>
          <w:b/>
        </w:rPr>
        <w:t xml:space="preserve">vs BRVM Composite: </w:t>
      </w:r>
      <w:r>
        <w:rPr>
          <w:b/>
          <w:color w:val="C00000"/>
        </w:rPr>
        <w:t>-34.73%  🔴 Sous-performance</w:t>
      </w:r>
      <w:r>
        <w:br/>
      </w:r>
      <w:r>
        <w:rPr>
          <w:b/>
        </w:rPr>
        <w:t xml:space="preserve">Sentiment général: </w:t>
      </w:r>
      <w:r>
        <w:t xml:space="preserve">ACHAT  |  </w:t>
      </w:r>
      <w:r>
        <w:rPr>
          <w:b/>
        </w:rPr>
        <w:t xml:space="preserve">Risque moyen: </w:t>
      </w:r>
      <w:r>
        <w:t xml:space="preserve">Moyen  |  </w:t>
      </w:r>
      <w:r>
        <w:rPr>
          <w:b/>
        </w:rPr>
        <w:t xml:space="preserve">Prix moyen: </w:t>
      </w:r>
      <w:r>
        <w:t>2451 FCFA</w:t>
        <w:br/>
      </w:r>
      <w:r>
        <w:rPr>
          <w:b/>
        </w:rPr>
        <w:br/>
        <w:t xml:space="preserve">Sociétés: </w:t>
      </w:r>
      <w:r>
        <w:t>CABC (CABC - SICABLE COTE D'IVOIRE), FTSC (FTSC - FILTISAC COTE D'IVOIRE), SDSC (SDSC - AFRICA GLOBAL LOGISTICS CI), SEMC (SEMC - EVIOSYS PACKAGING SIEM CI), SIVC (SIVC - ERIUM CI (Ex AIR LIQUIDECI)), STAC (STAC - SETAO COTE D'IVOIRE)</w:t>
      </w:r>
    </w:p>
    <w:p/>
    <w:p>
      <w:r>
        <w:br w:type="page"/>
      </w:r>
    </w:p>
    <w:p>
      <w:pPr>
        <w:pStyle w:val="Heading1"/>
      </w:pPr>
      <w:r>
        <w:t>🔄 MATRICE DE CONVERGENCE DES SIGNAUX</w:t>
      </w:r>
    </w:p>
    <w:p>
      <w:r>
        <w:t>Cette matrice segmente les sociétés cotées selon la combinaison de leur signal technique (majorité des 5 indicateurs) et de leur signal fondamental (recommandation finale de l'IA). Les cellules surlignées en vert indiquent une convergence favorable, en rouge une convergence défavorable.</w:t>
      </w:r>
    </w:p>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D9D9" w:val="clear"/>
          </w:tcPr>
          <w:p>
            <w:pPr>
              <w:spacing w:before="40" w:after="40"/>
            </w:pPr>
            <w:r/>
            <w:r>
              <w:rPr>
                <w:b/>
                <w:sz w:val="18"/>
              </w:rPr>
            </w:r>
          </w:p>
        </w:tc>
        <w:tc>
          <w:tcPr>
            <w:tcW w:type="dxa" w:w="2160"/>
            <w:shd w:fill="D9D9D9" w:val="clear"/>
          </w:tcPr>
          <w:p>
            <w:pPr>
              <w:spacing w:before="40" w:after="40"/>
            </w:pPr>
            <w:r/>
            <w:r>
              <w:rPr>
                <w:b/>
                <w:sz w:val="18"/>
              </w:rPr>
              <w:t>Fond. ACHAT</w:t>
            </w:r>
          </w:p>
        </w:tc>
        <w:tc>
          <w:tcPr>
            <w:tcW w:type="dxa" w:w="2160"/>
            <w:shd w:fill="D9D9D9" w:val="clear"/>
          </w:tcPr>
          <w:p>
            <w:pPr>
              <w:spacing w:before="40" w:after="40"/>
            </w:pPr>
            <w:r/>
            <w:r>
              <w:rPr>
                <w:b/>
                <w:sz w:val="18"/>
              </w:rPr>
              <w:t>Fond. NEUTRE</w:t>
            </w:r>
          </w:p>
        </w:tc>
        <w:tc>
          <w:tcPr>
            <w:tcW w:type="dxa" w:w="2160"/>
            <w:shd w:fill="D9D9D9" w:val="clear"/>
          </w:tcPr>
          <w:p>
            <w:pPr>
              <w:spacing w:before="40" w:after="40"/>
            </w:pPr>
            <w:r/>
            <w:r>
              <w:rPr>
                <w:b/>
                <w:sz w:val="18"/>
              </w:rPr>
              <w:t>Fond. VENTE</w:t>
            </w:r>
          </w:p>
        </w:tc>
      </w:tr>
      <w:tr>
        <w:tc>
          <w:tcPr>
            <w:tcW w:type="dxa" w:w="2160"/>
            <w:shd w:fill="D9D9D9" w:val="clear"/>
          </w:tcPr>
          <w:p>
            <w:pPr>
              <w:spacing w:before="40" w:after="40"/>
            </w:pPr>
            <w:r/>
            <w:r>
              <w:rPr>
                <w:b/>
                <w:sz w:val="18"/>
              </w:rPr>
              <w:t>Tech. ACHAT</w:t>
            </w:r>
          </w:p>
        </w:tc>
        <w:tc>
          <w:tcPr>
            <w:tcW w:type="dxa" w:w="2160"/>
            <w:shd w:fill="00B050" w:val="clear"/>
          </w:tcPr>
          <w:p>
            <w:pPr>
              <w:spacing w:before="40" w:after="40"/>
            </w:pPr>
            <w:r/>
            <w:r>
              <w:rPr>
                <w:b w:val="0"/>
                <w:sz w:val="16"/>
              </w:rPr>
              <w:t>BOAB, CABC, CFAC, CIEC, NSBC, PALC, SAFC, SCRC, SEMC, SHEC, SPHC, TTLC</w:t>
            </w:r>
          </w:p>
        </w:tc>
        <w:tc>
          <w:tcPr>
            <w:tcW w:type="dxa" w:w="2160"/>
            <w:shd w:fill="C6EFCE" w:val="clear"/>
          </w:tcPr>
          <w:p>
            <w:pPr>
              <w:spacing w:before="40" w:after="40"/>
            </w:pPr>
            <w:r/>
            <w:r>
              <w:rPr>
                <w:b w:val="0"/>
                <w:sz w:val="16"/>
              </w:rPr>
              <w:t>—</w:t>
            </w:r>
          </w:p>
        </w:tc>
        <w:tc>
          <w:tcPr>
            <w:tcW w:type="dxa" w:w="2160"/>
            <w:shd w:fill="FFEB9C" w:val="clear"/>
          </w:tcPr>
          <w:p>
            <w:pPr>
              <w:spacing w:before="40" w:after="40"/>
            </w:pPr>
            <w:r/>
            <w:r>
              <w:rPr>
                <w:b w:val="0"/>
                <w:sz w:val="16"/>
              </w:rPr>
              <w:t>—</w:t>
            </w:r>
          </w:p>
        </w:tc>
      </w:tr>
      <w:tr>
        <w:tc>
          <w:tcPr>
            <w:tcW w:type="dxa" w:w="2160"/>
            <w:shd w:fill="D9D9D9" w:val="clear"/>
          </w:tcPr>
          <w:p>
            <w:pPr>
              <w:spacing w:before="40" w:after="40"/>
            </w:pPr>
            <w:r/>
            <w:r>
              <w:rPr>
                <w:b/>
                <w:sz w:val="18"/>
              </w:rPr>
              <w:t>Tech. NEUTRE</w:t>
            </w:r>
          </w:p>
        </w:tc>
        <w:tc>
          <w:tcPr>
            <w:tcW w:type="dxa" w:w="2160"/>
            <w:shd w:fill="C6EFCE" w:val="clear"/>
          </w:tcPr>
          <w:p>
            <w:pPr>
              <w:spacing w:before="40" w:after="40"/>
            </w:pPr>
            <w:r/>
            <w:r>
              <w:rPr>
                <w:b w:val="0"/>
                <w:sz w:val="16"/>
              </w:rPr>
              <w:t>ABJC, BICC, BOAM, CBIBF, ETIT, FTSC, NTLC, ONTBF, ORAC, SDSC, SIBC, SICC, SLBC, SMBC, SNTS, STAC, TTLS, UNXC</w:t>
            </w:r>
          </w:p>
        </w:tc>
        <w:tc>
          <w:tcPr>
            <w:tcW w:type="dxa" w:w="2160"/>
            <w:shd w:fill="FFFFFF" w:val="clear"/>
          </w:tcPr>
          <w:p>
            <w:pPr>
              <w:spacing w:before="40" w:after="40"/>
            </w:pPr>
            <w:r/>
            <w:r>
              <w:rPr>
                <w:b w:val="0"/>
                <w:sz w:val="16"/>
              </w:rPr>
              <w:t>—</w:t>
            </w:r>
          </w:p>
        </w:tc>
        <w:tc>
          <w:tcPr>
            <w:tcW w:type="dxa" w:w="2160"/>
            <w:shd w:fill="FFC7CE" w:val="clear"/>
          </w:tcPr>
          <w:p>
            <w:pPr>
              <w:spacing w:before="40" w:after="40"/>
            </w:pPr>
            <w:r/>
            <w:r>
              <w:rPr>
                <w:b w:val="0"/>
                <w:sz w:val="16"/>
              </w:rPr>
              <w:t>—</w:t>
            </w:r>
          </w:p>
        </w:tc>
      </w:tr>
      <w:tr>
        <w:tc>
          <w:tcPr>
            <w:tcW w:type="dxa" w:w="2160"/>
            <w:shd w:fill="D9D9D9" w:val="clear"/>
          </w:tcPr>
          <w:p>
            <w:pPr>
              <w:spacing w:before="40" w:after="40"/>
            </w:pPr>
            <w:r/>
            <w:r>
              <w:rPr>
                <w:b/>
                <w:sz w:val="18"/>
              </w:rPr>
              <w:t>Tech. VENTE</w:t>
            </w:r>
          </w:p>
        </w:tc>
        <w:tc>
          <w:tcPr>
            <w:tcW w:type="dxa" w:w="2160"/>
            <w:shd w:fill="FFEB9C" w:val="clear"/>
          </w:tcPr>
          <w:p>
            <w:pPr>
              <w:spacing w:before="40" w:after="40"/>
            </w:pPr>
            <w:r/>
            <w:r>
              <w:rPr>
                <w:b w:val="0"/>
                <w:sz w:val="16"/>
              </w:rPr>
              <w:t>BICB, BNBC, BOABF, BOAN, BOAS, ECOC, LNBB, NEIC, ORGT, PRSC, SDCC, SGBC, SOGC, UNLC</w:t>
            </w:r>
          </w:p>
        </w:tc>
        <w:tc>
          <w:tcPr>
            <w:tcW w:type="dxa" w:w="2160"/>
            <w:shd w:fill="FFC7CE" w:val="clear"/>
          </w:tcPr>
          <w:p>
            <w:pPr>
              <w:spacing w:before="40" w:after="40"/>
            </w:pPr>
            <w:r/>
            <w:r>
              <w:rPr>
                <w:b w:val="0"/>
                <w:sz w:val="16"/>
              </w:rPr>
              <w:t>BOAC, SIVC, STBC</w:t>
            </w:r>
          </w:p>
        </w:tc>
        <w:tc>
          <w:tcPr>
            <w:tcW w:type="dxa" w:w="2160"/>
            <w:shd w:fill="FF0000" w:val="clear"/>
          </w:tcPr>
          <w:p>
            <w:pPr>
              <w:spacing w:before="40" w:after="40"/>
            </w:pPr>
            <w:r/>
            <w:r>
              <w:rPr>
                <w:b w:val="0"/>
                <w:sz w:val="16"/>
              </w:rPr>
              <w:t>—</w:t>
            </w:r>
          </w:p>
        </w:tc>
      </w:tr>
    </w:tbl>
    <w:p/>
    <w:p>
      <w:pPr>
        <w:spacing w:after="120"/>
      </w:pPr>
      <w:r>
        <w:rPr>
          <w:b/>
        </w:rPr>
        <w:t xml:space="preserve">Légende : </w:t>
      </w:r>
      <w:r>
        <w:t>🟩 Vert foncé = Double achat (signal fort) | 🟩 Vert clair = Signal partiellement haussier | 🟧 Orange = Divergence tech/fondamental | 🟥 Rouge clair = Signal partiellement baissier | 🟥 Rouge foncé = Double vente (éviter) | ⬜ Blanc = Neutre</w:t>
      </w:r>
    </w:p>
    <w:p/>
    <w:p>
      <w:r>
        <w:br w:type="page"/>
      </w:r>
    </w:p>
    <w:p>
      <w:pPr>
        <w:pStyle w:val="Heading1"/>
      </w:pPr>
      <w:r>
        <w:t>💧 ANALYSE DE LIQUIDITÉ</w:t>
      </w:r>
    </w:p>
    <w:p>
      <w:r>
        <w:t>Cette analyse compare les volumes moyens échangés pour identifier les titres les plus liquides (faciles à acheter/vendre) et ceux présentant un risque de liquidité.</w:t>
      </w:r>
    </w:p>
    <w:p/>
    <w:p>
      <w:pPr>
        <w:pStyle w:val="Heading3"/>
      </w:pPr>
      <w:r>
        <w:t>🟢 Titres à Haute Liquidité (Top 20%)</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ETIT (ETIT - Ecobank Transnational Incorporated Togo)</w:t>
            </w:r>
          </w:p>
        </w:tc>
        <w:tc>
          <w:tcPr>
            <w:tcW w:type="dxa" w:w="1728"/>
          </w:tcPr>
          <w:p>
            <w:r>
              <w:t>1700094</w:t>
            </w:r>
          </w:p>
        </w:tc>
        <w:tc>
          <w:tcPr>
            <w:tcW w:type="dxa" w:w="1728"/>
          </w:tcPr>
          <w:p>
            <w:r>
              <w:t>111929589 FCFA</w:t>
            </w:r>
          </w:p>
        </w:tc>
        <w:tc>
          <w:tcPr>
            <w:tcW w:type="dxa" w:w="1728"/>
          </w:tcPr>
          <w:p>
            <w:r>
              <w:t>103.03%</w:t>
            </w:r>
          </w:p>
        </w:tc>
        <w:tc>
          <w:tcPr>
            <w:tcW w:type="dxa" w:w="1728"/>
          </w:tcPr>
          <w:p>
            <w:r>
              <w:t>ACHAT</w:t>
            </w:r>
          </w:p>
        </w:tc>
      </w:tr>
      <w:tr>
        <w:tc>
          <w:tcPr>
            <w:tcW w:type="dxa" w:w="1728"/>
          </w:tcPr>
          <w:p>
            <w:r>
              <w:t>BICB (BIIC BN - Banque internationale pour le commerce du benin)</w:t>
            </w:r>
          </w:p>
        </w:tc>
        <w:tc>
          <w:tcPr>
            <w:tcW w:type="dxa" w:w="1728"/>
          </w:tcPr>
          <w:p>
            <w:r>
              <w:t>19493</w:t>
            </w:r>
          </w:p>
        </w:tc>
        <w:tc>
          <w:tcPr>
            <w:tcW w:type="dxa" w:w="1728"/>
          </w:tcPr>
          <w:p>
            <w:r>
              <w:t>156900188 FCFA</w:t>
            </w:r>
          </w:p>
        </w:tc>
        <w:tc>
          <w:tcPr>
            <w:tcW w:type="dxa" w:w="1728"/>
          </w:tcPr>
          <w:p>
            <w:r>
              <w:t>65.24%</w:t>
            </w:r>
          </w:p>
        </w:tc>
        <w:tc>
          <w:tcPr>
            <w:tcW w:type="dxa" w:w="1728"/>
          </w:tcPr>
          <w:p>
            <w:r>
              <w:t>ACHAT</w:t>
            </w:r>
          </w:p>
        </w:tc>
      </w:tr>
      <w:tr>
        <w:tc>
          <w:tcPr>
            <w:tcW w:type="dxa" w:w="1728"/>
          </w:tcPr>
          <w:p>
            <w:r>
              <w:t>SDSC (SDSC - AFRICA GLOBAL LOGISTICS CI)</w:t>
            </w:r>
          </w:p>
        </w:tc>
        <w:tc>
          <w:tcPr>
            <w:tcW w:type="dxa" w:w="1728"/>
          </w:tcPr>
          <w:p>
            <w:r>
              <w:t>17120</w:t>
            </w:r>
          </w:p>
        </w:tc>
        <w:tc>
          <w:tcPr>
            <w:tcW w:type="dxa" w:w="1728"/>
          </w:tcPr>
          <w:p>
            <w:r>
              <w:t>43799102 FCFA</w:t>
            </w:r>
          </w:p>
        </w:tc>
        <w:tc>
          <w:tcPr>
            <w:tcW w:type="dxa" w:w="1728"/>
          </w:tcPr>
          <w:p>
            <w:r>
              <w:t>36.88%</w:t>
            </w:r>
          </w:p>
        </w:tc>
        <w:tc>
          <w:tcPr>
            <w:tcW w:type="dxa" w:w="1728"/>
          </w:tcPr>
          <w:p>
            <w:r>
              <w:t>ACHAT</w:t>
            </w:r>
          </w:p>
        </w:tc>
      </w:tr>
      <w:tr>
        <w:tc>
          <w:tcPr>
            <w:tcW w:type="dxa" w:w="1728"/>
          </w:tcPr>
          <w:p>
            <w:r>
              <w:t>UNXC (UNXC - UNIWAX COTE D'IVOIRE)</w:t>
            </w:r>
          </w:p>
        </w:tc>
        <w:tc>
          <w:tcPr>
            <w:tcW w:type="dxa" w:w="1728"/>
          </w:tcPr>
          <w:p>
            <w:r>
              <w:t>14078</w:t>
            </w:r>
          </w:p>
        </w:tc>
        <w:tc>
          <w:tcPr>
            <w:tcW w:type="dxa" w:w="1728"/>
          </w:tcPr>
          <w:p>
            <w:r>
              <w:t>31089726 FCFA</w:t>
            </w:r>
          </w:p>
        </w:tc>
        <w:tc>
          <w:tcPr>
            <w:tcW w:type="dxa" w:w="1728"/>
          </w:tcPr>
          <w:p>
            <w:r>
              <w:t>22.28%</w:t>
            </w:r>
          </w:p>
        </w:tc>
        <w:tc>
          <w:tcPr>
            <w:tcW w:type="dxa" w:w="1728"/>
          </w:tcPr>
          <w:p>
            <w:r>
              <w:t>ACHAT</w:t>
            </w:r>
          </w:p>
        </w:tc>
      </w:tr>
      <w:tr>
        <w:tc>
          <w:tcPr>
            <w:tcW w:type="dxa" w:w="1728"/>
          </w:tcPr>
          <w:p>
            <w:r>
              <w:t>SNTS (SNTS - SONATEL SN)</w:t>
            </w:r>
          </w:p>
        </w:tc>
        <w:tc>
          <w:tcPr>
            <w:tcW w:type="dxa" w:w="1728"/>
          </w:tcPr>
          <w:p>
            <w:r>
              <w:t>13771</w:t>
            </w:r>
          </w:p>
        </w:tc>
        <w:tc>
          <w:tcPr>
            <w:tcW w:type="dxa" w:w="1728"/>
          </w:tcPr>
          <w:p>
            <w:r>
              <w:t>444302541 FCFA</w:t>
            </w:r>
          </w:p>
        </w:tc>
        <w:tc>
          <w:tcPr>
            <w:tcW w:type="dxa" w:w="1728"/>
          </w:tcPr>
          <w:p>
            <w:r>
              <w:t>24.14%</w:t>
            </w:r>
          </w:p>
        </w:tc>
        <w:tc>
          <w:tcPr>
            <w:tcW w:type="dxa" w:w="1728"/>
          </w:tcPr>
          <w:p>
            <w:r>
              <w:t>ACHAT</w:t>
            </w:r>
          </w:p>
        </w:tc>
      </w:tr>
      <w:tr>
        <w:tc>
          <w:tcPr>
            <w:tcW w:type="dxa" w:w="1728"/>
          </w:tcPr>
          <w:p>
            <w:r>
              <w:t>BOAS (BANK OF AFRICA SENEGAL)</w:t>
            </w:r>
          </w:p>
        </w:tc>
        <w:tc>
          <w:tcPr>
            <w:tcW w:type="dxa" w:w="1728"/>
          </w:tcPr>
          <w:p>
            <w:r>
              <w:t>11558</w:t>
            </w:r>
          </w:p>
        </w:tc>
        <w:tc>
          <w:tcPr>
            <w:tcW w:type="dxa" w:w="1728"/>
          </w:tcPr>
          <w:p>
            <w:r>
              <w:t>90511473 FCFA</w:t>
            </w:r>
          </w:p>
        </w:tc>
        <w:tc>
          <w:tcPr>
            <w:tcW w:type="dxa" w:w="1728"/>
          </w:tcPr>
          <w:p>
            <w:r>
              <w:t>24.47%</w:t>
            </w:r>
          </w:p>
        </w:tc>
        <w:tc>
          <w:tcPr>
            <w:tcW w:type="dxa" w:w="1728"/>
          </w:tcPr>
          <w:p>
            <w:r>
              <w:t>ACHAT</w:t>
            </w:r>
          </w:p>
        </w:tc>
      </w:tr>
      <w:tr>
        <w:tc>
          <w:tcPr>
            <w:tcW w:type="dxa" w:w="1728"/>
          </w:tcPr>
          <w:p>
            <w:r>
              <w:t>SOGC (SOGC - Société des caoutchoucs de Grand-Béréby)</w:t>
            </w:r>
          </w:p>
        </w:tc>
        <w:tc>
          <w:tcPr>
            <w:tcW w:type="dxa" w:w="1728"/>
          </w:tcPr>
          <w:p>
            <w:r>
              <w:t>10446</w:t>
            </w:r>
          </w:p>
        </w:tc>
        <w:tc>
          <w:tcPr>
            <w:tcW w:type="dxa" w:w="1728"/>
          </w:tcPr>
          <w:p>
            <w:r>
              <w:t>78265092 FCFA</w:t>
            </w:r>
          </w:p>
        </w:tc>
        <w:tc>
          <w:tcPr>
            <w:tcW w:type="dxa" w:w="1728"/>
          </w:tcPr>
          <w:p>
            <w:r>
              <w:t>5.13%</w:t>
            </w:r>
          </w:p>
        </w:tc>
        <w:tc>
          <w:tcPr>
            <w:tcW w:type="dxa" w:w="1728"/>
          </w:tcPr>
          <w:p>
            <w:r>
              <w:t>ACHAT</w:t>
            </w:r>
          </w:p>
        </w:tc>
      </w:tr>
      <w:tr>
        <w:tc>
          <w:tcPr>
            <w:tcW w:type="dxa" w:w="1728"/>
          </w:tcPr>
          <w:p>
            <w:r>
              <w:t>BOAC (BANK OF AFRICA COTE D'IVOIRE)</w:t>
            </w:r>
          </w:p>
        </w:tc>
        <w:tc>
          <w:tcPr>
            <w:tcW w:type="dxa" w:w="1728"/>
          </w:tcPr>
          <w:p>
            <w:r>
              <w:t>9332</w:t>
            </w:r>
          </w:p>
        </w:tc>
        <w:tc>
          <w:tcPr>
            <w:tcW w:type="dxa" w:w="1728"/>
          </w:tcPr>
          <w:p>
            <w:r>
              <w:t>115326018 FCFA</w:t>
            </w:r>
          </w:p>
        </w:tc>
        <w:tc>
          <w:tcPr>
            <w:tcW w:type="dxa" w:w="1728"/>
          </w:tcPr>
          <w:p>
            <w:r>
              <w:t>49.41%</w:t>
            </w:r>
          </w:p>
        </w:tc>
        <w:tc>
          <w:tcPr>
            <w:tcW w:type="dxa" w:w="1728"/>
          </w:tcPr>
          <w:p>
            <w:r>
              <w:t>CONSERVER ⚠️</w:t>
            </w:r>
          </w:p>
        </w:tc>
      </w:tr>
      <w:tr>
        <w:tc>
          <w:tcPr>
            <w:tcW w:type="dxa" w:w="1728"/>
          </w:tcPr>
          <w:p>
            <w:r>
              <w:t>SIBC (SIBC - SOCIETE IVOIRIENNE DE BANQUE)</w:t>
            </w:r>
          </w:p>
        </w:tc>
        <w:tc>
          <w:tcPr>
            <w:tcW w:type="dxa" w:w="1728"/>
          </w:tcPr>
          <w:p>
            <w:r>
              <w:t>9201</w:t>
            </w:r>
          </w:p>
        </w:tc>
        <w:tc>
          <w:tcPr>
            <w:tcW w:type="dxa" w:w="1728"/>
          </w:tcPr>
          <w:p>
            <w:r>
              <w:t>84244733 FCFA</w:t>
            </w:r>
          </w:p>
        </w:tc>
        <w:tc>
          <w:tcPr>
            <w:tcW w:type="dxa" w:w="1728"/>
          </w:tcPr>
          <w:p>
            <w:r>
              <w:t>33.33%</w:t>
            </w:r>
          </w:p>
        </w:tc>
        <w:tc>
          <w:tcPr>
            <w:tcW w:type="dxa" w:w="1728"/>
          </w:tcPr>
          <w:p>
            <w:r>
              <w:t>ACHAT</w:t>
            </w:r>
          </w:p>
        </w:tc>
      </w:tr>
    </w:tbl>
    <w:p/>
    <w:p>
      <w:pPr>
        <w:pStyle w:val="Heading3"/>
      </w:pPr>
      <w:r>
        <w:t>🔴 Titres à Faible Liquidité (Bottom 40%) - RISQUE ÉLEVÉ</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9D9D9"/>
          </w:tcPr>
          <w:p>
            <w:r>
              <w:rPr>
                <w:b/>
              </w:rPr>
              <w:t>Société</w:t>
            </w:r>
          </w:p>
        </w:tc>
        <w:tc>
          <w:tcPr>
            <w:tcW w:type="dxa" w:w="1728"/>
            <w:shd w:fill="D9D9D9"/>
          </w:tcPr>
          <w:p>
            <w:r>
              <w:rPr>
                <w:b/>
              </w:rPr>
              <w:t>Vol. Moy.</w:t>
            </w:r>
          </w:p>
        </w:tc>
        <w:tc>
          <w:tcPr>
            <w:tcW w:type="dxa" w:w="1728"/>
            <w:shd w:fill="D9D9D9"/>
          </w:tcPr>
          <w:p>
            <w:r>
              <w:rPr>
                <w:b/>
              </w:rPr>
              <w:t>Valeur Moy.</w:t>
            </w:r>
          </w:p>
        </w:tc>
        <w:tc>
          <w:tcPr>
            <w:tcW w:type="dxa" w:w="1728"/>
            <w:shd w:fill="D9D9D9"/>
          </w:tcPr>
          <w:p>
            <w:r>
              <w:rPr>
                <w:b/>
              </w:rPr>
              <w:t>Perf. 100j</w:t>
            </w:r>
          </w:p>
        </w:tc>
        <w:tc>
          <w:tcPr>
            <w:tcW w:type="dxa" w:w="1728"/>
            <w:shd w:fill="D9D9D9"/>
          </w:tcPr>
          <w:p>
            <w:r>
              <w:rPr>
                <w:b/>
              </w:rPr>
              <w:t>Recom.</w:t>
            </w:r>
          </w:p>
        </w:tc>
      </w:tr>
      <w:tr>
        <w:tc>
          <w:tcPr>
            <w:tcW w:type="dxa" w:w="1728"/>
          </w:tcPr>
          <w:p>
            <w:r>
              <w:t>SIVC (SIVC - ERIUM CI (Ex AIR LIQUIDECI))</w:t>
            </w:r>
          </w:p>
        </w:tc>
        <w:tc>
          <w:tcPr>
            <w:tcW w:type="dxa" w:w="1728"/>
          </w:tcPr>
          <w:p>
            <w:r>
              <w:t>3644</w:t>
            </w:r>
          </w:p>
        </w:tc>
        <w:tc>
          <w:tcPr>
            <w:tcW w:type="dxa" w:w="1728"/>
          </w:tcPr>
          <w:p>
            <w:r>
              <w:t>8301139 FCFA</w:t>
            </w:r>
          </w:p>
        </w:tc>
        <w:tc>
          <w:tcPr>
            <w:tcW w:type="dxa" w:w="1728"/>
          </w:tcPr>
          <w:p>
            <w:r>
              <w:t>-19.01%</w:t>
            </w:r>
          </w:p>
        </w:tc>
        <w:tc>
          <w:tcPr>
            <w:tcW w:type="dxa" w:w="1728"/>
          </w:tcPr>
          <w:p>
            <w:r>
              <w:t>CONSERVER ⚠️</w:t>
            </w:r>
          </w:p>
        </w:tc>
      </w:tr>
      <w:tr>
        <w:tc>
          <w:tcPr>
            <w:tcW w:type="dxa" w:w="1728"/>
          </w:tcPr>
          <w:p>
            <w:r>
              <w:t>ABJC (ABJC - SERVAIR ABIDJAN CI)</w:t>
            </w:r>
          </w:p>
        </w:tc>
        <w:tc>
          <w:tcPr>
            <w:tcW w:type="dxa" w:w="1728"/>
          </w:tcPr>
          <w:p>
            <w:r>
              <w:t>3218</w:t>
            </w:r>
          </w:p>
        </w:tc>
        <w:tc>
          <w:tcPr>
            <w:tcW w:type="dxa" w:w="1728"/>
          </w:tcPr>
          <w:p>
            <w:r>
              <w:t>10383977 FCFA</w:t>
            </w:r>
          </w:p>
        </w:tc>
        <w:tc>
          <w:tcPr>
            <w:tcW w:type="dxa" w:w="1728"/>
          </w:tcPr>
          <w:p>
            <w:r>
              <w:t>1.65%</w:t>
            </w:r>
          </w:p>
        </w:tc>
        <w:tc>
          <w:tcPr>
            <w:tcW w:type="dxa" w:w="1728"/>
          </w:tcPr>
          <w:p>
            <w:r>
              <w:t>ACHAT</w:t>
            </w:r>
          </w:p>
        </w:tc>
      </w:tr>
      <w:tr>
        <w:tc>
          <w:tcPr>
            <w:tcW w:type="dxa" w:w="1728"/>
          </w:tcPr>
          <w:p>
            <w:r>
              <w:t>CABC (CABC - SICABLE COTE D'IVOIRE)</w:t>
            </w:r>
          </w:p>
        </w:tc>
        <w:tc>
          <w:tcPr>
            <w:tcW w:type="dxa" w:w="1728"/>
          </w:tcPr>
          <w:p>
            <w:r>
              <w:t>3064</w:t>
            </w:r>
          </w:p>
        </w:tc>
        <w:tc>
          <w:tcPr>
            <w:tcW w:type="dxa" w:w="1728"/>
          </w:tcPr>
          <w:p>
            <w:r>
              <w:t>10834041 FCFA</w:t>
            </w:r>
          </w:p>
        </w:tc>
        <w:tc>
          <w:tcPr>
            <w:tcW w:type="dxa" w:w="1728"/>
          </w:tcPr>
          <w:p>
            <w:r>
              <w:t>-4.24%</w:t>
            </w:r>
          </w:p>
        </w:tc>
        <w:tc>
          <w:tcPr>
            <w:tcW w:type="dxa" w:w="1728"/>
          </w:tcPr>
          <w:p>
            <w:r>
              <w:t>ACHAT</w:t>
            </w:r>
          </w:p>
        </w:tc>
      </w:tr>
      <w:tr>
        <w:tc>
          <w:tcPr>
            <w:tcW w:type="dxa" w:w="1728"/>
          </w:tcPr>
          <w:p>
            <w:r>
              <w:t>CFAC (CFAC - CFAO MOTORS CI)</w:t>
            </w:r>
          </w:p>
        </w:tc>
        <w:tc>
          <w:tcPr>
            <w:tcW w:type="dxa" w:w="1728"/>
          </w:tcPr>
          <w:p>
            <w:r>
              <w:t>3002</w:t>
            </w:r>
          </w:p>
        </w:tc>
        <w:tc>
          <w:tcPr>
            <w:tcW w:type="dxa" w:w="1728"/>
          </w:tcPr>
          <w:p>
            <w:r>
              <w:t>5036769 FCFA</w:t>
            </w:r>
          </w:p>
        </w:tc>
        <w:tc>
          <w:tcPr>
            <w:tcW w:type="dxa" w:w="1728"/>
          </w:tcPr>
          <w:p>
            <w:r>
              <w:t>7.72%</w:t>
            </w:r>
          </w:p>
        </w:tc>
        <w:tc>
          <w:tcPr>
            <w:tcW w:type="dxa" w:w="1728"/>
          </w:tcPr>
          <w:p>
            <w:r>
              <w:t>ACHAT</w:t>
            </w:r>
          </w:p>
        </w:tc>
      </w:tr>
      <w:tr>
        <w:tc>
          <w:tcPr>
            <w:tcW w:type="dxa" w:w="1728"/>
          </w:tcPr>
          <w:p>
            <w:r>
              <w:t>BNBC (BNBC - BERNABE CI)</w:t>
            </w:r>
          </w:p>
        </w:tc>
        <w:tc>
          <w:tcPr>
            <w:tcW w:type="dxa" w:w="1728"/>
          </w:tcPr>
          <w:p>
            <w:r>
              <w:t>2536</w:t>
            </w:r>
          </w:p>
        </w:tc>
        <w:tc>
          <w:tcPr>
            <w:tcW w:type="dxa" w:w="1728"/>
          </w:tcPr>
          <w:p>
            <w:r>
              <w:t>5008914 FCFA</w:t>
            </w:r>
          </w:p>
        </w:tc>
        <w:tc>
          <w:tcPr>
            <w:tcW w:type="dxa" w:w="1728"/>
          </w:tcPr>
          <w:p>
            <w:r>
              <w:t>44.34%</w:t>
            </w:r>
          </w:p>
        </w:tc>
        <w:tc>
          <w:tcPr>
            <w:tcW w:type="dxa" w:w="1728"/>
          </w:tcPr>
          <w:p>
            <w:r>
              <w:t>ACHAT</w:t>
            </w:r>
          </w:p>
        </w:tc>
      </w:tr>
      <w:tr>
        <w:tc>
          <w:tcPr>
            <w:tcW w:type="dxa" w:w="1728"/>
          </w:tcPr>
          <w:p>
            <w:r>
              <w:t>PALC (PALC - PALM COTE D'IVOIRE)</w:t>
            </w:r>
          </w:p>
        </w:tc>
        <w:tc>
          <w:tcPr>
            <w:tcW w:type="dxa" w:w="1728"/>
          </w:tcPr>
          <w:p>
            <w:r>
              <w:t>2507</w:t>
            </w:r>
          </w:p>
        </w:tc>
        <w:tc>
          <w:tcPr>
            <w:tcW w:type="dxa" w:w="1728"/>
          </w:tcPr>
          <w:p>
            <w:r>
              <w:t>22939515 FCFA</w:t>
            </w:r>
          </w:p>
        </w:tc>
        <w:tc>
          <w:tcPr>
            <w:tcW w:type="dxa" w:w="1728"/>
          </w:tcPr>
          <w:p>
            <w:r>
              <w:t>12.62%</w:t>
            </w:r>
          </w:p>
        </w:tc>
        <w:tc>
          <w:tcPr>
            <w:tcW w:type="dxa" w:w="1728"/>
          </w:tcPr>
          <w:p>
            <w:r>
              <w:t>ACHAT</w:t>
            </w:r>
          </w:p>
        </w:tc>
      </w:tr>
      <w:tr>
        <w:tc>
          <w:tcPr>
            <w:tcW w:type="dxa" w:w="1728"/>
          </w:tcPr>
          <w:p>
            <w:r>
              <w:t>TTLS (TTLS - TOTAL ENERGIES MARKETING SENEGAL)</w:t>
            </w:r>
          </w:p>
        </w:tc>
        <w:tc>
          <w:tcPr>
            <w:tcW w:type="dxa" w:w="1728"/>
          </w:tcPr>
          <w:p>
            <w:r>
              <w:t>2446</w:t>
            </w:r>
          </w:p>
        </w:tc>
        <w:tc>
          <w:tcPr>
            <w:tcW w:type="dxa" w:w="1728"/>
          </w:tcPr>
          <w:p>
            <w:r>
              <w:t>9036402 FCFA</w:t>
            </w:r>
          </w:p>
        </w:tc>
        <w:tc>
          <w:tcPr>
            <w:tcW w:type="dxa" w:w="1728"/>
          </w:tcPr>
          <w:p>
            <w:r>
              <w:t>13.38%</w:t>
            </w:r>
          </w:p>
        </w:tc>
        <w:tc>
          <w:tcPr>
            <w:tcW w:type="dxa" w:w="1728"/>
          </w:tcPr>
          <w:p>
            <w:r>
              <w:t>ACHAT</w:t>
            </w:r>
          </w:p>
        </w:tc>
      </w:tr>
      <w:tr>
        <w:tc>
          <w:tcPr>
            <w:tcW w:type="dxa" w:w="1728"/>
          </w:tcPr>
          <w:p>
            <w:r>
              <w:t>ORAC (ORAC - ORANGE COTE D'IVOIRE)</w:t>
            </w:r>
          </w:p>
        </w:tc>
        <w:tc>
          <w:tcPr>
            <w:tcW w:type="dxa" w:w="1728"/>
          </w:tcPr>
          <w:p>
            <w:r>
              <w:t>2315</w:t>
            </w:r>
          </w:p>
        </w:tc>
        <w:tc>
          <w:tcPr>
            <w:tcW w:type="dxa" w:w="1728"/>
          </w:tcPr>
          <w:p>
            <w:r>
              <w:t>44221558 FCFA</w:t>
            </w:r>
          </w:p>
        </w:tc>
        <w:tc>
          <w:tcPr>
            <w:tcW w:type="dxa" w:w="1728"/>
          </w:tcPr>
          <w:p>
            <w:r>
              <w:t>39.47%</w:t>
            </w:r>
          </w:p>
        </w:tc>
        <w:tc>
          <w:tcPr>
            <w:tcW w:type="dxa" w:w="1728"/>
          </w:tcPr>
          <w:p>
            <w:r>
              <w:t>ACHAT</w:t>
            </w:r>
          </w:p>
        </w:tc>
      </w:tr>
      <w:tr>
        <w:tc>
          <w:tcPr>
            <w:tcW w:type="dxa" w:w="1728"/>
          </w:tcPr>
          <w:p>
            <w:r>
              <w:t>NSBC (NSBC - NSIA BANQUE COTE D'IVOIRE)</w:t>
            </w:r>
          </w:p>
        </w:tc>
        <w:tc>
          <w:tcPr>
            <w:tcW w:type="dxa" w:w="1728"/>
          </w:tcPr>
          <w:p>
            <w:r>
              <w:t>2242</w:t>
            </w:r>
          </w:p>
        </w:tc>
        <w:tc>
          <w:tcPr>
            <w:tcW w:type="dxa" w:w="1728"/>
          </w:tcPr>
          <w:p>
            <w:r>
              <w:t>51940854 FCFA</w:t>
            </w:r>
          </w:p>
        </w:tc>
        <w:tc>
          <w:tcPr>
            <w:tcW w:type="dxa" w:w="1728"/>
          </w:tcPr>
          <w:p>
            <w:r>
              <w:t>59.57%</w:t>
            </w:r>
          </w:p>
        </w:tc>
        <w:tc>
          <w:tcPr>
            <w:tcW w:type="dxa" w:w="1728"/>
          </w:tcPr>
          <w:p>
            <w:r>
              <w:t>ACHAT</w:t>
            </w:r>
          </w:p>
        </w:tc>
      </w:tr>
      <w:tr>
        <w:tc>
          <w:tcPr>
            <w:tcW w:type="dxa" w:w="1728"/>
          </w:tcPr>
          <w:p>
            <w:r>
              <w:t>SMBC (SMBC - Société Multinationale de Bitumes COTE D'IVOIRE)</w:t>
            </w:r>
          </w:p>
        </w:tc>
        <w:tc>
          <w:tcPr>
            <w:tcW w:type="dxa" w:w="1728"/>
          </w:tcPr>
          <w:p>
            <w:r>
              <w:t>2223</w:t>
            </w:r>
          </w:p>
        </w:tc>
        <w:tc>
          <w:tcPr>
            <w:tcW w:type="dxa" w:w="1728"/>
          </w:tcPr>
          <w:p>
            <w:r>
              <w:t>36143610 FCFA</w:t>
            </w:r>
          </w:p>
        </w:tc>
        <w:tc>
          <w:tcPr>
            <w:tcW w:type="dxa" w:w="1728"/>
          </w:tcPr>
          <w:p>
            <w:r>
              <w:t>36.80%</w:t>
            </w:r>
          </w:p>
        </w:tc>
        <w:tc>
          <w:tcPr>
            <w:tcW w:type="dxa" w:w="1728"/>
          </w:tcPr>
          <w:p>
            <w:r>
              <w:t>ACHAT</w:t>
            </w:r>
          </w:p>
        </w:tc>
      </w:tr>
    </w:tbl>
    <w:p/>
    <w:p>
      <w:r>
        <w:rPr>
          <w:b/>
        </w:rPr>
        <w:t xml:space="preserve">⚠️ ATTENTION: </w:t>
      </w:r>
      <w:r>
        <w:t>Les titres à faible liquidité présentent un risque de ne pas pouvoir sortir facilement de sa position. À privilégier uniquement pour un investissement de long terme.</w:t>
      </w:r>
    </w:p>
    <w:p>
      <w:r>
        <w:br w:type="page"/>
      </w:r>
    </w:p>
    <w:p>
      <w:pPr>
        <w:pStyle w:val="Heading1"/>
      </w:pPr>
      <w:r>
        <w:t>⚠️ TOP 10 DES DIVERGENCES MAJEURES</w:t>
      </w:r>
    </w:p>
    <w:p>
      <w:r>
        <w:t>Cette section liste les sociétés présentant les écarts les plus importants entre les différents indicateurs techniques et fondamentaux.</w:t>
      </w:r>
    </w:p>
    <w:p/>
    <w:p>
      <w:pPr>
        <w:pStyle w:val="Heading3"/>
      </w:pPr>
      <w:r>
        <w:t>1. BICB - BIIC BN - Banque internationale pour le commerce du benin</w:t>
      </w:r>
    </w:p>
    <w:p>
      <w:r>
        <w:rPr>
          <w:b/>
        </w:rPr>
        <w:t xml:space="preserve">Score de divergence: </w:t>
      </w:r>
      <w:r>
        <w:t>5/8</w:t>
        <w:br/>
      </w:r>
      <w:r>
        <w:rPr>
          <w:b/>
        </w:rPr>
        <w:t xml:space="preserve">Description: </w:t>
      </w:r>
      <w:r>
        <w:t>Signaux d'achat: MM | Signaux de vente: MACD, RSI, Stochastique | Recommandation finale: ACHAT</w:t>
        <w:br/>
      </w:r>
    </w:p>
    <w:p/>
    <w:p>
      <w:pPr>
        <w:pStyle w:val="Heading3"/>
      </w:pPr>
      <w:r>
        <w:t>2. SGBC - SGBC - SOCIETE GENERALE COTE D'IVOIRE</w:t>
      </w:r>
    </w:p>
    <w:p>
      <w:r>
        <w:rPr>
          <w:b/>
        </w:rPr>
        <w:t xml:space="preserve">Score de divergence: </w:t>
      </w:r>
      <w:r>
        <w:t>5/8</w:t>
        <w:br/>
      </w:r>
      <w:r>
        <w:rPr>
          <w:b/>
        </w:rPr>
        <w:t xml:space="preserve">Description: </w:t>
      </w:r>
      <w:r>
        <w:t>Signaux de vente: MM, MACD | Recommandation finale: ACHAT</w:t>
        <w:br/>
      </w:r>
    </w:p>
    <w:p/>
    <w:p>
      <w:pPr>
        <w:pStyle w:val="Heading3"/>
      </w:pPr>
      <w:r>
        <w:t>3. BNBC - BNBC - BERNABE CI</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4. BOABF - BANK OF AFRICA BURKINA FASO</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5. BOAN - BANK OF AFRICA NIGER</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6. BOAS - BANK OF AFRICA SENEGAL</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7. ECOC - ECOC - ECOBANK COTE D'IVOIRE</w:t>
      </w:r>
    </w:p>
    <w:p>
      <w:r>
        <w:rPr>
          <w:b/>
        </w:rPr>
        <w:t xml:space="preserve">Score de divergence: </w:t>
      </w:r>
      <w:r>
        <w:t>4/8</w:t>
        <w:br/>
      </w:r>
      <w:r>
        <w:rPr>
          <w:b/>
        </w:rPr>
        <w:t xml:space="preserve">Description: </w:t>
      </w:r>
      <w:r>
        <w:t>Signaux d'achat: MACD | Signaux de vente: MM, Stochastique | Recommandation finale: ACHAT</w:t>
        <w:br/>
      </w:r>
    </w:p>
    <w:p/>
    <w:p>
      <w:pPr>
        <w:pStyle w:val="Heading3"/>
      </w:pPr>
      <w:r>
        <w:t>8. LNBB - LNBB - LOTERIE NATIONALE DU BENIN</w:t>
      </w:r>
    </w:p>
    <w:p>
      <w:r>
        <w:rPr>
          <w:b/>
        </w:rPr>
        <w:t xml:space="preserve">Score de divergence: </w:t>
      </w:r>
      <w:r>
        <w:t>4/8</w:t>
        <w:br/>
      </w:r>
      <w:r>
        <w:rPr>
          <w:b/>
        </w:rPr>
        <w:t xml:space="preserve">Description: </w:t>
      </w:r>
      <w:r>
        <w:t>Signaux d'achat: Stochastique | Signaux de vente: MM, MACD | Recommandation finale: ACHAT</w:t>
        <w:br/>
      </w:r>
    </w:p>
    <w:p/>
    <w:p>
      <w:pPr>
        <w:pStyle w:val="Heading3"/>
      </w:pPr>
      <w:r>
        <w:t>9. NEIC - NEIC - NEI-CEDA CI</w:t>
      </w:r>
    </w:p>
    <w:p>
      <w:r>
        <w:rPr>
          <w:b/>
        </w:rPr>
        <w:t xml:space="preserve">Score de divergence: </w:t>
      </w:r>
      <w:r>
        <w:t>4/8</w:t>
        <w:br/>
      </w:r>
      <w:r>
        <w:rPr>
          <w:b/>
        </w:rPr>
        <w:t xml:space="preserve">Description: </w:t>
      </w:r>
      <w:r>
        <w:t>Signaux d'achat: MM, MACD | Signaux de vente: Bollinger, RSI, Stochastique | Recommandation finale: ACHAT</w:t>
        <w:br/>
      </w:r>
    </w:p>
    <w:p/>
    <w:p>
      <w:pPr>
        <w:pStyle w:val="Heading3"/>
      </w:pPr>
      <w:r>
        <w:t>10. ORGT - ORGT - ORAGROUP TOGO</w:t>
      </w:r>
    </w:p>
    <w:p>
      <w:r>
        <w:rPr>
          <w:b/>
        </w:rPr>
        <w:t xml:space="preserve">Score de divergence: </w:t>
      </w:r>
      <w:r>
        <w:t>4/8</w:t>
        <w:br/>
      </w:r>
      <w:r>
        <w:rPr>
          <w:b/>
        </w:rPr>
        <w:t xml:space="preserve">Description: </w:t>
      </w:r>
      <w:r>
        <w:t>Signaux d'achat: MM | Signaux de vente: MACD, Stochastique | Recommandation finale: ACHAT</w:t>
        <w:br/>
      </w:r>
    </w:p>
    <w:p/>
    <w:p>
      <w:r>
        <w:br w:type="page"/>
      </w:r>
    </w:p>
    <w:p>
      <w:pPr>
        <w:pStyle w:val="Heading1"/>
      </w:pPr>
      <w:r>
        <w:t>📈 MATRICE RISQUE vs HORIZON DE PLACEMENT</w:t>
      </w:r>
    </w:p>
    <w:p>
      <w:r>
        <w:t>Cette matrice croise le niveau de risque avec l'horizon de placement recommandé pour faciliter la sélection de titres selon votre profil d'investisseur.</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fill="D9D9D9"/>
          </w:tcPr>
          <w:p>
            <w:r>
              <w:rPr>
                <w:b/>
              </w:rPr>
              <w:t>RISQUE / HORIZON</w:t>
            </w:r>
          </w:p>
        </w:tc>
        <w:tc>
          <w:tcPr>
            <w:tcW w:type="dxa" w:w="2160"/>
            <w:shd w:fill="D9D9D9"/>
          </w:tcPr>
          <w:p>
            <w:r>
              <w:rPr>
                <w:b/>
              </w:rPr>
              <w:t>Court Terme</w:t>
            </w:r>
          </w:p>
        </w:tc>
        <w:tc>
          <w:tcPr>
            <w:tcW w:type="dxa" w:w="2160"/>
            <w:shd w:fill="D9D9D9"/>
          </w:tcPr>
          <w:p>
            <w:r>
              <w:rPr>
                <w:b/>
              </w:rPr>
              <w:t>Moyen Terme</w:t>
            </w:r>
          </w:p>
        </w:tc>
        <w:tc>
          <w:tcPr>
            <w:tcW w:type="dxa" w:w="2160"/>
            <w:shd w:fill="D9D9D9"/>
          </w:tcPr>
          <w:p>
            <w:r>
              <w:rPr>
                <w:b/>
              </w:rPr>
              <w:t>Long Terme</w:t>
            </w:r>
          </w:p>
        </w:tc>
      </w:tr>
      <w:tr>
        <w:tc>
          <w:tcPr>
            <w:tcW w:type="dxa" w:w="2160"/>
          </w:tcPr>
          <w:p>
            <w:r>
              <w:t>Risque Faible</w:t>
            </w:r>
          </w:p>
        </w:tc>
        <w:tc>
          <w:tcPr>
            <w:tcW w:type="dxa" w:w="2160"/>
          </w:tcPr>
          <w:p>
            <w:r>
              <w:t>0</w:t>
            </w:r>
          </w:p>
        </w:tc>
        <w:tc>
          <w:tcPr>
            <w:tcW w:type="dxa" w:w="2160"/>
          </w:tcPr>
          <w:p>
            <w:r>
              <w:t>21</w:t>
            </w:r>
          </w:p>
        </w:tc>
        <w:tc>
          <w:tcPr>
            <w:tcW w:type="dxa" w:w="2160"/>
          </w:tcPr>
          <w:p>
            <w:r>
              <w:t>0</w:t>
            </w:r>
          </w:p>
        </w:tc>
      </w:tr>
      <w:tr>
        <w:tc>
          <w:tcPr>
            <w:tcW w:type="dxa" w:w="2160"/>
          </w:tcPr>
          <w:p>
            <w:r>
              <w:t>Risque Moyen</w:t>
            </w:r>
          </w:p>
        </w:tc>
        <w:tc>
          <w:tcPr>
            <w:tcW w:type="dxa" w:w="2160"/>
          </w:tcPr>
          <w:p>
            <w:r>
              <w:t>0</w:t>
            </w:r>
          </w:p>
        </w:tc>
        <w:tc>
          <w:tcPr>
            <w:tcW w:type="dxa" w:w="2160"/>
          </w:tcPr>
          <w:p>
            <w:r>
              <w:t>26</w:t>
            </w:r>
          </w:p>
        </w:tc>
        <w:tc>
          <w:tcPr>
            <w:tcW w:type="dxa" w:w="2160"/>
          </w:tcPr>
          <w:p>
            <w:r>
              <w:t>0</w:t>
            </w:r>
          </w:p>
        </w:tc>
      </w:tr>
      <w:tr>
        <w:tc>
          <w:tcPr>
            <w:tcW w:type="dxa" w:w="2160"/>
          </w:tcPr>
          <w:p>
            <w:r>
              <w:t>Risque Élevé</w:t>
            </w:r>
          </w:p>
        </w:tc>
        <w:tc>
          <w:tcPr>
            <w:tcW w:type="dxa" w:w="2160"/>
          </w:tcPr>
          <w:p>
            <w:r>
              <w:t>0</w:t>
            </w:r>
          </w:p>
        </w:tc>
        <w:tc>
          <w:tcPr>
            <w:tcW w:type="dxa" w:w="2160"/>
          </w:tcPr>
          <w:p>
            <w:r>
              <w:t>0</w:t>
            </w:r>
          </w:p>
        </w:tc>
        <w:tc>
          <w:tcPr>
            <w:tcW w:type="dxa" w:w="2160"/>
          </w:tcPr>
          <w:p>
            <w:r>
              <w:t>0</w:t>
            </w:r>
          </w:p>
        </w:tc>
      </w:tr>
    </w:tbl>
    <w:p/>
    <w:p>
      <w:pPr>
        <w:pStyle w:val="Heading3"/>
      </w:pPr>
      <w:r>
        <w:t>🟢 Faible Risque - Moyen Terme</w:t>
      </w:r>
    </w:p>
    <w:p>
      <w:pPr>
        <w:pStyle w:val="ListBullet"/>
      </w:pPr>
      <w:r>
        <w:t>• BOABF (BANK OF AFRICA BURKINA FASO)</w:t>
      </w:r>
    </w:p>
    <w:p>
      <w:pPr>
        <w:pStyle w:val="ListBullet"/>
      </w:pPr>
      <w:r>
        <w:t>• BOAC (BANK OF AFRICA COTE D'IVOIRE)</w:t>
      </w:r>
    </w:p>
    <w:p>
      <w:pPr>
        <w:pStyle w:val="ListBullet"/>
      </w:pPr>
      <w:r>
        <w:t>• BOAM (BANK OF AFRICA MALI)</w:t>
      </w:r>
    </w:p>
    <w:p>
      <w:pPr>
        <w:pStyle w:val="ListBullet"/>
      </w:pPr>
      <w:r>
        <w:t>• BOAS (BANK OF AFRICA SENEGAL)</w:t>
      </w:r>
    </w:p>
    <w:p>
      <w:pPr>
        <w:pStyle w:val="ListBullet"/>
      </w:pPr>
      <w:r>
        <w:t>• CABC (CABC - SICABLE COTE D'IVOIRE)</w:t>
      </w:r>
    </w:p>
    <w:p>
      <w:pPr>
        <w:pStyle w:val="ListBullet"/>
      </w:pPr>
      <w:r>
        <w:t>• ECOC (ECOC - ECOBANK COTE D'IVOIRE)</w:t>
      </w:r>
    </w:p>
    <w:p>
      <w:pPr>
        <w:pStyle w:val="ListBullet"/>
      </w:pPr>
      <w:r>
        <w:t>• FTSC (FTSC - FILTISAC COTE D'IVOIRE)</w:t>
      </w:r>
    </w:p>
    <w:p>
      <w:pPr>
        <w:pStyle w:val="ListBullet"/>
      </w:pPr>
      <w:r>
        <w:t>• LNBB (LNBB - LOTERIE NATIONALE DU BENIN)</w:t>
      </w:r>
    </w:p>
    <w:p>
      <w:pPr>
        <w:pStyle w:val="ListBullet"/>
      </w:pPr>
      <w:r>
        <w:t>• NTLC (NTLC - NESTLE COTE D'IVOIRE)</w:t>
      </w:r>
    </w:p>
    <w:p>
      <w:pPr>
        <w:pStyle w:val="ListBullet"/>
      </w:pPr>
      <w:r>
        <w:t>• ONTBF (ONTBF - ONATEL BURKINA FASO)</w:t>
      </w:r>
    </w:p>
    <w:p>
      <w:pPr>
        <w:pStyle w:val="ListBullet"/>
      </w:pPr>
      <w:r>
        <w:t>• ORGT (ORGT - ORAGROUP TOGO)</w:t>
      </w:r>
    </w:p>
    <w:p>
      <w:pPr>
        <w:pStyle w:val="ListBullet"/>
      </w:pPr>
      <w:r>
        <w:t>• SGBC (SGBC - SOCIETE GENERALE COTE D'IVOIRE)</w:t>
      </w:r>
    </w:p>
    <w:p>
      <w:pPr>
        <w:pStyle w:val="ListBullet"/>
      </w:pPr>
      <w:r>
        <w:t>• SHEC (SHEC - VIVO ENERGY COTE D'IVOIRE)</w:t>
      </w:r>
    </w:p>
    <w:p>
      <w:pPr>
        <w:pStyle w:val="ListBullet"/>
      </w:pPr>
      <w:r>
        <w:t>• SIBC (SIBC - SOCIETE IVOIRIENNE DE BANQUE)</w:t>
      </w:r>
    </w:p>
    <w:p>
      <w:pPr>
        <w:pStyle w:val="ListBullet"/>
      </w:pPr>
      <w:r>
        <w:t>• SIVC (SIVC - ERIUM CI (Ex AIR LIQUIDECI))</w:t>
      </w:r>
    </w:p>
    <w:p>
      <w:pPr>
        <w:pStyle w:val="ListBullet"/>
      </w:pPr>
      <w:r>
        <w:t>• SLBC (SLBC - SOLIBRA COTE D'IVOIRE)</w:t>
      </w:r>
    </w:p>
    <w:p>
      <w:pPr>
        <w:pStyle w:val="ListBullet"/>
      </w:pPr>
      <w:r>
        <w:t>• SOGC (SOGC - Société des caoutchoucs de Grand-Béréby)</w:t>
      </w:r>
    </w:p>
    <w:p>
      <w:pPr>
        <w:pStyle w:val="ListBullet"/>
      </w:pPr>
      <w:r>
        <w:t>• SPHC (SPHC - Société Africaine de Plantation d'Hévéas de Côte d'Ivoire)</w:t>
      </w:r>
    </w:p>
    <w:p>
      <w:pPr>
        <w:pStyle w:val="ListBullet"/>
      </w:pPr>
      <w:r>
        <w:t>• STBC (STBC - SITAB COTE D'IVOIRE)</w:t>
      </w:r>
    </w:p>
    <w:p>
      <w:pPr>
        <w:pStyle w:val="ListBullet"/>
      </w:pPr>
      <w:r>
        <w:t>• TTLC (TTLC - TOTAL ENERGIES MARKETING COTE D'IVOIRE)</w:t>
      </w:r>
    </w:p>
    <w:p>
      <w:pPr>
        <w:pStyle w:val="ListBullet"/>
      </w:pPr>
      <w:r>
        <w:t>• UNXC (UNXC - UNIWAX COTE D'IVOIRE)</w:t>
      </w:r>
    </w:p>
    <w:p/>
    <w:p>
      <w:pPr>
        <w:pStyle w:val="Heading3"/>
      </w:pPr>
      <w:r>
        <w:t>🟡 Risque Moyen - Moyen Terme</w:t>
      </w:r>
    </w:p>
    <w:p>
      <w:pPr>
        <w:pStyle w:val="ListBullet"/>
      </w:pPr>
      <w:r>
        <w:t>• ABJC (ABJC - SERVAIR ABIDJAN CI)</w:t>
      </w:r>
    </w:p>
    <w:p>
      <w:pPr>
        <w:pStyle w:val="ListBullet"/>
      </w:pPr>
      <w:r>
        <w:t>• BICB (BIIC BN - Banque internationale pour le commerce du benin)</w:t>
      </w:r>
    </w:p>
    <w:p>
      <w:pPr>
        <w:pStyle w:val="ListBullet"/>
      </w:pPr>
      <w:r>
        <w:t>• BICC (BICI CI - Banque internationale pour le commerce et l'industrie de la Côte d'Ivoire)</w:t>
      </w:r>
    </w:p>
    <w:p>
      <w:pPr>
        <w:pStyle w:val="ListBullet"/>
      </w:pPr>
      <w:r>
        <w:t>• BNBC (BNBC - BERNABE CI)</w:t>
      </w:r>
    </w:p>
    <w:p>
      <w:pPr>
        <w:pStyle w:val="ListBullet"/>
      </w:pPr>
      <w:r>
        <w:t>• BOAB (BANK OF AFRICA BENIN)</w:t>
      </w:r>
    </w:p>
    <w:p>
      <w:pPr>
        <w:pStyle w:val="ListBullet"/>
      </w:pPr>
      <w:r>
        <w:t>• BOAN (BANK OF AFRICA NIGER)</w:t>
      </w:r>
    </w:p>
    <w:p>
      <w:pPr>
        <w:pStyle w:val="ListBullet"/>
      </w:pPr>
      <w:r>
        <w:t>• CBIBF (CBIBF - CORIS BANK INTERNATIONAL BURKINA FASO)</w:t>
      </w:r>
    </w:p>
    <w:p>
      <w:pPr>
        <w:pStyle w:val="ListBullet"/>
      </w:pPr>
      <w:r>
        <w:t>• CFAC (CFAC - CFAO MOTORS CI)</w:t>
      </w:r>
    </w:p>
    <w:p>
      <w:pPr>
        <w:pStyle w:val="ListBullet"/>
      </w:pPr>
      <w:r>
        <w:t>• CIEC (CIEC - Compagnie Ivoirienne d'Electricité)</w:t>
      </w:r>
    </w:p>
    <w:p>
      <w:pPr>
        <w:pStyle w:val="ListBullet"/>
      </w:pPr>
      <w:r>
        <w:t>• ETIT (ETIT - Ecobank Transnational Incorporated Togo)</w:t>
      </w:r>
    </w:p>
    <w:p>
      <w:pPr>
        <w:pStyle w:val="ListBullet"/>
      </w:pPr>
      <w:r>
        <w:t>• NEIC (NEIC - NEI-CEDA CI)</w:t>
      </w:r>
    </w:p>
    <w:p>
      <w:pPr>
        <w:pStyle w:val="ListBullet"/>
      </w:pPr>
      <w:r>
        <w:t>• NSBC (NSBC - NSIA BANQUE COTE D'IVOIRE)</w:t>
      </w:r>
    </w:p>
    <w:p>
      <w:pPr>
        <w:pStyle w:val="ListBullet"/>
      </w:pPr>
      <w:r>
        <w:t>• ORAC (ORAC - ORANGE COTE D'IVOIRE)</w:t>
      </w:r>
    </w:p>
    <w:p>
      <w:pPr>
        <w:pStyle w:val="ListBullet"/>
      </w:pPr>
      <w:r>
        <w:t>• PALC (PALC - PALM COTE D'IVOIRE)</w:t>
      </w:r>
    </w:p>
    <w:p>
      <w:pPr>
        <w:pStyle w:val="ListBullet"/>
      </w:pPr>
      <w:r>
        <w:t>• PRSC (PRSC - TRACTAFRIC MOTORS CI)</w:t>
      </w:r>
    </w:p>
    <w:p>
      <w:pPr>
        <w:pStyle w:val="ListBullet"/>
      </w:pPr>
      <w:r>
        <w:t>• SAFC (SAFCA CI)</w:t>
      </w:r>
    </w:p>
    <w:p>
      <w:pPr>
        <w:pStyle w:val="ListBullet"/>
      </w:pPr>
      <w:r>
        <w:t>• SCRC (SCRC - SUCRIVOIRE)</w:t>
      </w:r>
    </w:p>
    <w:p>
      <w:pPr>
        <w:pStyle w:val="ListBullet"/>
      </w:pPr>
      <w:r>
        <w:t>• SDCC (SDCC - Société de Distribution d'Eau de Côte d'Ivoire)</w:t>
      </w:r>
    </w:p>
    <w:p>
      <w:pPr>
        <w:pStyle w:val="ListBullet"/>
      </w:pPr>
      <w:r>
        <w:t>• SDSC (SDSC - AFRICA GLOBAL LOGISTICS CI)</w:t>
      </w:r>
    </w:p>
    <w:p>
      <w:pPr>
        <w:pStyle w:val="ListBullet"/>
      </w:pPr>
      <w:r>
        <w:t>• SEMC (SEMC - EVIOSYS PACKAGING SIEM CI)</w:t>
      </w:r>
    </w:p>
    <w:p>
      <w:pPr>
        <w:pStyle w:val="ListBullet"/>
      </w:pPr>
      <w:r>
        <w:t>• SICC (SICC - SICOR COTE D'IVOIRE)</w:t>
      </w:r>
    </w:p>
    <w:p>
      <w:pPr>
        <w:pStyle w:val="ListBullet"/>
      </w:pPr>
      <w:r>
        <w:t>• SMBC (SMBC - Société Multinationale de Bitumes COTE D'IVOIRE)</w:t>
      </w:r>
    </w:p>
    <w:p>
      <w:pPr>
        <w:pStyle w:val="ListBullet"/>
      </w:pPr>
      <w:r>
        <w:t>• SNTS (SNTS - SONATEL SN)</w:t>
      </w:r>
    </w:p>
    <w:p>
      <w:pPr>
        <w:pStyle w:val="ListBullet"/>
      </w:pPr>
      <w:r>
        <w:t>• STAC (STAC - SETAO COTE D'IVOIRE)</w:t>
      </w:r>
    </w:p>
    <w:p>
      <w:pPr>
        <w:pStyle w:val="ListBullet"/>
      </w:pPr>
      <w:r>
        <w:t>• TTLS (TTLS - TOTAL ENERGIES MARKETING SENEGAL)</w:t>
      </w:r>
    </w:p>
    <w:p>
      <w:pPr>
        <w:pStyle w:val="ListBullet"/>
      </w:pPr>
      <w:r>
        <w:t>• UNLC (UNLC - UNILEVER COTE D'IVOIRE)</w:t>
      </w:r>
    </w:p>
    <w:p/>
    <w:p>
      <w:r>
        <w:br w:type="page"/>
      </w:r>
    </w:p>
    <w:p>
      <w:pPr>
        <w:pStyle w:val="Heading1"/>
      </w:pPr>
      <w:r>
        <w:t>🌍 ANALYSE MACRO — CONTEXTE INTERNATIONAL, AFRICAIN &amp; UEMOA</w:t>
      </w:r>
    </w:p>
    <w:p>
      <w:r>
        <w:rPr>
          <w:sz w:val="18"/>
        </w:rPr>
        <w:t>Analyse de l'environnement macro-économique mondial et régional susceptible d'impacter la BRVM et les sociétés cotées. Générée par IA à partir des actualités collectées via flux RSS Google News (BRVM, BCEAO, UEMOA, matières premières, marchés mondiaux).</w:t>
      </w:r>
    </w:p>
    <w:p/>
    <w:p>
      <w:pPr>
        <w:spacing w:before="40" w:after="80"/>
      </w:pPr>
      <w:r>
        <w:rPr>
          <w:color w:val="646464"/>
          <w:sz w:val="16"/>
        </w:rPr>
        <w:t xml:space="preserve">🤖 Analyse générée par : DEEPSEEK  |  </w:t>
      </w:r>
      <w:r>
        <w:rPr>
          <w:color w:val="505050"/>
          <w:sz w:val="16"/>
        </w:rPr>
        <w:t>Sources : 100 actualités  |  Mondial: 18  Afrique: 18  Afr.Ouest: 18  UEMOA: 18  BRVM: 11</w:t>
      </w:r>
    </w:p>
    <w:p>
      <w:pPr>
        <w:spacing w:before="20" w:after="40"/>
        <w:ind w:left="0"/>
      </w:pPr>
      <w:r>
        <w:rPr>
          <w:sz w:val="18"/>
        </w:rPr>
        <w:t>**RAPPORT D'ANALYSE MACROÉCONOMIQUE – BRVM**</w:t>
      </w:r>
    </w:p>
    <w:p>
      <w:pPr>
        <w:spacing w:before="20" w:after="40"/>
        <w:ind w:left="0"/>
      </w:pPr>
      <w:r>
        <w:rPr>
          <w:sz w:val="18"/>
        </w:rPr>
        <w:t>**Date : 28 Août 2026**</w:t>
      </w:r>
    </w:p>
    <w:p>
      <w:pPr>
        <w:spacing w:before="20" w:after="40"/>
        <w:ind w:left="0"/>
      </w:pPr>
      <w:r>
        <w:rPr>
          <w:sz w:val="18"/>
        </w:rPr>
        <w:t>**Indice BRVM Composite : 529.94 pts**</w:t>
      </w:r>
    </w:p>
    <w:p>
      <w:pPr>
        <w:spacing w:before="20" w:after="40"/>
        <w:ind w:left="0"/>
      </w:pPr>
      <w:r>
        <w:rPr>
          <w:sz w:val="18"/>
        </w:rPr>
        <w:t>---</w:t>
      </w:r>
    </w:p>
    <w:p>
      <w:pPr>
        <w:pStyle w:val="Heading1"/>
      </w:pPr>
      <w:r>
        <w:rPr>
          <w:color w:val="00467F"/>
        </w:rPr>
        <w:t>📊 1. ACTUALITÉS MACRO-ÉCONOMIQUES</w:t>
      </w:r>
    </w:p>
    <w:p>
      <w:pPr>
        <w:pStyle w:val="Heading2"/>
      </w:pPr>
      <w:r>
        <w:rPr>
          <w:color w:val="00467F"/>
        </w:rPr>
        <w:t>🌐 Plan Mondial</w:t>
      </w:r>
    </w:p>
    <w:p>
      <w:pPr>
        <w:spacing w:before="20" w:after="40"/>
        <w:ind w:left="0"/>
      </w:pPr>
      <w:r>
        <w:rPr>
          <w:sz w:val="18"/>
        </w:rPr>
        <w:t>La BCE (Banque Centrale Européenne) envisage une nouvelle hausse de ses taux directeurs pour freiner une inflation persistante dans la zone euro. Parallèlement, le patron de la Fed (Réserve fédérale américaine) qualifie l'inflation américaine de "préoccupante", laissant présager un maintien de sa politique monétaire restrictive. Enfin, les prix du pétrole remontent, entraînant mécaniquement une flambée des prix de l'huile de soja sur les marchés internationaux.</w:t>
      </w:r>
    </w:p>
    <w:p>
      <w:pPr>
        <w:pStyle w:val="Heading3"/>
      </w:pPr>
      <w:r>
        <w:rPr>
          <w:color w:val="500050"/>
        </w:rPr>
        <w:t>⚡ Impact estimé sur la BRVM</w:t>
      </w:r>
    </w:p>
    <w:p>
      <w:pPr>
        <w:spacing w:before="20" w:after="40"/>
        <w:ind w:left="280"/>
      </w:pPr>
      <w:r>
        <w:rPr>
          <w:i/>
          <w:sz w:val="18"/>
        </w:rPr>
        <w:t>Un environnement de taux élevés dans les pays développés renforce l'attractivité des actifs sans risque occidentaux, ce qui peut détourner une partie des flux de capitaux des marchés émergents comme la BRVM. La hausse des prix du pétrole et de l'huile de soja est un signal positif pour les valeurs du secteur de l'agro-industrie et de la consommation de base, notamment **PALC** (huile de soja) et **SCRC**, qui pourraient voir leurs marges s'améliorer ou répercuter ces hausses sur leurs prix de vente.</w:t>
      </w:r>
    </w:p>
    <w:p>
      <w:pPr>
        <w:pStyle w:val="Heading2"/>
      </w:pPr>
      <w:r>
        <w:rPr>
          <w:color w:val="006E32"/>
        </w:rPr>
        <w:t>🌍 Plan Africain</w:t>
      </w:r>
    </w:p>
    <w:p>
      <w:pPr>
        <w:spacing w:before="20" w:after="40"/>
        <w:ind w:left="0"/>
      </w:pPr>
      <w:r>
        <w:rPr>
          <w:sz w:val="18"/>
        </w:rPr>
        <w:t>Les secteurs porteurs en Afrique sont identifiés comme étant les infrastructures, l'agro-industrie et les énergies renouvelables, selon Bpifrance. Par ailleurs, l'investissement dans l'économie des soins est présenté comme un "levier de croissance stratégique" par un officiel sénégalais. Enfin, la Senelec (Sénégal) a émis avec succès 108 milliards de FCFA de dette verte sur le marché luxembourgeois.</w:t>
      </w:r>
    </w:p>
    <w:p>
      <w:pPr>
        <w:pStyle w:val="Heading3"/>
      </w:pPr>
      <w:r>
        <w:rPr>
          <w:color w:val="500050"/>
        </w:rPr>
        <w:t>⚡ Impact estimé sur la BRVM</w:t>
      </w:r>
    </w:p>
    <w:p>
      <w:pPr>
        <w:spacing w:before="20" w:after="40"/>
        <w:ind w:left="280"/>
      </w:pPr>
      <w:r>
        <w:rPr>
          <w:i/>
          <w:sz w:val="18"/>
        </w:rPr>
        <w:t>L'accent mis sur les infrastructures et l'agro-industrie en Afrique est un signal favorable pour les cimentiers comme **CABC** et **FTSC**, qui opèrent dans la sous-région. L'émission obligataire de la Senelec démontre la vitalité du marché de la dette africaine, mais elle crée également une concurrence pour les capitaux disponibles, y compris ceux des investisseurs institutionnels de l'UEMOA.</w:t>
      </w:r>
    </w:p>
    <w:p>
      <w:pPr>
        <w:pStyle w:val="Heading2"/>
      </w:pPr>
      <w:r>
        <w:rPr>
          <w:color w:val="145A28"/>
        </w:rPr>
        <w:t>🌍 Plan Afrique de l'Ouest</w:t>
      </w:r>
    </w:p>
    <w:p>
      <w:pPr>
        <w:spacing w:before="20" w:after="40"/>
        <w:ind w:left="0"/>
      </w:pPr>
      <w:r>
        <w:rPr>
          <w:sz w:val="18"/>
        </w:rPr>
        <w:t>La CEDEAO a annoncé des actions coordonnées pour soutenir l'économie et la santé dans la région ouest-africaine. Par ailleurs, la croissance économique du Libéria est estimée à 5% pour 2026, reflétant une dynamique positive dans la sous-région.</w:t>
      </w:r>
    </w:p>
    <w:p>
      <w:pPr>
        <w:pStyle w:val="Heading3"/>
      </w:pPr>
      <w:r>
        <w:rPr>
          <w:color w:val="500050"/>
        </w:rPr>
        <w:t>⚡ Impact estimé sur la BRVM</w:t>
      </w:r>
    </w:p>
    <w:p>
      <w:pPr>
        <w:spacing w:before="20" w:after="40"/>
        <w:ind w:left="280"/>
      </w:pPr>
      <w:r>
        <w:rPr>
          <w:i/>
          <w:sz w:val="18"/>
        </w:rPr>
        <w:t>Les mesures de soutien économique de la CEDEAO et la croissance positive au Libéria renforcent la stabilité macroéconomique régionale. Cela est bénéfique pour les sociétés cotées ayant une exposition régionale, notamment les banques comme **BOAB**, **BOAM** et **BOAS**, qui pourraient bénéficier d'une amélioration de l'activité économique transfrontalière.</w:t>
      </w:r>
    </w:p>
    <w:p>
      <w:pPr>
        <w:pStyle w:val="Heading2"/>
      </w:pPr>
      <w:r>
        <w:rPr>
          <w:color w:val="8C4600"/>
        </w:rPr>
        <w:t>🏦 Plan UEMOA / Zone Franc</w:t>
      </w:r>
    </w:p>
    <w:p>
      <w:pPr>
        <w:spacing w:before="20" w:after="40"/>
        <w:ind w:left="0"/>
      </w:pPr>
      <w:r>
        <w:rPr>
          <w:sz w:val="18"/>
        </w:rPr>
        <w:t>La coopération belge avec le Burkina Faso, fondée sur le respect, est un signal diplomatique neutre. Cependant, la situation politique au Sénégal (bras de fer autour de la DPG) et au Mali (débat sur l'excision) reste sous surveillance. Aucune décision monétaire spécifique de la BCEAO n'est rapportée dans les actualités fournies.</w:t>
      </w:r>
    </w:p>
    <w:p>
      <w:pPr>
        <w:pStyle w:val="Heading3"/>
      </w:pPr>
      <w:r>
        <w:rPr>
          <w:color w:val="500050"/>
        </w:rPr>
        <w:t>⚡ Impact estimé sur la BRVM</w:t>
      </w:r>
    </w:p>
    <w:p>
      <w:pPr>
        <w:spacing w:before="20" w:after="40"/>
        <w:ind w:left="280"/>
      </w:pPr>
      <w:r>
        <w:rPr>
          <w:i/>
          <w:sz w:val="18"/>
        </w:rPr>
        <w:t>L'absence de nouvelles majeures sur la politique monétaire de la BCEAO suggère un statu quo sur les taux directeurs, ce qui est neutre pour le secteur bancaire (**NSBC**, **BOAN**). Les tensions politiques au Sénégal et au Mali sont à surveiller, mais elles n'ont pas d'impact direct immédiat sur les opérations des sociétés cotées à la BRVM, qui sont principalement concentrées en Côte d'Ivoire.</w:t>
      </w:r>
    </w:p>
    <w:p>
      <w:pPr>
        <w:pStyle w:val="Heading2"/>
      </w:pPr>
      <w:r>
        <w:rPr>
          <w:color w:val="003366"/>
        </w:rPr>
        <w:t>📈 Plan BRVM</w:t>
      </w:r>
    </w:p>
    <w:p>
      <w:pPr>
        <w:spacing w:before="20" w:after="40"/>
        <w:ind w:left="0"/>
      </w:pPr>
      <w:r>
        <w:rPr>
          <w:sz w:val="18"/>
        </w:rPr>
        <w:t>Les actualités récentes de juin 2026 faisaient état de résultats encourageants pour les sociétés cotées ivoiriennes à la BRVM. L'indice se situe à 529.94 points. Aucune donnée récente sur les volumes ou les mouvements de titres spécifiques n'est disponible dans le flux d'actualités.</w:t>
      </w:r>
    </w:p>
    <w:p>
      <w:pPr>
        <w:pStyle w:val="Heading3"/>
      </w:pPr>
      <w:r>
        <w:rPr>
          <w:color w:val="500050"/>
        </w:rPr>
        <w:t>⚡ Impact estimé sur la BRVM</w:t>
      </w:r>
    </w:p>
    <w:p>
      <w:pPr>
        <w:spacing w:before="20" w:after="40"/>
        <w:ind w:left="280"/>
      </w:pPr>
      <w:r>
        <w:rPr>
          <w:i/>
          <w:sz w:val="18"/>
        </w:rPr>
        <w:t>Les fondamentaux positifs des sociétés ivoiriennes, combinés à un environnement macroéconomique régional stable, soutiennent la tendance haussière de l'indice. Les investisseurs devraient continuer à privilégier les valeurs de qualité comme **SGBC**, **BICB** et **ETIT**, qui bénéficient d'une forte dynamique sectorielle en Côte d'Ivoire.</w:t>
      </w:r>
    </w:p>
    <w:p>
      <w:pPr>
        <w:spacing w:before="20" w:after="40"/>
        <w:ind w:left="280"/>
      </w:pPr>
      <w:r>
        <w:rPr>
          <w:i/>
          <w:sz w:val="18"/>
        </w:rPr>
        <w:t>---</w:t>
      </w:r>
    </w:p>
    <w:p>
      <w:pPr>
        <w:pStyle w:val="Heading1"/>
      </w:pPr>
      <w:r>
        <w:rPr>
          <w:color w:val="8C0000"/>
        </w:rPr>
        <w:t>🏛️ 2. ACTUALITÉS POLITIQUES &amp; GÉOPOLITIQUES</w:t>
      </w:r>
    </w:p>
    <w:p>
      <w:pPr>
        <w:pStyle w:val="Heading2"/>
      </w:pPr>
      <w:r>
        <w:rPr>
          <w:color w:val="00467F"/>
        </w:rPr>
        <w:t>🌐 Plan Mondial</w:t>
      </w:r>
    </w:p>
    <w:p>
      <w:pPr>
        <w:spacing w:before="20" w:after="40"/>
        <w:ind w:left="0"/>
      </w:pPr>
      <w:r>
        <w:rPr>
          <w:sz w:val="18"/>
        </w:rPr>
        <w:t>Les tensions inflationnistes aux États-Unis (Fed) et en Europe (BCE) dominent l'agenda géopolitique économique mondial. La hausse des prix du pétrole, alimentée par des facteurs géopolitiques, est un point de vigilance majeur.</w:t>
      </w:r>
    </w:p>
    <w:p>
      <w:pPr>
        <w:pStyle w:val="Heading3"/>
      </w:pPr>
      <w:r>
        <w:rPr>
          <w:color w:val="500050"/>
        </w:rPr>
        <w:t>⚡ Impact estimé sur la BRVM</w:t>
      </w:r>
    </w:p>
    <w:p>
      <w:pPr>
        <w:spacing w:before="20" w:after="40"/>
        <w:ind w:left="280"/>
      </w:pPr>
      <w:r>
        <w:rPr>
          <w:i/>
          <w:sz w:val="18"/>
        </w:rPr>
        <w:t>L'incertitude sur la politique monétaire mondiale peut accroître la volatilité sur les marchés émergents. Cependant, la BRVM, de par son faible niveau d'intégration aux marchés mondiaux, reste relativement protégée des chocs externes directs, offrant une certaine stabilité aux investisseurs locaux.</w:t>
      </w:r>
    </w:p>
    <w:p>
      <w:pPr>
        <w:pStyle w:val="Heading2"/>
      </w:pPr>
      <w:r>
        <w:rPr>
          <w:color w:val="006E32"/>
        </w:rPr>
        <w:t>🌍 Plan Africain</w:t>
      </w:r>
    </w:p>
    <w:p>
      <w:pPr>
        <w:spacing w:before="20" w:after="40"/>
        <w:ind w:left="0"/>
      </w:pPr>
      <w:r>
        <w:rPr>
          <w:sz w:val="18"/>
        </w:rPr>
        <w:t>Les actualités politiques africaines sont dominées par des sujets de coopération bilatérale (Belgique-Burkina Faso) et de politique intérieure (Sénégal, Mali). Aucun événement majeur de type coup d'État ou crise électorale n'est signalé dans le flux.</w:t>
      </w:r>
    </w:p>
    <w:p>
      <w:pPr>
        <w:pStyle w:val="Heading3"/>
      </w:pPr>
      <w:r>
        <w:rPr>
          <w:color w:val="500050"/>
        </w:rPr>
        <w:t>⚡ Impact estimé sur la BRVM</w:t>
      </w:r>
    </w:p>
    <w:p>
      <w:pPr>
        <w:spacing w:before="20" w:after="40"/>
        <w:ind w:left="280"/>
      </w:pPr>
      <w:r>
        <w:rPr>
          <w:i/>
          <w:sz w:val="18"/>
        </w:rPr>
        <w:t>L'absence de crises politiques majeures sur le continent est un facteur de stabilité pour la BRVM. La perception d'un continent stable attire les investisseurs à la recherche de rendements décents, ce qui pourrait soutenir les flux de capitaux vers la bourse régionale.</w:t>
      </w:r>
    </w:p>
    <w:p>
      <w:pPr>
        <w:pStyle w:val="Heading2"/>
      </w:pPr>
      <w:r>
        <w:rPr>
          <w:color w:val="145A28"/>
        </w:rPr>
        <w:t>🌍 Plan Afrique de l'Ouest</w:t>
      </w:r>
    </w:p>
    <w:p>
      <w:pPr>
        <w:spacing w:before="20" w:after="40"/>
        <w:ind w:left="0"/>
      </w:pPr>
      <w:r>
        <w:rPr>
          <w:sz w:val="18"/>
        </w:rPr>
        <w:t>La CEDEAO maintient des actions coordonnées de soutien économique et sanitaire. Les transitions politiques dans la région (AES) ne sont pas mentionnées dans les actualités fournies, mais la stabilité régionale reste un thème central.</w:t>
      </w:r>
    </w:p>
    <w:p>
      <w:pPr>
        <w:pStyle w:val="Heading3"/>
      </w:pPr>
      <w:r>
        <w:rPr>
          <w:color w:val="500050"/>
        </w:rPr>
        <w:t>⚡ Impact estimé sur la BRVM</w:t>
      </w:r>
    </w:p>
    <w:p>
      <w:pPr>
        <w:spacing w:before="20" w:after="40"/>
        <w:ind w:left="280"/>
      </w:pPr>
      <w:r>
        <w:rPr>
          <w:i/>
          <w:sz w:val="18"/>
        </w:rPr>
        <w:t>La stabilité politique relative au sein de la CEDEAO est un prérequis essentiel pour la confiance des investisseurs. Les sociétés cotées comme **CFAC** et **SOGC**, qui ont des activités dans plusieurs pays de la région, bénéficient de cet environnement apaisé.</w:t>
      </w:r>
    </w:p>
    <w:p>
      <w:pPr>
        <w:pStyle w:val="Heading2"/>
      </w:pPr>
      <w:r>
        <w:rPr>
          <w:color w:val="8C4600"/>
        </w:rPr>
        <w:t>🏦 Plan UEMOA / Zone Franc</w:t>
      </w:r>
    </w:p>
    <w:p>
      <w:pPr>
        <w:spacing w:before="20" w:after="40"/>
        <w:ind w:left="0"/>
      </w:pPr>
      <w:r>
        <w:rPr>
          <w:sz w:val="18"/>
        </w:rPr>
        <w:t>La situation politique dans les pays membres est contrastée : le Sénégal fait face à des tensions politiques internes, tandis que le Mali et le Burkina Faso sont sous le feu des projecteurs pour des raisons sociales et diplomatiques. Aucune réforme institutionnelle majeure n'est rapportée.</w:t>
      </w:r>
    </w:p>
    <w:p>
      <w:pPr>
        <w:pStyle w:val="Heading3"/>
      </w:pPr>
      <w:r>
        <w:rPr>
          <w:color w:val="500050"/>
        </w:rPr>
        <w:t>⚡ Impact estimé sur la BRVM</w:t>
      </w:r>
    </w:p>
    <w:p>
      <w:pPr>
        <w:spacing w:before="20" w:after="40"/>
        <w:ind w:left="280"/>
      </w:pPr>
      <w:r>
        <w:rPr>
          <w:i/>
          <w:sz w:val="18"/>
        </w:rPr>
        <w:t>Les tensions politiques au Sénégal, bien que n'étant pas un pays de la zone BRVM, peuvent influencer le sentiment des investisseurs dans toute la région. Cependant, l'impact direct sur les sociétés cotées est limité, car la majorité de leur activité est générée en Côte d'Ivoire.</w:t>
      </w:r>
    </w:p>
    <w:p>
      <w:pPr>
        <w:pStyle w:val="Heading2"/>
      </w:pPr>
      <w:r>
        <w:rPr>
          <w:color w:val="003366"/>
        </w:rPr>
        <w:t>📈 Plan BRVM</w:t>
      </w:r>
    </w:p>
    <w:p>
      <w:pPr>
        <w:spacing w:before="20" w:after="40"/>
        <w:ind w:left="0"/>
      </w:pPr>
      <w:r>
        <w:rPr>
          <w:sz w:val="18"/>
        </w:rPr>
        <w:t>Aucune actualité spécifique concernant la réglementation du CREPMF, de nouvelles cotations ou des changements de gouvernance au sein des sociétés cotées n'est disponible dans le flux fourni.</w:t>
      </w:r>
    </w:p>
    <w:p>
      <w:pPr>
        <w:pStyle w:val="Heading3"/>
      </w:pPr>
      <w:r>
        <w:rPr>
          <w:color w:val="500050"/>
        </w:rPr>
        <w:t>⚡ Impact estimé sur la BRVM</w:t>
      </w:r>
    </w:p>
    <w:p>
      <w:pPr>
        <w:spacing w:before="20" w:after="40"/>
        <w:ind w:left="280"/>
      </w:pPr>
      <w:r>
        <w:rPr>
          <w:i/>
          <w:sz w:val="18"/>
        </w:rPr>
        <w:t>Données insuffisantes.</w:t>
      </w:r>
    </w:p>
    <w:p>
      <w:pPr>
        <w:spacing w:before="20" w:after="40"/>
        <w:ind w:left="280"/>
      </w:pPr>
      <w:r>
        <w:rPr>
          <w:i/>
          <w:sz w:val="18"/>
        </w:rPr>
        <w:t>---</w:t>
      </w:r>
    </w:p>
    <w:p>
      <w:pPr>
        <w:pStyle w:val="Heading1"/>
      </w:pPr>
      <w:r>
        <w:rPr>
          <w:color w:val="006428"/>
        </w:rPr>
        <w:t>💹 3. ACTUALITÉS FINANCIÈRES &amp; MARCHÉS</w:t>
      </w:r>
    </w:p>
    <w:p>
      <w:pPr>
        <w:pStyle w:val="Heading2"/>
      </w:pPr>
      <w:r>
        <w:rPr>
          <w:color w:val="00467F"/>
        </w:rPr>
        <w:t>🌐 Plan Mondial</w:t>
      </w:r>
    </w:p>
    <w:p>
      <w:pPr>
        <w:spacing w:before="20" w:after="40"/>
        <w:ind w:left="0"/>
      </w:pPr>
      <w:r>
        <w:rPr>
          <w:sz w:val="18"/>
        </w:rPr>
        <w:t>Les marchés mondiaux sont dominés par les craintes inflationnistes et la perspective de taux d'intérêt élevés plus longtemps. La Fed insiste sur une inflation "préoccupante", ce qui pourrait conduire à de nouvelles hausses de taux, renforçant le dollar et pénalisant les devises des marchés émergents.</w:t>
      </w:r>
    </w:p>
    <w:p>
      <w:pPr>
        <w:pStyle w:val="Heading3"/>
      </w:pPr>
      <w:r>
        <w:rPr>
          <w:color w:val="500050"/>
        </w:rPr>
        <w:t>⚡ Impact estimé sur la BRVM</w:t>
      </w:r>
    </w:p>
    <w:p>
      <w:pPr>
        <w:spacing w:before="20" w:after="40"/>
        <w:ind w:left="280"/>
      </w:pPr>
      <w:r>
        <w:rPr>
          <w:i/>
          <w:sz w:val="18"/>
        </w:rPr>
        <w:t>Un dollar fort peut avoir un impact mitigé sur la BRVM. D'un côté, il renchérit les importations pour les entreprises locales, mais de l'autre, il peut améliorer la compétitivité des exportateurs. Les banques ayant des activités internationales pourraient voir leurs résultats affectés par les variations de change.</w:t>
      </w:r>
    </w:p>
    <w:p>
      <w:pPr>
        <w:pStyle w:val="Heading2"/>
      </w:pPr>
      <w:r>
        <w:rPr>
          <w:color w:val="006E32"/>
        </w:rPr>
        <w:t>🌍 Plan Africain</w:t>
      </w:r>
    </w:p>
    <w:p>
      <w:pPr>
        <w:spacing w:before="20" w:after="40"/>
        <w:ind w:left="0"/>
      </w:pPr>
      <w:r>
        <w:rPr>
          <w:sz w:val="18"/>
        </w:rPr>
        <w:t>Le succès de l'émission de dette verte de la Senelec (108 milliards FCFA) à Luxembourg démontre l'appétit des investisseurs internationaux pour la dette africaine de qualité. Cela ouvre des perspectives de financement pour les entreprises de la région.</w:t>
      </w:r>
    </w:p>
    <w:p>
      <w:pPr>
        <w:pStyle w:val="Heading3"/>
      </w:pPr>
      <w:r>
        <w:rPr>
          <w:color w:val="500050"/>
        </w:rPr>
        <w:t>⚡ Impact estimé sur la BRVM</w:t>
      </w:r>
    </w:p>
    <w:p>
      <w:pPr>
        <w:spacing w:before="20" w:after="40"/>
        <w:ind w:left="280"/>
      </w:pPr>
      <w:r>
        <w:rPr>
          <w:i/>
          <w:sz w:val="18"/>
        </w:rPr>
        <w:t>Cet appétit pour la dette africaine pourrait indirectement profiter à la BRVM en améliorant la perception globale du risque du continent. Les grandes entreprises cotées pourraient également explorer des options de financement similaires, mais cela ne change pas fondamentalement la donne pour les actions.</w:t>
      </w:r>
    </w:p>
    <w:p>
      <w:pPr>
        <w:pStyle w:val="Heading2"/>
      </w:pPr>
      <w:r>
        <w:rPr>
          <w:color w:val="145A28"/>
        </w:rPr>
        <w:t>🌍 Plan Afrique de l'Ouest</w:t>
      </w:r>
    </w:p>
    <w:p>
      <w:pPr>
        <w:spacing w:before="20" w:after="40"/>
        <w:ind w:left="0"/>
      </w:pPr>
      <w:r>
        <w:rPr>
          <w:sz w:val="18"/>
        </w:rPr>
        <w:t>Aucune information spécifique sur les bourses régionales concurrentes ou les flux de capitaux sous-régionaux n'est disponible dans les actualités fournies.</w:t>
      </w:r>
    </w:p>
    <w:p>
      <w:pPr>
        <w:pStyle w:val="Heading3"/>
      </w:pPr>
      <w:r>
        <w:rPr>
          <w:color w:val="500050"/>
        </w:rPr>
        <w:t>⚡ Impact estimé sur la BRVM</w:t>
      </w:r>
    </w:p>
    <w:p>
      <w:pPr>
        <w:spacing w:before="20" w:after="40"/>
        <w:ind w:left="280"/>
      </w:pPr>
      <w:r>
        <w:rPr>
          <w:i/>
          <w:sz w:val="18"/>
        </w:rPr>
        <w:t>Données insuffisantes.</w:t>
      </w:r>
    </w:p>
    <w:p>
      <w:pPr>
        <w:pStyle w:val="Heading2"/>
      </w:pPr>
      <w:r>
        <w:rPr>
          <w:color w:val="8C4600"/>
        </w:rPr>
        <w:t>🏦 Plan UEMOA / Zone Franc</w:t>
      </w:r>
    </w:p>
    <w:p>
      <w:pPr>
        <w:spacing w:before="20" w:after="40"/>
        <w:ind w:left="0"/>
      </w:pPr>
      <w:r>
        <w:rPr>
          <w:sz w:val="18"/>
        </w:rPr>
        <w:t>Le marché des titres publics de l'UEMOA est actif, comme en témoigne l'émission de la Senelec, bien que celle-ci ait eu lieu à Luxembourg. Les taux interbancaires et la liquidité dans la zone ne sont pas détaillés dans les actualités fournies.</w:t>
      </w:r>
    </w:p>
    <w:p>
      <w:pPr>
        <w:pStyle w:val="Heading3"/>
      </w:pPr>
      <w:r>
        <w:rPr>
          <w:color w:val="500050"/>
        </w:rPr>
        <w:t>⚡ Impact estimé sur la BRVM</w:t>
      </w:r>
    </w:p>
    <w:p>
      <w:pPr>
        <w:spacing w:before="20" w:after="40"/>
        <w:ind w:left="280"/>
      </w:pPr>
      <w:r>
        <w:rPr>
          <w:i/>
          <w:sz w:val="18"/>
        </w:rPr>
        <w:t>L'attrait des titres publics, souvent considérés comme sûrs, peut détourner une partie de la liquidité du marché actions. Les investisseurs arbitrent entre le rendement obligataire et le potentiel de croissance des actions BRVM. Une hausse des taux d'intérêt dans la zone rendrait les actions moins attractives.</w:t>
      </w:r>
    </w:p>
    <w:p>
      <w:pPr>
        <w:pStyle w:val="Heading2"/>
      </w:pPr>
      <w:r>
        <w:rPr>
          <w:color w:val="003366"/>
        </w:rPr>
        <w:t>📈 Plan BRVM</w:t>
      </w:r>
    </w:p>
    <w:p>
      <w:pPr>
        <w:spacing w:before="20" w:after="40"/>
        <w:ind w:left="0"/>
      </w:pPr>
      <w:r>
        <w:rPr>
          <w:sz w:val="18"/>
        </w:rPr>
        <w:t>L'indice BRVM Composite est à 529.94 points. Les actualités de juin 2026 mentionnaient des résultats encourageants pour les sociétés cotées ivoiriennes. Aucune donnée récente sur les volumes ou les performances individuelles n'est disponible.</w:t>
      </w:r>
    </w:p>
    <w:p>
      <w:pPr>
        <w:pStyle w:val="Heading3"/>
      </w:pPr>
      <w:r>
        <w:rPr>
          <w:color w:val="500050"/>
        </w:rPr>
        <w:t>⚡ Impact estimé sur la BRVM</w:t>
      </w:r>
    </w:p>
    <w:p>
      <w:pPr>
        <w:spacing w:before="20" w:after="40"/>
        <w:ind w:left="280"/>
      </w:pPr>
      <w:r>
        <w:rPr>
          <w:i/>
          <w:sz w:val="18"/>
        </w:rPr>
        <w:t>Les fondamentaux solides des sociétés cotées, notamment les banques et les industries, devraient continuer à soutenir le marché. Les investisseurs peuvent considérer les replis techniques comme des opportunités d'achat sur des valeurs comme **NTLC**, **SIVC** et **ONTBF**, qui pourraient bénéficier de la croissance économique ivoirienne.</w:t>
      </w:r>
    </w:p>
    <w:p>
      <w:pPr>
        <w:spacing w:before="20" w:after="40"/>
        <w:ind w:left="280"/>
      </w:pPr>
      <w:r>
        <w:rPr>
          <w:i/>
          <w:sz w:val="18"/>
        </w:rPr>
        <w:t>---</w:t>
      </w:r>
    </w:p>
    <w:p>
      <w:pPr>
        <w:pStyle w:val="Heading1"/>
      </w:pPr>
      <w:r>
        <w:rPr>
          <w:color w:val="003366"/>
        </w:rPr>
        <w:t>🎯 SYNTHÈSE &amp; RECOMMANDATION FINALE</w:t>
      </w:r>
    </w:p>
    <w:p>
      <w:pPr>
        <w:spacing w:before="120"/>
      </w:pPr>
      <w:r>
        <w:rPr>
          <w:b/>
          <w:color w:val="008000"/>
          <w:sz w:val="22"/>
        </w:rPr>
        <w:t>**Niveau d'alerte global pour un investisseur BRVM : VERT**</w:t>
      </w:r>
    </w:p>
    <w:p>
      <w:pPr>
        <w:spacing w:before="20" w:after="40"/>
        <w:ind w:left="0"/>
      </w:pPr>
      <w:r>
        <w:rPr>
          <w:sz w:val="18"/>
        </w:rPr>
        <w:t>L'environnement macroéconomique pour la BRVM reste globalement favorable, soutenu par une croissance régionale positive et des fondamentaux solides pour les sociétés cotées. Les pressions inflationnistes mondiales et la hausse des taux d'intérêt internationaux constituent un risque de fuite des capitaux, mais la BRVM semble relativement protégée par son ancrage régional. Les tensions politiques au Sénégal et au Mali sont à surveiller, mais n'ont pas d'impact direct immédiat. **Recommandation** : Maintenir une position investie sur les valeurs de qualité (banques, industries, consommation de base), en profitant des éventuelles baisses pour renforcer les positions sur des titres comme **SGBC**, **PALC** et **CABC**.</w:t>
      </w:r>
    </w:p>
    <w:p/>
    <w:p>
      <w:pPr>
        <w:pStyle w:val="Heading3"/>
      </w:pPr>
      <w:r>
        <w:t>📋 Sources utilisées pour cette analyse</w:t>
      </w:r>
    </w:p>
    <w:p>
      <w:pPr>
        <w:pStyle w:val="Heading4"/>
      </w:pPr>
      <w:r>
        <w:t>📊 Macro-économique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2026-08-28</w:t>
            </w:r>
          </w:p>
        </w:tc>
        <w:tc>
          <w:tcPr>
            <w:tcW w:type="dxa" w:w="1728"/>
          </w:tcPr>
          <w:p>
            <w:r>
              <w:rPr>
                <w:sz w:val="14"/>
              </w:rPr>
              <w:t xml:space="preserve">Les prix du pétrole remontent, ce qui alimente la flambée des prix de </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2026-08-28</w:t>
            </w:r>
          </w:p>
        </w:tc>
        <w:tc>
          <w:tcPr>
            <w:tcW w:type="dxa" w:w="1728"/>
          </w:tcPr>
          <w:p>
            <w:r>
              <w:rPr>
                <w:sz w:val="14"/>
              </w:rPr>
              <w:t>Les prix du pétrole remontent, ce qui donne un nouvel élan à l'huile d</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2026-08-27</w:t>
            </w:r>
          </w:p>
        </w:tc>
        <w:tc>
          <w:tcPr>
            <w:tcW w:type="dxa" w:w="1728"/>
          </w:tcPr>
          <w:p>
            <w:r>
              <w:rPr>
                <w:sz w:val="14"/>
              </w:rPr>
              <w:t>BCE: Une nouvelle hausse des taux est probable pour freiner l'inflatio</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2026-08-28</w:t>
            </w:r>
          </w:p>
        </w:tc>
        <w:tc>
          <w:tcPr>
            <w:tcW w:type="dxa" w:w="1728"/>
          </w:tcPr>
          <w:p>
            <w:r>
              <w:rPr>
                <w:sz w:val="14"/>
              </w:rPr>
              <w:t>Le patron de la Fed insiste sur l'inflation "préoccupante" aux Etats-U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Fed taux inflati</w:t>
            </w:r>
          </w:p>
        </w:tc>
      </w:tr>
      <w:tr>
        <w:tc>
          <w:tcPr>
            <w:tcW w:type="dxa" w:w="1728"/>
          </w:tcPr>
          <w:p>
            <w:r>
              <w:rPr>
                <w:sz w:val="14"/>
              </w:rPr>
              <w:t>2026-08-24</w:t>
            </w:r>
          </w:p>
        </w:tc>
        <w:tc>
          <w:tcPr>
            <w:tcW w:type="dxa" w:w="1728"/>
          </w:tcPr>
          <w:p>
            <w:r>
              <w:rPr>
                <w:sz w:val="14"/>
              </w:rPr>
              <w:t>Les États-Unis dévoilent leur “jour J économique” pour faire plier l’I</w:t>
            </w:r>
          </w:p>
        </w:tc>
        <w:tc>
          <w:tcPr>
            <w:tcW w:type="dxa" w:w="1728"/>
          </w:tcPr>
          <w:p>
            <w:r>
              <w:rPr>
                <w:color w:val="C00000"/>
                <w:sz w:val="14"/>
              </w:rPr>
              <w:t>Negatif</w:t>
            </w:r>
          </w:p>
        </w:tc>
        <w:tc>
          <w:tcPr>
            <w:tcW w:type="dxa" w:w="1728"/>
          </w:tcPr>
          <w:p>
            <w:r>
              <w:rPr>
                <w:sz w:val="14"/>
              </w:rPr>
              <w:t>Neutre</w:t>
            </w:r>
          </w:p>
        </w:tc>
        <w:tc>
          <w:tcPr>
            <w:tcW w:type="dxa" w:w="1728"/>
          </w:tcPr>
          <w:p>
            <w:r>
              <w:rPr>
                <w:sz w:val="14"/>
              </w:rPr>
              <w:t>Google News — géopolitique mon</w:t>
            </w:r>
          </w:p>
        </w:tc>
      </w:tr>
      <w:tr>
        <w:tc>
          <w:tcPr>
            <w:tcW w:type="dxa" w:w="1728"/>
          </w:tcPr>
          <w:p>
            <w:r>
              <w:rPr>
                <w:sz w:val="14"/>
              </w:rPr>
              <w:t>2026-08-27</w:t>
            </w:r>
          </w:p>
        </w:tc>
        <w:tc>
          <w:tcPr>
            <w:tcW w:type="dxa" w:w="1728"/>
          </w:tcPr>
          <w:p>
            <w:r>
              <w:rPr>
                <w:sz w:val="14"/>
              </w:rPr>
              <w:t>Conflits au Moyen-Orient : l'envolée du prix du pétrole et des emballa</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pétrole or matiè</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2026-08-11</w:t>
            </w:r>
          </w:p>
        </w:tc>
        <w:tc>
          <w:tcPr>
            <w:tcW w:type="dxa" w:w="1728"/>
          </w:tcPr>
          <w:p>
            <w:r>
              <w:rPr>
                <w:sz w:val="14"/>
              </w:rPr>
              <w:t>Les secteurs porteurs en Afrique : où investir ? - Bpifrance</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2026-07-28</w:t>
            </w:r>
          </w:p>
        </w:tc>
        <w:tc>
          <w:tcPr>
            <w:tcW w:type="dxa" w:w="1728"/>
          </w:tcPr>
          <w:p>
            <w:r>
              <w:rPr>
                <w:sz w:val="14"/>
              </w:rPr>
              <w:t>L’investissement dans l’économie des soins peut-être un ”levier de cro</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Afrique économie</w:t>
            </w:r>
          </w:p>
        </w:tc>
      </w:tr>
      <w:tr>
        <w:tc>
          <w:tcPr>
            <w:tcW w:type="dxa" w:w="1728"/>
          </w:tcPr>
          <w:p>
            <w:r>
              <w:rPr>
                <w:sz w:val="14"/>
              </w:rPr>
              <w:t>2026-07-18</w:t>
            </w:r>
          </w:p>
        </w:tc>
        <w:tc>
          <w:tcPr>
            <w:tcW w:type="dxa" w:w="1728"/>
          </w:tcPr>
          <w:p>
            <w:r>
              <w:rPr>
                <w:sz w:val="14"/>
              </w:rPr>
              <w:t>Sénégal | Senelec frappe un grand coup : 108 milliards de FCFA de dett</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2026-07-16</w:t>
            </w:r>
          </w:p>
        </w:tc>
        <w:tc>
          <w:tcPr>
            <w:tcW w:type="dxa" w:w="1728"/>
          </w:tcPr>
          <w:p>
            <w:r>
              <w:rPr>
                <w:sz w:val="14"/>
              </w:rPr>
              <w:t>Mauritanie. La santé, moteur de croissance économique: à Nouakchott,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Afrique économie</w:t>
            </w:r>
          </w:p>
        </w:tc>
      </w:tr>
      <w:tr>
        <w:tc>
          <w:tcPr>
            <w:tcW w:type="dxa" w:w="1728"/>
          </w:tcPr>
          <w:p>
            <w:r>
              <w:rPr>
                <w:sz w:val="14"/>
              </w:rPr>
              <w:t>2026-07-14</w:t>
            </w:r>
          </w:p>
        </w:tc>
        <w:tc>
          <w:tcPr>
            <w:tcW w:type="dxa" w:w="1728"/>
          </w:tcPr>
          <w:p>
            <w:r>
              <w:rPr>
                <w:sz w:val="14"/>
              </w:rPr>
              <w:t xml:space="preserve">Sénégal : Senelec cote ses premières obligations durables à la Bourse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Afrique marchés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2026-08-24</w:t>
            </w:r>
          </w:p>
        </w:tc>
        <w:tc>
          <w:tcPr>
            <w:tcW w:type="dxa" w:w="1728"/>
          </w:tcPr>
          <w:p>
            <w:r>
              <w:rPr>
                <w:sz w:val="14"/>
              </w:rPr>
              <w:t>CEDEAO : Actions coordonnées de soutien à l’économie et à la santé -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2026-08-24</w:t>
            </w:r>
          </w:p>
        </w:tc>
        <w:tc>
          <w:tcPr>
            <w:tcW w:type="dxa" w:w="1728"/>
          </w:tcPr>
          <w:p>
            <w:r>
              <w:rPr>
                <w:sz w:val="14"/>
              </w:rPr>
              <w:t>CEDEAO : Actions coordonnées de soutien à l’économie et à la santé - l</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2026-08-22</w:t>
            </w:r>
          </w:p>
        </w:tc>
        <w:tc>
          <w:tcPr>
            <w:tcW w:type="dxa" w:w="1728"/>
          </w:tcPr>
          <w:p>
            <w:r>
              <w:rPr>
                <w:sz w:val="14"/>
              </w:rPr>
              <w:t>COUNTRY REPORT - CEDEAO REPORT : la croissance du Libéria économique 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2026-08-22</w:t>
            </w:r>
          </w:p>
        </w:tc>
        <w:tc>
          <w:tcPr>
            <w:tcW w:type="dxa" w:w="1728"/>
          </w:tcPr>
          <w:p>
            <w:r>
              <w:rPr>
                <w:sz w:val="14"/>
              </w:rPr>
              <w:t xml:space="preserve">PORTRAIT – CEDEAO REPORT : la FEWACCI appelle à lever les barrières - </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r>
        <w:tc>
          <w:tcPr>
            <w:tcW w:type="dxa" w:w="1728"/>
          </w:tcPr>
          <w:p>
            <w:r>
              <w:rPr>
                <w:sz w:val="14"/>
              </w:rPr>
              <w:t>2026-08-19</w:t>
            </w:r>
          </w:p>
        </w:tc>
        <w:tc>
          <w:tcPr>
            <w:tcW w:type="dxa" w:w="1728"/>
          </w:tcPr>
          <w:p>
            <w:r>
              <w:rPr>
                <w:sz w:val="14"/>
              </w:rPr>
              <w:t>Migration en Afrique de l’Ouest: la CEDEAO engage ses États membres ve</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CEDEAO Afrique O</w:t>
            </w:r>
          </w:p>
        </w:tc>
      </w:tr>
      <w:tr>
        <w:tc>
          <w:tcPr>
            <w:tcW w:type="dxa" w:w="1728"/>
          </w:tcPr>
          <w:p>
            <w:r>
              <w:rPr>
                <w:sz w:val="14"/>
              </w:rPr>
              <w:t>2026-08-18</w:t>
            </w:r>
          </w:p>
        </w:tc>
        <w:tc>
          <w:tcPr>
            <w:tcW w:type="dxa" w:w="1728"/>
          </w:tcPr>
          <w:p>
            <w:r>
              <w:rPr>
                <w:sz w:val="14"/>
              </w:rPr>
              <w:t>Russie-CEDEAO : Lavrov annonce un mémorandum de coopération - Yeni Şaf</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CEDEAO Afrique 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2026-08-28</w:t>
            </w:r>
          </w:p>
        </w:tc>
        <w:tc>
          <w:tcPr>
            <w:tcW w:type="dxa" w:w="1728"/>
          </w:tcPr>
          <w:p>
            <w:r>
              <w:rPr>
                <w:sz w:val="14"/>
              </w:rPr>
              <w:t xml:space="preserve">Burkina Faso : Maxime Prévot plaide pour une coopération belge fondée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2026-08-28</w:t>
            </w:r>
          </w:p>
        </w:tc>
        <w:tc>
          <w:tcPr>
            <w:tcW w:type="dxa" w:w="1728"/>
          </w:tcPr>
          <w:p>
            <w:r>
              <w:rPr>
                <w:sz w:val="14"/>
              </w:rPr>
              <w:t xml:space="preserve">Sénégal : Bras de fer autour de la DPG du Premier ministre Ahmadou Al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2026-08-27</w:t>
            </w:r>
          </w:p>
        </w:tc>
        <w:tc>
          <w:tcPr>
            <w:tcW w:type="dxa" w:w="1728"/>
          </w:tcPr>
          <w:p>
            <w:r>
              <w:rPr>
                <w:sz w:val="14"/>
              </w:rPr>
              <w:t>Au Mali, comment Assimi Goïta tente de contenir le débat sur l’excisio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2026-08-28</w:t>
            </w:r>
          </w:p>
        </w:tc>
        <w:tc>
          <w:tcPr>
            <w:tcW w:type="dxa" w:w="1728"/>
          </w:tcPr>
          <w:p>
            <w:r>
              <w:rPr>
                <w:sz w:val="14"/>
              </w:rPr>
              <w:t>Sénégal : le FDR active l’article 85 sur le calendrier électoral - Afr</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2026-08-28</w:t>
            </w:r>
          </w:p>
        </w:tc>
        <w:tc>
          <w:tcPr>
            <w:tcW w:type="dxa" w:w="1728"/>
          </w:tcPr>
          <w:p>
            <w:r>
              <w:rPr>
                <w:sz w:val="14"/>
              </w:rPr>
              <w:t>Laïcité au Sénégal : comment le religieux s’est imposé au cœur du poli</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2026-08-27</w:t>
            </w:r>
          </w:p>
        </w:tc>
        <w:tc>
          <w:tcPr>
            <w:tcW w:type="dxa" w:w="1728"/>
          </w:tcPr>
          <w:p>
            <w:r>
              <w:rPr>
                <w:sz w:val="14"/>
              </w:rPr>
              <w:t>Burkina Faso : le Vice-Premier ministre belge à Ouagadougou pour conso</w:t>
            </w:r>
          </w:p>
        </w:tc>
        <w:tc>
          <w:tcPr>
            <w:tcW w:type="dxa" w:w="1728"/>
          </w:tcPr>
          <w:p>
            <w:r>
              <w:rPr>
                <w:color w:val="008000"/>
                <w:sz w:val="14"/>
              </w:rPr>
              <w:t>Positif</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2026-06-09</w:t>
            </w:r>
          </w:p>
        </w:tc>
        <w:tc>
          <w:tcPr>
            <w:tcW w:type="dxa" w:w="1728"/>
          </w:tcPr>
          <w:p>
            <w:r>
              <w:rPr>
                <w:sz w:val="14"/>
              </w:rPr>
              <w:t>A la Bourse régionale des valeurs mobilières, les résultats encouragea</w:t>
            </w:r>
          </w:p>
        </w:tc>
        <w:tc>
          <w:tcPr>
            <w:tcW w:type="dxa" w:w="1728"/>
          </w:tcPr>
          <w:p>
            <w:r>
              <w:rPr>
                <w:color w:val="008000"/>
                <w:sz w:val="14"/>
              </w:rPr>
              <w:t>Positif</w:t>
            </w:r>
          </w:p>
        </w:tc>
        <w:tc>
          <w:tcPr>
            <w:tcW w:type="dxa" w:w="1728"/>
          </w:tcPr>
          <w:p>
            <w:r>
              <w:rPr>
                <w:color w:val="008000"/>
                <w:sz w:val="14"/>
              </w:rPr>
              <w:t>Positif</w:t>
            </w:r>
          </w:p>
        </w:tc>
        <w:tc>
          <w:tcPr>
            <w:tcW w:type="dxa" w:w="1728"/>
          </w:tcPr>
          <w:p>
            <w:r>
              <w:rPr>
                <w:sz w:val="14"/>
              </w:rPr>
              <w:t>Google News — BRVM sociétés co</w:t>
            </w:r>
          </w:p>
        </w:tc>
      </w:tr>
    </w:tbl>
    <w:p/>
    <w:p>
      <w:pPr>
        <w:pStyle w:val="Heading4"/>
      </w:pPr>
      <w:r>
        <w:t>🏛️ Politique &amp; Géopolitique</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2026-08-28</w:t>
            </w:r>
          </w:p>
        </w:tc>
        <w:tc>
          <w:tcPr>
            <w:tcW w:type="dxa" w:w="1728"/>
          </w:tcPr>
          <w:p>
            <w:r>
              <w:rPr>
                <w:sz w:val="14"/>
              </w:rPr>
              <w:t xml:space="preserve">Les prix du pétrole remontent, ce qui alimente la flambée des prix de </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2026-08-28</w:t>
            </w:r>
          </w:p>
        </w:tc>
        <w:tc>
          <w:tcPr>
            <w:tcW w:type="dxa" w:w="1728"/>
          </w:tcPr>
          <w:p>
            <w:r>
              <w:rPr>
                <w:sz w:val="14"/>
              </w:rPr>
              <w:t>Les prix du pétrole remontent, ce qui donne un nouvel élan à l'huile d</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2026-08-27</w:t>
            </w:r>
          </w:p>
        </w:tc>
        <w:tc>
          <w:tcPr>
            <w:tcW w:type="dxa" w:w="1728"/>
          </w:tcPr>
          <w:p>
            <w:r>
              <w:rPr>
                <w:sz w:val="14"/>
              </w:rPr>
              <w:t>BCE: Une nouvelle hausse des taux est probable pour freiner l'inflatio</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2026-08-28</w:t>
            </w:r>
          </w:p>
        </w:tc>
        <w:tc>
          <w:tcPr>
            <w:tcW w:type="dxa" w:w="1728"/>
          </w:tcPr>
          <w:p>
            <w:r>
              <w:rPr>
                <w:sz w:val="14"/>
              </w:rPr>
              <w:t>Le patron de la Fed insiste sur l'inflation "préoccupante" aux Etats-U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Fed taux inflati</w:t>
            </w:r>
          </w:p>
        </w:tc>
      </w:tr>
      <w:tr>
        <w:tc>
          <w:tcPr>
            <w:tcW w:type="dxa" w:w="1728"/>
          </w:tcPr>
          <w:p>
            <w:r>
              <w:rPr>
                <w:sz w:val="14"/>
              </w:rPr>
              <w:t>2026-08-28</w:t>
            </w:r>
          </w:p>
        </w:tc>
        <w:tc>
          <w:tcPr>
            <w:tcW w:type="dxa" w:w="1728"/>
          </w:tcPr>
          <w:p>
            <w:r>
              <w:rPr>
                <w:sz w:val="14"/>
              </w:rPr>
              <w:t xml:space="preserve">Burkina Faso : Maxime Prévot plaide pour une coopération belge fondée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2026-08-27</w:t>
            </w:r>
          </w:p>
        </w:tc>
        <w:tc>
          <w:tcPr>
            <w:tcW w:type="dxa" w:w="1728"/>
          </w:tcPr>
          <w:p>
            <w:r>
              <w:rPr>
                <w:sz w:val="14"/>
              </w:rPr>
              <w:t>BCE: Une nouvelle hausse des taux est probable pour freiner l'inflatio</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2026-08-28</w:t>
            </w:r>
          </w:p>
        </w:tc>
        <w:tc>
          <w:tcPr>
            <w:tcW w:type="dxa" w:w="1728"/>
          </w:tcPr>
          <w:p>
            <w:r>
              <w:rPr>
                <w:sz w:val="14"/>
              </w:rPr>
              <w:t>Le patron de la Fed insiste sur l'inflation "préoccupante" aux Etats-U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Fed taux inflati</w:t>
            </w:r>
          </w:p>
        </w:tc>
      </w:tr>
      <w:tr>
        <w:tc>
          <w:tcPr>
            <w:tcW w:type="dxa" w:w="1728"/>
          </w:tcPr>
          <w:p>
            <w:r>
              <w:rPr>
                <w:sz w:val="14"/>
              </w:rPr>
              <w:t>2026-08-28</w:t>
            </w:r>
          </w:p>
        </w:tc>
        <w:tc>
          <w:tcPr>
            <w:tcW w:type="dxa" w:w="1728"/>
          </w:tcPr>
          <w:p>
            <w:r>
              <w:rPr>
                <w:sz w:val="14"/>
              </w:rPr>
              <w:t xml:space="preserve">Burkina Faso : Maxime Prévot plaide pour une coopération belge fondée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2026-08-28</w:t>
            </w:r>
          </w:p>
        </w:tc>
        <w:tc>
          <w:tcPr>
            <w:tcW w:type="dxa" w:w="1728"/>
          </w:tcPr>
          <w:p>
            <w:r>
              <w:rPr>
                <w:sz w:val="14"/>
              </w:rPr>
              <w:t xml:space="preserve">Sénégal : Bras de fer autour de la DPG du Premier ministre Ahmadou Al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2026-08-27</w:t>
            </w:r>
          </w:p>
        </w:tc>
        <w:tc>
          <w:tcPr>
            <w:tcW w:type="dxa" w:w="1728"/>
          </w:tcPr>
          <w:p>
            <w:r>
              <w:rPr>
                <w:sz w:val="14"/>
              </w:rPr>
              <w:t>Au Mali, comment Assimi Goïta tente de contenir le débat sur l’excisio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2026-08-27</w:t>
            </w:r>
          </w:p>
        </w:tc>
        <w:tc>
          <w:tcPr>
            <w:tcW w:type="dxa" w:w="1728"/>
          </w:tcPr>
          <w:p>
            <w:r>
              <w:rPr>
                <w:sz w:val="14"/>
              </w:rPr>
              <w:t>BCE: Une nouvelle hausse des taux est probable pour freiner l'inflatio</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2026-08-28</w:t>
            </w:r>
          </w:p>
        </w:tc>
        <w:tc>
          <w:tcPr>
            <w:tcW w:type="dxa" w:w="1728"/>
          </w:tcPr>
          <w:p>
            <w:r>
              <w:rPr>
                <w:sz w:val="14"/>
              </w:rPr>
              <w:t>Le patron de la Fed insiste sur l'inflation "préoccupante" aux Etats-U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Fed taux inflati</w:t>
            </w:r>
          </w:p>
        </w:tc>
      </w:tr>
      <w:tr>
        <w:tc>
          <w:tcPr>
            <w:tcW w:type="dxa" w:w="1728"/>
          </w:tcPr>
          <w:p>
            <w:r>
              <w:rPr>
                <w:sz w:val="14"/>
              </w:rPr>
              <w:t>2026-08-28</w:t>
            </w:r>
          </w:p>
        </w:tc>
        <w:tc>
          <w:tcPr>
            <w:tcW w:type="dxa" w:w="1728"/>
          </w:tcPr>
          <w:p>
            <w:r>
              <w:rPr>
                <w:sz w:val="14"/>
              </w:rPr>
              <w:t xml:space="preserve">Burkina Faso : Maxime Prévot plaide pour une coopération belge fondée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2026-08-28</w:t>
            </w:r>
          </w:p>
        </w:tc>
        <w:tc>
          <w:tcPr>
            <w:tcW w:type="dxa" w:w="1728"/>
          </w:tcPr>
          <w:p>
            <w:r>
              <w:rPr>
                <w:sz w:val="14"/>
              </w:rPr>
              <w:t xml:space="preserve">Sénégal : Bras de fer autour de la DPG du Premier ministre Ahmadou Al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2026-08-27</w:t>
            </w:r>
          </w:p>
        </w:tc>
        <w:tc>
          <w:tcPr>
            <w:tcW w:type="dxa" w:w="1728"/>
          </w:tcPr>
          <w:p>
            <w:r>
              <w:rPr>
                <w:sz w:val="14"/>
              </w:rPr>
              <w:t>Au Mali, comment Assimi Goïta tente de contenir le débat sur l’excisio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2026-08-27</w:t>
            </w:r>
          </w:p>
        </w:tc>
        <w:tc>
          <w:tcPr>
            <w:tcW w:type="dxa" w:w="1728"/>
          </w:tcPr>
          <w:p>
            <w:r>
              <w:rPr>
                <w:sz w:val="14"/>
              </w:rPr>
              <w:t>BCE: Une nouvelle hausse des taux est probable pour freiner l'inflatio</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2026-08-28</w:t>
            </w:r>
          </w:p>
        </w:tc>
        <w:tc>
          <w:tcPr>
            <w:tcW w:type="dxa" w:w="1728"/>
          </w:tcPr>
          <w:p>
            <w:r>
              <w:rPr>
                <w:sz w:val="14"/>
              </w:rPr>
              <w:t>Le patron de la Fed insiste sur l'inflation "préoccupante" aux Etats-U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Fed taux inflati</w:t>
            </w:r>
          </w:p>
        </w:tc>
      </w:tr>
      <w:tr>
        <w:tc>
          <w:tcPr>
            <w:tcW w:type="dxa" w:w="1728"/>
          </w:tcPr>
          <w:p>
            <w:r>
              <w:rPr>
                <w:sz w:val="14"/>
              </w:rPr>
              <w:t>2026-08-28</w:t>
            </w:r>
          </w:p>
        </w:tc>
        <w:tc>
          <w:tcPr>
            <w:tcW w:type="dxa" w:w="1728"/>
          </w:tcPr>
          <w:p>
            <w:r>
              <w:rPr>
                <w:sz w:val="14"/>
              </w:rPr>
              <w:t xml:space="preserve">Burkina Faso : Maxime Prévot plaide pour une coopération belge fondée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2026-08-28</w:t>
            </w:r>
          </w:p>
        </w:tc>
        <w:tc>
          <w:tcPr>
            <w:tcW w:type="dxa" w:w="1728"/>
          </w:tcPr>
          <w:p>
            <w:r>
              <w:rPr>
                <w:sz w:val="14"/>
              </w:rPr>
              <w:t xml:space="preserve">Sénégal : Bras de fer autour de la DPG du Premier ministre Ahmadou Al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2026-08-27</w:t>
            </w:r>
          </w:p>
        </w:tc>
        <w:tc>
          <w:tcPr>
            <w:tcW w:type="dxa" w:w="1728"/>
          </w:tcPr>
          <w:p>
            <w:r>
              <w:rPr>
                <w:sz w:val="14"/>
              </w:rPr>
              <w:t>Au Mali, comment Assimi Goïta tente de contenir le débat sur l’excisio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2026-08-28</w:t>
            </w:r>
          </w:p>
        </w:tc>
        <w:tc>
          <w:tcPr>
            <w:tcW w:type="dxa" w:w="1728"/>
          </w:tcPr>
          <w:p>
            <w:r>
              <w:rPr>
                <w:sz w:val="14"/>
              </w:rPr>
              <w:t>Les prix du pétrole remontent, ce qui donne un nouvel élan à l'huile d</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2026-08-27</w:t>
            </w:r>
          </w:p>
        </w:tc>
        <w:tc>
          <w:tcPr>
            <w:tcW w:type="dxa" w:w="1728"/>
          </w:tcPr>
          <w:p>
            <w:r>
              <w:rPr>
                <w:sz w:val="14"/>
              </w:rPr>
              <w:t>BCE: Une nouvelle hausse des taux est probable pour freiner l'inflatio</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2026-08-28</w:t>
            </w:r>
          </w:p>
        </w:tc>
        <w:tc>
          <w:tcPr>
            <w:tcW w:type="dxa" w:w="1728"/>
          </w:tcPr>
          <w:p>
            <w:r>
              <w:rPr>
                <w:sz w:val="14"/>
              </w:rPr>
              <w:t>Le patron de la Fed insiste sur l'inflation "préoccupante" aux Etats-U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Fed taux inflati</w:t>
            </w:r>
          </w:p>
        </w:tc>
      </w:tr>
      <w:tr>
        <w:tc>
          <w:tcPr>
            <w:tcW w:type="dxa" w:w="1728"/>
          </w:tcPr>
          <w:p>
            <w:r>
              <w:rPr>
                <w:sz w:val="14"/>
              </w:rPr>
              <w:t>2026-08-28</w:t>
            </w:r>
          </w:p>
        </w:tc>
        <w:tc>
          <w:tcPr>
            <w:tcW w:type="dxa" w:w="1728"/>
          </w:tcPr>
          <w:p>
            <w:r>
              <w:rPr>
                <w:sz w:val="14"/>
              </w:rPr>
              <w:t xml:space="preserve">Burkina Faso : Maxime Prévot plaide pour une coopération belge fondée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2026-08-28</w:t>
            </w:r>
          </w:p>
        </w:tc>
        <w:tc>
          <w:tcPr>
            <w:tcW w:type="dxa" w:w="1728"/>
          </w:tcPr>
          <w:p>
            <w:r>
              <w:rPr>
                <w:sz w:val="14"/>
              </w:rPr>
              <w:t xml:space="preserve">Sénégal : Bras de fer autour de la DPG du Premier ministre Ahmadou Al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pPr>
        <w:pStyle w:val="Heading4"/>
      </w:pPr>
      <w:r>
        <w:t>💹 Financière &amp; Marchés</w:t>
      </w:r>
    </w:p>
    <w:p>
      <w:r>
        <w:rPr>
          <w:b/>
          <w:color w:val="3C3C3C"/>
          <w:sz w:val="17"/>
        </w:rPr>
        <w:t xml:space="preserve">  🌐 Mondial</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2026-08-28</w:t>
            </w:r>
          </w:p>
        </w:tc>
        <w:tc>
          <w:tcPr>
            <w:tcW w:type="dxa" w:w="1728"/>
          </w:tcPr>
          <w:p>
            <w:r>
              <w:rPr>
                <w:sz w:val="14"/>
              </w:rPr>
              <w:t xml:space="preserve">Les prix du pétrole remontent, ce qui alimente la flambée des prix de </w:t>
            </w:r>
          </w:p>
        </w:tc>
        <w:tc>
          <w:tcPr>
            <w:tcW w:type="dxa" w:w="1728"/>
          </w:tcPr>
          <w:p>
            <w:r>
              <w:rPr>
                <w:sz w:val="14"/>
              </w:rPr>
              <w:t>Neutre</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2026-08-28</w:t>
            </w:r>
          </w:p>
        </w:tc>
        <w:tc>
          <w:tcPr>
            <w:tcW w:type="dxa" w:w="1728"/>
          </w:tcPr>
          <w:p>
            <w:r>
              <w:rPr>
                <w:sz w:val="14"/>
              </w:rPr>
              <w:t>Les prix du pétrole remontent, ce qui donne un nouvel élan à l'huile d</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2026-08-27</w:t>
            </w:r>
          </w:p>
        </w:tc>
        <w:tc>
          <w:tcPr>
            <w:tcW w:type="dxa" w:w="1728"/>
          </w:tcPr>
          <w:p>
            <w:r>
              <w:rPr>
                <w:sz w:val="14"/>
              </w:rPr>
              <w:t>BCE: Une nouvelle hausse des taux est probable pour freiner l'inflatio</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2026-08-28</w:t>
            </w:r>
          </w:p>
        </w:tc>
        <w:tc>
          <w:tcPr>
            <w:tcW w:type="dxa" w:w="1728"/>
          </w:tcPr>
          <w:p>
            <w:r>
              <w:rPr>
                <w:sz w:val="14"/>
              </w:rPr>
              <w:t>Le patron de la Fed insiste sur l'inflation "préoccupante" aux Etats-U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Fed taux inflati</w:t>
            </w:r>
          </w:p>
        </w:tc>
      </w:tr>
      <w:tr>
        <w:tc>
          <w:tcPr>
            <w:tcW w:type="dxa" w:w="1728"/>
          </w:tcPr>
          <w:p>
            <w:r>
              <w:rPr>
                <w:sz w:val="14"/>
              </w:rPr>
              <w:t>2026-08-28</w:t>
            </w:r>
          </w:p>
        </w:tc>
        <w:tc>
          <w:tcPr>
            <w:tcW w:type="dxa" w:w="1728"/>
          </w:tcPr>
          <w:p>
            <w:r>
              <w:rPr>
                <w:sz w:val="14"/>
              </w:rPr>
              <w:t>Sénégal : le FDR active l’article 85 sur le calendrier électoral - Afr</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Afrique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2026-08-28</w:t>
            </w:r>
          </w:p>
        </w:tc>
        <w:tc>
          <w:tcPr>
            <w:tcW w:type="dxa" w:w="1728"/>
          </w:tcPr>
          <w:p>
            <w:r>
              <w:rPr>
                <w:sz w:val="14"/>
              </w:rPr>
              <w:t>Les prix du pétrole remontent, ce qui donne un nouvel élan à l'huile d</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2026-08-27</w:t>
            </w:r>
          </w:p>
        </w:tc>
        <w:tc>
          <w:tcPr>
            <w:tcW w:type="dxa" w:w="1728"/>
          </w:tcPr>
          <w:p>
            <w:r>
              <w:rPr>
                <w:sz w:val="14"/>
              </w:rPr>
              <w:t>BCE: Une nouvelle hausse des taux est probable pour freiner l'inflatio</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2026-08-28</w:t>
            </w:r>
          </w:p>
        </w:tc>
        <w:tc>
          <w:tcPr>
            <w:tcW w:type="dxa" w:w="1728"/>
          </w:tcPr>
          <w:p>
            <w:r>
              <w:rPr>
                <w:sz w:val="14"/>
              </w:rPr>
              <w:t>Le patron de la Fed insiste sur l'inflation "préoccupante" aux Etats-U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Fed taux inflati</w:t>
            </w:r>
          </w:p>
        </w:tc>
      </w:tr>
      <w:tr>
        <w:tc>
          <w:tcPr>
            <w:tcW w:type="dxa" w:w="1728"/>
          </w:tcPr>
          <w:p>
            <w:r>
              <w:rPr>
                <w:sz w:val="14"/>
              </w:rPr>
              <w:t>2026-08-27</w:t>
            </w:r>
          </w:p>
        </w:tc>
        <w:tc>
          <w:tcPr>
            <w:tcW w:type="dxa" w:w="1728"/>
          </w:tcPr>
          <w:p>
            <w:r>
              <w:rPr>
                <w:sz w:val="14"/>
              </w:rPr>
              <w:t>Au Mali, comment Assimi Goïta tente de contenir le débat sur l’excisio</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2026-08-28</w:t>
            </w:r>
          </w:p>
        </w:tc>
        <w:tc>
          <w:tcPr>
            <w:tcW w:type="dxa" w:w="1728"/>
          </w:tcPr>
          <w:p>
            <w:r>
              <w:rPr>
                <w:sz w:val="14"/>
              </w:rPr>
              <w:t>Sénégal : le FDR active l’article 85 sur le calendrier électoral - Afr</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Afrique de l'Ouest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2026-08-28</w:t>
            </w:r>
          </w:p>
        </w:tc>
        <w:tc>
          <w:tcPr>
            <w:tcW w:type="dxa" w:w="1728"/>
          </w:tcPr>
          <w:p>
            <w:r>
              <w:rPr>
                <w:sz w:val="14"/>
              </w:rPr>
              <w:t>Les prix du pétrole remontent, ce qui donne un nouvel élan à l'huile d</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2026-08-27</w:t>
            </w:r>
          </w:p>
        </w:tc>
        <w:tc>
          <w:tcPr>
            <w:tcW w:type="dxa" w:w="1728"/>
          </w:tcPr>
          <w:p>
            <w:r>
              <w:rPr>
                <w:sz w:val="14"/>
              </w:rPr>
              <w:t>BCE: Une nouvelle hausse des taux est probable pour freiner l'inflatio</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2026-08-28</w:t>
            </w:r>
          </w:p>
        </w:tc>
        <w:tc>
          <w:tcPr>
            <w:tcW w:type="dxa" w:w="1728"/>
          </w:tcPr>
          <w:p>
            <w:r>
              <w:rPr>
                <w:sz w:val="14"/>
              </w:rPr>
              <w:t>Le patron de la Fed insiste sur l'inflation "préoccupante" aux Etats-U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Fed taux inflati</w:t>
            </w:r>
          </w:p>
        </w:tc>
      </w:tr>
      <w:tr>
        <w:tc>
          <w:tcPr>
            <w:tcW w:type="dxa" w:w="1728"/>
          </w:tcPr>
          <w:p>
            <w:r>
              <w:rPr>
                <w:sz w:val="14"/>
              </w:rPr>
              <w:t>2026-08-28</w:t>
            </w:r>
          </w:p>
        </w:tc>
        <w:tc>
          <w:tcPr>
            <w:tcW w:type="dxa" w:w="1728"/>
          </w:tcPr>
          <w:p>
            <w:r>
              <w:rPr>
                <w:sz w:val="14"/>
              </w:rPr>
              <w:t>Sénégal : le FDR active l’article 85 sur le calendrier électoral - Afr</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2026-08-27</w:t>
            </w:r>
          </w:p>
        </w:tc>
        <w:tc>
          <w:tcPr>
            <w:tcW w:type="dxa" w:w="1728"/>
          </w:tcPr>
          <w:p>
            <w:r>
              <w:rPr>
                <w:sz w:val="14"/>
              </w:rPr>
              <w:t>BCE-Une nouvelle hausse des taux est probable pour freiner l'inflation</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rPr>
          <w:b/>
          <w:color w:val="3C3C3C"/>
          <w:sz w:val="17"/>
        </w:rPr>
        <w:t xml:space="preserve">  🏦 UEMOA</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2026-08-28</w:t>
            </w:r>
          </w:p>
        </w:tc>
        <w:tc>
          <w:tcPr>
            <w:tcW w:type="dxa" w:w="1728"/>
          </w:tcPr>
          <w:p>
            <w:r>
              <w:rPr>
                <w:sz w:val="14"/>
              </w:rPr>
              <w:t>Les prix du pétrole remontent, ce qui donne un nouvel élan à l'huile d</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2026-08-27</w:t>
            </w:r>
          </w:p>
        </w:tc>
        <w:tc>
          <w:tcPr>
            <w:tcW w:type="dxa" w:w="1728"/>
          </w:tcPr>
          <w:p>
            <w:r>
              <w:rPr>
                <w:sz w:val="14"/>
              </w:rPr>
              <w:t>BCE: Une nouvelle hausse des taux est probable pour freiner l'inflatio</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2026-08-28</w:t>
            </w:r>
          </w:p>
        </w:tc>
        <w:tc>
          <w:tcPr>
            <w:tcW w:type="dxa" w:w="1728"/>
          </w:tcPr>
          <w:p>
            <w:r>
              <w:rPr>
                <w:sz w:val="14"/>
              </w:rPr>
              <w:t>Le patron de la Fed insiste sur l'inflation "préoccupante" aux Etats-U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Fed taux inflati</w:t>
            </w:r>
          </w:p>
        </w:tc>
      </w:tr>
      <w:tr>
        <w:tc>
          <w:tcPr>
            <w:tcW w:type="dxa" w:w="1728"/>
          </w:tcPr>
          <w:p>
            <w:r>
              <w:rPr>
                <w:sz w:val="14"/>
              </w:rPr>
              <w:t>2026-08-28</w:t>
            </w:r>
          </w:p>
        </w:tc>
        <w:tc>
          <w:tcPr>
            <w:tcW w:type="dxa" w:w="1728"/>
          </w:tcPr>
          <w:p>
            <w:r>
              <w:rPr>
                <w:sz w:val="14"/>
              </w:rPr>
              <w:t xml:space="preserve">Burkina Faso : Maxime Prévot plaide pour une coopération belge fondée </w:t>
            </w:r>
          </w:p>
        </w:tc>
        <w:tc>
          <w:tcPr>
            <w:tcW w:type="dxa" w:w="1728"/>
          </w:tcPr>
          <w:p>
            <w:r>
              <w:rPr>
                <w:sz w:val="14"/>
              </w:rPr>
              <w:t>Neutre</w:t>
            </w:r>
          </w:p>
        </w:tc>
        <w:tc>
          <w:tcPr>
            <w:tcW w:type="dxa" w:w="1728"/>
          </w:tcPr>
          <w:p>
            <w:r>
              <w:rPr>
                <w:sz w:val="14"/>
              </w:rPr>
              <w:t>Neutre</w:t>
            </w:r>
          </w:p>
        </w:tc>
        <w:tc>
          <w:tcPr>
            <w:tcW w:type="dxa" w:w="1728"/>
          </w:tcPr>
          <w:p>
            <w:r>
              <w:rPr>
                <w:sz w:val="14"/>
              </w:rPr>
              <w:t xml:space="preserve">Google News — politique UEMOA </w:t>
            </w:r>
          </w:p>
        </w:tc>
      </w:tr>
      <w:tr>
        <w:tc>
          <w:tcPr>
            <w:tcW w:type="dxa" w:w="1728"/>
          </w:tcPr>
          <w:p>
            <w:r>
              <w:rPr>
                <w:sz w:val="14"/>
              </w:rPr>
              <w:t>2026-08-28</w:t>
            </w:r>
          </w:p>
        </w:tc>
        <w:tc>
          <w:tcPr>
            <w:tcW w:type="dxa" w:w="1728"/>
          </w:tcPr>
          <w:p>
            <w:r>
              <w:rPr>
                <w:sz w:val="14"/>
              </w:rPr>
              <w:t xml:space="preserve">Sénégal : Bras de fer autour de la DPG du Premier ministre Ahmadou Al </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bl>
    <w:p/>
    <w:p>
      <w:r>
        <w:rPr>
          <w:b/>
          <w:color w:val="3C3C3C"/>
          <w:sz w:val="17"/>
        </w:rPr>
        <w:t xml:space="preserve">  📈 BRVM</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4057" w:val="clear"/>
          </w:tcPr>
          <w:p>
            <w:r>
              <w:rPr>
                <w:b/>
                <w:color w:val="FFFFFF"/>
                <w:sz w:val="15"/>
              </w:rPr>
              <w:t>Date</w:t>
            </w:r>
          </w:p>
        </w:tc>
        <w:tc>
          <w:tcPr>
            <w:tcW w:type="dxa" w:w="1728"/>
            <w:shd w:fill="2E4057" w:val="clear"/>
          </w:tcPr>
          <w:p>
            <w:r>
              <w:rPr>
                <w:b/>
                <w:color w:val="FFFFFF"/>
                <w:sz w:val="15"/>
              </w:rPr>
              <w:t>Titre</w:t>
            </w:r>
          </w:p>
        </w:tc>
        <w:tc>
          <w:tcPr>
            <w:tcW w:type="dxa" w:w="1728"/>
            <w:shd w:fill="2E4057" w:val="clear"/>
          </w:tcPr>
          <w:p>
            <w:r>
              <w:rPr>
                <w:b/>
                <w:color w:val="FFFFFF"/>
                <w:sz w:val="15"/>
              </w:rPr>
              <w:t>Sentiment</w:t>
            </w:r>
          </w:p>
        </w:tc>
        <w:tc>
          <w:tcPr>
            <w:tcW w:type="dxa" w:w="1728"/>
            <w:shd w:fill="2E4057" w:val="clear"/>
          </w:tcPr>
          <w:p>
            <w:r>
              <w:rPr>
                <w:b/>
                <w:color w:val="FFFFFF"/>
                <w:sz w:val="15"/>
              </w:rPr>
              <w:t>Impact BRVM</w:t>
            </w:r>
          </w:p>
        </w:tc>
        <w:tc>
          <w:tcPr>
            <w:tcW w:type="dxa" w:w="1728"/>
            <w:shd w:fill="2E4057" w:val="clear"/>
          </w:tcPr>
          <w:p>
            <w:r>
              <w:rPr>
                <w:b/>
                <w:color w:val="FFFFFF"/>
                <w:sz w:val="15"/>
              </w:rPr>
              <w:t>Source</w:t>
            </w:r>
          </w:p>
        </w:tc>
      </w:tr>
      <w:tr>
        <w:tc>
          <w:tcPr>
            <w:tcW w:type="dxa" w:w="1728"/>
          </w:tcPr>
          <w:p>
            <w:r>
              <w:rPr>
                <w:sz w:val="14"/>
              </w:rPr>
              <w:t>2026-08-28</w:t>
            </w:r>
          </w:p>
        </w:tc>
        <w:tc>
          <w:tcPr>
            <w:tcW w:type="dxa" w:w="1728"/>
          </w:tcPr>
          <w:p>
            <w:r>
              <w:rPr>
                <w:sz w:val="14"/>
              </w:rPr>
              <w:t>Les prix du pétrole remontent, ce qui donne un nouvel élan à l'huile d</w:t>
            </w:r>
          </w:p>
        </w:tc>
        <w:tc>
          <w:tcPr>
            <w:tcW w:type="dxa" w:w="1728"/>
          </w:tcPr>
          <w:p>
            <w:r>
              <w:rPr>
                <w:color w:val="008000"/>
                <w:sz w:val="14"/>
              </w:rPr>
              <w:t>Positif</w:t>
            </w:r>
          </w:p>
        </w:tc>
        <w:tc>
          <w:tcPr>
            <w:tcW w:type="dxa" w:w="1728"/>
          </w:tcPr>
          <w:p>
            <w:r>
              <w:rPr>
                <w:sz w:val="14"/>
              </w:rPr>
              <w:t>Neutre</w:t>
            </w:r>
          </w:p>
        </w:tc>
        <w:tc>
          <w:tcPr>
            <w:tcW w:type="dxa" w:w="1728"/>
          </w:tcPr>
          <w:p>
            <w:r>
              <w:rPr>
                <w:sz w:val="14"/>
              </w:rPr>
              <w:t>Google News — pétrole or matiè</w:t>
            </w:r>
          </w:p>
        </w:tc>
      </w:tr>
      <w:tr>
        <w:tc>
          <w:tcPr>
            <w:tcW w:type="dxa" w:w="1728"/>
          </w:tcPr>
          <w:p>
            <w:r>
              <w:rPr>
                <w:sz w:val="14"/>
              </w:rPr>
              <w:t>2026-08-27</w:t>
            </w:r>
          </w:p>
        </w:tc>
        <w:tc>
          <w:tcPr>
            <w:tcW w:type="dxa" w:w="1728"/>
          </w:tcPr>
          <w:p>
            <w:r>
              <w:rPr>
                <w:sz w:val="14"/>
              </w:rPr>
              <w:t>BCE: Une nouvelle hausse des taux est probable pour freiner l'inflatio</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r>
        <w:tc>
          <w:tcPr>
            <w:tcW w:type="dxa" w:w="1728"/>
          </w:tcPr>
          <w:p>
            <w:r>
              <w:rPr>
                <w:sz w:val="14"/>
              </w:rPr>
              <w:t>2026-08-28</w:t>
            </w:r>
          </w:p>
        </w:tc>
        <w:tc>
          <w:tcPr>
            <w:tcW w:type="dxa" w:w="1728"/>
          </w:tcPr>
          <w:p>
            <w:r>
              <w:rPr>
                <w:sz w:val="14"/>
              </w:rPr>
              <w:t>Le patron de la Fed insiste sur l'inflation "préoccupante" aux Etats-U</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Google News — Fed taux inflati</w:t>
            </w:r>
          </w:p>
        </w:tc>
      </w:tr>
      <w:tr>
        <w:tc>
          <w:tcPr>
            <w:tcW w:type="dxa" w:w="1728"/>
          </w:tcPr>
          <w:p>
            <w:r>
              <w:rPr>
                <w:sz w:val="14"/>
              </w:rPr>
              <w:t>2026-08-28</w:t>
            </w:r>
          </w:p>
        </w:tc>
        <w:tc>
          <w:tcPr>
            <w:tcW w:type="dxa" w:w="1728"/>
          </w:tcPr>
          <w:p>
            <w:r>
              <w:rPr>
                <w:sz w:val="14"/>
              </w:rPr>
              <w:t>Sénégal : le FDR active l’article 85 sur le calendrier électoral - Afr</w:t>
            </w:r>
          </w:p>
        </w:tc>
        <w:tc>
          <w:tcPr>
            <w:tcW w:type="dxa" w:w="1728"/>
          </w:tcPr>
          <w:p>
            <w:r>
              <w:rPr>
                <w:color w:val="C00000"/>
                <w:sz w:val="14"/>
              </w:rPr>
              <w:t>Negatif</w:t>
            </w:r>
          </w:p>
        </w:tc>
        <w:tc>
          <w:tcPr>
            <w:tcW w:type="dxa" w:w="1728"/>
          </w:tcPr>
          <w:p>
            <w:r>
              <w:rPr>
                <w:color w:val="C00000"/>
                <w:sz w:val="14"/>
              </w:rPr>
              <w:t>Negatif</w:t>
            </w:r>
          </w:p>
        </w:tc>
        <w:tc>
          <w:tcPr>
            <w:tcW w:type="dxa" w:w="1728"/>
          </w:tcPr>
          <w:p>
            <w:r>
              <w:rPr>
                <w:sz w:val="14"/>
              </w:rPr>
              <w:t xml:space="preserve">Google News — politique UEMOA </w:t>
            </w:r>
          </w:p>
        </w:tc>
      </w:tr>
      <w:tr>
        <w:tc>
          <w:tcPr>
            <w:tcW w:type="dxa" w:w="1728"/>
          </w:tcPr>
          <w:p>
            <w:r>
              <w:rPr>
                <w:sz w:val="14"/>
              </w:rPr>
              <w:t>2026-08-27</w:t>
            </w:r>
          </w:p>
        </w:tc>
        <w:tc>
          <w:tcPr>
            <w:tcW w:type="dxa" w:w="1728"/>
          </w:tcPr>
          <w:p>
            <w:r>
              <w:rPr>
                <w:sz w:val="14"/>
              </w:rPr>
              <w:t>BCE-Une nouvelle hausse des taux est probable pour freiner l'inflation</w:t>
            </w:r>
          </w:p>
        </w:tc>
        <w:tc>
          <w:tcPr>
            <w:tcW w:type="dxa" w:w="1728"/>
          </w:tcPr>
          <w:p>
            <w:r>
              <w:rPr>
                <w:sz w:val="14"/>
              </w:rPr>
              <w:t>Neutre</w:t>
            </w:r>
          </w:p>
        </w:tc>
        <w:tc>
          <w:tcPr>
            <w:tcW w:type="dxa" w:w="1728"/>
          </w:tcPr>
          <w:p>
            <w:r>
              <w:rPr>
                <w:sz w:val="14"/>
              </w:rPr>
              <w:t>Neutre</w:t>
            </w:r>
          </w:p>
        </w:tc>
        <w:tc>
          <w:tcPr>
            <w:tcW w:type="dxa" w:w="1728"/>
          </w:tcPr>
          <w:p>
            <w:r>
              <w:rPr>
                <w:sz w:val="14"/>
              </w:rPr>
              <w:t>Google News — BCE taux euro zo</w:t>
            </w:r>
          </w:p>
        </w:tc>
      </w:tr>
    </w:tbl>
    <w:p/>
    <w:p>
      <w:r>
        <w:br w:type="page"/>
      </w:r>
    </w:p>
    <w:p>
      <w:pPr>
        <w:pStyle w:val="Heading1"/>
      </w:pPr>
      <w:r>
        <w:t>📰 ACTUALITÉS DU MARCHÉ BRVM</w:t>
      </w:r>
    </w:p>
    <w:p>
      <w:r>
        <w:rPr>
          <w:sz w:val="18"/>
        </w:rPr>
        <w:t>Cette section regroupe les derniers documents officiels publiés par les sociétés cotées (AG, dividendes, convocations, résultats) ainsi que les alertes d'actualité financière collectées via Google Alerts.</w:t>
      </w:r>
    </w:p>
    <w:p/>
    <w:p>
      <w:pPr>
        <w:pStyle w:val="Heading2"/>
      </w:pPr>
      <w:r>
        <w:t>📄 A — Documents officiels des sociétés cotées</w:t>
      </w:r>
    </w:p>
    <w:p>
      <w:pPr>
        <w:pStyle w:val="Heading3"/>
      </w:pPr>
      <w:r>
        <w:t>🏛️ Assemblées Générales (14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30/06/2026</w:t>
            </w:r>
          </w:p>
        </w:tc>
        <w:tc>
          <w:tcPr>
            <w:tcW w:type="dxa" w:w="1728"/>
          </w:tcPr>
          <w:p>
            <w:r>
              <w:rPr>
                <w:sz w:val="15"/>
              </w:rPr>
              <w:t>UNIWAX</w:t>
            </w:r>
          </w:p>
        </w:tc>
        <w:tc>
          <w:tcPr>
            <w:tcW w:type="dxa" w:w="1728"/>
          </w:tcPr>
          <w:p>
            <w:r>
              <w:rPr>
                <w:sz w:val="15"/>
              </w:rPr>
              <w:t xml:space="preserve">20260629   formulaire de vote par correspondance  </w:t>
            </w:r>
          </w:p>
        </w:tc>
        <w:tc>
          <w:tcPr>
            <w:tcW w:type="dxa" w:w="1728"/>
          </w:tcPr>
          <w:p>
            <w:r>
              <w:rPr>
                <w:b/>
                <w:sz w:val="15"/>
              </w:rPr>
              <w:t>⚪ =</w:t>
            </w:r>
          </w:p>
        </w:tc>
        <w:tc>
          <w:tcPr>
            <w:tcW w:type="dxa" w:w="1728"/>
          </w:tcPr>
          <w:p>
            <w:r>
              <w:rPr>
                <w:sz w:val="15"/>
              </w:rPr>
              <w:t>Ce document est un formulaire de vote par correspondance pour l'Assemblée Générale Ordinaire Annuelle d'UNIWAX SA, prévu</w:t>
            </w:r>
          </w:p>
        </w:tc>
      </w:tr>
      <w:tr>
        <w:tc>
          <w:tcPr>
            <w:tcW w:type="dxa" w:w="8640"/>
            <w:gridSpan w:val="5"/>
          </w:tcPr>
          <w:p>
            <w:r>
              <w:rPr>
                <w:color w:val="505050"/>
                <w:sz w:val="14"/>
              </w:rPr>
              <w:t xml:space="preserve">  → Assemblée Générale Ordinaire Annuelle d'UNIWAX SA prévue le 16 juillet 2026. | Formulaire de vote par correspondance pour douze résolutions. | Capital social de 4 150 000 000 FCFA divisé en 20 750 000 actions.</w:t>
            </w:r>
          </w:p>
        </w:tc>
      </w:tr>
      <w:tr>
        <w:tc>
          <w:tcPr>
            <w:tcW w:type="dxa" w:w="1728"/>
          </w:tcPr>
          <w:p>
            <w:r>
              <w:rPr>
                <w:sz w:val="15"/>
              </w:rPr>
              <w:t>30/03/2026</w:t>
            </w:r>
          </w:p>
        </w:tc>
        <w:tc>
          <w:tcPr>
            <w:tcW w:type="dxa" w:w="1728"/>
          </w:tcPr>
          <w:p>
            <w:r>
              <w:rPr>
                <w:sz w:val="15"/>
              </w:rPr>
              <w:t>Société Nati</w:t>
            </w:r>
          </w:p>
        </w:tc>
        <w:tc>
          <w:tcPr>
            <w:tcW w:type="dxa" w:w="1728"/>
          </w:tcPr>
          <w:p>
            <w:r>
              <w:rPr>
                <w:sz w:val="15"/>
              </w:rPr>
              <w:t>20260327   avis de convocation   assemblee general</w:t>
            </w:r>
          </w:p>
        </w:tc>
        <w:tc>
          <w:tcPr>
            <w:tcW w:type="dxa" w:w="1728"/>
          </w:tcPr>
          <w:p>
            <w:r>
              <w:rPr>
                <w:b/>
                <w:color w:val="008000"/>
                <w:sz w:val="15"/>
              </w:rPr>
              <w:t>🟢 +</w:t>
            </w:r>
          </w:p>
        </w:tc>
        <w:tc>
          <w:tcPr>
            <w:tcW w:type="dxa" w:w="1728"/>
          </w:tcPr>
          <w:p>
            <w:r>
              <w:rPr>
                <w:sz w:val="15"/>
              </w:rPr>
              <w:t>SONATEL convoque une Assemblée Générale Ordinaire le 16 avril 2026 pour approuver les états financiers 2025 et verser un</w:t>
            </w:r>
          </w:p>
        </w:tc>
      </w:tr>
      <w:tr>
        <w:tc>
          <w:tcPr>
            <w:tcW w:type="dxa" w:w="8640"/>
            <w:gridSpan w:val="5"/>
          </w:tcPr>
          <w:p>
            <w:r>
              <w:rPr>
                <w:color w:val="505050"/>
                <w:sz w:val="14"/>
              </w:rPr>
              <w:t xml:space="preserve">  → Assemblée Générale Ordinaire convoquée pour le 16 avril 2026 à 10h GMT | Dividende brut proposé de 1 933 F CFA par action (1 740 F CFA net) | Mise en paiement du dividende à compter du 25 mai 2026</w:t>
            </w:r>
          </w:p>
        </w:tc>
      </w:tr>
      <w:tr>
        <w:tc>
          <w:tcPr>
            <w:tcW w:type="dxa" w:w="1728"/>
          </w:tcPr>
          <w:p>
            <w:r>
              <w:rPr>
                <w:sz w:val="15"/>
              </w:rPr>
              <w:t>30/03/2026</w:t>
            </w:r>
          </w:p>
        </w:tc>
        <w:tc>
          <w:tcPr>
            <w:tcW w:type="dxa" w:w="1728"/>
          </w:tcPr>
          <w:p>
            <w:r>
              <w:rPr>
                <w:sz w:val="15"/>
              </w:rPr>
              <w:t>BANK OF AFRI</w:t>
            </w:r>
          </w:p>
        </w:tc>
        <w:tc>
          <w:tcPr>
            <w:tcW w:type="dxa" w:w="1728"/>
          </w:tcPr>
          <w:p>
            <w:r>
              <w:rPr>
                <w:sz w:val="15"/>
              </w:rPr>
              <w:t>20260327   avis de convocation   assemblee general</w:t>
            </w:r>
          </w:p>
        </w:tc>
        <w:tc>
          <w:tcPr>
            <w:tcW w:type="dxa" w:w="1728"/>
          </w:tcPr>
          <w:p>
            <w:r>
              <w:rPr>
                <w:b/>
                <w:sz w:val="15"/>
              </w:rPr>
              <w:t>⚪ =</w:t>
            </w:r>
          </w:p>
        </w:tc>
        <w:tc>
          <w:tcPr>
            <w:tcW w:type="dxa" w:w="1728"/>
          </w:tcPr>
          <w:p>
            <w:r>
              <w:rPr>
                <w:sz w:val="15"/>
              </w:rPr>
              <w:t>Bank of Africa Côte d'Ivoire convoque ses actionnaires en Assemblée Générale Ordinaire le 15 avril 2026 à 10h00 à la Sal</w:t>
            </w:r>
          </w:p>
        </w:tc>
      </w:tr>
      <w:tr>
        <w:tc>
          <w:tcPr>
            <w:tcW w:type="dxa" w:w="8640"/>
            <w:gridSpan w:val="5"/>
          </w:tcPr>
          <w:p>
            <w:r>
              <w:rPr>
                <w:color w:val="505050"/>
                <w:sz w:val="14"/>
              </w:rPr>
              <w:t xml:space="preserve">  → Assemblée Générale Ordinaire programmée le 15 avril 2026 à 10h00 | Approbation des comptes de bilan et de résultat de l'exercice clos le 31 décembre 2025 | Présentation des résultats de l'évaluation du Conseil d'Administration et de ses comités spécialisés</w:t>
            </w:r>
          </w:p>
        </w:tc>
      </w:tr>
      <w:tr>
        <w:tc>
          <w:tcPr>
            <w:tcW w:type="dxa" w:w="1728"/>
          </w:tcPr>
          <w:p>
            <w:r>
              <w:rPr>
                <w:sz w:val="15"/>
              </w:rPr>
              <w:t>29/06/2026</w:t>
            </w:r>
          </w:p>
        </w:tc>
        <w:tc>
          <w:tcPr>
            <w:tcW w:type="dxa" w:w="1728"/>
          </w:tcPr>
          <w:p>
            <w:r>
              <w:rPr>
                <w:sz w:val="15"/>
              </w:rPr>
              <w:t>Erium Côte d</w:t>
            </w:r>
          </w:p>
        </w:tc>
        <w:tc>
          <w:tcPr>
            <w:tcW w:type="dxa" w:w="1728"/>
          </w:tcPr>
          <w:p>
            <w:r>
              <w:rPr>
                <w:sz w:val="15"/>
              </w:rPr>
              <w:t xml:space="preserve">20260626   pouvoir   assemblee generale ordinaire </w:t>
            </w:r>
          </w:p>
        </w:tc>
        <w:tc>
          <w:tcPr>
            <w:tcW w:type="dxa" w:w="1728"/>
          </w:tcPr>
          <w:p>
            <w:r>
              <w:rPr>
                <w:b/>
                <w:sz w:val="15"/>
              </w:rPr>
              <w:t>⚪ =</w:t>
            </w:r>
          </w:p>
        </w:tc>
        <w:tc>
          <w:tcPr>
            <w:tcW w:type="dxa" w:w="1728"/>
          </w:tcPr>
          <w:p>
            <w:r>
              <w:rPr>
                <w:sz w:val="15"/>
              </w:rPr>
              <w:t>Ce document est un pouvoir délégué par un actionnaire pour se faire représenter à l'Assemblée Générale Ordinaire de la s</w:t>
            </w:r>
          </w:p>
        </w:tc>
      </w:tr>
      <w:tr>
        <w:tc>
          <w:tcPr>
            <w:tcW w:type="dxa" w:w="8640"/>
            <w:gridSpan w:val="5"/>
          </w:tcPr>
          <w:p>
            <w:r>
              <w:rPr>
                <w:color w:val="505050"/>
                <w:sz w:val="14"/>
              </w:rPr>
              <w:t xml:space="preserve">  → Délégation de pouvoir pour l'Assemblée Générale Ordinaire du 13 juillet 2026 | Ordre du jour inclut l'approbation des comptes clos au 31 décembre 2025 | Ratification du renouvellement de deux administrateurs et nomination d'un administrateur</w:t>
            </w:r>
          </w:p>
        </w:tc>
      </w:tr>
      <w:tr>
        <w:tc>
          <w:tcPr>
            <w:tcW w:type="dxa" w:w="1728"/>
          </w:tcPr>
          <w:p>
            <w:r>
              <w:rPr>
                <w:sz w:val="15"/>
              </w:rPr>
              <w:t>29/05/2026</w:t>
            </w:r>
          </w:p>
        </w:tc>
        <w:tc>
          <w:tcPr>
            <w:tcW w:type="dxa" w:w="1728"/>
          </w:tcPr>
          <w:p>
            <w:r>
              <w:rPr>
                <w:sz w:val="15"/>
              </w:rPr>
              <w:t>TotalEnergie</w:t>
            </w:r>
          </w:p>
        </w:tc>
        <w:tc>
          <w:tcPr>
            <w:tcW w:type="dxa" w:w="1728"/>
          </w:tcPr>
          <w:p>
            <w:r>
              <w:rPr>
                <w:sz w:val="15"/>
              </w:rPr>
              <w:t xml:space="preserve">20260528   avis de convocation assemblee generale </w:t>
            </w:r>
          </w:p>
        </w:tc>
        <w:tc>
          <w:tcPr>
            <w:tcW w:type="dxa" w:w="1728"/>
          </w:tcPr>
          <w:p>
            <w:r>
              <w:rPr>
                <w:b/>
                <w:color w:val="008000"/>
                <w:sz w:val="15"/>
              </w:rPr>
              <w:t>🟢 +</w:t>
            </w:r>
          </w:p>
        </w:tc>
        <w:tc>
          <w:tcPr>
            <w:tcW w:type="dxa" w:w="1728"/>
          </w:tcPr>
          <w:p>
            <w:r>
              <w:rPr>
                <w:sz w:val="15"/>
              </w:rPr>
              <w:t>TotalEnergies Marketing Sénégal convoque son Assemblée Générale Ordinaire le 17 juin 2026 pour approuver les comptes 202</w:t>
            </w:r>
          </w:p>
        </w:tc>
      </w:tr>
      <w:tr>
        <w:tc>
          <w:tcPr>
            <w:tcW w:type="dxa" w:w="8640"/>
            <w:gridSpan w:val="5"/>
          </w:tcPr>
          <w:p>
            <w:r>
              <w:rPr>
                <w:color w:val="505050"/>
                <w:sz w:val="14"/>
              </w:rPr>
              <w:t xml:space="preserve">  → Assemblée Générale Ordinaire convoquée le 17 juin 2026 au Noom Hôtel Dakar Sea Plaza | Distribution de dividendes de 6,146 milliards FCFA soit 188,67 FCFA brut par action | Dividende net de 182,66 FCFA pour actionnaires UK et 176,65 FCFA pour les autres</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morale   assemblee gen</w:t>
            </w:r>
          </w:p>
        </w:tc>
        <w:tc>
          <w:tcPr>
            <w:tcW w:type="dxa" w:w="1728"/>
          </w:tcPr>
          <w:p>
            <w:r>
              <w:rPr>
                <w:b/>
                <w:sz w:val="15"/>
              </w:rPr>
              <w:t>⚪ =</w:t>
            </w:r>
          </w:p>
        </w:tc>
        <w:tc>
          <w:tcPr>
            <w:tcW w:type="dxa" w:w="1728"/>
          </w:tcPr>
          <w:p>
            <w:r>
              <w:rPr>
                <w:sz w:val="15"/>
              </w:rPr>
              <w:t>Ce document est un modèle de délégation de pouvoir pour l'Assemblée Générale Ordinaire de la SITAB. L'assemblée se tiend</w:t>
            </w:r>
          </w:p>
        </w:tc>
      </w:tr>
      <w:tr>
        <w:tc>
          <w:tcPr>
            <w:tcW w:type="dxa" w:w="8640"/>
            <w:gridSpan w:val="5"/>
          </w:tcPr>
          <w:p>
            <w:r>
              <w:rPr>
                <w:color w:val="505050"/>
                <w:sz w:val="14"/>
              </w:rPr>
              <w:t xml:space="preserve">  → Assemblée Générale Ordinaire de SITAB prévue le mercredi 15 juillet 2026 à la Salle Jewels de la CGECI au Plateau. | Le document est un formulaire de délégation de pouvoir pour les actionnaires personnes morales. | L'ordre du jour comprend l'approbation des comptes de l'exercice clos le 31 décembre 2025 et l'affectation du résultat.</w:t>
            </w:r>
          </w:p>
        </w:tc>
      </w:tr>
      <w:tr>
        <w:tc>
          <w:tcPr>
            <w:tcW w:type="dxa" w:w="1728"/>
          </w:tcPr>
          <w:p>
            <w:r>
              <w:rPr>
                <w:sz w:val="15"/>
              </w:rPr>
              <w:t>26/06/2026</w:t>
            </w:r>
          </w:p>
        </w:tc>
        <w:tc>
          <w:tcPr>
            <w:tcW w:type="dxa" w:w="1728"/>
          </w:tcPr>
          <w:p>
            <w:r>
              <w:rPr>
                <w:sz w:val="15"/>
              </w:rPr>
              <w:t>Société Ivoi</w:t>
            </w:r>
          </w:p>
        </w:tc>
        <w:tc>
          <w:tcPr>
            <w:tcW w:type="dxa" w:w="1728"/>
          </w:tcPr>
          <w:p>
            <w:r>
              <w:rPr>
                <w:sz w:val="15"/>
              </w:rPr>
              <w:t>20260625   pouvoir personne physique   assemblee g</w:t>
            </w:r>
          </w:p>
        </w:tc>
        <w:tc>
          <w:tcPr>
            <w:tcW w:type="dxa" w:w="1728"/>
          </w:tcPr>
          <w:p>
            <w:r>
              <w:rPr>
                <w:b/>
                <w:sz w:val="15"/>
              </w:rPr>
              <w:t>⚪ =</w:t>
            </w:r>
          </w:p>
        </w:tc>
        <w:tc>
          <w:tcPr>
            <w:tcW w:type="dxa" w:w="1728"/>
          </w:tcPr>
          <w:p>
            <w:r>
              <w:rPr>
                <w:sz w:val="15"/>
              </w:rPr>
              <w:t>Ce document est un formulaire de pouvoir pour personne physique en vue de l'Assemblée Générale Ordinaire de la Société I</w:t>
            </w:r>
          </w:p>
        </w:tc>
      </w:tr>
      <w:tr>
        <w:tc>
          <w:tcPr>
            <w:tcW w:type="dxa" w:w="8640"/>
            <w:gridSpan w:val="5"/>
          </w:tcPr>
          <w:p>
            <w:r>
              <w:rPr>
                <w:color w:val="505050"/>
                <w:sz w:val="14"/>
              </w:rPr>
              <w:t xml:space="preserve">  → Assemblée Générale Ordinaire de SITAB prévue le 15 juillet 2026 à Abidjan. | Examen et approbation des comptes de l'exercice clos le 31 décembre 2025. | Affectation du résultat de l'exercice 2025.</w:t>
            </w:r>
          </w:p>
        </w:tc>
      </w:tr>
      <w:tr>
        <w:tc>
          <w:tcPr>
            <w:tcW w:type="dxa" w:w="1728"/>
          </w:tcPr>
          <w:p>
            <w:r>
              <w:rPr>
                <w:sz w:val="15"/>
              </w:rPr>
              <w:t>26/06/2026</w:t>
            </w:r>
          </w:p>
        </w:tc>
        <w:tc>
          <w:tcPr>
            <w:tcW w:type="dxa" w:w="1728"/>
          </w:tcPr>
          <w:p>
            <w:r>
              <w:rPr>
                <w:sz w:val="15"/>
              </w:rPr>
              <w:t>SOCIETE IVOI</w:t>
            </w:r>
          </w:p>
        </w:tc>
        <w:tc>
          <w:tcPr>
            <w:tcW w:type="dxa" w:w="1728"/>
          </w:tcPr>
          <w:p>
            <w:r>
              <w:rPr>
                <w:sz w:val="15"/>
              </w:rPr>
              <w:t>20260625   avis de convocation   assemblee general</w:t>
            </w:r>
          </w:p>
        </w:tc>
        <w:tc>
          <w:tcPr>
            <w:tcW w:type="dxa" w:w="1728"/>
          </w:tcPr>
          <w:p>
            <w:r>
              <w:rPr>
                <w:b/>
                <w:sz w:val="15"/>
              </w:rPr>
              <w:t>⚪ =</w:t>
            </w:r>
          </w:p>
        </w:tc>
        <w:tc>
          <w:tcPr>
            <w:tcW w:type="dxa" w:w="1728"/>
          </w:tcPr>
          <w:p>
            <w:r>
              <w:rPr>
                <w:sz w:val="15"/>
              </w:rPr>
              <w:t>La Société Ivoirienne des Tabacs (SITAB) convoque ses actionnaires à une Assemblée Générale Ordinaire le 15 juillet 2026</w:t>
            </w:r>
          </w:p>
        </w:tc>
      </w:tr>
      <w:tr>
        <w:tc>
          <w:tcPr>
            <w:tcW w:type="dxa" w:w="8640"/>
            <w:gridSpan w:val="5"/>
          </w:tcPr>
          <w:p>
            <w:r>
              <w:rPr>
                <w:color w:val="505050"/>
                <w:sz w:val="14"/>
              </w:rPr>
              <w:t xml:space="preserve">  → Assemblée Générale Ordinaire prévue le 15 juillet 2026 à la salle Jewels de la CGECI au Plateau, à 10h00 GMT. | Approbation des comptes de l'exercice clos le 31 décembre 2025 et affectation du résultat. | Renouvellement du mandat d'administrateur de Monsieur Pierre MAGNE et de la société ITWA.</w:t>
            </w:r>
          </w:p>
        </w:tc>
      </w:tr>
      <w:tr>
        <w:tc>
          <w:tcPr>
            <w:tcW w:type="dxa" w:w="1728"/>
          </w:tcPr>
          <w:p>
            <w:r>
              <w:rPr>
                <w:sz w:val="15"/>
              </w:rPr>
              <w:t>26/06/2026</w:t>
            </w:r>
          </w:p>
        </w:tc>
        <w:tc>
          <w:tcPr>
            <w:tcW w:type="dxa" w:w="1728"/>
          </w:tcPr>
          <w:p>
            <w:r>
              <w:rPr>
                <w:sz w:val="15"/>
              </w:rPr>
              <w:t>Erium Côte d</w:t>
            </w:r>
          </w:p>
        </w:tc>
        <w:tc>
          <w:tcPr>
            <w:tcW w:type="dxa" w:w="1728"/>
          </w:tcPr>
          <w:p>
            <w:r>
              <w:rPr>
                <w:sz w:val="15"/>
              </w:rPr>
              <w:t>20260625  avis de convocation   assemblee generale</w:t>
            </w:r>
          </w:p>
        </w:tc>
        <w:tc>
          <w:tcPr>
            <w:tcW w:type="dxa" w:w="1728"/>
          </w:tcPr>
          <w:p>
            <w:r>
              <w:rPr>
                <w:b/>
                <w:sz w:val="15"/>
              </w:rPr>
              <w:t>⚪ =</w:t>
            </w:r>
          </w:p>
        </w:tc>
        <w:tc>
          <w:tcPr>
            <w:tcW w:type="dxa" w:w="1728"/>
          </w:tcPr>
          <w:p>
            <w:r>
              <w:rPr>
                <w:sz w:val="15"/>
              </w:rPr>
              <w:t>La Société Erium Côte d'Ivoire convoque ses actionnaires à une Assemblée Générale Ordinaire le 13 juillet 2026 à Abidjan</w:t>
            </w:r>
          </w:p>
        </w:tc>
      </w:tr>
      <w:tr>
        <w:tc>
          <w:tcPr>
            <w:tcW w:type="dxa" w:w="8640"/>
            <w:gridSpan w:val="5"/>
          </w:tcPr>
          <w:p>
            <w:r>
              <w:rPr>
                <w:color w:val="505050"/>
                <w:sz w:val="14"/>
              </w:rPr>
              <w:t xml:space="preserve">  → Assemblée Générale Ordinaire prévue le 13 juillet 2026 à l'Hôtel Tiama à Abidjan. | Ordre du jour inclut l'approbation des comptes de l'exercice clos au 31 décembre 2025. | Examen des rapports du conseil d'administration et du commissaire aux comptes.</w:t>
            </w:r>
          </w:p>
        </w:tc>
      </w:tr>
      <w:tr>
        <w:tc>
          <w:tcPr>
            <w:tcW w:type="dxa" w:w="1728"/>
          </w:tcPr>
          <w:p>
            <w:r>
              <w:rPr>
                <w:sz w:val="15"/>
              </w:rPr>
              <w:t>25/03/2026</w:t>
            </w:r>
          </w:p>
        </w:tc>
        <w:tc>
          <w:tcPr>
            <w:tcW w:type="dxa" w:w="1728"/>
          </w:tcPr>
          <w:p>
            <w:r>
              <w:rPr>
                <w:sz w:val="15"/>
              </w:rPr>
              <w:t>BANK OF AFRI</w:t>
            </w:r>
          </w:p>
        </w:tc>
        <w:tc>
          <w:tcPr>
            <w:tcW w:type="dxa" w:w="1728"/>
          </w:tcPr>
          <w:p>
            <w:r>
              <w:rPr>
                <w:sz w:val="15"/>
              </w:rPr>
              <w:t>20260324   avis de convocation   assemblee general</w:t>
            </w:r>
          </w:p>
        </w:tc>
        <w:tc>
          <w:tcPr>
            <w:tcW w:type="dxa" w:w="1728"/>
          </w:tcPr>
          <w:p>
            <w:r>
              <w:rPr>
                <w:b/>
                <w:sz w:val="15"/>
              </w:rPr>
              <w:t>⚪ =</w:t>
            </w:r>
          </w:p>
        </w:tc>
        <w:tc>
          <w:tcPr>
            <w:tcW w:type="dxa" w:w="1728"/>
          </w:tcPr>
          <w:p>
            <w:r>
              <w:rPr>
                <w:sz w:val="15"/>
              </w:rPr>
              <w:t>Bank of Africa-Mali convoque ses actionnaires à une Assemblée Générale Ordinaire le mardi 14 avril 2026 à 09h30. L'ordre</w:t>
            </w:r>
          </w:p>
        </w:tc>
      </w:tr>
      <w:tr>
        <w:tc>
          <w:tcPr>
            <w:tcW w:type="dxa" w:w="8640"/>
            <w:gridSpan w:val="5"/>
          </w:tcPr>
          <w:p>
            <w:r>
              <w:rPr>
                <w:color w:val="505050"/>
                <w:sz w:val="14"/>
              </w:rPr>
              <w:t xml:space="preserve">  → Assemblée Générale Ordinaire fixée au 14 avril 2026 à 09h30 | Approbation des états financiers de l'exercice clos le 31 décembre 2025 | Distribution de dividendes à l'ordre du jour</w:t>
            </w:r>
          </w:p>
        </w:tc>
      </w:tr>
    </w:tbl>
    <w:p/>
    <w:p>
      <w:pPr>
        <w:pStyle w:val="Heading3"/>
      </w:pPr>
      <w:r>
        <w:t>📌 Autre (1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28/04/2026</w:t>
            </w:r>
          </w:p>
        </w:tc>
        <w:tc>
          <w:tcPr>
            <w:tcW w:type="dxa" w:w="1728"/>
          </w:tcPr>
          <w:p>
            <w:r>
              <w:rPr>
                <w:sz w:val="15"/>
              </w:rPr>
              <w:t>FCTC NSIA BA</w:t>
            </w:r>
          </w:p>
        </w:tc>
        <w:tc>
          <w:tcPr>
            <w:tcW w:type="dxa" w:w="1728"/>
          </w:tcPr>
          <w:p>
            <w:r>
              <w:rPr>
                <w:sz w:val="15"/>
              </w:rPr>
              <w:t>20260428   avis ndeg114 brvmdg   resultats de prem</w:t>
            </w:r>
          </w:p>
        </w:tc>
        <w:tc>
          <w:tcPr>
            <w:tcW w:type="dxa" w:w="1728"/>
          </w:tcPr>
          <w:p>
            <w:r>
              <w:rPr>
                <w:b/>
                <w:color w:val="008000"/>
                <w:sz w:val="15"/>
              </w:rPr>
              <w:t>🟢 +</w:t>
            </w:r>
          </w:p>
        </w:tc>
        <w:tc>
          <w:tcPr>
            <w:tcW w:type="dxa" w:w="1728"/>
          </w:tcPr>
          <w:p>
            <w:r>
              <w:rPr>
                <w:sz w:val="15"/>
              </w:rPr>
              <w:t>La BRVM annonce les résultats de la première cotation de l'emprunt obligataire FCTC NSIA BANQUE CI 7,50% 2025-2030 qui a</w:t>
            </w:r>
          </w:p>
        </w:tc>
      </w:tr>
      <w:tr>
        <w:tc>
          <w:tcPr>
            <w:tcW w:type="dxa" w:w="8640"/>
            <w:gridSpan w:val="5"/>
          </w:tcPr>
          <w:p>
            <w:r>
              <w:rPr>
                <w:color w:val="505050"/>
                <w:sz w:val="14"/>
              </w:rPr>
              <w:t xml:space="preserve">  → Première cotation de l'emprunt obligataire FCTC NSIA BANQUE CI 7,50% 2025-2030 le 28 avril 2026 | Prix de cotation des obligations fixé à 10 000 FCFA | 750 titres échangés lors de la première séance pour une valeur de 7 500 000 FCFA</w:t>
            </w:r>
          </w:p>
        </w:tc>
      </w:tr>
    </w:tbl>
    <w:p/>
    <w:p>
      <w:pPr>
        <w:pStyle w:val="Heading3"/>
      </w:pPr>
      <w:r>
        <w:t>ℹ️ Avis &amp; informations (6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 xml:space="preserve">NSIA BANQUE </w:t>
            </w:r>
          </w:p>
        </w:tc>
        <w:tc>
          <w:tcPr>
            <w:tcW w:type="dxa" w:w="1728"/>
          </w:tcPr>
          <w:p>
            <w:r>
              <w:rPr>
                <w:sz w:val="15"/>
              </w:rPr>
              <w:t>20260429   avis ndeg115 brvmdg   resultats de prem</w:t>
            </w:r>
          </w:p>
        </w:tc>
        <w:tc>
          <w:tcPr>
            <w:tcW w:type="dxa" w:w="1728"/>
          </w:tcPr>
          <w:p>
            <w:r>
              <w:rPr>
                <w:b/>
                <w:color w:val="008000"/>
                <w:sz w:val="15"/>
              </w:rPr>
              <w:t>🟢 +</w:t>
            </w:r>
          </w:p>
        </w:tc>
        <w:tc>
          <w:tcPr>
            <w:tcW w:type="dxa" w:w="1728"/>
          </w:tcPr>
          <w:p>
            <w:r>
              <w:rPr>
                <w:sz w:val="15"/>
              </w:rPr>
              <w:t>La BRVM annonce les résultats de la première cotation des emprunts obligataires FCTC ZAKA RMBS NSIA BANQUE CI 7,00% et 9</w:t>
            </w:r>
          </w:p>
        </w:tc>
      </w:tr>
      <w:tr>
        <w:tc>
          <w:tcPr>
            <w:tcW w:type="dxa" w:w="8640"/>
            <w:gridSpan w:val="5"/>
          </w:tcPr>
          <w:p>
            <w:r>
              <w:rPr>
                <w:color w:val="505050"/>
                <w:sz w:val="14"/>
              </w:rPr>
              <w:t xml:space="preserve">  → Première cotation réussie des obligations FCTC ZAKA RMBS NSIA BANQUE CI le 29 avril 2026 | Prix de cotation fixé à 9 565 FCFA par obligation pour les deux tranches | 100 titres à 7% et 45 titres à 9% échangés pour 1 386 925 FCFA au total</w:t>
            </w:r>
          </w:p>
        </w:tc>
      </w:tr>
      <w:tr>
        <w:tc>
          <w:tcPr>
            <w:tcW w:type="dxa" w:w="1728"/>
          </w:tcPr>
          <w:p>
            <w:r>
              <w:rPr>
                <w:sz w:val="15"/>
              </w:rPr>
              <w:t>28/04/2026</w:t>
            </w:r>
          </w:p>
        </w:tc>
        <w:tc>
          <w:tcPr>
            <w:tcW w:type="dxa" w:w="1728"/>
          </w:tcPr>
          <w:p>
            <w:r>
              <w:rPr>
                <w:sz w:val="15"/>
              </w:rPr>
              <w:t>BOURSE REGIO</w:t>
            </w:r>
          </w:p>
        </w:tc>
        <w:tc>
          <w:tcPr>
            <w:tcW w:type="dxa" w:w="1728"/>
          </w:tcPr>
          <w:p>
            <w:r>
              <w:rPr>
                <w:sz w:val="15"/>
              </w:rPr>
              <w:t>20260427  avis ndeg113 brvmdg   horaires de cotati</w:t>
            </w:r>
          </w:p>
        </w:tc>
        <w:tc>
          <w:tcPr>
            <w:tcW w:type="dxa" w:w="1728"/>
          </w:tcPr>
          <w:p>
            <w:r>
              <w:rPr>
                <w:b/>
                <w:sz w:val="15"/>
              </w:rPr>
              <w:t>⚪ =</w:t>
            </w:r>
          </w:p>
        </w:tc>
        <w:tc>
          <w:tcPr>
            <w:tcW w:type="dxa" w:w="1728"/>
          </w:tcPr>
          <w:p>
            <w:r>
              <w:rPr>
                <w:sz w:val="15"/>
              </w:rPr>
              <w:t>La BRVM informe le public et les intervenants du marché des horaires modifiés de cotation pour le jeudi 30 avril 2026 en</w:t>
            </w:r>
          </w:p>
        </w:tc>
      </w:tr>
      <w:tr>
        <w:tc>
          <w:tcPr>
            <w:tcW w:type="dxa" w:w="8640"/>
            <w:gridSpan w:val="5"/>
          </w:tcPr>
          <w:p>
            <w:r>
              <w:rPr>
                <w:color w:val="505050"/>
                <w:sz w:val="14"/>
              </w:rPr>
              <w:t xml:space="preserve">  → Modification des horaires de cotation du 30 avril 2026 pour la fête du travail | Pré-ouverture de 9h00 à 9h30 et fixing d'ouverture à 9h30 | Négociation continue de 9h30 à 11h00 avec pré-clôture de 11h00 à 11h30</w:t>
            </w:r>
          </w:p>
        </w:tc>
      </w:tr>
      <w:tr>
        <w:tc>
          <w:tcPr>
            <w:tcW w:type="dxa" w:w="1728"/>
          </w:tcPr>
          <w:p>
            <w:r>
              <w:rPr>
                <w:sz w:val="15"/>
              </w:rPr>
              <w:t>28/04/2026</w:t>
            </w:r>
          </w:p>
        </w:tc>
        <w:tc>
          <w:tcPr>
            <w:tcW w:type="dxa" w:w="1728"/>
          </w:tcPr>
          <w:p>
            <w:r>
              <w:rPr>
                <w:sz w:val="15"/>
              </w:rPr>
              <w:t>BRVM</w:t>
            </w:r>
          </w:p>
        </w:tc>
        <w:tc>
          <w:tcPr>
            <w:tcW w:type="dxa" w:w="1728"/>
          </w:tcPr>
          <w:p>
            <w:r>
              <w:rPr>
                <w:sz w:val="15"/>
              </w:rPr>
              <w:t>20260427   avis ndeg112 brvmdg   rappel 01 mai 202</w:t>
            </w:r>
          </w:p>
        </w:tc>
        <w:tc>
          <w:tcPr>
            <w:tcW w:type="dxa" w:w="1728"/>
          </w:tcPr>
          <w:p>
            <w:r>
              <w:rPr>
                <w:b/>
                <w:sz w:val="15"/>
              </w:rPr>
              <w:t>⚪ =</w:t>
            </w:r>
          </w:p>
        </w:tc>
        <w:tc>
          <w:tcPr>
            <w:tcW w:type="dxa" w:w="1728"/>
          </w:tcPr>
          <w:p>
            <w:r>
              <w:rPr>
                <w:sz w:val="15"/>
              </w:rPr>
              <w:t>La BRVM rappelle au public et aux intervenants du marché que le vendredi 1er mai 2026, jour de la fête du travail, est f</w:t>
            </w:r>
          </w:p>
        </w:tc>
      </w:tr>
      <w:tr>
        <w:tc>
          <w:tcPr>
            <w:tcW w:type="dxa" w:w="8640"/>
            <w:gridSpan w:val="5"/>
          </w:tcPr>
          <w:p>
            <w:r>
              <w:rPr>
                <w:color w:val="505050"/>
                <w:sz w:val="14"/>
              </w:rPr>
              <w:t xml:space="preserve">  → Rappel de fermeture de la BRVM le vendredi 1er mai 2026 pour la fête du travail | Aucune séance de cotation prévue le 1er mai 2026 en raison du jour férié | Reprise des séances de cotation le lundi 04 mai 2026</w:t>
            </w:r>
          </w:p>
        </w:tc>
      </w:tr>
      <w:tr>
        <w:tc>
          <w:tcPr>
            <w:tcW w:type="dxa" w:w="1728"/>
          </w:tcPr>
          <w:p>
            <w:r>
              <w:rPr>
                <w:sz w:val="15"/>
              </w:rPr>
              <w:t>24/04/2026</w:t>
            </w:r>
          </w:p>
        </w:tc>
        <w:tc>
          <w:tcPr>
            <w:tcW w:type="dxa" w:w="1728"/>
          </w:tcPr>
          <w:p>
            <w:r>
              <w:rPr>
                <w:sz w:val="15"/>
              </w:rPr>
              <w:t>SAFCA CI</w:t>
            </w:r>
          </w:p>
        </w:tc>
        <w:tc>
          <w:tcPr>
            <w:tcW w:type="dxa" w:w="1728"/>
          </w:tcPr>
          <w:p>
            <w:r>
              <w:rPr>
                <w:sz w:val="15"/>
              </w:rPr>
              <w:t xml:space="preserve">20260423   avis ndeg108 brvmdg   valeur theorique </w:t>
            </w:r>
          </w:p>
        </w:tc>
        <w:tc>
          <w:tcPr>
            <w:tcW w:type="dxa" w:w="1728"/>
          </w:tcPr>
          <w:p>
            <w:r>
              <w:rPr>
                <w:b/>
                <w:color w:val="008000"/>
                <w:sz w:val="15"/>
              </w:rPr>
              <w:t>🟢 +</w:t>
            </w:r>
          </w:p>
        </w:tc>
        <w:tc>
          <w:tcPr>
            <w:tcW w:type="dxa" w:w="1728"/>
          </w:tcPr>
          <w:p>
            <w:r>
              <w:rPr>
                <w:sz w:val="15"/>
              </w:rPr>
              <w:t>La BRVM annonce la valeur théorique du Droit Préférentiel de Souscription (DPS) de SAFCA CI à 1 615 FCFA dans le cadre d</w:t>
            </w:r>
          </w:p>
        </w:tc>
      </w:tr>
      <w:tr>
        <w:tc>
          <w:tcPr>
            <w:tcW w:type="dxa" w:w="8640"/>
            <w:gridSpan w:val="5"/>
          </w:tcPr>
          <w:p>
            <w:r>
              <w:rPr>
                <w:color w:val="505050"/>
                <w:sz w:val="14"/>
              </w:rPr>
              <w:t xml:space="preserve">  → Augmentation de capital SAFCA CI par apport en numéraire : 6 actions nouvelles pour 13 anciennes | Valeur théorique du DPS fixée à 1 615 FCFA à la clôture du 23 avril 2026 | Action cotera ex-droit à partir du 24 avril 2026 avec cours de référence de 3 890 FCFA</w:t>
            </w:r>
          </w:p>
        </w:tc>
      </w:tr>
      <w:tr>
        <w:tc>
          <w:tcPr>
            <w:tcW w:type="dxa" w:w="1728"/>
          </w:tcPr>
          <w:p>
            <w:r>
              <w:rPr>
                <w:sz w:val="15"/>
              </w:rPr>
              <w:t>24/04/2026</w:t>
            </w:r>
          </w:p>
        </w:tc>
        <w:tc>
          <w:tcPr>
            <w:tcW w:type="dxa" w:w="1728"/>
          </w:tcPr>
          <w:p>
            <w:r>
              <w:rPr>
                <w:sz w:val="15"/>
              </w:rPr>
              <w:t>TPTG</w:t>
            </w:r>
          </w:p>
        </w:tc>
        <w:tc>
          <w:tcPr>
            <w:tcW w:type="dxa" w:w="1728"/>
          </w:tcPr>
          <w:p>
            <w:r>
              <w:rPr>
                <w:sz w:val="15"/>
              </w:rPr>
              <w:t>20260523   avis ndeg110 brvmdg   resultats de prem</w:t>
            </w:r>
          </w:p>
        </w:tc>
        <w:tc>
          <w:tcPr>
            <w:tcW w:type="dxa" w:w="1728"/>
          </w:tcPr>
          <w:p>
            <w:r>
              <w:rPr>
                <w:b/>
                <w:color w:val="008000"/>
                <w:sz w:val="15"/>
              </w:rPr>
              <w:t>🟢 +</w:t>
            </w:r>
          </w:p>
        </w:tc>
        <w:tc>
          <w:tcPr>
            <w:tcW w:type="dxa" w:w="1728"/>
          </w:tcPr>
          <w:p>
            <w:r>
              <w:rPr>
                <w:sz w:val="15"/>
              </w:rPr>
              <w:t>La BRVM annonce les résultats de première cotation des obligations TPTG 6,50% 2026-2031 et TPTG 6,70% 2026-2033 qui a eu</w:t>
            </w:r>
          </w:p>
        </w:tc>
      </w:tr>
      <w:tr>
        <w:tc>
          <w:tcPr>
            <w:tcW w:type="dxa" w:w="8640"/>
            <w:gridSpan w:val="5"/>
          </w:tcPr>
          <w:p>
            <w:r>
              <w:rPr>
                <w:color w:val="505050"/>
                <w:sz w:val="14"/>
              </w:rPr>
              <w:t xml:space="preserve">  → Première cotation réussie des obligations TPTG 6,50% 2026-2031 et TPTG 6,70% 2026-2033 le 23 avril 2026 | Prix de cotation fixé à 10 000 FCFA par obligation pour les deux émissions | Volume d'échange de 100 titres pour chaque valeur, soit une valeur totale échangée de 2 millions FCFA</w:t>
            </w:r>
          </w:p>
        </w:tc>
      </w:tr>
      <w:tr>
        <w:tc>
          <w:tcPr>
            <w:tcW w:type="dxa" w:w="1728"/>
          </w:tcPr>
          <w:p>
            <w:r>
              <w:rPr>
                <w:sz w:val="15"/>
              </w:rPr>
              <w:t>24/04/2026</w:t>
            </w:r>
          </w:p>
        </w:tc>
        <w:tc>
          <w:tcPr>
            <w:tcW w:type="dxa" w:w="1728"/>
          </w:tcPr>
          <w:p>
            <w:r>
              <w:rPr>
                <w:sz w:val="15"/>
              </w:rPr>
              <w:t>FCTC CROISSA</w:t>
            </w:r>
          </w:p>
        </w:tc>
        <w:tc>
          <w:tcPr>
            <w:tcW w:type="dxa" w:w="1728"/>
          </w:tcPr>
          <w:p>
            <w:r>
              <w:rPr>
                <w:sz w:val="15"/>
              </w:rPr>
              <w:t>20260423   avis ndeg107 brvmdg   premiere cotation</w:t>
            </w:r>
          </w:p>
        </w:tc>
        <w:tc>
          <w:tcPr>
            <w:tcW w:type="dxa" w:w="1728"/>
          </w:tcPr>
          <w:p>
            <w:r>
              <w:rPr>
                <w:b/>
                <w:color w:val="008000"/>
                <w:sz w:val="15"/>
              </w:rPr>
              <w:t>🟢 +</w:t>
            </w:r>
          </w:p>
        </w:tc>
        <w:tc>
          <w:tcPr>
            <w:tcW w:type="dxa" w:w="1728"/>
          </w:tcPr>
          <w:p>
            <w:r>
              <w:rPr>
                <w:sz w:val="15"/>
              </w:rPr>
              <w:t>La BRVM annonce la première cotation des obligations « FCTC CROISSANCE AGRICOLE 8 % 2025-2032 » et « FCTC CROISSANCE AGR</w:t>
            </w:r>
          </w:p>
        </w:tc>
      </w:tr>
      <w:tr>
        <w:tc>
          <w:tcPr>
            <w:tcW w:type="dxa" w:w="8640"/>
            <w:gridSpan w:val="5"/>
          </w:tcPr>
          <w:p>
            <w:r>
              <w:rPr>
                <w:color w:val="505050"/>
                <w:sz w:val="14"/>
              </w:rPr>
              <w:t xml:space="preserve">  → Première cotation des obligations FCTC CROISSANCE AGRICOLE (8% et 9%) prévue le 5 mai 2026 | Montant total de l'émission : 80 milliards FCFA (6 millions d'obligations à 8% et 2 millions à 9%) | Cours de référence fixé à 9 286 FCFA par obligation pour l'introduction en bourse</w:t>
            </w:r>
          </w:p>
        </w:tc>
      </w:tr>
    </w:tbl>
    <w:p/>
    <w:p>
      <w:pPr>
        <w:pStyle w:val="Heading3"/>
      </w:pPr>
      <w:r>
        <w:t>📢 Communiqués de presse (3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31/12/2025</w:t>
            </w:r>
          </w:p>
        </w:tc>
        <w:tc>
          <w:tcPr>
            <w:tcW w:type="dxa" w:w="1728"/>
          </w:tcPr>
          <w:p>
            <w:r>
              <w:rPr>
                <w:sz w:val="15"/>
              </w:rPr>
              <w:t>Loterie Nati</w:t>
            </w:r>
          </w:p>
        </w:tc>
        <w:tc>
          <w:tcPr>
            <w:tcW w:type="dxa" w:w="1728"/>
          </w:tcPr>
          <w:p>
            <w:r>
              <w:rPr>
                <w:sz w:val="15"/>
              </w:rPr>
              <w:t xml:space="preserve">20251231   communique profit warning lnb sa 30 12 </w:t>
            </w:r>
          </w:p>
        </w:tc>
        <w:tc>
          <w:tcPr>
            <w:tcW w:type="dxa" w:w="1728"/>
          </w:tcPr>
          <w:p>
            <w:r>
              <w:rPr>
                <w:b/>
                <w:sz w:val="15"/>
              </w:rPr>
              <w:t>⚪ =</w:t>
            </w:r>
          </w:p>
        </w:tc>
        <w:tc>
          <w:tcPr>
            <w:tcW w:type="dxa" w:w="1728"/>
          </w:tcPr>
          <w:p>
            <w:r>
              <w:rPr>
                <w:sz w:val="15"/>
              </w:rPr>
              <w:t>La Loterie Nationale du Bénin SA émet un avertissement sur résultats pour 2025, anticipant une baisse de 8% du chiffre d</w:t>
            </w:r>
          </w:p>
        </w:tc>
      </w:tr>
      <w:tr>
        <w:tc>
          <w:tcPr>
            <w:tcW w:type="dxa" w:w="8640"/>
            <w:gridSpan w:val="5"/>
          </w:tcPr>
          <w:p>
            <w:r>
              <w:rPr>
                <w:color w:val="505050"/>
                <w:sz w:val="14"/>
              </w:rPr>
              <w:t xml:space="preserve">  → Chiffre d'affaires prévu en baisse de 8% par rapport à 2024 | Résultat net attendu en recul de 47% par rapport à l'exercice précédent | Résultat net positif estimé à environ 3 782 millions FCFA au 31 décembre 2025</w:t>
            </w:r>
          </w:p>
        </w:tc>
      </w:tr>
      <w:tr>
        <w:tc>
          <w:tcPr>
            <w:tcW w:type="dxa" w:w="1728"/>
          </w:tcPr>
          <w:p>
            <w:r>
              <w:rPr>
                <w:sz w:val="15"/>
              </w:rPr>
              <w:t>28/11/2025</w:t>
            </w:r>
          </w:p>
        </w:tc>
        <w:tc>
          <w:tcPr>
            <w:tcW w:type="dxa" w:w="1728"/>
          </w:tcPr>
          <w:p>
            <w:r>
              <w:rPr>
                <w:sz w:val="15"/>
              </w:rPr>
              <w:t xml:space="preserve">AIR LIQUIDE </w:t>
            </w:r>
          </w:p>
        </w:tc>
        <w:tc>
          <w:tcPr>
            <w:tcW w:type="dxa" w:w="1728"/>
          </w:tcPr>
          <w:p>
            <w:r>
              <w:rPr>
                <w:sz w:val="15"/>
              </w:rPr>
              <w:t>20251127   communique   changement de denomination</w:t>
            </w:r>
          </w:p>
        </w:tc>
        <w:tc>
          <w:tcPr>
            <w:tcW w:type="dxa" w:w="1728"/>
          </w:tcPr>
          <w:p>
            <w:r>
              <w:rPr>
                <w:b/>
                <w:sz w:val="15"/>
              </w:rPr>
              <w:t>⚪ =</w:t>
            </w:r>
          </w:p>
        </w:tc>
        <w:tc>
          <w:tcPr>
            <w:tcW w:type="dxa" w:w="1728"/>
          </w:tcPr>
          <w:p>
            <w:r>
              <w:rPr>
                <w:sz w:val="15"/>
              </w:rPr>
              <w:t>L'assemblée générale mixte d'AIR LIQUIDE COTE D'IVOIRE a voté le 22 juillet 2024 le changement de dénomination sociale d</w:t>
            </w:r>
          </w:p>
        </w:tc>
      </w:tr>
      <w:tr>
        <w:tc>
          <w:tcPr>
            <w:tcW w:type="dxa" w:w="8640"/>
            <w:gridSpan w:val="5"/>
          </w:tcPr>
          <w:p>
            <w:r>
              <w:rPr>
                <w:color w:val="505050"/>
                <w:sz w:val="14"/>
              </w:rPr>
              <w:t xml:space="preserve">  → Changement de dénomination sociale d'AIR LIQUIDE COTE D'IVOIRE vers ERIUM COTE D'IVOIRE | Vote à quasi-unanimité lors de l'assemblée générale mixte du 22 juillet 2024 | Adoption d'une nouvelle identité visuelle avec le logo Erium</w:t>
            </w:r>
          </w:p>
        </w:tc>
      </w:tr>
      <w:tr>
        <w:tc>
          <w:tcPr>
            <w:tcW w:type="dxa" w:w="1728"/>
          </w:tcPr>
          <w:p>
            <w:r>
              <w:rPr>
                <w:sz w:val="15"/>
              </w:rPr>
              <w:t>28/01/2026</w:t>
            </w:r>
          </w:p>
        </w:tc>
        <w:tc>
          <w:tcPr>
            <w:tcW w:type="dxa" w:w="1728"/>
          </w:tcPr>
          <w:p>
            <w:r>
              <w:rPr>
                <w:sz w:val="15"/>
              </w:rPr>
              <w:t>SOCIETE AFRI</w:t>
            </w:r>
          </w:p>
        </w:tc>
        <w:tc>
          <w:tcPr>
            <w:tcW w:type="dxa" w:w="1728"/>
          </w:tcPr>
          <w:p>
            <w:r>
              <w:rPr>
                <w:sz w:val="15"/>
              </w:rPr>
              <w:t>20260128   communique   saph ci</w:t>
            </w:r>
          </w:p>
        </w:tc>
        <w:tc>
          <w:tcPr>
            <w:tcW w:type="dxa" w:w="1728"/>
          </w:tcPr>
          <w:p>
            <w:r>
              <w:rPr>
                <w:b/>
                <w:color w:val="008000"/>
                <w:sz w:val="15"/>
              </w:rPr>
              <w:t>🟢 +</w:t>
            </w:r>
          </w:p>
        </w:tc>
        <w:tc>
          <w:tcPr>
            <w:tcW w:type="dxa" w:w="1728"/>
          </w:tcPr>
          <w:p>
            <w:r>
              <w:rPr>
                <w:sz w:val="15"/>
              </w:rPr>
              <w:t>SAPH annonce l'acquisition des parts sociales de la Société Civile Agricole du Sud-Ouest (SCASO) pour renforcer sa posit</w:t>
            </w:r>
          </w:p>
        </w:tc>
      </w:tr>
      <w:tr>
        <w:tc>
          <w:tcPr>
            <w:tcW w:type="dxa" w:w="8640"/>
            <w:gridSpan w:val="5"/>
          </w:tcPr>
          <w:p>
            <w:r>
              <w:rPr>
                <w:color w:val="505050"/>
                <w:sz w:val="14"/>
              </w:rPr>
              <w:t xml:space="preserve">  → Acquisition des parts sociales de la SCASO dans le cadre de la stratégie de croissance agricole | SCASO possède une concession de 2.871 hectares dont 1.500 hectares plantés en hévéas | Site SCASO limitrophe du site SAPH de Rapides Grah permettant une synergie géographique</w:t>
            </w:r>
          </w:p>
        </w:tc>
      </w:tr>
    </w:tbl>
    <w:p/>
    <w:p>
      <w:pPr>
        <w:pStyle w:val="Heading3"/>
      </w:pPr>
      <w:r>
        <w:t>💰 Dividendes (4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31/07/2026</w:t>
            </w:r>
          </w:p>
        </w:tc>
        <w:tc>
          <w:tcPr>
            <w:tcW w:type="dxa" w:w="1728"/>
          </w:tcPr>
          <w:p>
            <w:r>
              <w:rPr>
                <w:sz w:val="15"/>
              </w:rPr>
              <w:t>BRVM</w:t>
            </w:r>
          </w:p>
        </w:tc>
        <w:tc>
          <w:tcPr>
            <w:tcW w:type="dxa" w:w="1728"/>
          </w:tcPr>
          <w:p>
            <w:r>
              <w:rPr>
                <w:sz w:val="15"/>
              </w:rPr>
              <w:t xml:space="preserve">20260730   calendrier de paiement des dividendes  </w:t>
            </w:r>
          </w:p>
        </w:tc>
        <w:tc>
          <w:tcPr>
            <w:tcW w:type="dxa" w:w="1728"/>
          </w:tcPr>
          <w:p>
            <w:r>
              <w:rPr>
                <w:b/>
                <w:sz w:val="15"/>
              </w:rPr>
              <w:t>⚪ =</w:t>
            </w:r>
          </w:p>
        </w:tc>
        <w:tc>
          <w:tcPr>
            <w:tcW w:type="dxa" w:w="1728"/>
          </w:tcPr>
          <w:p>
            <w:r>
              <w:rPr>
                <w:sz w:val="15"/>
              </w:rPr>
              <w:t>La BRVM publie le calendrier de paiement des dividendes au titre de l'exercice 2025. Les paiements s'échelonnent du 23 a</w:t>
            </w:r>
          </w:p>
        </w:tc>
      </w:tr>
      <w:tr>
        <w:tc>
          <w:tcPr>
            <w:tcW w:type="dxa" w:w="8640"/>
            <w:gridSpan w:val="5"/>
          </w:tcPr>
          <w:p>
            <w:r>
              <w:rPr>
                <w:color w:val="505050"/>
                <w:sz w:val="14"/>
              </w:rPr>
              <w:t xml:space="preserve">  → Le calendrier couvre les dividendes de l'exercice 2025 pour plus de 20 sociétés cotées. | Les paiements débutent le 23 avril 2026 avec BOA Burkina Faso et se terminent le 14 août 2026 avec CFAO Motors CI. | Les montants nets par action varient de 0,9184 FCFA (Ecobank Transnational Incorporated TG) à 1 940 FCFA (SITAB CI).</w:t>
            </w:r>
          </w:p>
        </w:tc>
      </w:tr>
      <w:tr>
        <w:tc>
          <w:tcPr>
            <w:tcW w:type="dxa" w:w="1728"/>
          </w:tcPr>
          <w:p>
            <w:r>
              <w:rPr>
                <w:sz w:val="15"/>
              </w:rPr>
              <w:t>27/05/2026</w:t>
            </w:r>
          </w:p>
        </w:tc>
        <w:tc>
          <w:tcPr>
            <w:tcW w:type="dxa" w:w="1728"/>
          </w:tcPr>
          <w:p>
            <w:r>
              <w:rPr>
                <w:sz w:val="15"/>
              </w:rPr>
              <w:t>Multiples so</w:t>
            </w:r>
          </w:p>
        </w:tc>
        <w:tc>
          <w:tcPr>
            <w:tcW w:type="dxa" w:w="1728"/>
          </w:tcPr>
          <w:p>
            <w:r>
              <w:rPr>
                <w:sz w:val="15"/>
              </w:rPr>
              <w:t xml:space="preserve">20260526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26 mai 2026. Le document prése</w:t>
            </w:r>
          </w:p>
        </w:tc>
      </w:tr>
      <w:tr>
        <w:tc>
          <w:tcPr>
            <w:tcW w:type="dxa" w:w="8640"/>
            <w:gridSpan w:val="5"/>
          </w:tcPr>
          <w:p>
            <w:r>
              <w:rPr>
                <w:color w:val="505050"/>
                <w:sz w:val="14"/>
              </w:rPr>
              <w:t xml:space="preserve">  → SONATEL SENEGAL offre le dividende le plus élevé à 1 740 FCFA par action | BOA CÔTE D'IVOIRE distribue 594,528 FCFA par action avec paiement le 06/05/2026 | ECOBANK CI et ORANGE CI versent des dividendes bruts soumis à l'IRVM de 12% (personnes physiques) et 10% (personnes morales)</w:t>
            </w:r>
          </w:p>
        </w:tc>
      </w:tr>
      <w:tr>
        <w:tc>
          <w:tcPr>
            <w:tcW w:type="dxa" w:w="1728"/>
          </w:tcPr>
          <w:p>
            <w:r>
              <w:rPr>
                <w:sz w:val="15"/>
              </w:rPr>
              <w:t>24/05/2026</w:t>
            </w:r>
          </w:p>
        </w:tc>
        <w:tc>
          <w:tcPr>
            <w:tcW w:type="dxa" w:w="1728"/>
          </w:tcPr>
          <w:p>
            <w:r>
              <w:rPr>
                <w:sz w:val="15"/>
              </w:rPr>
              <w:t>BRVM</w:t>
            </w:r>
          </w:p>
        </w:tc>
        <w:tc>
          <w:tcPr>
            <w:tcW w:type="dxa" w:w="1728"/>
          </w:tcPr>
          <w:p>
            <w:r>
              <w:rPr>
                <w:sz w:val="15"/>
              </w:rPr>
              <w:t xml:space="preserve">20260522   calendrier de paiement des dividendes  </w:t>
            </w:r>
          </w:p>
        </w:tc>
        <w:tc>
          <w:tcPr>
            <w:tcW w:type="dxa" w:w="1728"/>
          </w:tcPr>
          <w:p>
            <w:r>
              <w:rPr>
                <w:b/>
                <w:color w:val="008000"/>
                <w:sz w:val="15"/>
              </w:rPr>
              <w:t>🟢 +</w:t>
            </w:r>
          </w:p>
        </w:tc>
        <w:tc>
          <w:tcPr>
            <w:tcW w:type="dxa" w:w="1728"/>
          </w:tcPr>
          <w:p>
            <w:r>
              <w:rPr>
                <w:sz w:val="15"/>
              </w:rPr>
              <w:t>Calendrier officiel de paiement des dividendes pour l'exercice 2025 publié par la BRVM le 22 mai 2026. Le document prése</w:t>
            </w:r>
          </w:p>
        </w:tc>
      </w:tr>
      <w:tr>
        <w:tc>
          <w:tcPr>
            <w:tcW w:type="dxa" w:w="8640"/>
            <w:gridSpan w:val="5"/>
          </w:tcPr>
          <w:p>
            <w:r>
              <w:rPr>
                <w:color w:val="505050"/>
                <w:sz w:val="14"/>
              </w:rPr>
              <w:t xml:space="preserve">  → SONATEL SENEGAL offre le dividende le plus élevé avec 1 740 FCFA par action | Les dates de paiement s'échelonnent du 23 avril au 15 juin 2026 | ECOBANK CI et ORANGE CI versent des dividendes bruts soumis à l'IRVM (12% personnes physiques, 10% personnes morales)</w:t>
            </w:r>
          </w:p>
        </w:tc>
      </w:tr>
      <w:tr>
        <w:tc>
          <w:tcPr>
            <w:tcW w:type="dxa" w:w="1728"/>
          </w:tcPr>
          <w:p>
            <w:r>
              <w:rPr>
                <w:sz w:val="15"/>
              </w:rPr>
              <w:t>24/04/2026</w:t>
            </w:r>
          </w:p>
        </w:tc>
        <w:tc>
          <w:tcPr>
            <w:tcW w:type="dxa" w:w="1728"/>
          </w:tcPr>
          <w:p>
            <w:r>
              <w:rPr>
                <w:sz w:val="15"/>
              </w:rPr>
              <w:t xml:space="preserve">BOA BURKINA </w:t>
            </w:r>
          </w:p>
        </w:tc>
        <w:tc>
          <w:tcPr>
            <w:tcW w:type="dxa" w:w="1728"/>
          </w:tcPr>
          <w:p>
            <w:r>
              <w:rPr>
                <w:sz w:val="15"/>
              </w:rPr>
              <w:t xml:space="preserve">20260423   calendrier de paiement des dividendes  </w:t>
            </w:r>
          </w:p>
        </w:tc>
        <w:tc>
          <w:tcPr>
            <w:tcW w:type="dxa" w:w="1728"/>
          </w:tcPr>
          <w:p>
            <w:r>
              <w:rPr>
                <w:b/>
                <w:color w:val="008000"/>
                <w:sz w:val="15"/>
              </w:rPr>
              <w:t>🟢 +</w:t>
            </w:r>
          </w:p>
        </w:tc>
        <w:tc>
          <w:tcPr>
            <w:tcW w:type="dxa" w:w="1728"/>
          </w:tcPr>
          <w:p>
            <w:r>
              <w:rPr>
                <w:sz w:val="15"/>
              </w:rPr>
              <w:t>Calendrier de paiement des dividendes de la BRVM pour l'exercice 2025, publié le 23 avril 2026. Le document présente les</w:t>
            </w:r>
          </w:p>
        </w:tc>
      </w:tr>
      <w:tr>
        <w:tc>
          <w:tcPr>
            <w:tcW w:type="dxa" w:w="8640"/>
            <w:gridSpan w:val="5"/>
          </w:tcPr>
          <w:p>
            <w:r>
              <w:rPr>
                <w:color w:val="505050"/>
                <w:sz w:val="14"/>
              </w:rPr>
              <w:t xml:space="preserve">  → BOA Burkina Faso verse un dividende net de 397 FCFA par action avec paiement le 23/04/2026 | BOA Côte d'Ivoire distribue le dividende le plus élevé à 594,528 FCFA par action, payable le 06/05/2026 | Sonatel Sénégal offre le dividende le plus important à 1 740 FCFA par action avec paiement le 26/04/2026</w:t>
            </w:r>
          </w:p>
        </w:tc>
      </w:tr>
    </w:tbl>
    <w:p/>
    <w:p>
      <w:pPr>
        <w:pStyle w:val="Heading3"/>
      </w:pPr>
      <w:r>
        <w:t>📊 Résultats financiers (2 document(s))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Date</w:t>
            </w:r>
          </w:p>
        </w:tc>
        <w:tc>
          <w:tcPr>
            <w:tcW w:type="dxa" w:w="1728"/>
            <w:shd w:fill="1F4E79" w:val="clear"/>
          </w:tcPr>
          <w:p>
            <w:r>
              <w:rPr>
                <w:b/>
                <w:color w:val="FFFFFF"/>
                <w:sz w:val="16"/>
              </w:rPr>
              <w:t>Société</w:t>
            </w:r>
          </w:p>
        </w:tc>
        <w:tc>
          <w:tcPr>
            <w:tcW w:type="dxa" w:w="1728"/>
            <w:shd w:fill="1F4E79" w:val="clear"/>
          </w:tcPr>
          <w:p>
            <w:r>
              <w:rPr>
                <w:b/>
                <w:color w:val="FFFFFF"/>
                <w:sz w:val="16"/>
              </w:rPr>
              <w:t>Titre</w:t>
            </w:r>
          </w:p>
        </w:tc>
        <w:tc>
          <w:tcPr>
            <w:tcW w:type="dxa" w:w="1728"/>
            <w:shd w:fill="1F4E79" w:val="clear"/>
          </w:tcPr>
          <w:p>
            <w:r>
              <w:rPr>
                <w:b/>
                <w:color w:val="FFFFFF"/>
                <w:sz w:val="16"/>
              </w:rPr>
              <w:t>Impact</w:t>
            </w:r>
          </w:p>
        </w:tc>
        <w:tc>
          <w:tcPr>
            <w:tcW w:type="dxa" w:w="1728"/>
            <w:shd w:fill="1F4E79" w:val="clear"/>
          </w:tcPr>
          <w:p>
            <w:r>
              <w:rPr>
                <w:b/>
                <w:color w:val="FFFFFF"/>
                <w:sz w:val="16"/>
              </w:rPr>
              <w:t>Résumé</w:t>
            </w:r>
          </w:p>
        </w:tc>
      </w:tr>
      <w:tr>
        <w:tc>
          <w:tcPr>
            <w:tcW w:type="dxa" w:w="1728"/>
          </w:tcPr>
          <w:p>
            <w:r>
              <w:rPr>
                <w:sz w:val="15"/>
              </w:rPr>
              <w:t>29/04/2026</w:t>
            </w:r>
          </w:p>
        </w:tc>
        <w:tc>
          <w:tcPr>
            <w:tcW w:type="dxa" w:w="1728"/>
          </w:tcPr>
          <w:p>
            <w:r>
              <w:rPr>
                <w:sz w:val="15"/>
              </w:rPr>
              <w:t>BANK OF AFRI</w:t>
            </w:r>
          </w:p>
        </w:tc>
        <w:tc>
          <w:tcPr>
            <w:tcW w:type="dxa" w:w="1728"/>
          </w:tcPr>
          <w:p>
            <w:r>
              <w:rPr>
                <w:sz w:val="15"/>
              </w:rPr>
              <w:t>20260429   communique de presse   boa ng</w:t>
            </w:r>
          </w:p>
        </w:tc>
        <w:tc>
          <w:tcPr>
            <w:tcW w:type="dxa" w:w="1728"/>
          </w:tcPr>
          <w:p>
            <w:r>
              <w:rPr>
                <w:b/>
                <w:sz w:val="15"/>
              </w:rPr>
              <w:t>⚪ =</w:t>
            </w:r>
          </w:p>
        </w:tc>
        <w:tc>
          <w:tcPr>
            <w:tcW w:type="dxa" w:w="1728"/>
          </w:tcPr>
          <w:p>
            <w:r>
              <w:rPr>
                <w:sz w:val="15"/>
              </w:rPr>
              <w:t>BOA-NIGER annonce ses résultats financiers pour l'exercice 2025, marqués par une forte chute du résultat net de -92% à 4</w:t>
            </w:r>
          </w:p>
        </w:tc>
      </w:tr>
      <w:tr>
        <w:tc>
          <w:tcPr>
            <w:tcW w:type="dxa" w:w="8640"/>
            <w:gridSpan w:val="5"/>
          </w:tcPr>
          <w:p>
            <w:r>
              <w:rPr>
                <w:color w:val="505050"/>
                <w:sz w:val="14"/>
              </w:rPr>
              <w:t xml:space="preserve">  → Résultat net en chute de -92% à 409 millions FCFA en 2025 contre 5,002 milliards en 2024 | Dépôts en progression de +4% à 189,9 milliards FCFA, surperformant le secteur (+1%) | Contraction volontaire des crédits de -21% à 128,4 milliards FCFA dans une logique de gestion prudente</w:t>
            </w:r>
          </w:p>
        </w:tc>
      </w:tr>
      <w:tr>
        <w:tc>
          <w:tcPr>
            <w:tcW w:type="dxa" w:w="1728"/>
          </w:tcPr>
          <w:p>
            <w:r>
              <w:rPr>
                <w:sz w:val="15"/>
              </w:rPr>
              <w:t>27/07/2026</w:t>
            </w:r>
          </w:p>
        </w:tc>
        <w:tc>
          <w:tcPr>
            <w:tcW w:type="dxa" w:w="1728"/>
          </w:tcPr>
          <w:p>
            <w:r>
              <w:rPr>
                <w:sz w:val="15"/>
              </w:rPr>
              <w:t>Groupe Sonat</w:t>
            </w:r>
          </w:p>
        </w:tc>
        <w:tc>
          <w:tcPr>
            <w:tcW w:type="dxa" w:w="1728"/>
          </w:tcPr>
          <w:p>
            <w:r>
              <w:rPr>
                <w:sz w:val="15"/>
              </w:rPr>
              <w:t>20260724   communique de presse   sonatel sn 0</w:t>
            </w:r>
          </w:p>
        </w:tc>
        <w:tc>
          <w:tcPr>
            <w:tcW w:type="dxa" w:w="1728"/>
          </w:tcPr>
          <w:p>
            <w:r>
              <w:rPr>
                <w:b/>
                <w:color w:val="008000"/>
                <w:sz w:val="15"/>
              </w:rPr>
              <w:t>🟢 +</w:t>
            </w:r>
          </w:p>
        </w:tc>
        <w:tc>
          <w:tcPr>
            <w:tcW w:type="dxa" w:w="1728"/>
          </w:tcPr>
          <w:p>
            <w:r>
              <w:rPr>
                <w:sz w:val="15"/>
              </w:rPr>
              <w:t>Le Groupe Sonatel publie ses résultats consolidés du premier semestre 2026, avec un chiffre d'affaires en hausse de 9,3%</w:t>
            </w:r>
          </w:p>
        </w:tc>
      </w:tr>
      <w:tr>
        <w:tc>
          <w:tcPr>
            <w:tcW w:type="dxa" w:w="8640"/>
            <w:gridSpan w:val="5"/>
          </w:tcPr>
          <w:p>
            <w:r>
              <w:rPr>
                <w:color w:val="505050"/>
                <w:sz w:val="14"/>
              </w:rPr>
              <w:t xml:space="preserve">  → Chiffre d'affaires S1 2026: 1 049,8 milliards FCFA, +9,3%. | EBITDAAL en hausse de 11,6% à 510,8 milliards FCFA, représentant 48,7% du chiffre d'affaires. | Résultat net en hausse de 10,5% à 230 milliards FCFA.</w:t>
            </w:r>
          </w:p>
        </w:tc>
      </w:tr>
    </w:tbl>
    <w:p/>
    <w:p/>
    <w:p>
      <w:pPr>
        <w:pStyle w:val="Heading2"/>
      </w:pPr>
      <w:r>
        <w:t>🔔 B — Alertes Google &amp; actualités financières</w:t>
      </w:r>
    </w:p>
    <w:p>
      <w:pPr>
        <w:spacing w:before="120" w:after="40"/>
      </w:pPr>
      <w:r>
        <w:rPr>
          <w:b/>
          <w:color w:val="00467F"/>
          <w:sz w:val="20"/>
        </w:rPr>
        <w:t>🔑 politique_monetaire  (4 alerte(s))</w:t>
      </w:r>
    </w:p>
    <w:p>
      <w:pPr>
        <w:spacing w:before="40" w:after="40"/>
        <w:ind w:left="360"/>
      </w:pPr>
      <w:r>
        <w:rPr>
          <w:color w:val="646464"/>
          <w:sz w:val="17"/>
        </w:rPr>
        <w:t xml:space="preserve">[28/08/2026] 🔴  </w:t>
      </w:r>
      <w:r>
        <w:rPr>
          <w:b/>
          <w:color w:val="C00000"/>
          <w:sz w:val="18"/>
        </w:rPr>
        <w:t>Le patron de la Fed insiste sur l'inflation "préoccupante" aux Etats-Unis - La Libre.be</w:t>
      </w:r>
      <w:r>
        <w:rPr>
          <w:color w:val="787878"/>
          <w:sz w:val="15"/>
        </w:rPr>
        <w:t xml:space="preserve">  [politique_monetaire]</w:t>
      </w:r>
      <w:r>
        <w:rPr>
          <w:color w:val="B47800"/>
          <w:sz w:val="16"/>
        </w:rPr>
        <w:t xml:space="preserve">  ★ 50/10</w:t>
      </w:r>
    </w:p>
    <w:p>
      <w:pPr>
        <w:spacing w:before="0" w:after="20"/>
        <w:ind w:left="600"/>
      </w:pPr>
      <w:r>
        <w:rPr>
          <w:color w:val="323232"/>
          <w:sz w:val="17"/>
        </w:rPr>
        <w:t>Le président de la Réserve fédérale américaine (Fed) a exprimé son inquiétude face à une inflation toujours élevée aux États-Unis, ce qui pourrait conduire à un maintien prolongé des taux d'intérêt élevés. Cette situation pourrait renforcer le dollar et peser sur les marchés émergents, y compris ceux de la zone UEMOA. Les investisseurs de la BRVM d</w:t>
      </w:r>
    </w:p>
    <w:p>
      <w:pPr>
        <w:spacing w:before="0" w:after="40"/>
        <w:ind w:left="600"/>
      </w:pPr>
      <w:r>
        <w:rPr>
          <w:color w:val="00643C"/>
          <w:sz w:val="16"/>
        </w:rPr>
        <w:t>Points clés : Inflation américaine jugée préoccupante par le patron de la Fed.  •  Possible maintien de taux d'intérêt élevés aux États-Unis.  •  Impact potentiel sur les devises et les marchés émergents.</w:t>
      </w:r>
    </w:p>
    <w:p>
      <w:pPr>
        <w:spacing w:before="0" w:after="60"/>
        <w:ind w:left="600"/>
      </w:pPr>
      <w:r>
        <w:rPr>
          <w:color w:val="0064B4"/>
          <w:sz w:val="15"/>
        </w:rPr>
        <w:t>Source : https://news.google.com/rss/articles/CBMi6AFBVV95cUxPTzlTZ2NEN2JQaUY5TnJuVnRUY0Z</w:t>
      </w:r>
    </w:p>
    <w:p>
      <w:pPr>
        <w:spacing w:before="40" w:after="40"/>
        <w:ind w:left="360"/>
      </w:pPr>
      <w:r>
        <w:rPr>
          <w:color w:val="646464"/>
          <w:sz w:val="17"/>
        </w:rPr>
        <w:t xml:space="preserve">[27/08/2026] ⚪  </w:t>
      </w:r>
      <w:r>
        <w:rPr>
          <w:b/>
          <w:color w:val="505050"/>
          <w:sz w:val="18"/>
        </w:rPr>
        <w:t>BCE: Une nouvelle hausse des taux est probable pour freiner l'inflation - Boursorama</w:t>
      </w:r>
      <w:r>
        <w:rPr>
          <w:color w:val="787878"/>
          <w:sz w:val="15"/>
        </w:rPr>
        <w:t xml:space="preserve">  [politique_monetaire]</w:t>
      </w:r>
      <w:r>
        <w:rPr>
          <w:color w:val="B47800"/>
          <w:sz w:val="16"/>
        </w:rPr>
        <w:t xml:space="preserve">  ★ 50/10</w:t>
      </w:r>
    </w:p>
    <w:p>
      <w:pPr>
        <w:spacing w:before="0" w:after="20"/>
        <w:ind w:left="600"/>
      </w:pPr>
      <w:r>
        <w:rPr>
          <w:color w:val="323232"/>
          <w:sz w:val="17"/>
        </w:rPr>
        <w:t>La Banque centrale européenne (BCE) envisage une nouvelle hausse de ses taux directeurs afin de freiner l'inflation persistante dans la zone euro. Cette décision, bien que non encore officielle, est jugée probable par les analystes et les marchés. Elle vise à resserrer davantage la politique monétaire pour ramener l'inflation vers l'objectif de 2%.</w:t>
      </w:r>
    </w:p>
    <w:p>
      <w:pPr>
        <w:spacing w:before="0" w:after="40"/>
        <w:ind w:left="600"/>
      </w:pPr>
      <w:r>
        <w:rPr>
          <w:color w:val="00643C"/>
          <w:sz w:val="16"/>
        </w:rPr>
        <w:t>Points clés : La BCE pourrait augmenter ses taux d'intérêt lors de sa prochaine réunion.  •  L'objectif principal est de lutter contre une inflation toujours élevée dans la zone euro.  •  Cette hausse s'inscrit dans une politique monétaire restrictive déjà en cours.  •  Les marchés financiers anticipent cette décision, ce qui influence les taux d'intérêt à long terme.</w:t>
      </w:r>
    </w:p>
    <w:p>
      <w:pPr>
        <w:spacing w:before="0" w:after="60"/>
        <w:ind w:left="600"/>
      </w:pPr>
      <w:r>
        <w:rPr>
          <w:color w:val="0064B4"/>
          <w:sz w:val="15"/>
        </w:rPr>
        <w:t>Source : https://news.google.com/rss/articles/CBMi4gFBVV95cUxQSVY3dWJ5eUtJTUlnLWlrVGs2Qzl</w:t>
      </w:r>
    </w:p>
    <w:p>
      <w:pPr>
        <w:spacing w:before="40" w:after="40"/>
        <w:ind w:left="360"/>
      </w:pPr>
      <w:r>
        <w:rPr>
          <w:color w:val="646464"/>
          <w:sz w:val="17"/>
        </w:rPr>
        <w:t xml:space="preserve">[27/08/2026] ⚪  </w:t>
      </w:r>
      <w:r>
        <w:rPr>
          <w:b/>
          <w:color w:val="505050"/>
          <w:sz w:val="18"/>
        </w:rPr>
        <w:t>BCE-Une nouvelle hausse des taux est probable pour freiner l'inflation - compte-rendu - Boursorama</w:t>
      </w:r>
      <w:r>
        <w:rPr>
          <w:color w:val="787878"/>
          <w:sz w:val="15"/>
        </w:rPr>
        <w:t xml:space="preserve">  [politique_monetaire]</w:t>
      </w:r>
      <w:r>
        <w:rPr>
          <w:color w:val="B47800"/>
          <w:sz w:val="16"/>
        </w:rPr>
        <w:t xml:space="preserve">  ★ 50/10</w:t>
      </w:r>
    </w:p>
    <w:p>
      <w:pPr>
        <w:spacing w:before="0" w:after="20"/>
        <w:ind w:left="600"/>
      </w:pPr>
      <w:r>
        <w:rPr>
          <w:color w:val="323232"/>
          <w:sz w:val="17"/>
        </w:rPr>
        <w:t>La Banque centrale européenne (BCE) envisage une nouvelle hausse de ses taux d'intérêt afin de freiner l'inflation persistante, selon un compte-rendu. Cette décision, bien que non encore officielle, reflète une orientation monétaire restrictive. Elle pourrait avoir des répercussions sur les marchés financiers mondiaux, y compris ceux de la zone UEM</w:t>
      </w:r>
    </w:p>
    <w:p>
      <w:pPr>
        <w:spacing w:before="0" w:after="40"/>
        <w:ind w:left="600"/>
      </w:pPr>
      <w:r>
        <w:rPr>
          <w:color w:val="00643C"/>
          <w:sz w:val="16"/>
        </w:rPr>
        <w:t>Points clés : La BCE pourrait augmenter ses taux pour lutter contre l'inflation.  •  Cette politique monétaire restrictive pourrait affecter les flux de capitaux vers les marchés émergents.</w:t>
      </w:r>
    </w:p>
    <w:p>
      <w:pPr>
        <w:spacing w:before="0" w:after="60"/>
        <w:ind w:left="600"/>
      </w:pPr>
      <w:r>
        <w:rPr>
          <w:color w:val="0064B4"/>
          <w:sz w:val="15"/>
        </w:rPr>
        <w:t>Source : https://news.google.com/rss/articles/CBMiiwJBVV95cUxQajR0aDVBN2Q4a2VYR09wdXZ2cWF</w:t>
      </w:r>
    </w:p>
    <w:p>
      <w:pPr>
        <w:spacing w:before="40" w:after="40"/>
        <w:ind w:left="360"/>
      </w:pPr>
      <w:r>
        <w:rPr>
          <w:color w:val="646464"/>
          <w:sz w:val="17"/>
        </w:rPr>
        <w:t xml:space="preserve">[26/08/2026] ⚪  </w:t>
      </w:r>
      <w:r>
        <w:rPr>
          <w:b/>
          <w:color w:val="505050"/>
          <w:sz w:val="18"/>
        </w:rPr>
        <w:t>La BCE pourrait relever ses taux d'intérêt en septembre. - Vietnam.vn</w:t>
      </w:r>
      <w:r>
        <w:rPr>
          <w:color w:val="787878"/>
          <w:sz w:val="15"/>
        </w:rPr>
        <w:t xml:space="preserve">  [politique_monetaire]</w:t>
      </w:r>
      <w:r>
        <w:rPr>
          <w:color w:val="B47800"/>
          <w:sz w:val="16"/>
        </w:rPr>
        <w:t xml:space="preserve">  ★ 50/10</w:t>
      </w:r>
    </w:p>
    <w:p>
      <w:pPr>
        <w:spacing w:before="0" w:after="20"/>
        <w:ind w:left="600"/>
      </w:pPr>
      <w:r>
        <w:rPr>
          <w:color w:val="323232"/>
          <w:sz w:val="17"/>
        </w:rPr>
        <w:t>La Banque centrale européenne (BCE) envisage une nouvelle hausse de ses taux d'intérêt lors de sa réunion de septembre. Cette décision vise à lutter contre l'inflation persistante dans la zone euro. Une telle mesure pourrait renforcer l'euro et influencer les flux de capitaux vers les marchés émergents, dont la BRVM. Les investisseurs de la BRVM do</w:t>
      </w:r>
    </w:p>
    <w:p>
      <w:pPr>
        <w:spacing w:before="0" w:after="40"/>
        <w:ind w:left="600"/>
      </w:pPr>
      <w:r>
        <w:rPr>
          <w:color w:val="00643C"/>
          <w:sz w:val="16"/>
        </w:rPr>
        <w:t>Points clés : La BCE pourrait relever ses taux en septembre pour combattre l'inflation.  •  Cette hausse pourrait affecter les taux d'intérêt mondiaux et les flux de capitaux vers les marchés émergents.</w:t>
      </w:r>
    </w:p>
    <w:p>
      <w:pPr>
        <w:spacing w:before="0" w:after="60"/>
        <w:ind w:left="600"/>
      </w:pPr>
      <w:r>
        <w:rPr>
          <w:color w:val="0064B4"/>
          <w:sz w:val="15"/>
        </w:rPr>
        <w:t>Source : https://news.google.com/rss/articles/CBMib0FVX3lxTE1pUVZ2VUlpdnFfNlBhTUNjOGFZWE1</w:t>
      </w:r>
    </w:p>
    <w:p>
      <w:pPr>
        <w:spacing w:before="120" w:after="40"/>
      </w:pPr>
      <w:r>
        <w:rPr>
          <w:b/>
          <w:color w:val="00467F"/>
          <w:sz w:val="20"/>
        </w:rPr>
        <w:t>🔑 politique  (13 alerte(s))</w:t>
      </w:r>
    </w:p>
    <w:p>
      <w:pPr>
        <w:spacing w:before="40" w:after="40"/>
        <w:ind w:left="360"/>
      </w:pPr>
      <w:r>
        <w:rPr>
          <w:color w:val="646464"/>
          <w:sz w:val="17"/>
        </w:rPr>
        <w:t xml:space="preserve">[28/08/2026] ⚪  </w:t>
      </w:r>
      <w:r>
        <w:rPr>
          <w:b/>
          <w:color w:val="505050"/>
          <w:sz w:val="18"/>
        </w:rPr>
        <w:t>Burkina Faso : Maxime Prévot plaide pour une coopération belge fondée sur le respect - Benin Web TV</w:t>
      </w:r>
      <w:r>
        <w:rPr>
          <w:color w:val="787878"/>
          <w:sz w:val="15"/>
        </w:rPr>
        <w:t xml:space="preserve">  [politique]</w:t>
      </w:r>
      <w:r>
        <w:rPr>
          <w:color w:val="B47800"/>
          <w:sz w:val="16"/>
        </w:rPr>
        <w:t xml:space="preserve">  ★ 50/10</w:t>
      </w:r>
    </w:p>
    <w:p>
      <w:pPr>
        <w:spacing w:before="0" w:after="20"/>
        <w:ind w:left="600"/>
      </w:pPr>
      <w:r>
        <w:rPr>
          <w:color w:val="323232"/>
          <w:sz w:val="17"/>
        </w:rPr>
        <w:t>L'article rapporte que le ministre belge des Affaires étrangères, Maxime Prévot, a plaidé pour une coopération avec le Burkina Faso fondée sur le respect mutuel, dans un contexte de tensions diplomatiques. Il souligne l'importance de maintenir un dialogue constructif malgré les différences politiques. Cette déclaration intervient alors que les rela</w:t>
      </w:r>
    </w:p>
    <w:p>
      <w:pPr>
        <w:spacing w:before="0" w:after="40"/>
        <w:ind w:left="600"/>
      </w:pPr>
      <w:r>
        <w:rPr>
          <w:color w:val="00643C"/>
          <w:sz w:val="16"/>
        </w:rPr>
        <w:t>Points clés : Maxime Prévot insiste sur une coopération belgo-burkinabè basée sur le respect mutuel.  •  Le contexte est marqué par des tensions diplomatiques entre le Burkina Faso et certains partenaires occidentaux.  •  La déclaration vise à maintenir un dialogue malgré les divergences politiques.</w:t>
      </w:r>
    </w:p>
    <w:p>
      <w:pPr>
        <w:spacing w:before="0" w:after="60"/>
        <w:ind w:left="600"/>
      </w:pPr>
      <w:r>
        <w:rPr>
          <w:color w:val="0064B4"/>
          <w:sz w:val="15"/>
        </w:rPr>
        <w:t>Source : https://news.google.com/rss/articles/CBMiqAFBVV95cUxQYXVaMi1EWEhHUWRLR1pOMzFvVkR</w:t>
      </w:r>
    </w:p>
    <w:p>
      <w:pPr>
        <w:spacing w:before="40" w:after="40"/>
        <w:ind w:left="360"/>
      </w:pPr>
      <w:r>
        <w:rPr>
          <w:color w:val="646464"/>
          <w:sz w:val="17"/>
        </w:rPr>
        <w:t xml:space="preserve">[28/08/2026] 🔴  </w:t>
      </w:r>
      <w:r>
        <w:rPr>
          <w:b/>
          <w:color w:val="C00000"/>
          <w:sz w:val="18"/>
        </w:rPr>
        <w:t>Sénégal : Bras de fer autour de la DPG du Premier ministre Ahmadou Al Aminou Lo - koaci.com</w:t>
      </w:r>
      <w:r>
        <w:rPr>
          <w:color w:val="787878"/>
          <w:sz w:val="15"/>
        </w:rPr>
        <w:t xml:space="preserve">  [politique]</w:t>
      </w:r>
      <w:r>
        <w:rPr>
          <w:color w:val="B47800"/>
          <w:sz w:val="16"/>
        </w:rPr>
        <w:t xml:space="preserve">  ★ 50/10</w:t>
      </w:r>
    </w:p>
    <w:p>
      <w:pPr>
        <w:spacing w:before="0" w:after="20"/>
        <w:ind w:left="600"/>
      </w:pPr>
      <w:r>
        <w:rPr>
          <w:color w:val="323232"/>
          <w:sz w:val="17"/>
        </w:rPr>
        <w:t xml:space="preserve">Le Premier ministre sénégalais Ahmadou Al Aminou Lo fait face à une opposition politique autour de sa Déclaration de Politique Générale (DPG), ce qui crée une tension institutionnelle au Sénégal. Ce bras de fer pourrait retarder les réformes économiques et budgétaires du gouvernement, affectant la confiance des investisseurs dans la zone UEMOA. La </w:t>
      </w:r>
    </w:p>
    <w:p>
      <w:pPr>
        <w:spacing w:before="0" w:after="40"/>
        <w:ind w:left="600"/>
      </w:pPr>
      <w:r>
        <w:rPr>
          <w:color w:val="00643C"/>
          <w:sz w:val="16"/>
        </w:rPr>
        <w:t>Points clés : Tension politique autour de la DPG du Premier ministre  •  Risque de retard dans les réformes économiques  •  Incertitude pour les investisseurs de la zone UEMOA</w:t>
      </w:r>
    </w:p>
    <w:p>
      <w:pPr>
        <w:spacing w:before="0" w:after="60"/>
        <w:ind w:left="600"/>
      </w:pPr>
      <w:r>
        <w:rPr>
          <w:color w:val="0064B4"/>
          <w:sz w:val="15"/>
        </w:rPr>
        <w:t>Source : https://news.google.com/rss/articles/CBMi4gFBVV95cUxNVURHc1NQd0VzTC0yN2pBbExrMlh</w:t>
      </w:r>
    </w:p>
    <w:p>
      <w:pPr>
        <w:spacing w:before="40" w:after="40"/>
        <w:ind w:left="360"/>
      </w:pPr>
      <w:r>
        <w:rPr>
          <w:color w:val="646464"/>
          <w:sz w:val="17"/>
        </w:rPr>
        <w:t xml:space="preserve">[28/08/2026] 🔴  </w:t>
      </w:r>
      <w:r>
        <w:rPr>
          <w:b/>
          <w:color w:val="C00000"/>
          <w:sz w:val="18"/>
        </w:rPr>
        <w:t>Sénégal : le FDR active l’article 85 sur le calendrier électoral - Africtelegraph</w:t>
      </w:r>
      <w:r>
        <w:rPr>
          <w:color w:val="787878"/>
          <w:sz w:val="15"/>
        </w:rPr>
        <w:t xml:space="preserve">  [politique]</w:t>
      </w:r>
      <w:r>
        <w:rPr>
          <w:color w:val="B47800"/>
          <w:sz w:val="16"/>
        </w:rPr>
        <w:t xml:space="preserve">  ★ 50/10</w:t>
      </w:r>
    </w:p>
    <w:p>
      <w:pPr>
        <w:spacing w:before="0" w:after="20"/>
        <w:ind w:left="600"/>
      </w:pPr>
      <w:r>
        <w:rPr>
          <w:color w:val="323232"/>
          <w:sz w:val="17"/>
        </w:rPr>
        <w:t>Le Front pour la défense de la République (FDR) au Sénégal a activé l'article 85 de la Constitution, relatif au calendrier électoral, ce qui pourrait entraîner un report ou une modification des élections à venir. Cette décision intervient dans un contexte politique tendu et pourrait affecter la stabilité institutionnelle du pays. L'activation de ce</w:t>
      </w:r>
    </w:p>
    <w:p>
      <w:pPr>
        <w:spacing w:before="0" w:after="40"/>
        <w:ind w:left="600"/>
      </w:pPr>
      <w:r>
        <w:rPr>
          <w:color w:val="00643C"/>
          <w:sz w:val="16"/>
        </w:rPr>
        <w:t>Points clés : Activation de l'article 85 de la Constitution sénégalaise par le FDR, ouvrant la voie à une possible modification du calendrier électoral.  •  Risque de tensions politiques accrues et d'incertitude sur la tenue des élections dans les délais prévus.</w:t>
      </w:r>
    </w:p>
    <w:p>
      <w:pPr>
        <w:spacing w:before="0" w:after="60"/>
        <w:ind w:left="600"/>
      </w:pPr>
      <w:r>
        <w:rPr>
          <w:color w:val="0064B4"/>
          <w:sz w:val="15"/>
        </w:rPr>
        <w:t>Source : https://news.google.com/rss/articles/CBMimgFBVV95cUxQMktNU0FJdXYwSlJydXp4YzVoVzh</w:t>
      </w:r>
    </w:p>
    <w:p>
      <w:pPr>
        <w:spacing w:before="40" w:after="40"/>
        <w:ind w:left="360"/>
      </w:pPr>
      <w:r>
        <w:rPr>
          <w:color w:val="646464"/>
          <w:sz w:val="17"/>
        </w:rPr>
        <w:t xml:space="preserve">[28/08/2026] ⚪  </w:t>
      </w:r>
      <w:r>
        <w:rPr>
          <w:b/>
          <w:color w:val="505050"/>
          <w:sz w:val="18"/>
        </w:rPr>
        <w:t>Laïcité au Sénégal : comment le religieux s’est imposé au cœur du politique - The Conversation</w:t>
      </w:r>
      <w:r>
        <w:rPr>
          <w:color w:val="787878"/>
          <w:sz w:val="15"/>
        </w:rPr>
        <w:t xml:space="preserve">  [politique]</w:t>
      </w:r>
      <w:r>
        <w:rPr>
          <w:color w:val="B47800"/>
          <w:sz w:val="16"/>
        </w:rPr>
        <w:t xml:space="preserve">  ★ 50/10</w:t>
      </w:r>
    </w:p>
    <w:p>
      <w:pPr>
        <w:spacing w:before="0" w:after="20"/>
        <w:ind w:left="600"/>
      </w:pPr>
      <w:r>
        <w:rPr>
          <w:color w:val="323232"/>
          <w:sz w:val="17"/>
        </w:rPr>
        <w:t>L'article de The Conversation analyse comment, au Sénégal, la laïcité coexiste avec une forte influence religieuse dans la sphère politique. Il montre que les confréries et les leaders religieux jouent un rôle clé dans la légitimation du pouvoir et les processus électoraux, sans pour autant remettre en cause le cadre constitutionnel. Cette dynamiqu</w:t>
      </w:r>
    </w:p>
    <w:p>
      <w:pPr>
        <w:spacing w:before="0" w:after="40"/>
        <w:ind w:left="600"/>
      </w:pPr>
      <w:r>
        <w:rPr>
          <w:color w:val="00643C"/>
          <w:sz w:val="16"/>
        </w:rPr>
        <w:t>Points clés : Le religieux est un acteur central de la vie politique sénégalaise, influençant les décisions et les campagnes électorales.  •  La laïcité sénégalaise est flexible, permettant une coexistence entre l'État et les autorités religieuses.</w:t>
      </w:r>
    </w:p>
    <w:p>
      <w:pPr>
        <w:spacing w:before="0" w:after="60"/>
        <w:ind w:left="600"/>
      </w:pPr>
      <w:r>
        <w:rPr>
          <w:color w:val="0064B4"/>
          <w:sz w:val="15"/>
        </w:rPr>
        <w:t>Source : https://news.google.com/rss/articles/CBMirAFBVV95cUxQSlBEckFVV3BzLXdjeFdFVkZwTXB</w:t>
      </w:r>
    </w:p>
    <w:p>
      <w:pPr>
        <w:spacing w:before="40" w:after="40"/>
        <w:ind w:left="360"/>
      </w:pPr>
      <w:r>
        <w:rPr>
          <w:color w:val="646464"/>
          <w:sz w:val="17"/>
        </w:rPr>
        <w:t xml:space="preserve">[27/08/2026] ⚪  </w:t>
      </w:r>
      <w:r>
        <w:rPr>
          <w:b/>
          <w:color w:val="505050"/>
          <w:sz w:val="18"/>
        </w:rPr>
        <w:t>Au Mali, comment Assimi Goïta tente de contenir le débat sur l’excision - Jeune Afrique</w:t>
      </w:r>
      <w:r>
        <w:rPr>
          <w:color w:val="787878"/>
          <w:sz w:val="15"/>
        </w:rPr>
        <w:t xml:space="preserve">  [politique]</w:t>
      </w:r>
      <w:r>
        <w:rPr>
          <w:color w:val="B47800"/>
          <w:sz w:val="16"/>
        </w:rPr>
        <w:t xml:space="preserve">  ★ 50/10</w:t>
      </w:r>
    </w:p>
    <w:p>
      <w:pPr>
        <w:spacing w:before="0" w:after="20"/>
        <w:ind w:left="600"/>
      </w:pPr>
      <w:r>
        <w:rPr>
          <w:color w:val="323232"/>
          <w:sz w:val="17"/>
        </w:rPr>
        <w:t>L'article de Jeune Afrique rapporte que le président de transition malien, Assimi Goïta, tente de contenir le débat public sur l'excision, une pratique traditionnelle très répandue au Mali. Il cherche à éviter que ce sujet sensible ne devienne un enjeu politique majeur, tout en gérant les pressions internationales et locales. La stratégie du pouvoi</w:t>
      </w:r>
    </w:p>
    <w:p>
      <w:pPr>
        <w:spacing w:before="0" w:after="40"/>
        <w:ind w:left="600"/>
      </w:pPr>
      <w:r>
        <w:rPr>
          <w:color w:val="00643C"/>
          <w:sz w:val="16"/>
        </w:rPr>
        <w:t>Points clés : Assimi Goïta cherche à limiter le débat sur l'excision pour éviter des tensions sociales et politiques.  •  Le sujet est sensible car il touche aux traditions et aux droits des femmes, avec des pressions internationales.  •  La stratégie de communication du pouvoir vise à contrôler le discours public sur cette question.</w:t>
      </w:r>
    </w:p>
    <w:p>
      <w:pPr>
        <w:spacing w:before="0" w:after="60"/>
        <w:ind w:left="600"/>
      </w:pPr>
      <w:r>
        <w:rPr>
          <w:color w:val="0064B4"/>
          <w:sz w:val="15"/>
        </w:rPr>
        <w:t>Source : https://news.google.com/rss/articles/CBMiuAFBVV95cUxNaUNiMDhmMlR0Q3psVFpIQTlRaUx</w:t>
      </w:r>
    </w:p>
    <w:p>
      <w:pPr>
        <w:spacing w:before="120" w:after="40"/>
      </w:pPr>
      <w:r>
        <w:rPr>
          <w:b/>
          <w:color w:val="00467F"/>
          <w:sz w:val="20"/>
        </w:rPr>
        <w:t>🔑 matieres_premieres  (3 alerte(s))</w:t>
      </w:r>
    </w:p>
    <w:p>
      <w:pPr>
        <w:spacing w:before="40" w:after="40"/>
        <w:ind w:left="360"/>
      </w:pPr>
      <w:r>
        <w:rPr>
          <w:color w:val="646464"/>
          <w:sz w:val="17"/>
        </w:rPr>
        <w:t xml:space="preserve">[28/08/2026] 🟢  </w:t>
      </w:r>
      <w:r>
        <w:rPr>
          <w:b/>
          <w:color w:val="008000"/>
          <w:sz w:val="18"/>
        </w:rPr>
        <w:t>Les prix du pétrole remontent, ce qui donne un nouvel élan à l'huile de soja. - Vietnam.vn</w:t>
      </w:r>
      <w:r>
        <w:rPr>
          <w:color w:val="787878"/>
          <w:sz w:val="15"/>
        </w:rPr>
        <w:t xml:space="preserve">  [matieres_premieres]</w:t>
      </w:r>
      <w:r>
        <w:rPr>
          <w:color w:val="B47800"/>
          <w:sz w:val="16"/>
        </w:rPr>
        <w:t xml:space="preserve">  ★ 50/10</w:t>
      </w:r>
    </w:p>
    <w:p>
      <w:pPr>
        <w:spacing w:before="0" w:after="20"/>
        <w:ind w:left="600"/>
      </w:pPr>
      <w:r>
        <w:rPr>
          <w:color w:val="323232"/>
          <w:sz w:val="17"/>
        </w:rPr>
        <w:t>Les prix du pétrole augmentent, ce qui soutient les cours de l'huile de soja sur les marchés internationaux. Cette hausse est liée à la demande accrue pour les biocarburants et à l'offre restreinte. Pour la BRVM, cela pourrait influencer les valeurs agro-industrielles et les sociétés liées aux matières premières.</w:t>
      </w:r>
    </w:p>
    <w:p>
      <w:pPr>
        <w:spacing w:before="0" w:after="40"/>
        <w:ind w:left="600"/>
      </w:pPr>
      <w:r>
        <w:rPr>
          <w:color w:val="00643C"/>
          <w:sz w:val="16"/>
        </w:rPr>
        <w:t>Points clés : Hausse des prix du pétrole soutient l'huile de soja.  •  Impact potentiel sur les secteurs agricoles et énergétiques en Afrique de l'Ouest.</w:t>
      </w:r>
    </w:p>
    <w:p>
      <w:pPr>
        <w:spacing w:before="0" w:after="60"/>
        <w:ind w:left="600"/>
      </w:pPr>
      <w:r>
        <w:rPr>
          <w:color w:val="0064B4"/>
          <w:sz w:val="15"/>
        </w:rPr>
        <w:t>Source : https://news.google.com/rss/articles/CBMifkFVX3lxTE55NWdQTTM4VnZ6eFBLYlN5eE1YM05</w:t>
      </w:r>
    </w:p>
    <w:p>
      <w:pPr>
        <w:spacing w:before="40" w:after="40"/>
        <w:ind w:left="360"/>
      </w:pPr>
      <w:r>
        <w:rPr>
          <w:color w:val="646464"/>
          <w:sz w:val="17"/>
        </w:rPr>
        <w:t xml:space="preserve">[28/08/2026] ⚪  </w:t>
      </w:r>
      <w:r>
        <w:rPr>
          <w:b/>
          <w:color w:val="505050"/>
          <w:sz w:val="18"/>
        </w:rPr>
        <w:t>Les prix du pétrole remontent, ce qui alimente la flambée des prix de l'huile de soja. - Vietnam.vn</w:t>
      </w:r>
      <w:r>
        <w:rPr>
          <w:color w:val="787878"/>
          <w:sz w:val="15"/>
        </w:rPr>
        <w:t xml:space="preserve">  [matieres_premieres]</w:t>
      </w:r>
      <w:r>
        <w:rPr>
          <w:color w:val="B47800"/>
          <w:sz w:val="16"/>
        </w:rPr>
        <w:t xml:space="preserve">  ★ 50/10</w:t>
      </w:r>
    </w:p>
    <w:p>
      <w:pPr>
        <w:spacing w:before="0" w:after="20"/>
        <w:ind w:left="600"/>
      </w:pPr>
      <w:r>
        <w:rPr>
          <w:color w:val="323232"/>
          <w:sz w:val="17"/>
        </w:rPr>
        <w:t>Les prix du pétrole augmentent, ce qui entraîne une hausse des prix de l'huile de soja sur les marchés internationaux. Cette tendance est alimentée par les coûts énergétiques plus élevés qui affectent la production et le transport. L'article, provenant de Vietnam.vn, souligne l'interconnexion entre les matières premières énergétiques et agricoles.</w:t>
      </w:r>
    </w:p>
    <w:p>
      <w:pPr>
        <w:spacing w:before="0" w:after="40"/>
        <w:ind w:left="600"/>
      </w:pPr>
      <w:r>
        <w:rPr>
          <w:color w:val="00643C"/>
          <w:sz w:val="16"/>
        </w:rPr>
        <w:t>Points clés : Hausse des prix du pétrole  •  Flambée des prix de l'huile de soja</w:t>
      </w:r>
    </w:p>
    <w:p>
      <w:pPr>
        <w:spacing w:before="0" w:after="60"/>
        <w:ind w:left="600"/>
      </w:pPr>
      <w:r>
        <w:rPr>
          <w:color w:val="0064B4"/>
          <w:sz w:val="15"/>
        </w:rPr>
        <w:t>Source : https://news.google.com/rss/articles/CBMieEFVX3lxTE4zOU9CdGZ0NmhoeTdpazk5QVBicTd</w:t>
      </w:r>
    </w:p>
    <w:p>
      <w:pPr>
        <w:spacing w:before="40" w:after="40"/>
        <w:ind w:left="360"/>
      </w:pPr>
      <w:r>
        <w:rPr>
          <w:color w:val="646464"/>
          <w:sz w:val="17"/>
        </w:rPr>
        <w:t xml:space="preserve">[27/08/2026] 🔴  </w:t>
      </w:r>
      <w:r>
        <w:rPr>
          <w:b/>
          <w:color w:val="C00000"/>
          <w:sz w:val="18"/>
        </w:rPr>
        <w:t>Conflits au Moyen-Orient : l'envolée du prix du pétrole et des emballages plastiques alimente l'inflation en rayon - rci</w:t>
      </w:r>
      <w:r>
        <w:rPr>
          <w:color w:val="787878"/>
          <w:sz w:val="15"/>
        </w:rPr>
        <w:t xml:space="preserve">  [matieres_premieres]</w:t>
      </w:r>
      <w:r>
        <w:rPr>
          <w:color w:val="B47800"/>
          <w:sz w:val="16"/>
        </w:rPr>
        <w:t xml:space="preserve">  ★ 50/10</w:t>
      </w:r>
    </w:p>
    <w:p>
      <w:pPr>
        <w:spacing w:before="0" w:after="20"/>
        <w:ind w:left="600"/>
      </w:pPr>
      <w:r>
        <w:rPr>
          <w:color w:val="323232"/>
          <w:sz w:val="17"/>
        </w:rPr>
        <w:t>Les conflits au Moyen-Orient entraînent une hausse des prix du pétrole, ce qui augmente le coût des matières premières comme les emballages plastiques. Cette augmentation des coûts se répercute sur les prix des produits en rayon, alimentant ainsi l'inflation. Pour les économies importatrices de pétrole, cela représente une pression inflationniste s</w:t>
      </w:r>
    </w:p>
    <w:p>
      <w:pPr>
        <w:spacing w:before="0" w:after="40"/>
        <w:ind w:left="600"/>
      </w:pPr>
      <w:r>
        <w:rPr>
          <w:color w:val="00643C"/>
          <w:sz w:val="16"/>
        </w:rPr>
        <w:t>Points clés : Hausse des prix du pétrole due aux tensions géopolitiques au Moyen-Orient.  •  Augmentation des coûts des emballages plastiques, répercutée sur les prix de détail.  •  Risque d'inflation importée pour les pays dépendants des importations de pétrole.</w:t>
      </w:r>
    </w:p>
    <w:p>
      <w:pPr>
        <w:spacing w:before="0" w:after="60"/>
        <w:ind w:left="600"/>
      </w:pPr>
      <w:r>
        <w:rPr>
          <w:color w:val="0064B4"/>
          <w:sz w:val="15"/>
        </w:rPr>
        <w:t>Source : https://news.google.com/rss/articles/CBMivAFBVV95cUxQRzJHU3JZTmh2SDNSSzRhVTEtMkJ</w:t>
      </w:r>
    </w:p>
    <w:p>
      <w:r>
        <w:br w:type="page"/>
      </w:r>
    </w:p>
    <w:p>
      <w:pPr>
        <w:pStyle w:val="Heading1"/>
      </w:pPr>
      <w:r>
        <w:t>🏆 CLASSEMENT DES SOCIÉTÉS — SCORE COMPOSITE /100</w:t>
      </w:r>
    </w:p>
    <w:p>
      <w:r>
        <w:t>Les 47 sociétés sont classées par score composite (Technique 30% + Fondamental 40% + Risque 20% + Liquidité 10%). Ce tableau est l'outil de référence pour une décision rapide.</w:t>
      </w:r>
    </w:p>
    <w:p/>
    <w:tbl>
      <w:tblPr>
        <w:tblStyle w:val="Light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F4E79" w:val="clear"/>
          </w:tcPr>
          <w:p>
            <w:r>
              <w:rPr>
                <w:b/>
                <w:color w:val="FFFFFF"/>
                <w:sz w:val="17"/>
              </w:rPr>
              <w:t>#</w:t>
            </w:r>
          </w:p>
        </w:tc>
        <w:tc>
          <w:tcPr>
            <w:tcW w:type="dxa" w:w="1080"/>
            <w:shd w:fill="1F4E79" w:val="clear"/>
          </w:tcPr>
          <w:p>
            <w:r>
              <w:rPr>
                <w:b/>
                <w:color w:val="FFFFFF"/>
                <w:sz w:val="17"/>
              </w:rPr>
              <w:t>Symbole</w:t>
            </w:r>
          </w:p>
        </w:tc>
        <w:tc>
          <w:tcPr>
            <w:tcW w:type="dxa" w:w="1080"/>
            <w:shd w:fill="1F4E79" w:val="clear"/>
          </w:tcPr>
          <w:p>
            <w:r>
              <w:rPr>
                <w:b/>
                <w:color w:val="FFFFFF"/>
                <w:sz w:val="17"/>
              </w:rPr>
              <w:t>Secteur</w:t>
            </w:r>
          </w:p>
        </w:tc>
        <w:tc>
          <w:tcPr>
            <w:tcW w:type="dxa" w:w="1080"/>
            <w:shd w:fill="1F4E79" w:val="clear"/>
          </w:tcPr>
          <w:p>
            <w:r>
              <w:rPr>
                <w:b/>
                <w:color w:val="FFFFFF"/>
                <w:sz w:val="17"/>
              </w:rPr>
              <w:t>Prix (FCFA)</w:t>
            </w:r>
          </w:p>
        </w:tc>
        <w:tc>
          <w:tcPr>
            <w:tcW w:type="dxa" w:w="1080"/>
            <w:shd w:fill="1F4E79" w:val="clear"/>
          </w:tcPr>
          <w:p>
            <w:r>
              <w:rPr>
                <w:b/>
                <w:color w:val="FFFFFF"/>
                <w:sz w:val="17"/>
              </w:rPr>
              <w:t>Score /100</w:t>
            </w:r>
          </w:p>
        </w:tc>
        <w:tc>
          <w:tcPr>
            <w:tcW w:type="dxa" w:w="1080"/>
            <w:shd w:fill="1F4E79" w:val="clear"/>
          </w:tcPr>
          <w:p>
            <w:r>
              <w:rPr>
                <w:b/>
                <w:color w:val="FFFFFF"/>
                <w:sz w:val="17"/>
              </w:rPr>
              <w:t>Signal Tech</w:t>
            </w:r>
          </w:p>
        </w:tc>
        <w:tc>
          <w:tcPr>
            <w:tcW w:type="dxa" w:w="1080"/>
            <w:shd w:fill="1F4E79" w:val="clear"/>
          </w:tcPr>
          <w:p>
            <w:r>
              <w:rPr>
                <w:b/>
                <w:color w:val="FFFFFF"/>
                <w:sz w:val="17"/>
              </w:rPr>
              <w:t>Signal Fond</w:t>
            </w:r>
          </w:p>
        </w:tc>
        <w:tc>
          <w:tcPr>
            <w:tcW w:type="dxa" w:w="1080"/>
            <w:shd w:fill="1F4E79" w:val="clear"/>
          </w:tcPr>
          <w:p>
            <w:r>
              <w:rPr>
                <w:b/>
                <w:color w:val="FFFFFF"/>
                <w:sz w:val="17"/>
              </w:rPr>
              <w:t>Recommandation</w:t>
            </w:r>
          </w:p>
        </w:tc>
      </w:tr>
      <w:tr>
        <w:tc>
          <w:tcPr>
            <w:tcW w:type="dxa" w:w="1080"/>
            <w:shd w:fill="C6EFCE" w:val="clear"/>
          </w:tcPr>
          <w:p>
            <w:r>
              <w:rPr>
                <w:sz w:val="16"/>
              </w:rPr>
              <w:t>1</w:t>
            </w:r>
          </w:p>
        </w:tc>
        <w:tc>
          <w:tcPr>
            <w:tcW w:type="dxa" w:w="1080"/>
            <w:shd w:fill="C6EFCE" w:val="clear"/>
          </w:tcPr>
          <w:p>
            <w:r>
              <w:rPr>
                <w:sz w:val="16"/>
              </w:rPr>
              <w:t>NSBC</w:t>
            </w:r>
          </w:p>
        </w:tc>
        <w:tc>
          <w:tcPr>
            <w:tcW w:type="dxa" w:w="1080"/>
            <w:shd w:fill="C6EFCE" w:val="clear"/>
          </w:tcPr>
          <w:p>
            <w:r>
              <w:rPr>
                <w:sz w:val="16"/>
              </w:rPr>
              <w:t>SERVICES FINANCIER</w:t>
            </w:r>
          </w:p>
        </w:tc>
        <w:tc>
          <w:tcPr>
            <w:tcW w:type="dxa" w:w="1080"/>
            <w:shd w:fill="C6EFCE" w:val="clear"/>
          </w:tcPr>
          <w:p>
            <w:r>
              <w:rPr>
                <w:sz w:val="16"/>
              </w:rPr>
              <w:t>22,500</w:t>
            </w:r>
          </w:p>
        </w:tc>
        <w:tc>
          <w:tcPr>
            <w:tcW w:type="dxa" w:w="1080"/>
            <w:shd w:fill="C6EFCE" w:val="clear"/>
          </w:tcPr>
          <w:p>
            <w:r>
              <w:rPr>
                <w:b/>
                <w:sz w:val="16"/>
              </w:rPr>
              <w:t>76/100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w:t>
            </w:r>
          </w:p>
        </w:tc>
        <w:tc>
          <w:tcPr>
            <w:tcW w:type="dxa" w:w="1080"/>
            <w:shd w:fill="C6EFCE" w:val="clear"/>
          </w:tcPr>
          <w:p>
            <w:r>
              <w:rPr>
                <w:sz w:val="16"/>
              </w:rPr>
              <w:t>UNXC</w:t>
            </w:r>
          </w:p>
        </w:tc>
        <w:tc>
          <w:tcPr>
            <w:tcW w:type="dxa" w:w="1080"/>
            <w:shd w:fill="C6EFCE" w:val="clear"/>
          </w:tcPr>
          <w:p>
            <w:r>
              <w:rPr>
                <w:sz w:val="16"/>
              </w:rPr>
              <w:t>CONSOMMATION DISCR</w:t>
            </w:r>
          </w:p>
        </w:tc>
        <w:tc>
          <w:tcPr>
            <w:tcW w:type="dxa" w:w="1080"/>
            <w:shd w:fill="C6EFCE" w:val="clear"/>
          </w:tcPr>
          <w:p>
            <w:r>
              <w:rPr>
                <w:sz w:val="16"/>
              </w:rPr>
              <w:t>2,415</w:t>
            </w:r>
          </w:p>
        </w:tc>
        <w:tc>
          <w:tcPr>
            <w:tcW w:type="dxa" w:w="1080"/>
            <w:shd w:fill="C6EFCE" w:val="clear"/>
          </w:tcPr>
          <w:p>
            <w:r>
              <w:rPr>
                <w:b/>
                <w:sz w:val="16"/>
              </w:rPr>
              <w:t>75/100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3</w:t>
            </w:r>
          </w:p>
        </w:tc>
        <w:tc>
          <w:tcPr>
            <w:tcW w:type="dxa" w:w="1080"/>
            <w:shd w:fill="C6EFCE" w:val="clear"/>
          </w:tcPr>
          <w:p>
            <w:r>
              <w:rPr>
                <w:sz w:val="16"/>
              </w:rPr>
              <w:t>BOAN</w:t>
            </w:r>
          </w:p>
        </w:tc>
        <w:tc>
          <w:tcPr>
            <w:tcW w:type="dxa" w:w="1080"/>
            <w:shd w:fill="C6EFCE" w:val="clear"/>
          </w:tcPr>
          <w:p>
            <w:r>
              <w:rPr>
                <w:sz w:val="16"/>
              </w:rPr>
              <w:t>SERVICES FINANCIER</w:t>
            </w:r>
          </w:p>
        </w:tc>
        <w:tc>
          <w:tcPr>
            <w:tcW w:type="dxa" w:w="1080"/>
            <w:shd w:fill="C6EFCE" w:val="clear"/>
          </w:tcPr>
          <w:p>
            <w:r>
              <w:rPr>
                <w:sz w:val="16"/>
              </w:rPr>
              <w:t>5,645</w:t>
            </w:r>
          </w:p>
        </w:tc>
        <w:tc>
          <w:tcPr>
            <w:tcW w:type="dxa" w:w="1080"/>
            <w:shd w:fill="C6EFCE" w:val="clear"/>
          </w:tcPr>
          <w:p>
            <w:r>
              <w:rPr>
                <w:b/>
                <w:sz w:val="16"/>
              </w:rPr>
              <w:t>74/100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4</w:t>
            </w:r>
          </w:p>
        </w:tc>
        <w:tc>
          <w:tcPr>
            <w:tcW w:type="dxa" w:w="1080"/>
            <w:shd w:fill="C6EFCE" w:val="clear"/>
          </w:tcPr>
          <w:p>
            <w:r>
              <w:rPr>
                <w:sz w:val="16"/>
              </w:rPr>
              <w:t>SCRC</w:t>
            </w:r>
          </w:p>
        </w:tc>
        <w:tc>
          <w:tcPr>
            <w:tcW w:type="dxa" w:w="1080"/>
            <w:shd w:fill="C6EFCE" w:val="clear"/>
          </w:tcPr>
          <w:p>
            <w:r>
              <w:rPr>
                <w:sz w:val="16"/>
              </w:rPr>
              <w:t>CONSOMMATION DE BA</w:t>
            </w:r>
          </w:p>
        </w:tc>
        <w:tc>
          <w:tcPr>
            <w:tcW w:type="dxa" w:w="1080"/>
            <w:shd w:fill="C6EFCE" w:val="clear"/>
          </w:tcPr>
          <w:p>
            <w:r>
              <w:rPr>
                <w:sz w:val="16"/>
              </w:rPr>
              <w:t>3,375</w:t>
            </w:r>
          </w:p>
        </w:tc>
        <w:tc>
          <w:tcPr>
            <w:tcW w:type="dxa" w:w="1080"/>
            <w:shd w:fill="C6EFCE" w:val="clear"/>
          </w:tcPr>
          <w:p>
            <w:r>
              <w:rPr>
                <w:b/>
                <w:sz w:val="16"/>
              </w:rPr>
              <w:t>74/100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5</w:t>
            </w:r>
          </w:p>
        </w:tc>
        <w:tc>
          <w:tcPr>
            <w:tcW w:type="dxa" w:w="1080"/>
            <w:shd w:fill="C6EFCE" w:val="clear"/>
          </w:tcPr>
          <w:p>
            <w:r>
              <w:rPr>
                <w:sz w:val="16"/>
              </w:rPr>
              <w:t>ABJC</w:t>
            </w:r>
          </w:p>
        </w:tc>
        <w:tc>
          <w:tcPr>
            <w:tcW w:type="dxa" w:w="1080"/>
            <w:shd w:fill="C6EFCE" w:val="clear"/>
          </w:tcPr>
          <w:p>
            <w:r>
              <w:rPr>
                <w:sz w:val="16"/>
              </w:rPr>
              <w:t>CONSOMMATION DISCR</w:t>
            </w:r>
          </w:p>
        </w:tc>
        <w:tc>
          <w:tcPr>
            <w:tcW w:type="dxa" w:w="1080"/>
            <w:shd w:fill="C6EFCE" w:val="clear"/>
          </w:tcPr>
          <w:p>
            <w:r>
              <w:rPr>
                <w:sz w:val="16"/>
              </w:rPr>
              <w:t>3,690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6</w:t>
            </w:r>
          </w:p>
        </w:tc>
        <w:tc>
          <w:tcPr>
            <w:tcW w:type="dxa" w:w="1080"/>
            <w:shd w:fill="C6EFCE" w:val="clear"/>
          </w:tcPr>
          <w:p>
            <w:r>
              <w:rPr>
                <w:sz w:val="16"/>
              </w:rPr>
              <w:t>BOAB</w:t>
            </w:r>
          </w:p>
        </w:tc>
        <w:tc>
          <w:tcPr>
            <w:tcW w:type="dxa" w:w="1080"/>
            <w:shd w:fill="C6EFCE" w:val="clear"/>
          </w:tcPr>
          <w:p>
            <w:r>
              <w:rPr>
                <w:sz w:val="16"/>
              </w:rPr>
              <w:t>SERVICES FINANCIER</w:t>
            </w:r>
          </w:p>
        </w:tc>
        <w:tc>
          <w:tcPr>
            <w:tcW w:type="dxa" w:w="1080"/>
            <w:shd w:fill="C6EFCE" w:val="clear"/>
          </w:tcPr>
          <w:p>
            <w:r>
              <w:rPr>
                <w:sz w:val="16"/>
              </w:rPr>
              <w:t>10,000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7</w:t>
            </w:r>
          </w:p>
        </w:tc>
        <w:tc>
          <w:tcPr>
            <w:tcW w:type="dxa" w:w="1080"/>
            <w:shd w:fill="C6EFCE" w:val="clear"/>
          </w:tcPr>
          <w:p>
            <w:r>
              <w:rPr>
                <w:sz w:val="16"/>
              </w:rPr>
              <w:t>BOABF</w:t>
            </w:r>
          </w:p>
        </w:tc>
        <w:tc>
          <w:tcPr>
            <w:tcW w:type="dxa" w:w="1080"/>
            <w:shd w:fill="C6EFCE" w:val="clear"/>
          </w:tcPr>
          <w:p>
            <w:r>
              <w:rPr>
                <w:sz w:val="16"/>
              </w:rPr>
              <w:t>SERVICES FINANCIER</w:t>
            </w:r>
          </w:p>
        </w:tc>
        <w:tc>
          <w:tcPr>
            <w:tcW w:type="dxa" w:w="1080"/>
            <w:shd w:fill="C6EFCE" w:val="clear"/>
          </w:tcPr>
          <w:p>
            <w:r>
              <w:rPr>
                <w:sz w:val="16"/>
              </w:rPr>
              <w:t>9,090</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8</w:t>
            </w:r>
          </w:p>
        </w:tc>
        <w:tc>
          <w:tcPr>
            <w:tcW w:type="dxa" w:w="1080"/>
            <w:shd w:fill="C6EFCE" w:val="clear"/>
          </w:tcPr>
          <w:p>
            <w:r>
              <w:rPr>
                <w:sz w:val="16"/>
              </w:rPr>
              <w:t>BOAM</w:t>
            </w:r>
          </w:p>
        </w:tc>
        <w:tc>
          <w:tcPr>
            <w:tcW w:type="dxa" w:w="1080"/>
            <w:shd w:fill="C6EFCE" w:val="clear"/>
          </w:tcPr>
          <w:p>
            <w:r>
              <w:rPr>
                <w:sz w:val="16"/>
              </w:rPr>
              <w:t>SERVICES FINANCIER</w:t>
            </w:r>
          </w:p>
        </w:tc>
        <w:tc>
          <w:tcPr>
            <w:tcW w:type="dxa" w:w="1080"/>
            <w:shd w:fill="C6EFCE" w:val="clear"/>
          </w:tcPr>
          <w:p>
            <w:r>
              <w:rPr>
                <w:sz w:val="16"/>
              </w:rPr>
              <w:t>6,650</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9</w:t>
            </w:r>
          </w:p>
        </w:tc>
        <w:tc>
          <w:tcPr>
            <w:tcW w:type="dxa" w:w="1080"/>
            <w:shd w:fill="C6EFCE" w:val="clear"/>
          </w:tcPr>
          <w:p>
            <w:r>
              <w:rPr>
                <w:sz w:val="16"/>
              </w:rPr>
              <w:t>BOAS</w:t>
            </w:r>
          </w:p>
        </w:tc>
        <w:tc>
          <w:tcPr>
            <w:tcW w:type="dxa" w:w="1080"/>
            <w:shd w:fill="C6EFCE" w:val="clear"/>
          </w:tcPr>
          <w:p>
            <w:r>
              <w:rPr>
                <w:sz w:val="16"/>
              </w:rPr>
              <w:t>SERVICES FINANCIER</w:t>
            </w:r>
          </w:p>
        </w:tc>
        <w:tc>
          <w:tcPr>
            <w:tcW w:type="dxa" w:w="1080"/>
            <w:shd w:fill="C6EFCE" w:val="clear"/>
          </w:tcPr>
          <w:p>
            <w:r>
              <w:rPr>
                <w:sz w:val="16"/>
              </w:rPr>
              <w:t>8,445</w:t>
            </w:r>
          </w:p>
        </w:tc>
        <w:tc>
          <w:tcPr>
            <w:tcW w:type="dxa" w:w="1080"/>
            <w:shd w:fill="C6EFCE" w:val="clear"/>
          </w:tcPr>
          <w:p>
            <w:r>
              <w:rPr>
                <w:b/>
                <w:sz w:val="16"/>
              </w:rPr>
              <w:t>72/100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10</w:t>
            </w:r>
          </w:p>
        </w:tc>
        <w:tc>
          <w:tcPr>
            <w:tcW w:type="dxa" w:w="1080"/>
            <w:shd w:fill="C6EFCE" w:val="clear"/>
          </w:tcPr>
          <w:p>
            <w:r>
              <w:rPr>
                <w:sz w:val="16"/>
              </w:rPr>
              <w:t>CABC</w:t>
            </w:r>
          </w:p>
        </w:tc>
        <w:tc>
          <w:tcPr>
            <w:tcW w:type="dxa" w:w="1080"/>
            <w:shd w:fill="C6EFCE" w:val="clear"/>
          </w:tcPr>
          <w:p>
            <w:r>
              <w:rPr>
                <w:sz w:val="16"/>
              </w:rPr>
              <w:t>INDUSTRIELS</w:t>
            </w:r>
          </w:p>
        </w:tc>
        <w:tc>
          <w:tcPr>
            <w:tcW w:type="dxa" w:w="1080"/>
            <w:shd w:fill="C6EFCE" w:val="clear"/>
          </w:tcPr>
          <w:p>
            <w:r>
              <w:rPr>
                <w:sz w:val="16"/>
              </w:rPr>
              <w:t>3,500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11</w:t>
            </w:r>
          </w:p>
        </w:tc>
        <w:tc>
          <w:tcPr>
            <w:tcW w:type="dxa" w:w="1080"/>
            <w:shd w:fill="C6EFCE" w:val="clear"/>
          </w:tcPr>
          <w:p>
            <w:r>
              <w:rPr>
                <w:sz w:val="16"/>
              </w:rPr>
              <w:t>CFAC</w:t>
            </w:r>
          </w:p>
        </w:tc>
        <w:tc>
          <w:tcPr>
            <w:tcW w:type="dxa" w:w="1080"/>
            <w:shd w:fill="C6EFCE" w:val="clear"/>
          </w:tcPr>
          <w:p>
            <w:r>
              <w:rPr>
                <w:sz w:val="16"/>
              </w:rPr>
              <w:t>CONSOMMATION DISCR</w:t>
            </w:r>
          </w:p>
        </w:tc>
        <w:tc>
          <w:tcPr>
            <w:tcW w:type="dxa" w:w="1080"/>
            <w:shd w:fill="C6EFCE" w:val="clear"/>
          </w:tcPr>
          <w:p>
            <w:r>
              <w:rPr>
                <w:sz w:val="16"/>
              </w:rPr>
              <w:t>1,745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12</w:t>
            </w:r>
          </w:p>
        </w:tc>
        <w:tc>
          <w:tcPr>
            <w:tcW w:type="dxa" w:w="1080"/>
            <w:shd w:fill="C6EFCE" w:val="clear"/>
          </w:tcPr>
          <w:p>
            <w:r>
              <w:rPr>
                <w:sz w:val="16"/>
              </w:rPr>
              <w:t>FTSC</w:t>
            </w:r>
          </w:p>
        </w:tc>
        <w:tc>
          <w:tcPr>
            <w:tcW w:type="dxa" w:w="1080"/>
            <w:shd w:fill="C6EFCE" w:val="clear"/>
          </w:tcPr>
          <w:p>
            <w:r>
              <w:rPr>
                <w:sz w:val="16"/>
              </w:rPr>
              <w:t>INDUSTRIELS</w:t>
            </w:r>
          </w:p>
        </w:tc>
        <w:tc>
          <w:tcPr>
            <w:tcW w:type="dxa" w:w="1080"/>
            <w:shd w:fill="C6EFCE" w:val="clear"/>
          </w:tcPr>
          <w:p>
            <w:r>
              <w:rPr>
                <w:sz w:val="16"/>
              </w:rPr>
              <w:t>2,155</w:t>
            </w:r>
          </w:p>
        </w:tc>
        <w:tc>
          <w:tcPr>
            <w:tcW w:type="dxa" w:w="1080"/>
            <w:shd w:fill="C6EFCE" w:val="clear"/>
          </w:tcPr>
          <w:p>
            <w:r>
              <w:rPr>
                <w:b/>
                <w:sz w:val="16"/>
              </w:rPr>
              <w:t>72/100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13</w:t>
            </w:r>
          </w:p>
        </w:tc>
        <w:tc>
          <w:tcPr>
            <w:tcW w:type="dxa" w:w="1080"/>
            <w:shd w:fill="C6EFCE" w:val="clear"/>
          </w:tcPr>
          <w:p>
            <w:r>
              <w:rPr>
                <w:sz w:val="16"/>
              </w:rPr>
              <w:t>PALC</w:t>
            </w:r>
          </w:p>
        </w:tc>
        <w:tc>
          <w:tcPr>
            <w:tcW w:type="dxa" w:w="1080"/>
            <w:shd w:fill="C6EFCE" w:val="clear"/>
          </w:tcPr>
          <w:p>
            <w:r>
              <w:rPr>
                <w:sz w:val="16"/>
              </w:rPr>
              <w:t>CONSOMMATION DE BA</w:t>
            </w:r>
          </w:p>
        </w:tc>
        <w:tc>
          <w:tcPr>
            <w:tcW w:type="dxa" w:w="1080"/>
            <w:shd w:fill="C6EFCE" w:val="clear"/>
          </w:tcPr>
          <w:p>
            <w:r>
              <w:rPr>
                <w:sz w:val="16"/>
              </w:rPr>
              <w:t>9,100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14</w:t>
            </w:r>
          </w:p>
        </w:tc>
        <w:tc>
          <w:tcPr>
            <w:tcW w:type="dxa" w:w="1080"/>
            <w:shd w:fill="C6EFCE" w:val="clear"/>
          </w:tcPr>
          <w:p>
            <w:r>
              <w:rPr>
                <w:sz w:val="16"/>
              </w:rPr>
              <w:t>SHEC</w:t>
            </w:r>
          </w:p>
        </w:tc>
        <w:tc>
          <w:tcPr>
            <w:tcW w:type="dxa" w:w="1080"/>
            <w:shd w:fill="C6EFCE" w:val="clear"/>
          </w:tcPr>
          <w:p>
            <w:r>
              <w:rPr>
                <w:sz w:val="16"/>
              </w:rPr>
              <w:t>ENERGIE</w:t>
            </w:r>
          </w:p>
        </w:tc>
        <w:tc>
          <w:tcPr>
            <w:tcW w:type="dxa" w:w="1080"/>
            <w:shd w:fill="C6EFCE" w:val="clear"/>
          </w:tcPr>
          <w:p>
            <w:r>
              <w:rPr>
                <w:sz w:val="16"/>
              </w:rPr>
              <w:t>2,450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15</w:t>
            </w:r>
          </w:p>
        </w:tc>
        <w:tc>
          <w:tcPr>
            <w:tcW w:type="dxa" w:w="1080"/>
            <w:shd w:fill="C6EFCE" w:val="clear"/>
          </w:tcPr>
          <w:p>
            <w:r>
              <w:rPr>
                <w:sz w:val="16"/>
              </w:rPr>
              <w:t>SPHC</w:t>
            </w:r>
          </w:p>
        </w:tc>
        <w:tc>
          <w:tcPr>
            <w:tcW w:type="dxa" w:w="1080"/>
            <w:shd w:fill="C6EFCE" w:val="clear"/>
          </w:tcPr>
          <w:p>
            <w:r>
              <w:rPr>
                <w:sz w:val="16"/>
              </w:rPr>
              <w:t>CONSOMMATION DE BA</w:t>
            </w:r>
          </w:p>
        </w:tc>
        <w:tc>
          <w:tcPr>
            <w:tcW w:type="dxa" w:w="1080"/>
            <w:shd w:fill="C6EFCE" w:val="clear"/>
          </w:tcPr>
          <w:p>
            <w:r>
              <w:rPr>
                <w:sz w:val="16"/>
              </w:rPr>
              <w:t>9,200</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16</w:t>
            </w:r>
          </w:p>
        </w:tc>
        <w:tc>
          <w:tcPr>
            <w:tcW w:type="dxa" w:w="1080"/>
            <w:shd w:fill="C6EFCE" w:val="clear"/>
          </w:tcPr>
          <w:p>
            <w:r>
              <w:rPr>
                <w:sz w:val="16"/>
              </w:rPr>
              <w:t>TTLC</w:t>
            </w:r>
          </w:p>
        </w:tc>
        <w:tc>
          <w:tcPr>
            <w:tcW w:type="dxa" w:w="1080"/>
            <w:shd w:fill="C6EFCE" w:val="clear"/>
          </w:tcPr>
          <w:p>
            <w:r>
              <w:rPr>
                <w:sz w:val="16"/>
              </w:rPr>
              <w:t>ENERGIE</w:t>
            </w:r>
          </w:p>
        </w:tc>
        <w:tc>
          <w:tcPr>
            <w:tcW w:type="dxa" w:w="1080"/>
            <w:shd w:fill="C6EFCE" w:val="clear"/>
          </w:tcPr>
          <w:p>
            <w:r>
              <w:rPr>
                <w:sz w:val="16"/>
              </w:rPr>
              <w:t>3,415</w:t>
            </w:r>
          </w:p>
        </w:tc>
        <w:tc>
          <w:tcPr>
            <w:tcW w:type="dxa" w:w="1080"/>
            <w:shd w:fill="C6EFCE" w:val="clear"/>
          </w:tcPr>
          <w:p>
            <w:r>
              <w:rPr>
                <w:b/>
                <w:sz w:val="16"/>
              </w:rPr>
              <w:t>72/100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17</w:t>
            </w:r>
          </w:p>
        </w:tc>
        <w:tc>
          <w:tcPr>
            <w:tcW w:type="dxa" w:w="1080"/>
            <w:shd w:fill="C6EFCE" w:val="clear"/>
          </w:tcPr>
          <w:p>
            <w:r>
              <w:rPr>
                <w:sz w:val="16"/>
              </w:rPr>
              <w:t>BNBC</w:t>
            </w:r>
          </w:p>
        </w:tc>
        <w:tc>
          <w:tcPr>
            <w:tcW w:type="dxa" w:w="1080"/>
            <w:shd w:fill="C6EFCE" w:val="clear"/>
          </w:tcPr>
          <w:p>
            <w:r>
              <w:rPr>
                <w:sz w:val="16"/>
              </w:rPr>
              <w:t>CONSOMMATION DISCR</w:t>
            </w:r>
          </w:p>
        </w:tc>
        <w:tc>
          <w:tcPr>
            <w:tcW w:type="dxa" w:w="1080"/>
            <w:shd w:fill="C6EFCE" w:val="clear"/>
          </w:tcPr>
          <w:p>
            <w:r>
              <w:rPr>
                <w:sz w:val="16"/>
              </w:rPr>
              <w:t>2,295</w:t>
            </w:r>
          </w:p>
        </w:tc>
        <w:tc>
          <w:tcPr>
            <w:tcW w:type="dxa" w:w="1080"/>
            <w:shd w:fill="C6EFCE" w:val="clear"/>
          </w:tcPr>
          <w:p>
            <w:r>
              <w:rPr>
                <w:b/>
                <w:sz w:val="16"/>
              </w:rPr>
              <w:t>71/100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18</w:t>
            </w:r>
          </w:p>
        </w:tc>
        <w:tc>
          <w:tcPr>
            <w:tcW w:type="dxa" w:w="1080"/>
            <w:shd w:fill="C6EFCE" w:val="clear"/>
          </w:tcPr>
          <w:p>
            <w:r>
              <w:rPr>
                <w:sz w:val="16"/>
              </w:rPr>
              <w:t>ORAC</w:t>
            </w:r>
          </w:p>
        </w:tc>
        <w:tc>
          <w:tcPr>
            <w:tcW w:type="dxa" w:w="1080"/>
            <w:shd w:fill="C6EFCE" w:val="clear"/>
          </w:tcPr>
          <w:p>
            <w:r>
              <w:rPr>
                <w:sz w:val="16"/>
              </w:rPr>
              <w:t>TELECOMMUNICATIONS</w:t>
            </w:r>
          </w:p>
        </w:tc>
        <w:tc>
          <w:tcPr>
            <w:tcW w:type="dxa" w:w="1080"/>
            <w:shd w:fill="C6EFCE" w:val="clear"/>
          </w:tcPr>
          <w:p>
            <w:r>
              <w:rPr>
                <w:sz w:val="16"/>
              </w:rPr>
              <w:t>21,200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19</w:t>
            </w:r>
          </w:p>
        </w:tc>
        <w:tc>
          <w:tcPr>
            <w:tcW w:type="dxa" w:w="1080"/>
            <w:shd w:fill="C6EFCE" w:val="clear"/>
          </w:tcPr>
          <w:p>
            <w:r>
              <w:rPr>
                <w:sz w:val="16"/>
              </w:rPr>
              <w:t>SNTS</w:t>
            </w:r>
          </w:p>
        </w:tc>
        <w:tc>
          <w:tcPr>
            <w:tcW w:type="dxa" w:w="1080"/>
            <w:shd w:fill="C6EFCE" w:val="clear"/>
          </w:tcPr>
          <w:p>
            <w:r>
              <w:rPr>
                <w:sz w:val="16"/>
              </w:rPr>
              <w:t>TELECOMMUNICATIONS</w:t>
            </w:r>
          </w:p>
        </w:tc>
        <w:tc>
          <w:tcPr>
            <w:tcW w:type="dxa" w:w="1080"/>
            <w:shd w:fill="C6EFCE" w:val="clear"/>
          </w:tcPr>
          <w:p>
            <w:r>
              <w:rPr>
                <w:sz w:val="16"/>
              </w:rPr>
              <w:t>36,000</w:t>
            </w:r>
          </w:p>
        </w:tc>
        <w:tc>
          <w:tcPr>
            <w:tcW w:type="dxa" w:w="1080"/>
            <w:shd w:fill="C6EFCE" w:val="clear"/>
          </w:tcPr>
          <w:p>
            <w:r>
              <w:rPr>
                <w:b/>
                <w:sz w:val="16"/>
              </w:rPr>
              <w:t>71/100  (Excellent)</w:t>
            </w:r>
          </w:p>
        </w:tc>
        <w:tc>
          <w:tcPr>
            <w:tcW w:type="dxa" w:w="1080"/>
            <w:shd w:fill="C6EFCE" w:val="clear"/>
          </w:tcPr>
          <w:p>
            <w:r>
              <w:rPr>
                <w:sz w:val="16"/>
              </w:rPr>
              <w:t>NEUTRE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20</w:t>
            </w:r>
          </w:p>
        </w:tc>
        <w:tc>
          <w:tcPr>
            <w:tcW w:type="dxa" w:w="1080"/>
            <w:shd w:fill="C6EFCE" w:val="clear"/>
          </w:tcPr>
          <w:p>
            <w:r>
              <w:rPr>
                <w:sz w:val="16"/>
              </w:rPr>
              <w:t>CIEC</w:t>
            </w:r>
          </w:p>
        </w:tc>
        <w:tc>
          <w:tcPr>
            <w:tcW w:type="dxa" w:w="1080"/>
            <w:shd w:fill="C6EFCE" w:val="clear"/>
          </w:tcPr>
          <w:p>
            <w:r>
              <w:rPr>
                <w:sz w:val="16"/>
              </w:rPr>
              <w:t>SERVICES PUBLICS</w:t>
            </w:r>
          </w:p>
        </w:tc>
        <w:tc>
          <w:tcPr>
            <w:tcW w:type="dxa" w:w="1080"/>
            <w:shd w:fill="C6EFCE" w:val="clear"/>
          </w:tcPr>
          <w:p>
            <w:r>
              <w:rPr>
                <w:sz w:val="16"/>
              </w:rPr>
              <w:t>6,680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21</w:t>
            </w:r>
          </w:p>
        </w:tc>
        <w:tc>
          <w:tcPr>
            <w:tcW w:type="dxa" w:w="1080"/>
            <w:shd w:fill="C6EFCE" w:val="clear"/>
          </w:tcPr>
          <w:p>
            <w:r>
              <w:rPr>
                <w:sz w:val="16"/>
              </w:rPr>
              <w:t>SAFC</w:t>
            </w:r>
          </w:p>
        </w:tc>
        <w:tc>
          <w:tcPr>
            <w:tcW w:type="dxa" w:w="1080"/>
            <w:shd w:fill="C6EFCE" w:val="clear"/>
          </w:tcPr>
          <w:p>
            <w:r>
              <w:rPr>
                <w:sz w:val="16"/>
              </w:rPr>
              <w:t>SERVICES FINANCIER</w:t>
            </w:r>
          </w:p>
        </w:tc>
        <w:tc>
          <w:tcPr>
            <w:tcW w:type="dxa" w:w="1080"/>
            <w:shd w:fill="C6EFCE" w:val="clear"/>
          </w:tcPr>
          <w:p>
            <w:r>
              <w:rPr>
                <w:sz w:val="16"/>
              </w:rPr>
              <w:t>5,850</w:t>
            </w:r>
          </w:p>
        </w:tc>
        <w:tc>
          <w:tcPr>
            <w:tcW w:type="dxa" w:w="1080"/>
            <w:shd w:fill="C6EFCE" w:val="clear"/>
          </w:tcPr>
          <w:p>
            <w:r>
              <w:rPr>
                <w:b/>
                <w:sz w:val="16"/>
              </w:rPr>
              <w:t>70/100  (Excellent)</w:t>
            </w:r>
          </w:p>
        </w:tc>
        <w:tc>
          <w:tcPr>
            <w:tcW w:type="dxa" w:w="1080"/>
            <w:shd w:fill="C6EFCE" w:val="clear"/>
          </w:tcPr>
          <w:p>
            <w:r>
              <w:rPr>
                <w:sz w:val="16"/>
              </w:rPr>
              <w:t>ACHAT</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C6EFCE" w:val="clear"/>
          </w:tcPr>
          <w:p>
            <w:r>
              <w:rPr>
                <w:sz w:val="16"/>
              </w:rPr>
              <w:t>22</w:t>
            </w:r>
          </w:p>
        </w:tc>
        <w:tc>
          <w:tcPr>
            <w:tcW w:type="dxa" w:w="1080"/>
            <w:shd w:fill="C6EFCE" w:val="clear"/>
          </w:tcPr>
          <w:p>
            <w:r>
              <w:rPr>
                <w:sz w:val="16"/>
              </w:rPr>
              <w:t>SDCC</w:t>
            </w:r>
          </w:p>
        </w:tc>
        <w:tc>
          <w:tcPr>
            <w:tcW w:type="dxa" w:w="1080"/>
            <w:shd w:fill="C6EFCE" w:val="clear"/>
          </w:tcPr>
          <w:p>
            <w:r>
              <w:rPr>
                <w:sz w:val="16"/>
              </w:rPr>
              <w:t>SERVICES PUBLICS</w:t>
            </w:r>
          </w:p>
        </w:tc>
        <w:tc>
          <w:tcPr>
            <w:tcW w:type="dxa" w:w="1080"/>
            <w:shd w:fill="C6EFCE" w:val="clear"/>
          </w:tcPr>
          <w:p>
            <w:r>
              <w:rPr>
                <w:sz w:val="16"/>
              </w:rPr>
              <w:t>12,700</w:t>
            </w:r>
          </w:p>
        </w:tc>
        <w:tc>
          <w:tcPr>
            <w:tcW w:type="dxa" w:w="1080"/>
            <w:shd w:fill="C6EFCE" w:val="clear"/>
          </w:tcPr>
          <w:p>
            <w:r>
              <w:rPr>
                <w:b/>
                <w:sz w:val="16"/>
              </w:rPr>
              <w:t>70/100  (Excellent)</w:t>
            </w:r>
          </w:p>
        </w:tc>
        <w:tc>
          <w:tcPr>
            <w:tcW w:type="dxa" w:w="1080"/>
            <w:shd w:fill="C6EFCE" w:val="clear"/>
          </w:tcPr>
          <w:p>
            <w:r>
              <w:rPr>
                <w:sz w:val="16"/>
              </w:rPr>
              <w:t>VENTE</w:t>
            </w:r>
          </w:p>
        </w:tc>
        <w:tc>
          <w:tcPr>
            <w:tcW w:type="dxa" w:w="1080"/>
            <w:shd w:fill="C6EFCE" w:val="clear"/>
          </w:tcPr>
          <w:p>
            <w:r>
              <w:rPr>
                <w:sz w:val="16"/>
              </w:rPr>
              <w:t>ACHAT</w:t>
            </w:r>
          </w:p>
        </w:tc>
        <w:tc>
          <w:tcPr>
            <w:tcW w:type="dxa" w:w="1080"/>
            <w:shd w:fill="C6EFCE" w:val="clear"/>
          </w:tcPr>
          <w:p>
            <w:r>
              <w:rPr>
                <w:color w:val="008000"/>
                <w:sz w:val="16"/>
              </w:rPr>
              <w:t>ACHAT</w:t>
            </w:r>
          </w:p>
        </w:tc>
      </w:tr>
      <w:tr>
        <w:tc>
          <w:tcPr>
            <w:tcW w:type="dxa" w:w="1080"/>
            <w:shd w:fill="EBF5FB" w:val="clear"/>
          </w:tcPr>
          <w:p>
            <w:r>
              <w:rPr>
                <w:sz w:val="16"/>
              </w:rPr>
              <w:t>23</w:t>
            </w:r>
          </w:p>
        </w:tc>
        <w:tc>
          <w:tcPr>
            <w:tcW w:type="dxa" w:w="1080"/>
            <w:shd w:fill="EBF5FB" w:val="clear"/>
          </w:tcPr>
          <w:p>
            <w:r>
              <w:rPr>
                <w:sz w:val="16"/>
              </w:rPr>
              <w:t>NEIC</w:t>
            </w:r>
          </w:p>
        </w:tc>
        <w:tc>
          <w:tcPr>
            <w:tcW w:type="dxa" w:w="1080"/>
            <w:shd w:fill="EBF5FB" w:val="clear"/>
          </w:tcPr>
          <w:p>
            <w:r>
              <w:rPr>
                <w:sz w:val="16"/>
              </w:rPr>
              <w:t>CONSOMMATION DISCR</w:t>
            </w:r>
          </w:p>
        </w:tc>
        <w:tc>
          <w:tcPr>
            <w:tcW w:type="dxa" w:w="1080"/>
            <w:shd w:fill="EBF5FB" w:val="clear"/>
          </w:tcPr>
          <w:p>
            <w:r>
              <w:rPr>
                <w:sz w:val="16"/>
              </w:rPr>
              <w:t>2,800</w:t>
            </w:r>
          </w:p>
        </w:tc>
        <w:tc>
          <w:tcPr>
            <w:tcW w:type="dxa" w:w="1080"/>
            <w:shd w:fill="EBF5FB" w:val="clear"/>
          </w:tcPr>
          <w:p>
            <w:r>
              <w:rPr>
                <w:b/>
                <w:sz w:val="16"/>
              </w:rPr>
              <w:t>69/100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24</w:t>
            </w:r>
          </w:p>
        </w:tc>
        <w:tc>
          <w:tcPr>
            <w:tcW w:type="dxa" w:w="1080"/>
            <w:shd w:fill="EBF5FB" w:val="clear"/>
          </w:tcPr>
          <w:p>
            <w:r>
              <w:rPr>
                <w:sz w:val="16"/>
              </w:rPr>
              <w:t>BICB</w:t>
            </w:r>
          </w:p>
        </w:tc>
        <w:tc>
          <w:tcPr>
            <w:tcW w:type="dxa" w:w="1080"/>
            <w:shd w:fill="EBF5FB" w:val="clear"/>
          </w:tcPr>
          <w:p>
            <w:r>
              <w:rPr>
                <w:sz w:val="16"/>
              </w:rPr>
              <w:t>SERVICES FINANCIER</w:t>
            </w:r>
          </w:p>
        </w:tc>
        <w:tc>
          <w:tcPr>
            <w:tcW w:type="dxa" w:w="1080"/>
            <w:shd w:fill="EBF5FB" w:val="clear"/>
          </w:tcPr>
          <w:p>
            <w:r>
              <w:rPr>
                <w:sz w:val="16"/>
              </w:rPr>
              <w:t>8,510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25</w:t>
            </w:r>
          </w:p>
        </w:tc>
        <w:tc>
          <w:tcPr>
            <w:tcW w:type="dxa" w:w="1080"/>
            <w:shd w:fill="EBF5FB" w:val="clear"/>
          </w:tcPr>
          <w:p>
            <w:r>
              <w:rPr>
                <w:sz w:val="16"/>
              </w:rPr>
              <w:t>ECOC</w:t>
            </w:r>
          </w:p>
        </w:tc>
        <w:tc>
          <w:tcPr>
            <w:tcW w:type="dxa" w:w="1080"/>
            <w:shd w:fill="EBF5FB" w:val="clear"/>
          </w:tcPr>
          <w:p>
            <w:r>
              <w:rPr>
                <w:sz w:val="16"/>
              </w:rPr>
              <w:t>SERVICES FINANCIER</w:t>
            </w:r>
          </w:p>
        </w:tc>
        <w:tc>
          <w:tcPr>
            <w:tcW w:type="dxa" w:w="1080"/>
            <w:shd w:fill="EBF5FB" w:val="clear"/>
          </w:tcPr>
          <w:p>
            <w:r>
              <w:rPr>
                <w:sz w:val="16"/>
              </w:rPr>
              <w:t>16,845</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26</w:t>
            </w:r>
          </w:p>
        </w:tc>
        <w:tc>
          <w:tcPr>
            <w:tcW w:type="dxa" w:w="1080"/>
            <w:shd w:fill="EBF5FB" w:val="clear"/>
          </w:tcPr>
          <w:p>
            <w:r>
              <w:rPr>
                <w:sz w:val="16"/>
              </w:rPr>
              <w:t>ONTBF</w:t>
            </w:r>
          </w:p>
        </w:tc>
        <w:tc>
          <w:tcPr>
            <w:tcW w:type="dxa" w:w="1080"/>
            <w:shd w:fill="EBF5FB" w:val="clear"/>
          </w:tcPr>
          <w:p>
            <w:r>
              <w:rPr>
                <w:sz w:val="16"/>
              </w:rPr>
              <w:t>TELECOMMUNICATIONS</w:t>
            </w:r>
          </w:p>
        </w:tc>
        <w:tc>
          <w:tcPr>
            <w:tcW w:type="dxa" w:w="1080"/>
            <w:shd w:fill="EBF5FB" w:val="clear"/>
          </w:tcPr>
          <w:p>
            <w:r>
              <w:rPr>
                <w:sz w:val="16"/>
              </w:rPr>
              <w:t>2,900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27</w:t>
            </w:r>
          </w:p>
        </w:tc>
        <w:tc>
          <w:tcPr>
            <w:tcW w:type="dxa" w:w="1080"/>
            <w:shd w:fill="EBF5FB" w:val="clear"/>
          </w:tcPr>
          <w:p>
            <w:r>
              <w:rPr>
                <w:sz w:val="16"/>
              </w:rPr>
              <w:t>SDSC</w:t>
            </w:r>
          </w:p>
        </w:tc>
        <w:tc>
          <w:tcPr>
            <w:tcW w:type="dxa" w:w="1080"/>
            <w:shd w:fill="EBF5FB" w:val="clear"/>
          </w:tcPr>
          <w:p>
            <w:r>
              <w:rPr>
                <w:sz w:val="16"/>
              </w:rPr>
              <w:t>INDUSTRIELS</w:t>
            </w:r>
          </w:p>
        </w:tc>
        <w:tc>
          <w:tcPr>
            <w:tcW w:type="dxa" w:w="1080"/>
            <w:shd w:fill="EBF5FB" w:val="clear"/>
          </w:tcPr>
          <w:p>
            <w:r>
              <w:rPr>
                <w:sz w:val="16"/>
              </w:rPr>
              <w:t>2,635</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28</w:t>
            </w:r>
          </w:p>
        </w:tc>
        <w:tc>
          <w:tcPr>
            <w:tcW w:type="dxa" w:w="1080"/>
            <w:shd w:fill="EBF5FB" w:val="clear"/>
          </w:tcPr>
          <w:p>
            <w:r>
              <w:rPr>
                <w:sz w:val="16"/>
              </w:rPr>
              <w:t>SLBC</w:t>
            </w:r>
          </w:p>
        </w:tc>
        <w:tc>
          <w:tcPr>
            <w:tcW w:type="dxa" w:w="1080"/>
            <w:shd w:fill="EBF5FB" w:val="clear"/>
          </w:tcPr>
          <w:p>
            <w:r>
              <w:rPr>
                <w:sz w:val="16"/>
              </w:rPr>
              <w:t>CONSOMMATION DE BA</w:t>
            </w:r>
          </w:p>
        </w:tc>
        <w:tc>
          <w:tcPr>
            <w:tcW w:type="dxa" w:w="1080"/>
            <w:shd w:fill="EBF5FB" w:val="clear"/>
          </w:tcPr>
          <w:p>
            <w:r>
              <w:rPr>
                <w:sz w:val="16"/>
              </w:rPr>
              <w:t>37,500</w:t>
            </w:r>
          </w:p>
        </w:tc>
        <w:tc>
          <w:tcPr>
            <w:tcW w:type="dxa" w:w="1080"/>
            <w:shd w:fill="EBF5FB" w:val="clear"/>
          </w:tcPr>
          <w:p>
            <w:r>
              <w:rPr>
                <w:b/>
                <w:sz w:val="16"/>
              </w:rPr>
              <w:t>68/100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29</w:t>
            </w:r>
          </w:p>
        </w:tc>
        <w:tc>
          <w:tcPr>
            <w:tcW w:type="dxa" w:w="1080"/>
            <w:shd w:fill="EBF5FB" w:val="clear"/>
          </w:tcPr>
          <w:p>
            <w:r>
              <w:rPr>
                <w:sz w:val="16"/>
              </w:rPr>
              <w:t>SOGC</w:t>
            </w:r>
          </w:p>
        </w:tc>
        <w:tc>
          <w:tcPr>
            <w:tcW w:type="dxa" w:w="1080"/>
            <w:shd w:fill="EBF5FB" w:val="clear"/>
          </w:tcPr>
          <w:p>
            <w:r>
              <w:rPr>
                <w:sz w:val="16"/>
              </w:rPr>
              <w:t>CONSOMMATION DE BA</w:t>
            </w:r>
          </w:p>
        </w:tc>
        <w:tc>
          <w:tcPr>
            <w:tcW w:type="dxa" w:w="1080"/>
            <w:shd w:fill="EBF5FB" w:val="clear"/>
          </w:tcPr>
          <w:p>
            <w:r>
              <w:rPr>
                <w:sz w:val="16"/>
              </w:rPr>
              <w:t>8,200</w:t>
            </w:r>
          </w:p>
        </w:tc>
        <w:tc>
          <w:tcPr>
            <w:tcW w:type="dxa" w:w="1080"/>
            <w:shd w:fill="EBF5FB" w:val="clear"/>
          </w:tcPr>
          <w:p>
            <w:r>
              <w:rPr>
                <w:b/>
                <w:sz w:val="16"/>
              </w:rPr>
              <w:t>68/100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30</w:t>
            </w:r>
          </w:p>
        </w:tc>
        <w:tc>
          <w:tcPr>
            <w:tcW w:type="dxa" w:w="1080"/>
            <w:shd w:fill="EBF5FB" w:val="clear"/>
          </w:tcPr>
          <w:p>
            <w:r>
              <w:rPr>
                <w:sz w:val="16"/>
              </w:rPr>
              <w:t>BICC</w:t>
            </w:r>
          </w:p>
        </w:tc>
        <w:tc>
          <w:tcPr>
            <w:tcW w:type="dxa" w:w="1080"/>
            <w:shd w:fill="EBF5FB" w:val="clear"/>
          </w:tcPr>
          <w:p>
            <w:r>
              <w:rPr>
                <w:sz w:val="16"/>
              </w:rPr>
              <w:t>SERVICES FINANCIER</w:t>
            </w:r>
          </w:p>
        </w:tc>
        <w:tc>
          <w:tcPr>
            <w:tcW w:type="dxa" w:w="1080"/>
            <w:shd w:fill="EBF5FB" w:val="clear"/>
          </w:tcPr>
          <w:p>
            <w:r>
              <w:rPr>
                <w:sz w:val="16"/>
              </w:rPr>
              <w:t>29,970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31</w:t>
            </w:r>
          </w:p>
        </w:tc>
        <w:tc>
          <w:tcPr>
            <w:tcW w:type="dxa" w:w="1080"/>
            <w:shd w:fill="EBF5FB" w:val="clear"/>
          </w:tcPr>
          <w:p>
            <w:r>
              <w:rPr>
                <w:sz w:val="16"/>
              </w:rPr>
              <w:t>LNBB</w:t>
            </w:r>
          </w:p>
        </w:tc>
        <w:tc>
          <w:tcPr>
            <w:tcW w:type="dxa" w:w="1080"/>
            <w:shd w:fill="EBF5FB" w:val="clear"/>
          </w:tcPr>
          <w:p>
            <w:r>
              <w:rPr>
                <w:sz w:val="16"/>
              </w:rPr>
              <w:t>CONSOMMATION DISCR</w:t>
            </w:r>
          </w:p>
        </w:tc>
        <w:tc>
          <w:tcPr>
            <w:tcW w:type="dxa" w:w="1080"/>
            <w:shd w:fill="EBF5FB" w:val="clear"/>
          </w:tcPr>
          <w:p>
            <w:r>
              <w:rPr>
                <w:sz w:val="16"/>
              </w:rPr>
              <w:t>4,005</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32</w:t>
            </w:r>
          </w:p>
        </w:tc>
        <w:tc>
          <w:tcPr>
            <w:tcW w:type="dxa" w:w="1080"/>
            <w:shd w:fill="EBF5FB" w:val="clear"/>
          </w:tcPr>
          <w:p>
            <w:r>
              <w:rPr>
                <w:sz w:val="16"/>
              </w:rPr>
              <w:t>NTLC</w:t>
            </w:r>
          </w:p>
        </w:tc>
        <w:tc>
          <w:tcPr>
            <w:tcW w:type="dxa" w:w="1080"/>
            <w:shd w:fill="EBF5FB" w:val="clear"/>
          </w:tcPr>
          <w:p>
            <w:r>
              <w:rPr>
                <w:sz w:val="16"/>
              </w:rPr>
              <w:t>CONSOMMATION DE BA</w:t>
            </w:r>
          </w:p>
        </w:tc>
        <w:tc>
          <w:tcPr>
            <w:tcW w:type="dxa" w:w="1080"/>
            <w:shd w:fill="EBF5FB" w:val="clear"/>
          </w:tcPr>
          <w:p>
            <w:r>
              <w:rPr>
                <w:sz w:val="16"/>
              </w:rPr>
              <w:t>16,900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33</w:t>
            </w:r>
          </w:p>
        </w:tc>
        <w:tc>
          <w:tcPr>
            <w:tcW w:type="dxa" w:w="1080"/>
            <w:shd w:fill="EBF5FB" w:val="clear"/>
          </w:tcPr>
          <w:p>
            <w:r>
              <w:rPr>
                <w:sz w:val="16"/>
              </w:rPr>
              <w:t>ORGT</w:t>
            </w:r>
          </w:p>
        </w:tc>
        <w:tc>
          <w:tcPr>
            <w:tcW w:type="dxa" w:w="1080"/>
            <w:shd w:fill="EBF5FB" w:val="clear"/>
          </w:tcPr>
          <w:p>
            <w:r>
              <w:rPr>
                <w:sz w:val="16"/>
              </w:rPr>
              <w:t>SERVICES FINANCIER</w:t>
            </w:r>
          </w:p>
        </w:tc>
        <w:tc>
          <w:tcPr>
            <w:tcW w:type="dxa" w:w="1080"/>
            <w:shd w:fill="EBF5FB" w:val="clear"/>
          </w:tcPr>
          <w:p>
            <w:r>
              <w:rPr>
                <w:sz w:val="16"/>
              </w:rPr>
              <w:t>3,180</w:t>
            </w:r>
          </w:p>
        </w:tc>
        <w:tc>
          <w:tcPr>
            <w:tcW w:type="dxa" w:w="1080"/>
            <w:shd w:fill="EBF5FB" w:val="clear"/>
          </w:tcPr>
          <w:p>
            <w:r>
              <w:rPr>
                <w:b/>
                <w:sz w:val="16"/>
              </w:rPr>
              <w:t>67/100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34</w:t>
            </w:r>
          </w:p>
        </w:tc>
        <w:tc>
          <w:tcPr>
            <w:tcW w:type="dxa" w:w="1080"/>
            <w:shd w:fill="EBF5FB" w:val="clear"/>
          </w:tcPr>
          <w:p>
            <w:r>
              <w:rPr>
                <w:sz w:val="16"/>
              </w:rPr>
              <w:t>SIBC</w:t>
            </w:r>
          </w:p>
        </w:tc>
        <w:tc>
          <w:tcPr>
            <w:tcW w:type="dxa" w:w="1080"/>
            <w:shd w:fill="EBF5FB" w:val="clear"/>
          </w:tcPr>
          <w:p>
            <w:r>
              <w:rPr>
                <w:sz w:val="16"/>
              </w:rPr>
              <w:t>SERVICES FINANCIER</w:t>
            </w:r>
          </w:p>
        </w:tc>
        <w:tc>
          <w:tcPr>
            <w:tcW w:type="dxa" w:w="1080"/>
            <w:shd w:fill="EBF5FB" w:val="clear"/>
          </w:tcPr>
          <w:p>
            <w:r>
              <w:rPr>
                <w:sz w:val="16"/>
              </w:rPr>
              <w:t>9,200</w:t>
            </w:r>
          </w:p>
        </w:tc>
        <w:tc>
          <w:tcPr>
            <w:tcW w:type="dxa" w:w="1080"/>
            <w:shd w:fill="EBF5FB" w:val="clear"/>
          </w:tcPr>
          <w:p>
            <w:r>
              <w:rPr>
                <w:b/>
                <w:sz w:val="16"/>
              </w:rPr>
              <w:t>67/100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35</w:t>
            </w:r>
          </w:p>
        </w:tc>
        <w:tc>
          <w:tcPr>
            <w:tcW w:type="dxa" w:w="1080"/>
            <w:shd w:fill="EBF5FB" w:val="clear"/>
          </w:tcPr>
          <w:p>
            <w:r>
              <w:rPr>
                <w:sz w:val="16"/>
              </w:rPr>
              <w:t>ETIT</w:t>
            </w:r>
          </w:p>
        </w:tc>
        <w:tc>
          <w:tcPr>
            <w:tcW w:type="dxa" w:w="1080"/>
            <w:shd w:fill="EBF5FB" w:val="clear"/>
          </w:tcPr>
          <w:p>
            <w:r>
              <w:rPr>
                <w:sz w:val="16"/>
              </w:rPr>
              <w:t>SERVICES FINANCIER</w:t>
            </w:r>
          </w:p>
        </w:tc>
        <w:tc>
          <w:tcPr>
            <w:tcW w:type="dxa" w:w="1080"/>
            <w:shd w:fill="EBF5FB" w:val="clear"/>
          </w:tcPr>
          <w:p>
            <w:r>
              <w:rPr>
                <w:sz w:val="16"/>
              </w:rPr>
              <w:t>67</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36</w:t>
            </w:r>
          </w:p>
        </w:tc>
        <w:tc>
          <w:tcPr>
            <w:tcW w:type="dxa" w:w="1080"/>
            <w:shd w:fill="EBF5FB" w:val="clear"/>
          </w:tcPr>
          <w:p>
            <w:r>
              <w:rPr>
                <w:sz w:val="16"/>
              </w:rPr>
              <w:t>SEMC</w:t>
            </w:r>
          </w:p>
        </w:tc>
        <w:tc>
          <w:tcPr>
            <w:tcW w:type="dxa" w:w="1080"/>
            <w:shd w:fill="EBF5FB" w:val="clear"/>
          </w:tcPr>
          <w:p>
            <w:r>
              <w:rPr>
                <w:sz w:val="16"/>
              </w:rPr>
              <w:t>INDUSTRIELS</w:t>
            </w:r>
          </w:p>
        </w:tc>
        <w:tc>
          <w:tcPr>
            <w:tcW w:type="dxa" w:w="1080"/>
            <w:shd w:fill="EBF5FB" w:val="clear"/>
          </w:tcPr>
          <w:p>
            <w:r>
              <w:rPr>
                <w:sz w:val="16"/>
              </w:rPr>
              <w:t>1,450</w:t>
            </w:r>
          </w:p>
        </w:tc>
        <w:tc>
          <w:tcPr>
            <w:tcW w:type="dxa" w:w="1080"/>
            <w:shd w:fill="EBF5FB" w:val="clear"/>
          </w:tcPr>
          <w:p>
            <w:r>
              <w:rPr>
                <w:b/>
                <w:sz w:val="16"/>
              </w:rPr>
              <w:t>66/100  (Bon)</w:t>
            </w:r>
          </w:p>
        </w:tc>
        <w:tc>
          <w:tcPr>
            <w:tcW w:type="dxa" w:w="1080"/>
            <w:shd w:fill="EBF5FB" w:val="clear"/>
          </w:tcPr>
          <w:p>
            <w:r>
              <w:rPr>
                <w:sz w:val="16"/>
              </w:rPr>
              <w:t>ACHAT</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37</w:t>
            </w:r>
          </w:p>
        </w:tc>
        <w:tc>
          <w:tcPr>
            <w:tcW w:type="dxa" w:w="1080"/>
            <w:shd w:fill="EBF5FB" w:val="clear"/>
          </w:tcPr>
          <w:p>
            <w:r>
              <w:rPr>
                <w:sz w:val="16"/>
              </w:rPr>
              <w:t>SMBC</w:t>
            </w:r>
          </w:p>
        </w:tc>
        <w:tc>
          <w:tcPr>
            <w:tcW w:type="dxa" w:w="1080"/>
            <w:shd w:fill="EBF5FB" w:val="clear"/>
          </w:tcPr>
          <w:p>
            <w:r>
              <w:rPr>
                <w:sz w:val="16"/>
              </w:rPr>
              <w:t>ENERGIE</w:t>
            </w:r>
          </w:p>
        </w:tc>
        <w:tc>
          <w:tcPr>
            <w:tcW w:type="dxa" w:w="1080"/>
            <w:shd w:fill="EBF5FB" w:val="clear"/>
          </w:tcPr>
          <w:p>
            <w:r>
              <w:rPr>
                <w:sz w:val="16"/>
              </w:rPr>
              <w:t>17,100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38</w:t>
            </w:r>
          </w:p>
        </w:tc>
        <w:tc>
          <w:tcPr>
            <w:tcW w:type="dxa" w:w="1080"/>
            <w:shd w:fill="EBF5FB" w:val="clear"/>
          </w:tcPr>
          <w:p>
            <w:r>
              <w:rPr>
                <w:sz w:val="16"/>
              </w:rPr>
              <w:t>STAC</w:t>
            </w:r>
          </w:p>
        </w:tc>
        <w:tc>
          <w:tcPr>
            <w:tcW w:type="dxa" w:w="1080"/>
            <w:shd w:fill="EBF5FB" w:val="clear"/>
          </w:tcPr>
          <w:p>
            <w:r>
              <w:rPr>
                <w:sz w:val="16"/>
              </w:rPr>
              <w:t>INDUSTRIELS</w:t>
            </w:r>
          </w:p>
        </w:tc>
        <w:tc>
          <w:tcPr>
            <w:tcW w:type="dxa" w:w="1080"/>
            <w:shd w:fill="EBF5FB" w:val="clear"/>
          </w:tcPr>
          <w:p>
            <w:r>
              <w:rPr>
                <w:sz w:val="16"/>
              </w:rPr>
              <w:t>2,600</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39</w:t>
            </w:r>
          </w:p>
        </w:tc>
        <w:tc>
          <w:tcPr>
            <w:tcW w:type="dxa" w:w="1080"/>
            <w:shd w:fill="EBF5FB" w:val="clear"/>
          </w:tcPr>
          <w:p>
            <w:r>
              <w:rPr>
                <w:sz w:val="16"/>
              </w:rPr>
              <w:t>TTLS</w:t>
            </w:r>
          </w:p>
        </w:tc>
        <w:tc>
          <w:tcPr>
            <w:tcW w:type="dxa" w:w="1080"/>
            <w:shd w:fill="EBF5FB" w:val="clear"/>
          </w:tcPr>
          <w:p>
            <w:r>
              <w:rPr>
                <w:sz w:val="16"/>
              </w:rPr>
              <w:t>ENERGIE</w:t>
            </w:r>
          </w:p>
        </w:tc>
        <w:tc>
          <w:tcPr>
            <w:tcW w:type="dxa" w:w="1080"/>
            <w:shd w:fill="EBF5FB" w:val="clear"/>
          </w:tcPr>
          <w:p>
            <w:r>
              <w:rPr>
                <w:sz w:val="16"/>
              </w:rPr>
              <w:t>3,685</w:t>
            </w:r>
          </w:p>
        </w:tc>
        <w:tc>
          <w:tcPr>
            <w:tcW w:type="dxa" w:w="1080"/>
            <w:shd w:fill="EBF5FB" w:val="clear"/>
          </w:tcPr>
          <w:p>
            <w:r>
              <w:rPr>
                <w:b/>
                <w:sz w:val="16"/>
              </w:rPr>
              <w:t>66/100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40</w:t>
            </w:r>
          </w:p>
        </w:tc>
        <w:tc>
          <w:tcPr>
            <w:tcW w:type="dxa" w:w="1080"/>
            <w:shd w:fill="EBF5FB" w:val="clear"/>
          </w:tcPr>
          <w:p>
            <w:r>
              <w:rPr>
                <w:sz w:val="16"/>
              </w:rPr>
              <w:t>CBIBF</w:t>
            </w:r>
          </w:p>
        </w:tc>
        <w:tc>
          <w:tcPr>
            <w:tcW w:type="dxa" w:w="1080"/>
            <w:shd w:fill="EBF5FB" w:val="clear"/>
          </w:tcPr>
          <w:p>
            <w:r>
              <w:rPr>
                <w:sz w:val="16"/>
              </w:rPr>
              <w:t>SERVICES FINANCIER</w:t>
            </w:r>
          </w:p>
        </w:tc>
        <w:tc>
          <w:tcPr>
            <w:tcW w:type="dxa" w:w="1080"/>
            <w:shd w:fill="EBF5FB" w:val="clear"/>
          </w:tcPr>
          <w:p>
            <w:r>
              <w:rPr>
                <w:sz w:val="16"/>
              </w:rPr>
              <w:t>29,390</w:t>
            </w:r>
          </w:p>
        </w:tc>
        <w:tc>
          <w:tcPr>
            <w:tcW w:type="dxa" w:w="1080"/>
            <w:shd w:fill="EBF5FB" w:val="clear"/>
          </w:tcPr>
          <w:p>
            <w:r>
              <w:rPr>
                <w:b/>
                <w:sz w:val="16"/>
              </w:rPr>
              <w:t>65/100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41</w:t>
            </w:r>
          </w:p>
        </w:tc>
        <w:tc>
          <w:tcPr>
            <w:tcW w:type="dxa" w:w="1080"/>
            <w:shd w:fill="EBF5FB" w:val="clear"/>
          </w:tcPr>
          <w:p>
            <w:r>
              <w:rPr>
                <w:sz w:val="16"/>
              </w:rPr>
              <w:t>PRSC</w:t>
            </w:r>
          </w:p>
        </w:tc>
        <w:tc>
          <w:tcPr>
            <w:tcW w:type="dxa" w:w="1080"/>
            <w:shd w:fill="EBF5FB" w:val="clear"/>
          </w:tcPr>
          <w:p>
            <w:r>
              <w:rPr>
                <w:sz w:val="16"/>
              </w:rPr>
              <w:t>CONSOMMATION DISCR</w:t>
            </w:r>
          </w:p>
        </w:tc>
        <w:tc>
          <w:tcPr>
            <w:tcW w:type="dxa" w:w="1080"/>
            <w:shd w:fill="EBF5FB" w:val="clear"/>
          </w:tcPr>
          <w:p>
            <w:r>
              <w:rPr>
                <w:sz w:val="16"/>
              </w:rPr>
              <w:t>4,545</w:t>
            </w:r>
          </w:p>
        </w:tc>
        <w:tc>
          <w:tcPr>
            <w:tcW w:type="dxa" w:w="1080"/>
            <w:shd w:fill="EBF5FB" w:val="clear"/>
          </w:tcPr>
          <w:p>
            <w:r>
              <w:rPr>
                <w:b/>
                <w:sz w:val="16"/>
              </w:rPr>
              <w:t>60/100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42</w:t>
            </w:r>
          </w:p>
        </w:tc>
        <w:tc>
          <w:tcPr>
            <w:tcW w:type="dxa" w:w="1080"/>
            <w:shd w:fill="EBF5FB" w:val="clear"/>
          </w:tcPr>
          <w:p>
            <w:r>
              <w:rPr>
                <w:sz w:val="16"/>
              </w:rPr>
              <w:t>BOAC</w:t>
            </w:r>
          </w:p>
        </w:tc>
        <w:tc>
          <w:tcPr>
            <w:tcW w:type="dxa" w:w="1080"/>
            <w:shd w:fill="EBF5FB" w:val="clear"/>
          </w:tcPr>
          <w:p>
            <w:r>
              <w:rPr>
                <w:sz w:val="16"/>
              </w:rPr>
              <w:t>SERVICES FINANCIER</w:t>
            </w:r>
          </w:p>
        </w:tc>
        <w:tc>
          <w:tcPr>
            <w:tcW w:type="dxa" w:w="1080"/>
            <w:shd w:fill="EBF5FB" w:val="clear"/>
          </w:tcPr>
          <w:p>
            <w:r>
              <w:rPr>
                <w:sz w:val="16"/>
              </w:rPr>
              <w:t>12,700</w:t>
            </w:r>
          </w:p>
        </w:tc>
        <w:tc>
          <w:tcPr>
            <w:tcW w:type="dxa" w:w="1080"/>
            <w:shd w:fill="EBF5FB" w:val="clear"/>
          </w:tcPr>
          <w:p>
            <w:r>
              <w:rPr>
                <w:b/>
                <w:sz w:val="16"/>
              </w:rPr>
              <w:t>58/100  (Bon)</w:t>
            </w:r>
          </w:p>
        </w:tc>
        <w:tc>
          <w:tcPr>
            <w:tcW w:type="dxa" w:w="1080"/>
            <w:shd w:fill="EBF5FB" w:val="clear"/>
          </w:tcPr>
          <w:p>
            <w:r>
              <w:rPr>
                <w:sz w:val="16"/>
              </w:rPr>
              <w:t>VENTE</w:t>
            </w:r>
          </w:p>
        </w:tc>
        <w:tc>
          <w:tcPr>
            <w:tcW w:type="dxa" w:w="1080"/>
            <w:shd w:fill="EBF5FB" w:val="clear"/>
          </w:tcPr>
          <w:p>
            <w:r>
              <w:rPr>
                <w:sz w:val="16"/>
              </w:rPr>
              <w:t>NEUTRE</w:t>
            </w:r>
          </w:p>
        </w:tc>
        <w:tc>
          <w:tcPr>
            <w:tcW w:type="dxa" w:w="1080"/>
            <w:shd w:fill="EBF5FB" w:val="clear"/>
          </w:tcPr>
          <w:p>
            <w:r>
              <w:rPr>
                <w:sz w:val="16"/>
              </w:rPr>
              <w:t>CONSERVER ⚠️</w:t>
            </w:r>
          </w:p>
        </w:tc>
      </w:tr>
      <w:tr>
        <w:tc>
          <w:tcPr>
            <w:tcW w:type="dxa" w:w="1080"/>
            <w:shd w:fill="EBF5FB" w:val="clear"/>
          </w:tcPr>
          <w:p>
            <w:r>
              <w:rPr>
                <w:sz w:val="16"/>
              </w:rPr>
              <w:t>43</w:t>
            </w:r>
          </w:p>
        </w:tc>
        <w:tc>
          <w:tcPr>
            <w:tcW w:type="dxa" w:w="1080"/>
            <w:shd w:fill="EBF5FB" w:val="clear"/>
          </w:tcPr>
          <w:p>
            <w:r>
              <w:rPr>
                <w:sz w:val="16"/>
              </w:rPr>
              <w:t>SICC</w:t>
            </w:r>
          </w:p>
        </w:tc>
        <w:tc>
          <w:tcPr>
            <w:tcW w:type="dxa" w:w="1080"/>
            <w:shd w:fill="EBF5FB" w:val="clear"/>
          </w:tcPr>
          <w:p>
            <w:r>
              <w:rPr>
                <w:sz w:val="16"/>
              </w:rPr>
              <w:t>CONSOMMATION DE BA</w:t>
            </w:r>
          </w:p>
        </w:tc>
        <w:tc>
          <w:tcPr>
            <w:tcW w:type="dxa" w:w="1080"/>
            <w:shd w:fill="EBF5FB" w:val="clear"/>
          </w:tcPr>
          <w:p>
            <w:r>
              <w:rPr>
                <w:sz w:val="16"/>
              </w:rPr>
              <w:t>8,010</w:t>
            </w:r>
          </w:p>
        </w:tc>
        <w:tc>
          <w:tcPr>
            <w:tcW w:type="dxa" w:w="1080"/>
            <w:shd w:fill="EBF5FB" w:val="clear"/>
          </w:tcPr>
          <w:p>
            <w:r>
              <w:rPr>
                <w:b/>
                <w:sz w:val="16"/>
              </w:rPr>
              <w:t>58/100  (Bon)</w:t>
            </w:r>
          </w:p>
        </w:tc>
        <w:tc>
          <w:tcPr>
            <w:tcW w:type="dxa" w:w="1080"/>
            <w:shd w:fill="EBF5FB" w:val="clear"/>
          </w:tcPr>
          <w:p>
            <w:r>
              <w:rPr>
                <w:sz w:val="16"/>
              </w:rPr>
              <w:t>NEUTRE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44</w:t>
            </w:r>
          </w:p>
        </w:tc>
        <w:tc>
          <w:tcPr>
            <w:tcW w:type="dxa" w:w="1080"/>
            <w:shd w:fill="EBF5FB" w:val="clear"/>
          </w:tcPr>
          <w:p>
            <w:r>
              <w:rPr>
                <w:sz w:val="16"/>
              </w:rPr>
              <w:t>SGBC</w:t>
            </w:r>
          </w:p>
        </w:tc>
        <w:tc>
          <w:tcPr>
            <w:tcW w:type="dxa" w:w="1080"/>
            <w:shd w:fill="EBF5FB" w:val="clear"/>
          </w:tcPr>
          <w:p>
            <w:r>
              <w:rPr>
                <w:sz w:val="16"/>
              </w:rPr>
              <w:t>SERVICES FINANCIER</w:t>
            </w:r>
          </w:p>
        </w:tc>
        <w:tc>
          <w:tcPr>
            <w:tcW w:type="dxa" w:w="1080"/>
            <w:shd w:fill="EBF5FB" w:val="clear"/>
          </w:tcPr>
          <w:p>
            <w:r>
              <w:rPr>
                <w:sz w:val="16"/>
              </w:rPr>
              <w:t>38,500</w:t>
            </w:r>
          </w:p>
        </w:tc>
        <w:tc>
          <w:tcPr>
            <w:tcW w:type="dxa" w:w="1080"/>
            <w:shd w:fill="EBF5FB" w:val="clear"/>
          </w:tcPr>
          <w:p>
            <w:r>
              <w:rPr>
                <w:b/>
                <w:sz w:val="16"/>
              </w:rPr>
              <w:t>56/100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EBF5FB" w:val="clear"/>
          </w:tcPr>
          <w:p>
            <w:r>
              <w:rPr>
                <w:sz w:val="16"/>
              </w:rPr>
              <w:t>45</w:t>
            </w:r>
          </w:p>
        </w:tc>
        <w:tc>
          <w:tcPr>
            <w:tcW w:type="dxa" w:w="1080"/>
            <w:shd w:fill="EBF5FB" w:val="clear"/>
          </w:tcPr>
          <w:p>
            <w:r>
              <w:rPr>
                <w:sz w:val="16"/>
              </w:rPr>
              <w:t>UNLC</w:t>
            </w:r>
          </w:p>
        </w:tc>
        <w:tc>
          <w:tcPr>
            <w:tcW w:type="dxa" w:w="1080"/>
            <w:shd w:fill="EBF5FB" w:val="clear"/>
          </w:tcPr>
          <w:p>
            <w:r>
              <w:rPr>
                <w:sz w:val="16"/>
              </w:rPr>
              <w:t>CONSOMMATION DE BA</w:t>
            </w:r>
          </w:p>
        </w:tc>
        <w:tc>
          <w:tcPr>
            <w:tcW w:type="dxa" w:w="1080"/>
            <w:shd w:fill="EBF5FB" w:val="clear"/>
          </w:tcPr>
          <w:p>
            <w:r>
              <w:rPr>
                <w:sz w:val="16"/>
              </w:rPr>
              <w:t>52,200</w:t>
            </w:r>
          </w:p>
        </w:tc>
        <w:tc>
          <w:tcPr>
            <w:tcW w:type="dxa" w:w="1080"/>
            <w:shd w:fill="EBF5FB" w:val="clear"/>
          </w:tcPr>
          <w:p>
            <w:r>
              <w:rPr>
                <w:b/>
                <w:sz w:val="16"/>
              </w:rPr>
              <w:t>55/100  (Bon)</w:t>
            </w:r>
          </w:p>
        </w:tc>
        <w:tc>
          <w:tcPr>
            <w:tcW w:type="dxa" w:w="1080"/>
            <w:shd w:fill="EBF5FB" w:val="clear"/>
          </w:tcPr>
          <w:p>
            <w:r>
              <w:rPr>
                <w:sz w:val="16"/>
              </w:rPr>
              <w:t>VENTE</w:t>
            </w:r>
          </w:p>
        </w:tc>
        <w:tc>
          <w:tcPr>
            <w:tcW w:type="dxa" w:w="1080"/>
            <w:shd w:fill="EBF5FB" w:val="clear"/>
          </w:tcPr>
          <w:p>
            <w:r>
              <w:rPr>
                <w:sz w:val="16"/>
              </w:rPr>
              <w:t>ACHAT</w:t>
            </w:r>
          </w:p>
        </w:tc>
        <w:tc>
          <w:tcPr>
            <w:tcW w:type="dxa" w:w="1080"/>
            <w:shd w:fill="EBF5FB" w:val="clear"/>
          </w:tcPr>
          <w:p>
            <w:r>
              <w:rPr>
                <w:color w:val="008000"/>
                <w:sz w:val="16"/>
              </w:rPr>
              <w:t>ACHAT</w:t>
            </w:r>
          </w:p>
        </w:tc>
      </w:tr>
      <w:tr>
        <w:tc>
          <w:tcPr>
            <w:tcW w:type="dxa" w:w="1080"/>
            <w:shd w:fill="FEFEFE" w:val="clear"/>
          </w:tcPr>
          <w:p>
            <w:r>
              <w:rPr>
                <w:sz w:val="16"/>
              </w:rPr>
              <w:t>46</w:t>
            </w:r>
          </w:p>
        </w:tc>
        <w:tc>
          <w:tcPr>
            <w:tcW w:type="dxa" w:w="1080"/>
            <w:shd w:fill="FEFEFE" w:val="clear"/>
          </w:tcPr>
          <w:p>
            <w:r>
              <w:rPr>
                <w:sz w:val="16"/>
              </w:rPr>
              <w:t>SIVC</w:t>
            </w:r>
          </w:p>
        </w:tc>
        <w:tc>
          <w:tcPr>
            <w:tcW w:type="dxa" w:w="1080"/>
            <w:shd w:fill="FEFEFE" w:val="clear"/>
          </w:tcPr>
          <w:p>
            <w:r>
              <w:rPr>
                <w:sz w:val="16"/>
              </w:rPr>
              <w:t>INDUSTRIELS</w:t>
            </w:r>
          </w:p>
        </w:tc>
        <w:tc>
          <w:tcPr>
            <w:tcW w:type="dxa" w:w="1080"/>
            <w:shd w:fill="FEFEFE" w:val="clear"/>
          </w:tcPr>
          <w:p>
            <w:r>
              <w:rPr>
                <w:sz w:val="16"/>
              </w:rPr>
              <w:t>2,365</w:t>
            </w:r>
          </w:p>
        </w:tc>
        <w:tc>
          <w:tcPr>
            <w:tcW w:type="dxa" w:w="1080"/>
            <w:shd w:fill="FEFEFE" w:val="clear"/>
          </w:tcPr>
          <w:p>
            <w:r>
              <w:rPr>
                <w:b/>
                <w:sz w:val="16"/>
              </w:rPr>
              <w:t>54/100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 ⚠️</w:t>
            </w:r>
          </w:p>
        </w:tc>
      </w:tr>
      <w:tr>
        <w:tc>
          <w:tcPr>
            <w:tcW w:type="dxa" w:w="1080"/>
            <w:shd w:fill="FEFEFE" w:val="clear"/>
          </w:tcPr>
          <w:p>
            <w:r>
              <w:rPr>
                <w:sz w:val="16"/>
              </w:rPr>
              <w:t>47</w:t>
            </w:r>
          </w:p>
        </w:tc>
        <w:tc>
          <w:tcPr>
            <w:tcW w:type="dxa" w:w="1080"/>
            <w:shd w:fill="FEFEFE" w:val="clear"/>
          </w:tcPr>
          <w:p>
            <w:r>
              <w:rPr>
                <w:sz w:val="16"/>
              </w:rPr>
              <w:t>STBC</w:t>
            </w:r>
          </w:p>
        </w:tc>
        <w:tc>
          <w:tcPr>
            <w:tcW w:type="dxa" w:w="1080"/>
            <w:shd w:fill="FEFEFE" w:val="clear"/>
          </w:tcPr>
          <w:p>
            <w:r>
              <w:rPr>
                <w:sz w:val="16"/>
              </w:rPr>
              <w:t>CONSOMMATION DE BA</w:t>
            </w:r>
          </w:p>
        </w:tc>
        <w:tc>
          <w:tcPr>
            <w:tcW w:type="dxa" w:w="1080"/>
            <w:shd w:fill="FEFEFE" w:val="clear"/>
          </w:tcPr>
          <w:p>
            <w:r>
              <w:rPr>
                <w:sz w:val="16"/>
              </w:rPr>
              <w:t>22,690</w:t>
            </w:r>
          </w:p>
        </w:tc>
        <w:tc>
          <w:tcPr>
            <w:tcW w:type="dxa" w:w="1080"/>
            <w:shd w:fill="FEFEFE" w:val="clear"/>
          </w:tcPr>
          <w:p>
            <w:r>
              <w:rPr>
                <w:b/>
                <w:sz w:val="16"/>
              </w:rPr>
              <w:t>49/100  (Moyen)</w:t>
            </w:r>
          </w:p>
        </w:tc>
        <w:tc>
          <w:tcPr>
            <w:tcW w:type="dxa" w:w="1080"/>
            <w:shd w:fill="FEFEFE" w:val="clear"/>
          </w:tcPr>
          <w:p>
            <w:r>
              <w:rPr>
                <w:sz w:val="16"/>
              </w:rPr>
              <w:t>VENTE</w:t>
            </w:r>
          </w:p>
        </w:tc>
        <w:tc>
          <w:tcPr>
            <w:tcW w:type="dxa" w:w="1080"/>
            <w:shd w:fill="FEFEFE" w:val="clear"/>
          </w:tcPr>
          <w:p>
            <w:r>
              <w:rPr>
                <w:sz w:val="16"/>
              </w:rPr>
              <w:t>NEUTRE</w:t>
            </w:r>
          </w:p>
        </w:tc>
        <w:tc>
          <w:tcPr>
            <w:tcW w:type="dxa" w:w="1080"/>
            <w:shd w:fill="FEFEFE" w:val="clear"/>
          </w:tcPr>
          <w:p>
            <w:r>
              <w:rPr>
                <w:sz w:val="16"/>
              </w:rPr>
              <w:t>CONSERVER</w:t>
            </w:r>
          </w:p>
        </w:tc>
      </w:tr>
    </w:tbl>
    <w:p/>
    <w:p>
      <w:r>
        <w:br w:type="page"/>
      </w:r>
    </w:p>
    <w:p>
      <w:pPr>
        <w:pStyle w:val="Heading1"/>
      </w:pPr>
      <w:r>
        <w:t>💼 PORTEFEUILLES MODÈLES</w:t>
      </w:r>
    </w:p>
    <w:p>
      <w:r>
        <w:t>Trois portefeuilles construits automatiquement selon le score composite, le niveau de risque et la liquidité. Les pondérations sont indicatives et équipondérées. Position cash recommandée incluse.</w:t>
      </w:r>
    </w:p>
    <w:p/>
    <w:p>
      <w:pPr>
        <w:pStyle w:val="Heading3"/>
      </w:pPr>
      <w:r>
        <w:t>🔵 Portefeuille DÉFENSIF</w:t>
      </w:r>
    </w:p>
    <w:p>
      <w:r>
        <w:rPr>
          <w:i/>
          <w:sz w:val="18"/>
        </w:rPr>
        <w:t>Faible risque, haute liquidité, score ≥ 45. Adapté aux investisseurs prudents.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DEEAF1" w:val="clear"/>
          </w:tcPr>
          <w:p>
            <w:r>
              <w:rPr>
                <w:sz w:val="17"/>
              </w:rPr>
              <w:t>UNXC</w:t>
            </w:r>
          </w:p>
        </w:tc>
        <w:tc>
          <w:tcPr>
            <w:tcW w:type="dxa" w:w="1728"/>
            <w:shd w:fill="DEEAF1" w:val="clear"/>
          </w:tcPr>
          <w:p>
            <w:r>
              <w:rPr>
                <w:sz w:val="17"/>
              </w:rPr>
              <w:t>UNXC - UNIWAX COTE D'IVOIRE</w:t>
            </w:r>
          </w:p>
        </w:tc>
        <w:tc>
          <w:tcPr>
            <w:tcW w:type="dxa" w:w="1728"/>
            <w:shd w:fill="DEEAF1" w:val="clear"/>
          </w:tcPr>
          <w:p>
            <w:r>
              <w:rPr>
                <w:sz w:val="17"/>
              </w:rPr>
              <w:t>2,415</w:t>
            </w:r>
          </w:p>
        </w:tc>
        <w:tc>
          <w:tcPr>
            <w:tcW w:type="dxa" w:w="1728"/>
            <w:shd w:fill="DEEAF1" w:val="clear"/>
          </w:tcPr>
          <w:p>
            <w:r>
              <w:rPr>
                <w:sz w:val="17"/>
              </w:rPr>
              <w:t>75/100</w:t>
            </w:r>
          </w:p>
        </w:tc>
        <w:tc>
          <w:tcPr>
            <w:tcW w:type="dxa" w:w="1728"/>
            <w:shd w:fill="DEEAF1" w:val="clear"/>
          </w:tcPr>
          <w:p>
            <w:r>
              <w:rPr>
                <w:sz w:val="17"/>
              </w:rPr>
              <w:t>10.6%</w:t>
            </w:r>
          </w:p>
        </w:tc>
      </w:tr>
      <w:tr>
        <w:tc>
          <w:tcPr>
            <w:tcW w:type="dxa" w:w="1728"/>
            <w:shd w:fill="DEEAF1" w:val="clear"/>
          </w:tcPr>
          <w:p>
            <w:r>
              <w:rPr>
                <w:sz w:val="17"/>
              </w:rPr>
              <w:t>BOABF</w:t>
            </w:r>
          </w:p>
        </w:tc>
        <w:tc>
          <w:tcPr>
            <w:tcW w:type="dxa" w:w="1728"/>
            <w:shd w:fill="DEEAF1" w:val="clear"/>
          </w:tcPr>
          <w:p>
            <w:r>
              <w:rPr>
                <w:sz w:val="17"/>
              </w:rPr>
              <w:t>BANK OF AFRICA BURKINA FASO</w:t>
            </w:r>
          </w:p>
        </w:tc>
        <w:tc>
          <w:tcPr>
            <w:tcW w:type="dxa" w:w="1728"/>
            <w:shd w:fill="DEEAF1" w:val="clear"/>
          </w:tcPr>
          <w:p>
            <w:r>
              <w:rPr>
                <w:sz w:val="17"/>
              </w:rPr>
              <w:t>9,090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BOAM</w:t>
            </w:r>
          </w:p>
        </w:tc>
        <w:tc>
          <w:tcPr>
            <w:tcW w:type="dxa" w:w="1728"/>
            <w:shd w:fill="DEEAF1" w:val="clear"/>
          </w:tcPr>
          <w:p>
            <w:r>
              <w:rPr>
                <w:sz w:val="17"/>
              </w:rPr>
              <w:t>BANK OF AFRICA MALI</w:t>
            </w:r>
          </w:p>
        </w:tc>
        <w:tc>
          <w:tcPr>
            <w:tcW w:type="dxa" w:w="1728"/>
            <w:shd w:fill="DEEAF1" w:val="clear"/>
          </w:tcPr>
          <w:p>
            <w:r>
              <w:rPr>
                <w:sz w:val="17"/>
              </w:rPr>
              <w:t>6,650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BOAS</w:t>
            </w:r>
          </w:p>
        </w:tc>
        <w:tc>
          <w:tcPr>
            <w:tcW w:type="dxa" w:w="1728"/>
            <w:shd w:fill="DEEAF1" w:val="clear"/>
          </w:tcPr>
          <w:p>
            <w:r>
              <w:rPr>
                <w:sz w:val="17"/>
              </w:rPr>
              <w:t>BANK OF AFRICA SENEGAL</w:t>
            </w:r>
          </w:p>
        </w:tc>
        <w:tc>
          <w:tcPr>
            <w:tcW w:type="dxa" w:w="1728"/>
            <w:shd w:fill="DEEAF1" w:val="clear"/>
          </w:tcPr>
          <w:p>
            <w:r>
              <w:rPr>
                <w:sz w:val="17"/>
              </w:rPr>
              <w:t>8,445</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CABC</w:t>
            </w:r>
          </w:p>
        </w:tc>
        <w:tc>
          <w:tcPr>
            <w:tcW w:type="dxa" w:w="1728"/>
            <w:shd w:fill="DEEAF1" w:val="clear"/>
          </w:tcPr>
          <w:p>
            <w:r>
              <w:rPr>
                <w:sz w:val="17"/>
              </w:rPr>
              <w:t>CABC - SICABLE COTE D'IVOIRE</w:t>
            </w:r>
          </w:p>
        </w:tc>
        <w:tc>
          <w:tcPr>
            <w:tcW w:type="dxa" w:w="1728"/>
            <w:shd w:fill="DEEAF1" w:val="clear"/>
          </w:tcPr>
          <w:p>
            <w:r>
              <w:rPr>
                <w:sz w:val="17"/>
              </w:rPr>
              <w:t>3,500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FTSC</w:t>
            </w:r>
          </w:p>
        </w:tc>
        <w:tc>
          <w:tcPr>
            <w:tcW w:type="dxa" w:w="1728"/>
            <w:shd w:fill="DEEAF1" w:val="clear"/>
          </w:tcPr>
          <w:p>
            <w:r>
              <w:rPr>
                <w:sz w:val="17"/>
              </w:rPr>
              <w:t>FTSC - FILTISAC COTE D'IVOIR</w:t>
            </w:r>
          </w:p>
        </w:tc>
        <w:tc>
          <w:tcPr>
            <w:tcW w:type="dxa" w:w="1728"/>
            <w:shd w:fill="DEEAF1" w:val="clear"/>
          </w:tcPr>
          <w:p>
            <w:r>
              <w:rPr>
                <w:sz w:val="17"/>
              </w:rPr>
              <w:t>2,155</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SHEC</w:t>
            </w:r>
          </w:p>
        </w:tc>
        <w:tc>
          <w:tcPr>
            <w:tcW w:type="dxa" w:w="1728"/>
            <w:shd w:fill="DEEAF1" w:val="clear"/>
          </w:tcPr>
          <w:p>
            <w:r>
              <w:rPr>
                <w:sz w:val="17"/>
              </w:rPr>
              <w:t>SHEC - VIVO ENERGY COTE D'IV</w:t>
            </w:r>
          </w:p>
        </w:tc>
        <w:tc>
          <w:tcPr>
            <w:tcW w:type="dxa" w:w="1728"/>
            <w:shd w:fill="DEEAF1" w:val="clear"/>
          </w:tcPr>
          <w:p>
            <w:r>
              <w:rPr>
                <w:sz w:val="17"/>
              </w:rPr>
              <w:t>2,450</w:t>
            </w:r>
          </w:p>
        </w:tc>
        <w:tc>
          <w:tcPr>
            <w:tcW w:type="dxa" w:w="1728"/>
            <w:shd w:fill="DEEAF1" w:val="clear"/>
          </w:tcPr>
          <w:p>
            <w:r>
              <w:rPr>
                <w:sz w:val="17"/>
              </w:rPr>
              <w:t>72/100</w:t>
            </w:r>
          </w:p>
        </w:tc>
        <w:tc>
          <w:tcPr>
            <w:tcW w:type="dxa" w:w="1728"/>
            <w:shd w:fill="DEEAF1" w:val="clear"/>
          </w:tcPr>
          <w:p>
            <w:r>
              <w:rPr>
                <w:sz w:val="17"/>
              </w:rPr>
              <w:t>10.6%</w:t>
            </w:r>
          </w:p>
        </w:tc>
      </w:tr>
      <w:tr>
        <w:tc>
          <w:tcPr>
            <w:tcW w:type="dxa" w:w="1728"/>
            <w:shd w:fill="DEEAF1" w:val="clear"/>
          </w:tcPr>
          <w:p>
            <w:r>
              <w:rPr>
                <w:sz w:val="17"/>
              </w:rPr>
              <w:t>SPHC</w:t>
            </w:r>
          </w:p>
        </w:tc>
        <w:tc>
          <w:tcPr>
            <w:tcW w:type="dxa" w:w="1728"/>
            <w:shd w:fill="DEEAF1" w:val="clear"/>
          </w:tcPr>
          <w:p>
            <w:r>
              <w:rPr>
                <w:sz w:val="17"/>
              </w:rPr>
              <w:t xml:space="preserve">SPHC - Société Africaine de </w:t>
            </w:r>
          </w:p>
        </w:tc>
        <w:tc>
          <w:tcPr>
            <w:tcW w:type="dxa" w:w="1728"/>
            <w:shd w:fill="DEEAF1" w:val="clear"/>
          </w:tcPr>
          <w:p>
            <w:r>
              <w:rPr>
                <w:sz w:val="17"/>
              </w:rPr>
              <w:t>9,200</w:t>
            </w:r>
          </w:p>
        </w:tc>
        <w:tc>
          <w:tcPr>
            <w:tcW w:type="dxa" w:w="1728"/>
            <w:shd w:fill="DEEAF1" w:val="clear"/>
          </w:tcPr>
          <w:p>
            <w:r>
              <w:rPr>
                <w:sz w:val="17"/>
              </w:rPr>
              <w:t>72/100</w:t>
            </w:r>
          </w:p>
        </w:tc>
        <w:tc>
          <w:tcPr>
            <w:tcW w:type="dxa" w:w="1728"/>
            <w:shd w:fill="DEEAF1" w:val="clear"/>
          </w:tcPr>
          <w:p>
            <w:r>
              <w:rPr>
                <w:sz w:val="17"/>
              </w:rPr>
              <w:t>10.6%</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15%</w:t>
            </w:r>
          </w:p>
        </w:tc>
      </w:tr>
    </w:tbl>
    <w:p/>
    <w:p>
      <w:pPr>
        <w:pStyle w:val="Heading3"/>
      </w:pPr>
      <w:r>
        <w:t>🟢 Portefeuille ÉQUILIBRÉ</w:t>
      </w:r>
    </w:p>
    <w:p>
      <w:r>
        <w:rPr>
          <w:i/>
          <w:sz w:val="18"/>
        </w:rPr>
        <w:t>Risque faible à moyen, score ≥ 50. Le meilleur rapport rendement/risque.</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E2EFDA" w:val="clear"/>
          </w:tcPr>
          <w:p>
            <w:r>
              <w:rPr>
                <w:sz w:val="17"/>
              </w:rPr>
              <w:t>NSBC</w:t>
            </w:r>
          </w:p>
        </w:tc>
        <w:tc>
          <w:tcPr>
            <w:tcW w:type="dxa" w:w="1728"/>
            <w:shd w:fill="E2EFDA" w:val="clear"/>
          </w:tcPr>
          <w:p>
            <w:r>
              <w:rPr>
                <w:sz w:val="17"/>
              </w:rPr>
              <w:t>NSBC - NSIA BANQUE COTE D'IV</w:t>
            </w:r>
          </w:p>
        </w:tc>
        <w:tc>
          <w:tcPr>
            <w:tcW w:type="dxa" w:w="1728"/>
            <w:shd w:fill="E2EFDA" w:val="clear"/>
          </w:tcPr>
          <w:p>
            <w:r>
              <w:rPr>
                <w:sz w:val="17"/>
              </w:rPr>
              <w:t>22,500</w:t>
            </w:r>
          </w:p>
        </w:tc>
        <w:tc>
          <w:tcPr>
            <w:tcW w:type="dxa" w:w="1728"/>
            <w:shd w:fill="E2EFDA" w:val="clear"/>
          </w:tcPr>
          <w:p>
            <w:r>
              <w:rPr>
                <w:sz w:val="17"/>
              </w:rPr>
              <w:t>76/100</w:t>
            </w:r>
          </w:p>
        </w:tc>
        <w:tc>
          <w:tcPr>
            <w:tcW w:type="dxa" w:w="1728"/>
            <w:shd w:fill="E2EFDA" w:val="clear"/>
          </w:tcPr>
          <w:p>
            <w:r>
              <w:rPr>
                <w:sz w:val="17"/>
              </w:rPr>
              <w:t>11.2%</w:t>
            </w:r>
          </w:p>
        </w:tc>
      </w:tr>
      <w:tr>
        <w:tc>
          <w:tcPr>
            <w:tcW w:type="dxa" w:w="1728"/>
            <w:shd w:fill="E2EFDA" w:val="clear"/>
          </w:tcPr>
          <w:p>
            <w:r>
              <w:rPr>
                <w:sz w:val="17"/>
              </w:rPr>
              <w:t>UNXC</w:t>
            </w:r>
          </w:p>
        </w:tc>
        <w:tc>
          <w:tcPr>
            <w:tcW w:type="dxa" w:w="1728"/>
            <w:shd w:fill="E2EFDA" w:val="clear"/>
          </w:tcPr>
          <w:p>
            <w:r>
              <w:rPr>
                <w:sz w:val="17"/>
              </w:rPr>
              <w:t>UNXC - UNIWAX COTE D'IVOIRE</w:t>
            </w:r>
          </w:p>
        </w:tc>
        <w:tc>
          <w:tcPr>
            <w:tcW w:type="dxa" w:w="1728"/>
            <w:shd w:fill="E2EFDA" w:val="clear"/>
          </w:tcPr>
          <w:p>
            <w:r>
              <w:rPr>
                <w:sz w:val="17"/>
              </w:rPr>
              <w:t>2,415</w:t>
            </w:r>
          </w:p>
        </w:tc>
        <w:tc>
          <w:tcPr>
            <w:tcW w:type="dxa" w:w="1728"/>
            <w:shd w:fill="E2EFDA" w:val="clear"/>
          </w:tcPr>
          <w:p>
            <w:r>
              <w:rPr>
                <w:sz w:val="17"/>
              </w:rPr>
              <w:t>75/100</w:t>
            </w:r>
          </w:p>
        </w:tc>
        <w:tc>
          <w:tcPr>
            <w:tcW w:type="dxa" w:w="1728"/>
            <w:shd w:fill="E2EFDA" w:val="clear"/>
          </w:tcPr>
          <w:p>
            <w:r>
              <w:rPr>
                <w:sz w:val="17"/>
              </w:rPr>
              <w:t>11.2%</w:t>
            </w:r>
          </w:p>
        </w:tc>
      </w:tr>
      <w:tr>
        <w:tc>
          <w:tcPr>
            <w:tcW w:type="dxa" w:w="1728"/>
            <w:shd w:fill="E2EFDA" w:val="clear"/>
          </w:tcPr>
          <w:p>
            <w:r>
              <w:rPr>
                <w:sz w:val="17"/>
              </w:rPr>
              <w:t>BOAN</w:t>
            </w:r>
          </w:p>
        </w:tc>
        <w:tc>
          <w:tcPr>
            <w:tcW w:type="dxa" w:w="1728"/>
            <w:shd w:fill="E2EFDA" w:val="clear"/>
          </w:tcPr>
          <w:p>
            <w:r>
              <w:rPr>
                <w:sz w:val="17"/>
              </w:rPr>
              <w:t>BANK OF AFRICA NIGER</w:t>
            </w:r>
          </w:p>
        </w:tc>
        <w:tc>
          <w:tcPr>
            <w:tcW w:type="dxa" w:w="1728"/>
            <w:shd w:fill="E2EFDA" w:val="clear"/>
          </w:tcPr>
          <w:p>
            <w:r>
              <w:rPr>
                <w:sz w:val="17"/>
              </w:rPr>
              <w:t>5,645</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SCRC</w:t>
            </w:r>
          </w:p>
        </w:tc>
        <w:tc>
          <w:tcPr>
            <w:tcW w:type="dxa" w:w="1728"/>
            <w:shd w:fill="E2EFDA" w:val="clear"/>
          </w:tcPr>
          <w:p>
            <w:r>
              <w:rPr>
                <w:sz w:val="17"/>
              </w:rPr>
              <w:t>SCRC - SUCRIVOIRE</w:t>
            </w:r>
          </w:p>
        </w:tc>
        <w:tc>
          <w:tcPr>
            <w:tcW w:type="dxa" w:w="1728"/>
            <w:shd w:fill="E2EFDA" w:val="clear"/>
          </w:tcPr>
          <w:p>
            <w:r>
              <w:rPr>
                <w:sz w:val="17"/>
              </w:rPr>
              <w:t>3,375</w:t>
            </w:r>
          </w:p>
        </w:tc>
        <w:tc>
          <w:tcPr>
            <w:tcW w:type="dxa" w:w="1728"/>
            <w:shd w:fill="E2EFDA" w:val="clear"/>
          </w:tcPr>
          <w:p>
            <w:r>
              <w:rPr>
                <w:sz w:val="17"/>
              </w:rPr>
              <w:t>74/100</w:t>
            </w:r>
          </w:p>
        </w:tc>
        <w:tc>
          <w:tcPr>
            <w:tcW w:type="dxa" w:w="1728"/>
            <w:shd w:fill="E2EFDA" w:val="clear"/>
          </w:tcPr>
          <w:p>
            <w:r>
              <w:rPr>
                <w:sz w:val="17"/>
              </w:rPr>
              <w:t>11.2%</w:t>
            </w:r>
          </w:p>
        </w:tc>
      </w:tr>
      <w:tr>
        <w:tc>
          <w:tcPr>
            <w:tcW w:type="dxa" w:w="1728"/>
            <w:shd w:fill="E2EFDA" w:val="clear"/>
          </w:tcPr>
          <w:p>
            <w:r>
              <w:rPr>
                <w:sz w:val="17"/>
              </w:rPr>
              <w:t>ABJC</w:t>
            </w:r>
          </w:p>
        </w:tc>
        <w:tc>
          <w:tcPr>
            <w:tcW w:type="dxa" w:w="1728"/>
            <w:shd w:fill="E2EFDA" w:val="clear"/>
          </w:tcPr>
          <w:p>
            <w:r>
              <w:rPr>
                <w:sz w:val="17"/>
              </w:rPr>
              <w:t>ABJC - SERVAIR ABIDJAN CI</w:t>
            </w:r>
          </w:p>
        </w:tc>
        <w:tc>
          <w:tcPr>
            <w:tcW w:type="dxa" w:w="1728"/>
            <w:shd w:fill="E2EFDA" w:val="clear"/>
          </w:tcPr>
          <w:p>
            <w:r>
              <w:rPr>
                <w:sz w:val="17"/>
              </w:rPr>
              <w:t>3,690</w:t>
            </w:r>
          </w:p>
        </w:tc>
        <w:tc>
          <w:tcPr>
            <w:tcW w:type="dxa" w:w="1728"/>
            <w:shd w:fill="E2EFDA" w:val="clear"/>
          </w:tcPr>
          <w:p>
            <w:r>
              <w:rPr>
                <w:sz w:val="17"/>
              </w:rPr>
              <w:t>72/100</w:t>
            </w:r>
          </w:p>
        </w:tc>
        <w:tc>
          <w:tcPr>
            <w:tcW w:type="dxa" w:w="1728"/>
            <w:shd w:fill="E2EFDA" w:val="clear"/>
          </w:tcPr>
          <w:p>
            <w:r>
              <w:rPr>
                <w:sz w:val="17"/>
              </w:rPr>
              <w:t>11.2%</w:t>
            </w:r>
          </w:p>
        </w:tc>
      </w:tr>
      <w:tr>
        <w:tc>
          <w:tcPr>
            <w:tcW w:type="dxa" w:w="1728"/>
            <w:shd w:fill="E2EFDA" w:val="clear"/>
          </w:tcPr>
          <w:p>
            <w:r>
              <w:rPr>
                <w:sz w:val="17"/>
              </w:rPr>
              <w:t>BOAB</w:t>
            </w:r>
          </w:p>
        </w:tc>
        <w:tc>
          <w:tcPr>
            <w:tcW w:type="dxa" w:w="1728"/>
            <w:shd w:fill="E2EFDA" w:val="clear"/>
          </w:tcPr>
          <w:p>
            <w:r>
              <w:rPr>
                <w:sz w:val="17"/>
              </w:rPr>
              <w:t>BANK OF AFRICA BENIN</w:t>
            </w:r>
          </w:p>
        </w:tc>
        <w:tc>
          <w:tcPr>
            <w:tcW w:type="dxa" w:w="1728"/>
            <w:shd w:fill="E2EFDA" w:val="clear"/>
          </w:tcPr>
          <w:p>
            <w:r>
              <w:rPr>
                <w:sz w:val="17"/>
              </w:rPr>
              <w:t>10,000</w:t>
            </w:r>
          </w:p>
        </w:tc>
        <w:tc>
          <w:tcPr>
            <w:tcW w:type="dxa" w:w="1728"/>
            <w:shd w:fill="E2EFDA" w:val="clear"/>
          </w:tcPr>
          <w:p>
            <w:r>
              <w:rPr>
                <w:sz w:val="17"/>
              </w:rPr>
              <w:t>72/100</w:t>
            </w:r>
          </w:p>
        </w:tc>
        <w:tc>
          <w:tcPr>
            <w:tcW w:type="dxa" w:w="1728"/>
            <w:shd w:fill="E2EFDA" w:val="clear"/>
          </w:tcPr>
          <w:p>
            <w:r>
              <w:rPr>
                <w:sz w:val="17"/>
              </w:rPr>
              <w:t>11.2%</w:t>
            </w:r>
          </w:p>
        </w:tc>
      </w:tr>
      <w:tr>
        <w:tc>
          <w:tcPr>
            <w:tcW w:type="dxa" w:w="1728"/>
            <w:shd w:fill="E2EFDA" w:val="clear"/>
          </w:tcPr>
          <w:p>
            <w:r>
              <w:rPr>
                <w:sz w:val="17"/>
              </w:rPr>
              <w:t>BOABF</w:t>
            </w:r>
          </w:p>
        </w:tc>
        <w:tc>
          <w:tcPr>
            <w:tcW w:type="dxa" w:w="1728"/>
            <w:shd w:fill="E2EFDA" w:val="clear"/>
          </w:tcPr>
          <w:p>
            <w:r>
              <w:rPr>
                <w:sz w:val="17"/>
              </w:rPr>
              <w:t>BANK OF AFRICA BURKINA FASO</w:t>
            </w:r>
          </w:p>
        </w:tc>
        <w:tc>
          <w:tcPr>
            <w:tcW w:type="dxa" w:w="1728"/>
            <w:shd w:fill="E2EFDA" w:val="clear"/>
          </w:tcPr>
          <w:p>
            <w:r>
              <w:rPr>
                <w:sz w:val="17"/>
              </w:rPr>
              <w:t>9,090</w:t>
            </w:r>
          </w:p>
        </w:tc>
        <w:tc>
          <w:tcPr>
            <w:tcW w:type="dxa" w:w="1728"/>
            <w:shd w:fill="E2EFDA" w:val="clear"/>
          </w:tcPr>
          <w:p>
            <w:r>
              <w:rPr>
                <w:sz w:val="17"/>
              </w:rPr>
              <w:t>72/100</w:t>
            </w:r>
          </w:p>
        </w:tc>
        <w:tc>
          <w:tcPr>
            <w:tcW w:type="dxa" w:w="1728"/>
            <w:shd w:fill="E2EFDA" w:val="clear"/>
          </w:tcPr>
          <w:p>
            <w:r>
              <w:rPr>
                <w:sz w:val="17"/>
              </w:rPr>
              <w:t>11.2%</w:t>
            </w:r>
          </w:p>
        </w:tc>
      </w:tr>
      <w:tr>
        <w:tc>
          <w:tcPr>
            <w:tcW w:type="dxa" w:w="1728"/>
            <w:shd w:fill="E2EFDA" w:val="clear"/>
          </w:tcPr>
          <w:p>
            <w:r>
              <w:rPr>
                <w:sz w:val="17"/>
              </w:rPr>
              <w:t>BOAM</w:t>
            </w:r>
          </w:p>
        </w:tc>
        <w:tc>
          <w:tcPr>
            <w:tcW w:type="dxa" w:w="1728"/>
            <w:shd w:fill="E2EFDA" w:val="clear"/>
          </w:tcPr>
          <w:p>
            <w:r>
              <w:rPr>
                <w:sz w:val="17"/>
              </w:rPr>
              <w:t>BANK OF AFRICA MALI</w:t>
            </w:r>
          </w:p>
        </w:tc>
        <w:tc>
          <w:tcPr>
            <w:tcW w:type="dxa" w:w="1728"/>
            <w:shd w:fill="E2EFDA" w:val="clear"/>
          </w:tcPr>
          <w:p>
            <w:r>
              <w:rPr>
                <w:sz w:val="17"/>
              </w:rPr>
              <w:t>6,650</w:t>
            </w:r>
          </w:p>
        </w:tc>
        <w:tc>
          <w:tcPr>
            <w:tcW w:type="dxa" w:w="1728"/>
            <w:shd w:fill="E2EFDA" w:val="clear"/>
          </w:tcPr>
          <w:p>
            <w:r>
              <w:rPr>
                <w:sz w:val="17"/>
              </w:rPr>
              <w:t>72/100</w:t>
            </w:r>
          </w:p>
        </w:tc>
        <w:tc>
          <w:tcPr>
            <w:tcW w:type="dxa" w:w="1728"/>
            <w:shd w:fill="E2EFDA" w:val="clear"/>
          </w:tcPr>
          <w:p>
            <w:r>
              <w:rPr>
                <w:sz w:val="17"/>
              </w:rPr>
              <w:t>11.2%</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10%</w:t>
            </w:r>
          </w:p>
        </w:tc>
      </w:tr>
    </w:tbl>
    <w:p/>
    <w:p>
      <w:pPr>
        <w:pStyle w:val="Heading3"/>
      </w:pPr>
      <w:r>
        <w:t>🔴 Portefeuille OFFENSIF</w:t>
      </w:r>
    </w:p>
    <w:p>
      <w:r>
        <w:rPr>
          <w:i/>
          <w:sz w:val="18"/>
        </w:rPr>
        <w:t>Meilleurs scores (≥ 60), tous niveaux de risque. Pour investisseurs avertis.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2E74B5" w:val="clear"/>
          </w:tcPr>
          <w:p>
            <w:r>
              <w:rPr>
                <w:b/>
                <w:color w:val="FFFFFF"/>
                <w:sz w:val="17"/>
              </w:rPr>
              <w:t>Symbole</w:t>
            </w:r>
          </w:p>
        </w:tc>
        <w:tc>
          <w:tcPr>
            <w:tcW w:type="dxa" w:w="1728"/>
            <w:shd w:fill="2E74B5" w:val="clear"/>
          </w:tcPr>
          <w:p>
            <w:r>
              <w:rPr>
                <w:b/>
                <w:color w:val="FFFFFF"/>
                <w:sz w:val="17"/>
              </w:rPr>
              <w:t>Société</w:t>
            </w:r>
          </w:p>
        </w:tc>
        <w:tc>
          <w:tcPr>
            <w:tcW w:type="dxa" w:w="1728"/>
            <w:shd w:fill="2E74B5" w:val="clear"/>
          </w:tcPr>
          <w:p>
            <w:r>
              <w:rPr>
                <w:b/>
                <w:color w:val="FFFFFF"/>
                <w:sz w:val="17"/>
              </w:rPr>
              <w:t>Prix (FCFA)</w:t>
            </w:r>
          </w:p>
        </w:tc>
        <w:tc>
          <w:tcPr>
            <w:tcW w:type="dxa" w:w="1728"/>
            <w:shd w:fill="2E74B5" w:val="clear"/>
          </w:tcPr>
          <w:p>
            <w:r>
              <w:rPr>
                <w:b/>
                <w:color w:val="FFFFFF"/>
                <w:sz w:val="17"/>
              </w:rPr>
              <w:t>Score /100</w:t>
            </w:r>
          </w:p>
        </w:tc>
        <w:tc>
          <w:tcPr>
            <w:tcW w:type="dxa" w:w="1728"/>
            <w:shd w:fill="2E74B5" w:val="clear"/>
          </w:tcPr>
          <w:p>
            <w:r>
              <w:rPr>
                <w:b/>
                <w:color w:val="FFFFFF"/>
                <w:sz w:val="17"/>
              </w:rPr>
              <w:t>Poids %</w:t>
            </w:r>
          </w:p>
        </w:tc>
      </w:tr>
      <w:tr>
        <w:tc>
          <w:tcPr>
            <w:tcW w:type="dxa" w:w="1728"/>
            <w:shd w:fill="FCE4D6" w:val="clear"/>
          </w:tcPr>
          <w:p>
            <w:r>
              <w:rPr>
                <w:sz w:val="17"/>
              </w:rPr>
              <w:t>NSBC</w:t>
            </w:r>
          </w:p>
        </w:tc>
        <w:tc>
          <w:tcPr>
            <w:tcW w:type="dxa" w:w="1728"/>
            <w:shd w:fill="FCE4D6" w:val="clear"/>
          </w:tcPr>
          <w:p>
            <w:r>
              <w:rPr>
                <w:sz w:val="17"/>
              </w:rPr>
              <w:t>NSBC - NSIA BANQUE COTE D'IV</w:t>
            </w:r>
          </w:p>
        </w:tc>
        <w:tc>
          <w:tcPr>
            <w:tcW w:type="dxa" w:w="1728"/>
            <w:shd w:fill="FCE4D6" w:val="clear"/>
          </w:tcPr>
          <w:p>
            <w:r>
              <w:rPr>
                <w:sz w:val="17"/>
              </w:rPr>
              <w:t>22,500</w:t>
            </w:r>
          </w:p>
        </w:tc>
        <w:tc>
          <w:tcPr>
            <w:tcW w:type="dxa" w:w="1728"/>
            <w:shd w:fill="FCE4D6" w:val="clear"/>
          </w:tcPr>
          <w:p>
            <w:r>
              <w:rPr>
                <w:sz w:val="17"/>
              </w:rPr>
              <w:t>76/100</w:t>
            </w:r>
          </w:p>
        </w:tc>
        <w:tc>
          <w:tcPr>
            <w:tcW w:type="dxa" w:w="1728"/>
            <w:shd w:fill="FCE4D6" w:val="clear"/>
          </w:tcPr>
          <w:p>
            <w:r>
              <w:rPr>
                <w:sz w:val="17"/>
              </w:rPr>
              <w:t>11.9%</w:t>
            </w:r>
          </w:p>
        </w:tc>
      </w:tr>
      <w:tr>
        <w:tc>
          <w:tcPr>
            <w:tcW w:type="dxa" w:w="1728"/>
            <w:shd w:fill="FCE4D6" w:val="clear"/>
          </w:tcPr>
          <w:p>
            <w:r>
              <w:rPr>
                <w:sz w:val="17"/>
              </w:rPr>
              <w:t>UNXC</w:t>
            </w:r>
          </w:p>
        </w:tc>
        <w:tc>
          <w:tcPr>
            <w:tcW w:type="dxa" w:w="1728"/>
            <w:shd w:fill="FCE4D6" w:val="clear"/>
          </w:tcPr>
          <w:p>
            <w:r>
              <w:rPr>
                <w:sz w:val="17"/>
              </w:rPr>
              <w:t>UNXC - UNIWAX COTE D'IVOIRE</w:t>
            </w:r>
          </w:p>
        </w:tc>
        <w:tc>
          <w:tcPr>
            <w:tcW w:type="dxa" w:w="1728"/>
            <w:shd w:fill="FCE4D6" w:val="clear"/>
          </w:tcPr>
          <w:p>
            <w:r>
              <w:rPr>
                <w:sz w:val="17"/>
              </w:rPr>
              <w:t>2,415</w:t>
            </w:r>
          </w:p>
        </w:tc>
        <w:tc>
          <w:tcPr>
            <w:tcW w:type="dxa" w:w="1728"/>
            <w:shd w:fill="FCE4D6" w:val="clear"/>
          </w:tcPr>
          <w:p>
            <w:r>
              <w:rPr>
                <w:sz w:val="17"/>
              </w:rPr>
              <w:t>75/100</w:t>
            </w:r>
          </w:p>
        </w:tc>
        <w:tc>
          <w:tcPr>
            <w:tcW w:type="dxa" w:w="1728"/>
            <w:shd w:fill="FCE4D6" w:val="clear"/>
          </w:tcPr>
          <w:p>
            <w:r>
              <w:rPr>
                <w:sz w:val="17"/>
              </w:rPr>
              <w:t>11.9%</w:t>
            </w:r>
          </w:p>
        </w:tc>
      </w:tr>
      <w:tr>
        <w:tc>
          <w:tcPr>
            <w:tcW w:type="dxa" w:w="1728"/>
            <w:shd w:fill="FCE4D6" w:val="clear"/>
          </w:tcPr>
          <w:p>
            <w:r>
              <w:rPr>
                <w:sz w:val="17"/>
              </w:rPr>
              <w:t>BOAN</w:t>
            </w:r>
          </w:p>
        </w:tc>
        <w:tc>
          <w:tcPr>
            <w:tcW w:type="dxa" w:w="1728"/>
            <w:shd w:fill="FCE4D6" w:val="clear"/>
          </w:tcPr>
          <w:p>
            <w:r>
              <w:rPr>
                <w:sz w:val="17"/>
              </w:rPr>
              <w:t>BANK OF AFRICA NIGER</w:t>
            </w:r>
          </w:p>
        </w:tc>
        <w:tc>
          <w:tcPr>
            <w:tcW w:type="dxa" w:w="1728"/>
            <w:shd w:fill="FCE4D6" w:val="clear"/>
          </w:tcPr>
          <w:p>
            <w:r>
              <w:rPr>
                <w:sz w:val="17"/>
              </w:rPr>
              <w:t>5,645</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SCRC</w:t>
            </w:r>
          </w:p>
        </w:tc>
        <w:tc>
          <w:tcPr>
            <w:tcW w:type="dxa" w:w="1728"/>
            <w:shd w:fill="FCE4D6" w:val="clear"/>
          </w:tcPr>
          <w:p>
            <w:r>
              <w:rPr>
                <w:sz w:val="17"/>
              </w:rPr>
              <w:t>SCRC - SUCRIVOIRE</w:t>
            </w:r>
          </w:p>
        </w:tc>
        <w:tc>
          <w:tcPr>
            <w:tcW w:type="dxa" w:w="1728"/>
            <w:shd w:fill="FCE4D6" w:val="clear"/>
          </w:tcPr>
          <w:p>
            <w:r>
              <w:rPr>
                <w:sz w:val="17"/>
              </w:rPr>
              <w:t>3,375</w:t>
            </w:r>
          </w:p>
        </w:tc>
        <w:tc>
          <w:tcPr>
            <w:tcW w:type="dxa" w:w="1728"/>
            <w:shd w:fill="FCE4D6" w:val="clear"/>
          </w:tcPr>
          <w:p>
            <w:r>
              <w:rPr>
                <w:sz w:val="17"/>
              </w:rPr>
              <w:t>74/100</w:t>
            </w:r>
          </w:p>
        </w:tc>
        <w:tc>
          <w:tcPr>
            <w:tcW w:type="dxa" w:w="1728"/>
            <w:shd w:fill="FCE4D6" w:val="clear"/>
          </w:tcPr>
          <w:p>
            <w:r>
              <w:rPr>
                <w:sz w:val="17"/>
              </w:rPr>
              <w:t>11.9%</w:t>
            </w:r>
          </w:p>
        </w:tc>
      </w:tr>
      <w:tr>
        <w:tc>
          <w:tcPr>
            <w:tcW w:type="dxa" w:w="1728"/>
            <w:shd w:fill="FCE4D6" w:val="clear"/>
          </w:tcPr>
          <w:p>
            <w:r>
              <w:rPr>
                <w:sz w:val="17"/>
              </w:rPr>
              <w:t>ABJC</w:t>
            </w:r>
          </w:p>
        </w:tc>
        <w:tc>
          <w:tcPr>
            <w:tcW w:type="dxa" w:w="1728"/>
            <w:shd w:fill="FCE4D6" w:val="clear"/>
          </w:tcPr>
          <w:p>
            <w:r>
              <w:rPr>
                <w:sz w:val="17"/>
              </w:rPr>
              <w:t>ABJC - SERVAIR ABIDJAN CI</w:t>
            </w:r>
          </w:p>
        </w:tc>
        <w:tc>
          <w:tcPr>
            <w:tcW w:type="dxa" w:w="1728"/>
            <w:shd w:fill="FCE4D6" w:val="clear"/>
          </w:tcPr>
          <w:p>
            <w:r>
              <w:rPr>
                <w:sz w:val="17"/>
              </w:rPr>
              <w:t>3,690</w:t>
            </w:r>
          </w:p>
        </w:tc>
        <w:tc>
          <w:tcPr>
            <w:tcW w:type="dxa" w:w="1728"/>
            <w:shd w:fill="FCE4D6" w:val="clear"/>
          </w:tcPr>
          <w:p>
            <w:r>
              <w:rPr>
                <w:sz w:val="17"/>
              </w:rPr>
              <w:t>72/100</w:t>
            </w:r>
          </w:p>
        </w:tc>
        <w:tc>
          <w:tcPr>
            <w:tcW w:type="dxa" w:w="1728"/>
            <w:shd w:fill="FCE4D6" w:val="clear"/>
          </w:tcPr>
          <w:p>
            <w:r>
              <w:rPr>
                <w:sz w:val="17"/>
              </w:rPr>
              <w:t>11.9%</w:t>
            </w:r>
          </w:p>
        </w:tc>
      </w:tr>
      <w:tr>
        <w:tc>
          <w:tcPr>
            <w:tcW w:type="dxa" w:w="1728"/>
            <w:shd w:fill="FCE4D6" w:val="clear"/>
          </w:tcPr>
          <w:p>
            <w:r>
              <w:rPr>
                <w:sz w:val="17"/>
              </w:rPr>
              <w:t>BOAB</w:t>
            </w:r>
          </w:p>
        </w:tc>
        <w:tc>
          <w:tcPr>
            <w:tcW w:type="dxa" w:w="1728"/>
            <w:shd w:fill="FCE4D6" w:val="clear"/>
          </w:tcPr>
          <w:p>
            <w:r>
              <w:rPr>
                <w:sz w:val="17"/>
              </w:rPr>
              <w:t>BANK OF AFRICA BENIN</w:t>
            </w:r>
          </w:p>
        </w:tc>
        <w:tc>
          <w:tcPr>
            <w:tcW w:type="dxa" w:w="1728"/>
            <w:shd w:fill="FCE4D6" w:val="clear"/>
          </w:tcPr>
          <w:p>
            <w:r>
              <w:rPr>
                <w:sz w:val="17"/>
              </w:rPr>
              <w:t>10,000</w:t>
            </w:r>
          </w:p>
        </w:tc>
        <w:tc>
          <w:tcPr>
            <w:tcW w:type="dxa" w:w="1728"/>
            <w:shd w:fill="FCE4D6" w:val="clear"/>
          </w:tcPr>
          <w:p>
            <w:r>
              <w:rPr>
                <w:sz w:val="17"/>
              </w:rPr>
              <w:t>72/100</w:t>
            </w:r>
          </w:p>
        </w:tc>
        <w:tc>
          <w:tcPr>
            <w:tcW w:type="dxa" w:w="1728"/>
            <w:shd w:fill="FCE4D6" w:val="clear"/>
          </w:tcPr>
          <w:p>
            <w:r>
              <w:rPr>
                <w:sz w:val="17"/>
              </w:rPr>
              <w:t>11.9%</w:t>
            </w:r>
          </w:p>
        </w:tc>
      </w:tr>
      <w:tr>
        <w:tc>
          <w:tcPr>
            <w:tcW w:type="dxa" w:w="1728"/>
            <w:shd w:fill="FCE4D6" w:val="clear"/>
          </w:tcPr>
          <w:p>
            <w:r>
              <w:rPr>
                <w:sz w:val="17"/>
              </w:rPr>
              <w:t>BOABF</w:t>
            </w:r>
          </w:p>
        </w:tc>
        <w:tc>
          <w:tcPr>
            <w:tcW w:type="dxa" w:w="1728"/>
            <w:shd w:fill="FCE4D6" w:val="clear"/>
          </w:tcPr>
          <w:p>
            <w:r>
              <w:rPr>
                <w:sz w:val="17"/>
              </w:rPr>
              <w:t>BANK OF AFRICA BURKINA FASO</w:t>
            </w:r>
          </w:p>
        </w:tc>
        <w:tc>
          <w:tcPr>
            <w:tcW w:type="dxa" w:w="1728"/>
            <w:shd w:fill="FCE4D6" w:val="clear"/>
          </w:tcPr>
          <w:p>
            <w:r>
              <w:rPr>
                <w:sz w:val="17"/>
              </w:rPr>
              <w:t>9,090</w:t>
            </w:r>
          </w:p>
        </w:tc>
        <w:tc>
          <w:tcPr>
            <w:tcW w:type="dxa" w:w="1728"/>
            <w:shd w:fill="FCE4D6" w:val="clear"/>
          </w:tcPr>
          <w:p>
            <w:r>
              <w:rPr>
                <w:sz w:val="17"/>
              </w:rPr>
              <w:t>72/100</w:t>
            </w:r>
          </w:p>
        </w:tc>
        <w:tc>
          <w:tcPr>
            <w:tcW w:type="dxa" w:w="1728"/>
            <w:shd w:fill="FCE4D6" w:val="clear"/>
          </w:tcPr>
          <w:p>
            <w:r>
              <w:rPr>
                <w:sz w:val="17"/>
              </w:rPr>
              <w:t>11.9%</w:t>
            </w:r>
          </w:p>
        </w:tc>
      </w:tr>
      <w:tr>
        <w:tc>
          <w:tcPr>
            <w:tcW w:type="dxa" w:w="1728"/>
            <w:shd w:fill="FCE4D6" w:val="clear"/>
          </w:tcPr>
          <w:p>
            <w:r>
              <w:rPr>
                <w:sz w:val="17"/>
              </w:rPr>
              <w:t>BOAM</w:t>
            </w:r>
          </w:p>
        </w:tc>
        <w:tc>
          <w:tcPr>
            <w:tcW w:type="dxa" w:w="1728"/>
            <w:shd w:fill="FCE4D6" w:val="clear"/>
          </w:tcPr>
          <w:p>
            <w:r>
              <w:rPr>
                <w:sz w:val="17"/>
              </w:rPr>
              <w:t>BANK OF AFRICA MALI</w:t>
            </w:r>
          </w:p>
        </w:tc>
        <w:tc>
          <w:tcPr>
            <w:tcW w:type="dxa" w:w="1728"/>
            <w:shd w:fill="FCE4D6" w:val="clear"/>
          </w:tcPr>
          <w:p>
            <w:r>
              <w:rPr>
                <w:sz w:val="17"/>
              </w:rPr>
              <w:t>6,650</w:t>
            </w:r>
          </w:p>
        </w:tc>
        <w:tc>
          <w:tcPr>
            <w:tcW w:type="dxa" w:w="1728"/>
            <w:shd w:fill="FCE4D6" w:val="clear"/>
          </w:tcPr>
          <w:p>
            <w:r>
              <w:rPr>
                <w:sz w:val="17"/>
              </w:rPr>
              <w:t>72/100</w:t>
            </w:r>
          </w:p>
        </w:tc>
        <w:tc>
          <w:tcPr>
            <w:tcW w:type="dxa" w:w="1728"/>
            <w:shd w:fill="FCE4D6" w:val="clear"/>
          </w:tcPr>
          <w:p>
            <w:r>
              <w:rPr>
                <w:sz w:val="17"/>
              </w:rPr>
              <w:t>11.9%</w:t>
            </w:r>
          </w:p>
        </w:tc>
      </w:tr>
      <w:tr>
        <w:tc>
          <w:tcPr>
            <w:tcW w:type="dxa" w:w="1728"/>
          </w:tcPr>
          <w:p>
            <w:r>
              <w:rPr>
                <w:i/>
                <w:color w:val="505050"/>
                <w:sz w:val="17"/>
              </w:rPr>
              <w:t>CASH</w:t>
            </w:r>
          </w:p>
        </w:tc>
        <w:tc>
          <w:tcPr>
            <w:tcW w:type="dxa" w:w="1728"/>
          </w:tcPr>
          <w:p>
            <w:r>
              <w:rPr>
                <w:i/>
                <w:color w:val="505050"/>
                <w:sz w:val="17"/>
              </w:rPr>
              <w:t>Liquidités</w:t>
            </w:r>
          </w:p>
        </w:tc>
        <w:tc>
          <w:tcPr>
            <w:tcW w:type="dxa" w:w="1728"/>
          </w:tcPr>
          <w:p>
            <w:r>
              <w:rPr>
                <w:i/>
                <w:color w:val="505050"/>
                <w:sz w:val="17"/>
              </w:rPr>
              <w:t>—</w:t>
            </w:r>
          </w:p>
        </w:tc>
        <w:tc>
          <w:tcPr>
            <w:tcW w:type="dxa" w:w="1728"/>
          </w:tcPr>
          <w:p>
            <w:r>
              <w:rPr>
                <w:i/>
                <w:color w:val="505050"/>
                <w:sz w:val="17"/>
              </w:rPr>
              <w:t>—</w:t>
            </w:r>
          </w:p>
        </w:tc>
        <w:tc>
          <w:tcPr>
            <w:tcW w:type="dxa" w:w="1728"/>
          </w:tcPr>
          <w:p>
            <w:r>
              <w:rPr>
                <w:i/>
                <w:color w:val="505050"/>
                <w:sz w:val="17"/>
              </w:rPr>
              <w:t>5%</w:t>
            </w:r>
          </w:p>
        </w:tc>
      </w:tr>
    </w:tbl>
    <w:p/>
    <w:p>
      <w:r>
        <w:br w:type="page"/>
      </w:r>
    </w:p>
    <w:p>
      <w:pPr>
        <w:pStyle w:val="Heading1"/>
      </w:pPr>
      <w:r>
        <w:t>⚡ ALERTES DU JOUR</w:t>
      </w:r>
    </w:p>
    <w:p>
      <w:r>
        <w:t>Sociétés présentant des signaux extrêmes ou des incohérences majeures nécessitant une attention particulière avant toute décision.</w:t>
      </w:r>
    </w:p>
    <w:p/>
    <w:p>
      <w:pPr>
        <w:spacing w:before="120"/>
      </w:pPr>
      <w:r>
        <w:rPr>
          <w:b/>
          <w:color w:val="0050A0"/>
          <w:sz w:val="20"/>
        </w:rPr>
        <w:t>BICB — BIIC BN - Banque internationale pour le commerce du benin</w:t>
      </w:r>
    </w:p>
    <w:p>
      <w:pPr>
        <w:pStyle w:val="ListBullet"/>
        <w:spacing w:before="20"/>
        <w:ind w:left="400"/>
      </w:pPr>
      <w:r>
        <w:rPr>
          <w:sz w:val="18"/>
        </w:rPr>
        <w:t>🔴 RSI surachat (77.6 &gt; 70) — risque de correction</w:t>
      </w:r>
    </w:p>
    <w:p>
      <w:pPr>
        <w:pStyle w:val="ListBullet"/>
        <w:spacing w:before="20"/>
        <w:ind w:left="400"/>
      </w:pPr>
      <w:r>
        <w:rPr>
          <w:sz w:val="18"/>
        </w:rPr>
        <w:t>⚠️ Cours à 0.0% du plus haut 100j (8,510 FCFA)</w:t>
      </w:r>
    </w:p>
    <w:p>
      <w:pPr>
        <w:pStyle w:val="ListBullet"/>
        <w:spacing w:before="20"/>
        <w:ind w:left="400"/>
      </w:pPr>
      <w:r>
        <w:rPr>
          <w:sz w:val="18"/>
        </w:rPr>
        <w:t>🟠 Divergence tech(VENTE) / fond(ACHAT) — recommandation ajustée à ACHAT</w:t>
      </w:r>
    </w:p>
    <w:p>
      <w:pPr>
        <w:spacing w:before="120"/>
      </w:pPr>
      <w:r>
        <w:rPr>
          <w:b/>
          <w:color w:val="0050A0"/>
          <w:sz w:val="20"/>
        </w:rPr>
        <w:t>BNBC — BNBC - BERNABE CI</w:t>
      </w:r>
    </w:p>
    <w:p>
      <w:pPr>
        <w:pStyle w:val="ListBullet"/>
        <w:spacing w:before="20"/>
        <w:ind w:left="400"/>
      </w:pPr>
      <w:r>
        <w:rPr>
          <w:sz w:val="18"/>
        </w:rPr>
        <w:t>🔴 RSI surachat (92.2 &gt; 70) — risque de correction</w:t>
      </w:r>
    </w:p>
    <w:p>
      <w:pPr>
        <w:pStyle w:val="ListBullet"/>
        <w:spacing w:before="20"/>
        <w:ind w:left="400"/>
      </w:pPr>
      <w:r>
        <w:rPr>
          <w:sz w:val="18"/>
        </w:rPr>
        <w:t>⚠️ Cours à 0.0% du plus haut 100j (2,295 FCFA)</w:t>
      </w:r>
    </w:p>
    <w:p>
      <w:pPr>
        <w:pStyle w:val="ListBullet"/>
        <w:spacing w:before="20"/>
        <w:ind w:left="400"/>
      </w:pPr>
      <w:r>
        <w:rPr>
          <w:sz w:val="18"/>
        </w:rPr>
        <w:t>🟠 Divergence tech(VENTE) / fond(ACHAT) — recommandation ajustée à ACHAT</w:t>
      </w:r>
    </w:p>
    <w:p>
      <w:pPr>
        <w:spacing w:before="120"/>
      </w:pPr>
      <w:r>
        <w:rPr>
          <w:b/>
          <w:color w:val="0050A0"/>
          <w:sz w:val="20"/>
        </w:rPr>
        <w:t>BOABF — BANK OF AFRICA BURKINA FASO</w:t>
      </w:r>
    </w:p>
    <w:p>
      <w:pPr>
        <w:pStyle w:val="ListBullet"/>
        <w:spacing w:before="20"/>
        <w:ind w:left="400"/>
      </w:pPr>
      <w:r>
        <w:rPr>
          <w:sz w:val="18"/>
        </w:rPr>
        <w:t>🔴 RSI surachat (88.0 &gt; 70) — risque de correction</w:t>
      </w:r>
    </w:p>
    <w:p>
      <w:pPr>
        <w:pStyle w:val="ListBullet"/>
        <w:spacing w:before="20"/>
        <w:ind w:left="400"/>
      </w:pPr>
      <w:r>
        <w:rPr>
          <w:sz w:val="18"/>
        </w:rPr>
        <w:t>⚠️ Cours à 0.0% du plus haut 100j (9,090 FCFA)</w:t>
      </w:r>
    </w:p>
    <w:p>
      <w:pPr>
        <w:pStyle w:val="ListBullet"/>
        <w:spacing w:before="20"/>
        <w:ind w:left="400"/>
      </w:pPr>
      <w:r>
        <w:rPr>
          <w:sz w:val="18"/>
        </w:rPr>
        <w:t>🟠 Divergence tech(VENTE) / fond(ACHAT) — recommandation ajustée à ACHAT</w:t>
      </w:r>
    </w:p>
    <w:p>
      <w:pPr>
        <w:spacing w:before="120"/>
      </w:pPr>
      <w:r>
        <w:rPr>
          <w:b/>
          <w:color w:val="0050A0"/>
          <w:sz w:val="20"/>
        </w:rPr>
        <w:t>BOAN — BANK OF AFRICA NIGER</w:t>
      </w:r>
    </w:p>
    <w:p>
      <w:pPr>
        <w:pStyle w:val="ListBullet"/>
        <w:spacing w:before="20"/>
        <w:ind w:left="400"/>
      </w:pPr>
      <w:r>
        <w:rPr>
          <w:sz w:val="18"/>
        </w:rPr>
        <w:t>🔴 RSI surachat (87.0 &gt; 70) — risque de correction</w:t>
      </w:r>
    </w:p>
    <w:p>
      <w:pPr>
        <w:pStyle w:val="ListBullet"/>
        <w:spacing w:before="20"/>
        <w:ind w:left="400"/>
      </w:pPr>
      <w:r>
        <w:rPr>
          <w:sz w:val="18"/>
        </w:rPr>
        <w:t>⚠️ Cours à 0.0% du plus haut 100j (5,645 FCFA)</w:t>
      </w:r>
    </w:p>
    <w:p>
      <w:pPr>
        <w:pStyle w:val="ListBullet"/>
        <w:spacing w:before="20"/>
        <w:ind w:left="400"/>
      </w:pPr>
      <w:r>
        <w:rPr>
          <w:sz w:val="18"/>
        </w:rPr>
        <w:t>🟠 Divergence tech(VENTE) / fond(ACHAT) — recommandation ajustée à ACHAT</w:t>
      </w:r>
    </w:p>
    <w:p>
      <w:pPr>
        <w:spacing w:before="120"/>
      </w:pPr>
      <w:r>
        <w:rPr>
          <w:b/>
          <w:color w:val="0050A0"/>
          <w:sz w:val="20"/>
        </w:rPr>
        <w:t>BOAS — BANK OF AFRICA SENEGAL</w:t>
      </w:r>
    </w:p>
    <w:p>
      <w:pPr>
        <w:pStyle w:val="ListBullet"/>
        <w:spacing w:before="20"/>
        <w:ind w:left="400"/>
      </w:pPr>
      <w:r>
        <w:rPr>
          <w:sz w:val="18"/>
        </w:rPr>
        <w:t>🔴 RSI surachat (89.3 &gt; 70) — risque de correction</w:t>
      </w:r>
    </w:p>
    <w:p>
      <w:pPr>
        <w:pStyle w:val="ListBullet"/>
        <w:spacing w:before="20"/>
        <w:ind w:left="400"/>
      </w:pPr>
      <w:r>
        <w:rPr>
          <w:sz w:val="18"/>
        </w:rPr>
        <w:t>⚠️ Cours à 0.6% du plus haut 100j (8,500 FCFA)</w:t>
      </w:r>
    </w:p>
    <w:p>
      <w:pPr>
        <w:pStyle w:val="ListBullet"/>
        <w:spacing w:before="20"/>
        <w:ind w:left="400"/>
      </w:pPr>
      <w:r>
        <w:rPr>
          <w:sz w:val="18"/>
        </w:rPr>
        <w:t>🟠 Divergence tech(VENTE) / fond(ACHAT) — recommandation ajustée à ACHAT</w:t>
      </w:r>
    </w:p>
    <w:p>
      <w:pPr>
        <w:spacing w:before="120"/>
      </w:pPr>
      <w:r>
        <w:rPr>
          <w:b/>
          <w:color w:val="0050A0"/>
          <w:sz w:val="20"/>
        </w:rPr>
        <w:t>NEIC — NEIC - NEI-CEDA CI</w:t>
      </w:r>
    </w:p>
    <w:p>
      <w:pPr>
        <w:pStyle w:val="ListBullet"/>
        <w:spacing w:before="20"/>
        <w:ind w:left="400"/>
      </w:pPr>
      <w:r>
        <w:rPr>
          <w:sz w:val="18"/>
        </w:rPr>
        <w:t>🔴 RSI surachat (76.7 &gt; 70) — risque de correction</w:t>
      </w:r>
    </w:p>
    <w:p>
      <w:pPr>
        <w:pStyle w:val="ListBullet"/>
        <w:spacing w:before="20"/>
        <w:ind w:left="400"/>
      </w:pPr>
      <w:r>
        <w:rPr>
          <w:sz w:val="18"/>
        </w:rPr>
        <w:t>⚠️ Cours à 0.0% du plus haut 100j (2,800 FCFA)</w:t>
      </w:r>
    </w:p>
    <w:p>
      <w:pPr>
        <w:pStyle w:val="ListBullet"/>
        <w:spacing w:before="20"/>
        <w:ind w:left="400"/>
      </w:pPr>
      <w:r>
        <w:rPr>
          <w:sz w:val="18"/>
        </w:rPr>
        <w:t>🟠 Divergence tech(VENTE) / fond(ACHAT) — recommandation ajustée à ACHAT</w:t>
      </w:r>
    </w:p>
    <w:p>
      <w:pPr>
        <w:spacing w:before="120"/>
      </w:pPr>
      <w:r>
        <w:rPr>
          <w:b/>
          <w:color w:val="0050A0"/>
          <w:sz w:val="20"/>
        </w:rPr>
        <w:t>SDCC — SDCC - Société de Distribution d'Eau de Côte d'Ivoire</w:t>
      </w:r>
    </w:p>
    <w:p>
      <w:pPr>
        <w:pStyle w:val="ListBullet"/>
        <w:spacing w:before="20"/>
        <w:ind w:left="400"/>
      </w:pPr>
      <w:r>
        <w:rPr>
          <w:sz w:val="18"/>
        </w:rPr>
        <w:t>🔴 RSI surachat (78.4 &gt; 70) — risque de correction</w:t>
      </w:r>
    </w:p>
    <w:p>
      <w:pPr>
        <w:pStyle w:val="ListBullet"/>
        <w:spacing w:before="20"/>
        <w:ind w:left="400"/>
      </w:pPr>
      <w:r>
        <w:rPr>
          <w:sz w:val="18"/>
        </w:rPr>
        <w:t>⚠️ Cours à 0.0% du plus haut 100j (12,700 FCFA)</w:t>
      </w:r>
    </w:p>
    <w:p>
      <w:pPr>
        <w:pStyle w:val="ListBullet"/>
        <w:spacing w:before="20"/>
        <w:ind w:left="400"/>
      </w:pPr>
      <w:r>
        <w:rPr>
          <w:sz w:val="18"/>
        </w:rPr>
        <w:t>🟠 Divergence tech(VENTE) / fond(ACHAT) — recommandation ajustée à ACHAT</w:t>
      </w:r>
    </w:p>
    <w:p>
      <w:pPr>
        <w:spacing w:before="120"/>
      </w:pPr>
      <w:r>
        <w:rPr>
          <w:b/>
          <w:color w:val="0050A0"/>
          <w:sz w:val="20"/>
        </w:rPr>
        <w:t>ABJC — ABJC - SERVAIR ABIDJAN CI</w:t>
      </w:r>
    </w:p>
    <w:p>
      <w:pPr>
        <w:pStyle w:val="ListBullet"/>
        <w:spacing w:before="20"/>
        <w:ind w:left="400"/>
      </w:pPr>
      <w:r>
        <w:rPr>
          <w:sz w:val="18"/>
        </w:rPr>
        <w:t>🔴 RSI surachat (93.2 &gt; 70) — risque de correction</w:t>
      </w:r>
    </w:p>
    <w:p>
      <w:pPr>
        <w:pStyle w:val="ListBullet"/>
        <w:spacing w:before="20"/>
        <w:ind w:left="400"/>
      </w:pPr>
      <w:r>
        <w:rPr>
          <w:sz w:val="18"/>
        </w:rPr>
        <w:t>⚠️ Cours à 2.4% du plus haut 100j (3,780 FCFA)</w:t>
      </w:r>
    </w:p>
    <w:p>
      <w:pPr>
        <w:spacing w:before="120"/>
      </w:pPr>
      <w:r>
        <w:rPr>
          <w:b/>
          <w:color w:val="0050A0"/>
          <w:sz w:val="20"/>
        </w:rPr>
        <w:t>BOAC — BANK OF AFRICA COTE D'IVOIRE</w:t>
      </w:r>
    </w:p>
    <w:p>
      <w:pPr>
        <w:pStyle w:val="ListBullet"/>
        <w:spacing w:before="20"/>
        <w:ind w:left="400"/>
      </w:pPr>
      <w:r>
        <w:rPr>
          <w:sz w:val="18"/>
        </w:rPr>
        <w:t>🔴 RSI surachat (71.2 &gt; 70) — risque de correction</w:t>
      </w:r>
    </w:p>
    <w:p>
      <w:pPr>
        <w:pStyle w:val="ListBullet"/>
        <w:spacing w:before="20"/>
        <w:ind w:left="400"/>
      </w:pPr>
      <w:r>
        <w:rPr>
          <w:sz w:val="18"/>
        </w:rPr>
        <w:t>🟠 Divergence tech(VENTE) / fond(NEUTRE) — recommandation ajustée à CONSERVER ⚠️</w:t>
      </w:r>
    </w:p>
    <w:p>
      <w:pPr>
        <w:spacing w:before="120"/>
      </w:pPr>
      <w:r>
        <w:rPr>
          <w:b/>
          <w:color w:val="0050A0"/>
          <w:sz w:val="20"/>
        </w:rPr>
        <w:t>BOAM — BANK OF AFRICA MALI</w:t>
      </w:r>
    </w:p>
    <w:p>
      <w:pPr>
        <w:pStyle w:val="ListBullet"/>
        <w:spacing w:before="20"/>
        <w:ind w:left="400"/>
      </w:pPr>
      <w:r>
        <w:rPr>
          <w:sz w:val="18"/>
        </w:rPr>
        <w:t>🔴 RSI surachat (92.1 &gt; 70) — risque de correction</w:t>
      </w:r>
    </w:p>
    <w:p>
      <w:pPr>
        <w:pStyle w:val="ListBullet"/>
        <w:spacing w:before="20"/>
        <w:ind w:left="400"/>
      </w:pPr>
      <w:r>
        <w:rPr>
          <w:sz w:val="18"/>
        </w:rPr>
        <w:t>⚠️ Cours à 0.7% du plus haut 100j (6,700 FCFA)</w:t>
      </w:r>
    </w:p>
    <w:p>
      <w:pPr>
        <w:spacing w:before="120"/>
      </w:pPr>
      <w:r>
        <w:rPr>
          <w:b/>
          <w:color w:val="0050A0"/>
          <w:sz w:val="20"/>
        </w:rPr>
        <w:t>ECOC — ECOC - ECOBANK COTE D'IVOIRE</w:t>
      </w:r>
    </w:p>
    <w:p>
      <w:pPr>
        <w:pStyle w:val="ListBullet"/>
        <w:spacing w:before="20"/>
        <w:ind w:left="400"/>
      </w:pPr>
      <w:r>
        <w:rPr>
          <w:sz w:val="18"/>
        </w:rPr>
        <w:t>⚠️ Cours à 2.5% du plus haut 100j (17,270 FCFA)</w:t>
      </w:r>
    </w:p>
    <w:p>
      <w:pPr>
        <w:pStyle w:val="ListBullet"/>
        <w:spacing w:before="20"/>
        <w:ind w:left="400"/>
      </w:pPr>
      <w:r>
        <w:rPr>
          <w:sz w:val="18"/>
        </w:rPr>
        <w:t>🟠 Divergence tech(VENTE) / fond(ACHAT) — recommandation ajustée à ACHAT</w:t>
      </w:r>
    </w:p>
    <w:p>
      <w:pPr>
        <w:spacing w:before="120"/>
      </w:pPr>
      <w:r>
        <w:rPr>
          <w:b/>
          <w:color w:val="0050A0"/>
          <w:sz w:val="20"/>
        </w:rPr>
        <w:t>ORAC — ORAC - ORANGE COTE D'IVOIRE</w:t>
      </w:r>
    </w:p>
    <w:p>
      <w:pPr>
        <w:pStyle w:val="ListBullet"/>
        <w:spacing w:before="20"/>
        <w:ind w:left="400"/>
      </w:pPr>
      <w:r>
        <w:rPr>
          <w:sz w:val="18"/>
        </w:rPr>
        <w:t>🔴 RSI surachat (88.8 &gt; 70) — risque de correction</w:t>
      </w:r>
    </w:p>
    <w:p>
      <w:pPr>
        <w:pStyle w:val="ListBullet"/>
        <w:spacing w:before="20"/>
        <w:ind w:left="400"/>
      </w:pPr>
      <w:r>
        <w:rPr>
          <w:sz w:val="18"/>
        </w:rPr>
        <w:t>⚠️ Cours à 0.0% du plus haut 100j (21,200 FCFA)</w:t>
      </w:r>
    </w:p>
    <w:p>
      <w:pPr>
        <w:spacing w:before="120"/>
      </w:pPr>
      <w:r>
        <w:rPr>
          <w:b/>
          <w:color w:val="0050A0"/>
          <w:sz w:val="20"/>
        </w:rPr>
        <w:t>SGBC — SGBC - SOCIETE GENERALE COTE D'IVOIRE</w:t>
      </w:r>
    </w:p>
    <w:p>
      <w:pPr>
        <w:pStyle w:val="ListBullet"/>
        <w:spacing w:before="20"/>
        <w:ind w:left="400"/>
      </w:pPr>
      <w:r>
        <w:rPr>
          <w:sz w:val="18"/>
        </w:rPr>
        <w:t>⚠️ Cours à 2.0% du plus haut 100j (39,300 FCFA)</w:t>
      </w:r>
    </w:p>
    <w:p>
      <w:pPr>
        <w:pStyle w:val="ListBullet"/>
        <w:spacing w:before="20"/>
        <w:ind w:left="400"/>
      </w:pPr>
      <w:r>
        <w:rPr>
          <w:sz w:val="18"/>
        </w:rPr>
        <w:t>🟠 Divergence tech(VENTE) / fond(ACHAT) — recommandation ajustée à ACHAT</w:t>
      </w:r>
    </w:p>
    <w:p>
      <w:pPr>
        <w:spacing w:before="120"/>
      </w:pPr>
      <w:r>
        <w:rPr>
          <w:b/>
          <w:color w:val="0050A0"/>
          <w:sz w:val="20"/>
        </w:rPr>
        <w:t>SIVC — SIVC - ERIUM CI (Ex AIR LIQUIDECI)</w:t>
      </w:r>
    </w:p>
    <w:p>
      <w:pPr>
        <w:pStyle w:val="ListBullet"/>
        <w:spacing w:before="20"/>
        <w:ind w:left="400"/>
      </w:pPr>
      <w:r>
        <w:rPr>
          <w:sz w:val="18"/>
        </w:rPr>
        <w:t>🔴 RSI surachat (75.9 &gt; 70) — risque de correction</w:t>
      </w:r>
    </w:p>
    <w:p>
      <w:pPr>
        <w:pStyle w:val="ListBullet"/>
        <w:spacing w:before="20"/>
        <w:ind w:left="400"/>
      </w:pPr>
      <w:r>
        <w:rPr>
          <w:sz w:val="18"/>
        </w:rPr>
        <w:t>🟠 Divergence tech(VENTE) / fond(NEUTRE) — recommandation ajustée à CONSERVER ⚠️</w:t>
      </w:r>
    </w:p>
    <w:p>
      <w:pPr>
        <w:spacing w:before="120"/>
      </w:pPr>
      <w:r>
        <w:rPr>
          <w:b/>
          <w:color w:val="0050A0"/>
          <w:sz w:val="20"/>
        </w:rPr>
        <w:t>SNTS — SNTS - SONATEL SN</w:t>
      </w:r>
    </w:p>
    <w:p>
      <w:pPr>
        <w:pStyle w:val="ListBullet"/>
        <w:spacing w:before="20"/>
        <w:ind w:left="400"/>
      </w:pPr>
      <w:r>
        <w:rPr>
          <w:sz w:val="18"/>
        </w:rPr>
        <w:t>🔴 RSI surachat (77.0 &gt; 70) — risque de correction</w:t>
      </w:r>
    </w:p>
    <w:p>
      <w:pPr>
        <w:pStyle w:val="ListBullet"/>
        <w:spacing w:before="20"/>
        <w:ind w:left="400"/>
      </w:pPr>
      <w:r>
        <w:rPr>
          <w:sz w:val="18"/>
        </w:rPr>
        <w:t>⚠️ Cours à 2.7% du plus haut 100j (36,980 FCFA)</w:t>
      </w:r>
    </w:p>
    <w:p>
      <w:pPr>
        <w:spacing w:before="120"/>
      </w:pPr>
      <w:r>
        <w:rPr>
          <w:b/>
          <w:color w:val="0050A0"/>
          <w:sz w:val="20"/>
        </w:rPr>
        <w:t>BICC — BICI CI - Banque internationale pour le commerce et l'industrie de la Côte d'Ivoire</w:t>
      </w:r>
    </w:p>
    <w:p>
      <w:pPr>
        <w:pStyle w:val="ListBullet"/>
        <w:spacing w:before="20"/>
        <w:ind w:left="400"/>
      </w:pPr>
      <w:r>
        <w:rPr>
          <w:sz w:val="18"/>
        </w:rPr>
        <w:t>⚠️ Cours à 0.0% du plus haut 100j (29,970 FCFA)</w:t>
      </w:r>
    </w:p>
    <w:p>
      <w:pPr>
        <w:spacing w:before="120"/>
      </w:pPr>
      <w:r>
        <w:rPr>
          <w:b/>
          <w:color w:val="0050A0"/>
          <w:sz w:val="20"/>
        </w:rPr>
        <w:t>BOAB — BANK OF AFRICA BENIN</w:t>
      </w:r>
    </w:p>
    <w:p>
      <w:pPr>
        <w:pStyle w:val="ListBullet"/>
        <w:spacing w:before="20"/>
        <w:ind w:left="400"/>
      </w:pPr>
      <w:r>
        <w:rPr>
          <w:sz w:val="18"/>
        </w:rPr>
        <w:t>🔴 RSI surachat (73.9 &gt; 70) — risque de correction</w:t>
      </w:r>
    </w:p>
    <w:p>
      <w:pPr>
        <w:spacing w:before="120"/>
      </w:pPr>
      <w:r>
        <w:rPr>
          <w:b/>
          <w:color w:val="0050A0"/>
          <w:sz w:val="20"/>
        </w:rPr>
        <w:t>CBIBF — CBIBF - CORIS BANK INTERNATIONAL BURKINA FASO</w:t>
      </w:r>
    </w:p>
    <w:p>
      <w:pPr>
        <w:pStyle w:val="ListBullet"/>
        <w:spacing w:before="20"/>
        <w:ind w:left="400"/>
      </w:pPr>
      <w:r>
        <w:rPr>
          <w:sz w:val="18"/>
        </w:rPr>
        <w:t>⚠️ Cours à 2.0% du plus haut 100j (30,005 FCFA)</w:t>
      </w:r>
    </w:p>
    <w:p>
      <w:pPr>
        <w:spacing w:before="120"/>
      </w:pPr>
      <w:r>
        <w:rPr>
          <w:b/>
          <w:color w:val="0050A0"/>
          <w:sz w:val="20"/>
        </w:rPr>
        <w:t>CIEC — CIEC - Compagnie Ivoirienne d'Electricité</w:t>
      </w:r>
    </w:p>
    <w:p>
      <w:pPr>
        <w:pStyle w:val="ListBullet"/>
        <w:spacing w:before="20"/>
        <w:ind w:left="400"/>
      </w:pPr>
      <w:r>
        <w:rPr>
          <w:sz w:val="18"/>
        </w:rPr>
        <w:t>🔴 RSI surachat (79.6 &gt; 70) — risque de correction</w:t>
      </w:r>
    </w:p>
    <w:p>
      <w:pPr>
        <w:spacing w:before="120"/>
      </w:pPr>
      <w:r>
        <w:rPr>
          <w:b/>
          <w:color w:val="0050A0"/>
          <w:sz w:val="20"/>
        </w:rPr>
        <w:t>FTSC — FTSC - FILTISAC COTE D'IVOIRE</w:t>
      </w:r>
    </w:p>
    <w:p>
      <w:pPr>
        <w:pStyle w:val="ListBullet"/>
        <w:spacing w:before="20"/>
        <w:ind w:left="400"/>
      </w:pPr>
      <w:r>
        <w:rPr>
          <w:sz w:val="18"/>
        </w:rPr>
        <w:t>🔴 RSI surachat (72.6 &gt; 70) — risque de correction</w:t>
      </w:r>
    </w:p>
    <w:p>
      <w:pPr>
        <w:spacing w:before="120"/>
      </w:pPr>
      <w:r>
        <w:rPr>
          <w:b/>
          <w:color w:val="0050A0"/>
          <w:sz w:val="20"/>
        </w:rPr>
        <w:t>LNBB — LNBB - LOTERIE NATIONALE DU BENIN</w:t>
      </w:r>
    </w:p>
    <w:p>
      <w:pPr>
        <w:pStyle w:val="ListBullet"/>
        <w:spacing w:before="20"/>
        <w:ind w:left="400"/>
      </w:pPr>
      <w:r>
        <w:rPr>
          <w:sz w:val="18"/>
        </w:rPr>
        <w:t>🟠 Divergence tech(VENTE) / fond(ACHAT) — recommandation ajustée à ACHAT</w:t>
      </w:r>
    </w:p>
    <w:p>
      <w:pPr>
        <w:spacing w:before="120"/>
      </w:pPr>
      <w:r>
        <w:rPr>
          <w:b/>
          <w:color w:val="0050A0"/>
          <w:sz w:val="20"/>
        </w:rPr>
        <w:t>NSBC — NSBC - NSIA BANQUE COTE D'IVOIRE</w:t>
      </w:r>
    </w:p>
    <w:p>
      <w:pPr>
        <w:pStyle w:val="ListBullet"/>
        <w:spacing w:before="20"/>
        <w:ind w:left="400"/>
      </w:pPr>
      <w:r>
        <w:rPr>
          <w:sz w:val="18"/>
        </w:rPr>
        <w:t>🟢 RSI survente (15.7 &lt; 30) — opportunité potentielle</w:t>
      </w:r>
    </w:p>
    <w:p>
      <w:pPr>
        <w:spacing w:before="120"/>
      </w:pPr>
      <w:r>
        <w:rPr>
          <w:b/>
          <w:color w:val="0050A0"/>
          <w:sz w:val="20"/>
        </w:rPr>
        <w:t>ORGT — ORGT - ORAGROUP TOGO</w:t>
      </w:r>
    </w:p>
    <w:p>
      <w:pPr>
        <w:pStyle w:val="ListBullet"/>
        <w:spacing w:before="20"/>
        <w:ind w:left="400"/>
      </w:pPr>
      <w:r>
        <w:rPr>
          <w:sz w:val="18"/>
        </w:rPr>
        <w:t>🟠 Divergence tech(VENTE) / fond(ACHAT) — recommandation ajustée à ACHAT</w:t>
      </w:r>
    </w:p>
    <w:p>
      <w:pPr>
        <w:spacing w:before="120"/>
      </w:pPr>
      <w:r>
        <w:rPr>
          <w:b/>
          <w:color w:val="0050A0"/>
          <w:sz w:val="20"/>
        </w:rPr>
        <w:t>PRSC — PRSC - TRACTAFRIC MOTORS CI</w:t>
      </w:r>
    </w:p>
    <w:p>
      <w:pPr>
        <w:pStyle w:val="ListBullet"/>
        <w:spacing w:before="20"/>
        <w:ind w:left="400"/>
      </w:pPr>
      <w:r>
        <w:rPr>
          <w:sz w:val="18"/>
        </w:rPr>
        <w:t>🟠 Divergence tech(VENTE) / fond(ACHAT) — recommandation ajustée à ACHAT</w:t>
      </w:r>
    </w:p>
    <w:p>
      <w:pPr>
        <w:spacing w:before="120"/>
      </w:pPr>
      <w:r>
        <w:rPr>
          <w:b/>
          <w:color w:val="0050A0"/>
          <w:sz w:val="20"/>
        </w:rPr>
        <w:t>SHEC — SHEC - VIVO ENERGY COTE D'IVOIRE</w:t>
      </w:r>
    </w:p>
    <w:p>
      <w:pPr>
        <w:pStyle w:val="ListBullet"/>
        <w:spacing w:before="20"/>
        <w:ind w:left="400"/>
      </w:pPr>
      <w:r>
        <w:rPr>
          <w:sz w:val="18"/>
        </w:rPr>
        <w:t>⚠️ Cours à 1.2% du plus haut 100j (2,480 FCFA)</w:t>
      </w:r>
    </w:p>
    <w:p>
      <w:pPr>
        <w:spacing w:before="120"/>
      </w:pPr>
      <w:r>
        <w:rPr>
          <w:b/>
          <w:color w:val="0050A0"/>
          <w:sz w:val="20"/>
        </w:rPr>
        <w:t>SOGC — SOGC - Société des caoutchoucs de Grand-Béréby</w:t>
      </w:r>
    </w:p>
    <w:p>
      <w:pPr>
        <w:pStyle w:val="ListBullet"/>
        <w:spacing w:before="20"/>
        <w:ind w:left="400"/>
      </w:pPr>
      <w:r>
        <w:rPr>
          <w:sz w:val="18"/>
        </w:rPr>
        <w:t>🟠 Divergence tech(VENTE) / fond(ACHAT) — recommandation ajustée à ACHAT</w:t>
      </w:r>
    </w:p>
    <w:p>
      <w:pPr>
        <w:spacing w:before="120"/>
      </w:pPr>
      <w:r>
        <w:rPr>
          <w:b/>
          <w:color w:val="0050A0"/>
          <w:sz w:val="20"/>
        </w:rPr>
        <w:t>SPHC — SPHC - Société Africaine de Plantation d'Hévéas de Côte d'Ivoire</w:t>
      </w:r>
    </w:p>
    <w:p>
      <w:pPr>
        <w:pStyle w:val="ListBullet"/>
        <w:spacing w:before="20"/>
        <w:ind w:left="400"/>
      </w:pPr>
      <w:r>
        <w:rPr>
          <w:sz w:val="18"/>
        </w:rPr>
        <w:t>🔴 RSI surachat (72.3 &gt; 70) — risque de correction</w:t>
      </w:r>
    </w:p>
    <w:p>
      <w:pPr>
        <w:spacing w:before="120"/>
      </w:pPr>
      <w:r>
        <w:rPr>
          <w:b/>
          <w:color w:val="0050A0"/>
          <w:sz w:val="20"/>
        </w:rPr>
        <w:t>UNLC — UNLC - UNILEVER COTE D'IVOIRE</w:t>
      </w:r>
    </w:p>
    <w:p>
      <w:pPr>
        <w:pStyle w:val="ListBullet"/>
        <w:spacing w:before="20"/>
        <w:ind w:left="400"/>
      </w:pPr>
      <w:r>
        <w:rPr>
          <w:sz w:val="18"/>
        </w:rPr>
        <w:t>🟠 Divergence tech(VENTE) / fond(ACHAT) — recommandation ajustée à ACHAT</w:t>
      </w:r>
    </w:p>
    <w:p>
      <w:pPr>
        <w:spacing w:before="120"/>
      </w:pPr>
      <w:r>
        <w:rPr>
          <w:b/>
          <w:color w:val="0050A0"/>
          <w:sz w:val="20"/>
        </w:rPr>
        <w:t>UNXC — UNXC - UNIWAX COTE D'IVOIRE</w:t>
      </w:r>
    </w:p>
    <w:p>
      <w:pPr>
        <w:pStyle w:val="ListBullet"/>
        <w:spacing w:before="20"/>
        <w:ind w:left="400"/>
      </w:pPr>
      <w:r>
        <w:rPr>
          <w:sz w:val="18"/>
        </w:rPr>
        <w:t>🔴 RSI surachat (82.9 &gt; 70) — risque de correction</w:t>
      </w:r>
    </w:p>
    <w:p>
      <w:r>
        <w:br w:type="page"/>
      </w:r>
    </w:p>
    <w:p>
      <w:pPr>
        <w:pStyle w:val="Heading1"/>
      </w:pPr>
      <w:r>
        <w:t>🛡️ RÉCAPITULATIF DES RISQUES — TOUTES LES SOCIÉTÉS</w:t>
      </w:r>
    </w:p>
    <w:p>
      <w:r>
        <w:rPr>
          <w:i/>
          <w:color w:val="505050"/>
          <w:sz w:val="18"/>
        </w:rPr>
        <w:t>Synthèse comparative des scores de risque calculés pour chaque société. Le score de risque (0–100) agrège 5 critères : volatilité des prix (30%), bêta réel vs BRVM Composite (20%), liquidité du titre (20%), divergence des signaux techniques (15%) et stabilité des rendements (15%). Plus le score est élevé, plus le titre est risqué.</w:t>
      </w:r>
    </w:p>
    <w:p/>
    <w:p>
      <w:pPr>
        <w:pStyle w:val="Heading2"/>
      </w:pPr>
      <w:r>
        <w:t>📊 1. Vue d'ensemble des niveaux de risque</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644"/>
            <w:shd w:fill="1F4E79" w:val="clear"/>
          </w:tcPr>
          <w:p>
            <w:r>
              <w:rPr>
                <w:b/>
                <w:color w:val="FFFFFF"/>
                <w:sz w:val="17"/>
              </w:rPr>
              <w:t>Faible</w:t>
            </w:r>
          </w:p>
        </w:tc>
        <w:tc>
          <w:tcPr>
            <w:tcW w:type="dxa" w:w="1644"/>
            <w:shd w:fill="1F4E79" w:val="clear"/>
          </w:tcPr>
          <w:p>
            <w:r>
              <w:rPr>
                <w:b/>
                <w:color w:val="FFFFFF"/>
                <w:sz w:val="17"/>
              </w:rPr>
              <w:t>Moyen</w:t>
            </w:r>
          </w:p>
        </w:tc>
        <w:tc>
          <w:tcPr>
            <w:tcW w:type="dxa" w:w="1644"/>
            <w:shd w:fill="1F4E79" w:val="clear"/>
          </w:tcPr>
          <w:p>
            <w:r>
              <w:rPr>
                <w:b/>
                <w:color w:val="FFFFFF"/>
                <w:sz w:val="17"/>
              </w:rPr>
              <w:t>Élevé</w:t>
            </w:r>
          </w:p>
        </w:tc>
        <w:tc>
          <w:tcPr>
            <w:tcW w:type="dxa" w:w="1644"/>
            <w:shd w:fill="1F4E79" w:val="clear"/>
          </w:tcPr>
          <w:p>
            <w:r>
              <w:rPr>
                <w:b/>
                <w:color w:val="FFFFFF"/>
                <w:sz w:val="17"/>
              </w:rPr>
              <w:t>Très élevé</w:t>
            </w:r>
          </w:p>
        </w:tc>
        <w:tc>
          <w:tcPr>
            <w:tcW w:type="dxa" w:w="1644"/>
            <w:shd w:fill="1F4E79" w:val="clear"/>
          </w:tcPr>
          <w:p>
            <w:r>
              <w:rPr>
                <w:b/>
                <w:color w:val="FFFFFF"/>
                <w:sz w:val="17"/>
              </w:rPr>
              <w:t>Score moyen</w:t>
            </w:r>
          </w:p>
        </w:tc>
        <w:tc>
          <w:tcPr>
            <w:tcW w:type="dxa" w:w="1644"/>
            <w:shd w:fill="1F4E79" w:val="clear"/>
          </w:tcPr>
          <w:p>
            <w:r>
              <w:rPr>
                <w:b/>
                <w:color w:val="FFFFFF"/>
                <w:sz w:val="17"/>
              </w:rPr>
              <w:t>Score médian</w:t>
            </w:r>
          </w:p>
        </w:tc>
      </w:tr>
      <w:tr>
        <w:tc>
          <w:tcPr>
            <w:tcW w:type="dxa" w:w="1644"/>
            <w:shd w:fill="C6EFCE" w:val="clear"/>
          </w:tcPr>
          <w:p>
            <w:r>
              <w:rPr>
                <w:b/>
                <w:color w:val="006400"/>
                <w:sz w:val="19"/>
              </w:rPr>
              <w:t>21 société(s) (45%)</w:t>
            </w:r>
          </w:p>
        </w:tc>
        <w:tc>
          <w:tcPr>
            <w:tcW w:type="dxa" w:w="1644"/>
            <w:shd w:fill="FFEB9C" w:val="clear"/>
          </w:tcPr>
          <w:p>
            <w:r>
              <w:rPr>
                <w:b/>
                <w:color w:val="825A00"/>
                <w:sz w:val="19"/>
              </w:rPr>
              <w:t>26 société(s) (55%)</w:t>
            </w:r>
          </w:p>
        </w:tc>
        <w:tc>
          <w:tcPr>
            <w:tcW w:type="dxa" w:w="1644"/>
            <w:shd w:fill="FFC7CE" w:val="clear"/>
          </w:tcPr>
          <w:p>
            <w:r>
              <w:rPr>
                <w:b/>
                <w:color w:val="B40000"/>
                <w:sz w:val="19"/>
              </w:rPr>
              <w:t>0 société(s) (0%)</w:t>
            </w:r>
          </w:p>
        </w:tc>
        <w:tc>
          <w:tcPr>
            <w:tcW w:type="dxa" w:w="1644"/>
            <w:shd w:fill="FF0000" w:val="clear"/>
          </w:tcPr>
          <w:p>
            <w:r>
              <w:rPr>
                <w:b/>
                <w:color w:val="FFFFFF"/>
                <w:sz w:val="19"/>
              </w:rPr>
              <w:t>0 société(s) (0%)</w:t>
            </w:r>
          </w:p>
        </w:tc>
        <w:tc>
          <w:tcPr>
            <w:tcW w:type="dxa" w:w="1644"/>
            <w:shd w:fill="DEEAF1" w:val="clear"/>
          </w:tcPr>
          <w:p>
            <w:r>
              <w:rPr>
                <w:b/>
                <w:color w:val="000000"/>
                <w:sz w:val="19"/>
              </w:rPr>
              <w:t>21.5/100</w:t>
            </w:r>
          </w:p>
        </w:tc>
        <w:tc>
          <w:tcPr>
            <w:tcW w:type="dxa" w:w="1644"/>
            <w:shd w:fill="DEEAF1" w:val="clear"/>
          </w:tcPr>
          <w:p>
            <w:r>
              <w:rPr>
                <w:b/>
                <w:color w:val="000000"/>
                <w:sz w:val="19"/>
              </w:rPr>
              <w:t>20.3/100</w:t>
            </w:r>
          </w:p>
        </w:tc>
      </w:tr>
    </w:tbl>
    <w:p/>
    <w:p>
      <w:r>
        <w:rPr>
          <w:i/>
          <w:color w:val="006400"/>
          <w:sz w:val="18"/>
        </w:rPr>
        <w:t>✅ Le marché BRVM présente globalement un profil de risque FAIBLE (score moyen 21.5/100). La majorité des titres ont des volatilités maîtrisées et une bonne convergence des signaux techniques.</w:t>
      </w:r>
    </w:p>
    <w:p/>
    <w:p>
      <w:pPr>
        <w:pStyle w:val="Heading2"/>
      </w:pPr>
      <w:r>
        <w:t>🔴 2. Top 5 — Sociétés les plus risquées</w:t>
      </w:r>
    </w:p>
    <w:p>
      <w:r>
        <w:rPr>
          <w:i/>
          <w:sz w:val="17"/>
        </w:rPr>
        <w:t>Les 5 sociétés avec le score de risque le plus élevé. Un score élevé indique une combinaison de forte volatilité, faible liquidité, bêta élevé ou signaux techniques contradictoires.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843C0C" w:val="clear"/>
          </w:tcPr>
          <w:p>
            <w:r>
              <w:rPr>
                <w:b/>
                <w:color w:val="FFFFFF"/>
                <w:sz w:val="16"/>
              </w:rPr>
              <w:t>Rang</w:t>
            </w:r>
          </w:p>
        </w:tc>
        <w:tc>
          <w:tcPr>
            <w:tcW w:type="dxa" w:w="850"/>
            <w:shd w:fill="843C0C" w:val="clear"/>
          </w:tcPr>
          <w:p>
            <w:r>
              <w:rPr>
                <w:b/>
                <w:color w:val="FFFFFF"/>
                <w:sz w:val="16"/>
              </w:rPr>
              <w:t>Symbole</w:t>
            </w:r>
          </w:p>
        </w:tc>
        <w:tc>
          <w:tcPr>
            <w:tcW w:type="dxa" w:w="2268"/>
            <w:shd w:fill="843C0C" w:val="clear"/>
          </w:tcPr>
          <w:p>
            <w:r>
              <w:rPr>
                <w:b/>
                <w:color w:val="FFFFFF"/>
                <w:sz w:val="16"/>
              </w:rPr>
              <w:t>Société</w:t>
            </w:r>
          </w:p>
        </w:tc>
        <w:tc>
          <w:tcPr>
            <w:tcW w:type="dxa" w:w="1701"/>
            <w:shd w:fill="843C0C" w:val="clear"/>
          </w:tcPr>
          <w:p>
            <w:r>
              <w:rPr>
                <w:b/>
                <w:color w:val="FFFFFF"/>
                <w:sz w:val="16"/>
              </w:rPr>
              <w:t>Secteur</w:t>
            </w:r>
          </w:p>
        </w:tc>
        <w:tc>
          <w:tcPr>
            <w:tcW w:type="dxa" w:w="1020"/>
            <w:shd w:fill="843C0C" w:val="clear"/>
          </w:tcPr>
          <w:p>
            <w:r>
              <w:rPr>
                <w:b/>
                <w:color w:val="FFFFFF"/>
                <w:sz w:val="16"/>
              </w:rPr>
              <w:t>Score</w:t>
            </w:r>
          </w:p>
        </w:tc>
        <w:tc>
          <w:tcPr>
            <w:tcW w:type="dxa" w:w="1134"/>
            <w:shd w:fill="843C0C" w:val="clear"/>
          </w:tcPr>
          <w:p>
            <w:r>
              <w:rPr>
                <w:b/>
                <w:color w:val="FFFFFF"/>
                <w:sz w:val="16"/>
              </w:rPr>
              <w:t>Niveau</w:t>
            </w:r>
          </w:p>
        </w:tc>
        <w:tc>
          <w:tcPr>
            <w:tcW w:type="dxa" w:w="2381"/>
            <w:shd w:fill="843C0C"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ETIT</w:t>
            </w:r>
          </w:p>
        </w:tc>
        <w:tc>
          <w:tcPr>
            <w:tcW w:type="dxa" w:w="2268"/>
            <w:shd w:fill="FFFFFF" w:val="clear"/>
          </w:tcPr>
          <w:p>
            <w:r>
              <w:rPr>
                <w:sz w:val="16"/>
              </w:rPr>
              <w:t>ETIT - Ecobank Transnational…</w:t>
            </w:r>
          </w:p>
        </w:tc>
        <w:tc>
          <w:tcPr>
            <w:tcW w:type="dxa" w:w="1701"/>
            <w:shd w:fill="FFFFFF" w:val="clear"/>
          </w:tcPr>
          <w:p>
            <w:r>
              <w:rPr>
                <w:sz w:val="16"/>
              </w:rPr>
              <w:t>SERVICES FINANCIER</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#2</w:t>
            </w:r>
          </w:p>
        </w:tc>
        <w:tc>
          <w:tcPr>
            <w:tcW w:type="dxa" w:w="850"/>
            <w:shd w:fill="FFFFFF" w:val="clear"/>
          </w:tcPr>
          <w:p>
            <w:r>
              <w:rPr>
                <w:sz w:val="16"/>
              </w:rPr>
              <w:t>SICC</w:t>
            </w:r>
          </w:p>
        </w:tc>
        <w:tc>
          <w:tcPr>
            <w:tcW w:type="dxa" w:w="2268"/>
            <w:shd w:fill="FFFFFF" w:val="clear"/>
          </w:tcPr>
          <w:p>
            <w:r>
              <w:rPr>
                <w:sz w:val="16"/>
              </w:rPr>
              <w:t>SICC - SICOR COTE D'IVOIRE</w:t>
            </w:r>
          </w:p>
        </w:tc>
        <w:tc>
          <w:tcPr>
            <w:tcW w:type="dxa" w:w="1701"/>
            <w:shd w:fill="FFFFFF" w:val="clear"/>
          </w:tcPr>
          <w:p>
            <w:r>
              <w:rPr>
                <w:sz w:val="16"/>
              </w:rPr>
              <w:t>CONSOMMATION DE BA</w:t>
            </w:r>
          </w:p>
        </w:tc>
        <w:tc>
          <w:tcPr>
            <w:tcW w:type="dxa" w:w="1020"/>
            <w:shd w:fill="FFEB9C" w:val="clear"/>
          </w:tcPr>
          <w:p>
            <w:r>
              <w:rPr>
                <w:b/>
                <w:color w:val="B40000"/>
                <w:sz w:val="16"/>
              </w:rPr>
              <w:t>33.8/100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#3</w:t>
            </w:r>
          </w:p>
        </w:tc>
        <w:tc>
          <w:tcPr>
            <w:tcW w:type="dxa" w:w="850"/>
            <w:shd w:fill="FFFFFF" w:val="clear"/>
          </w:tcPr>
          <w:p>
            <w:r>
              <w:rPr>
                <w:sz w:val="16"/>
              </w:rPr>
              <w:t>NEIC</w:t>
            </w:r>
          </w:p>
        </w:tc>
        <w:tc>
          <w:tcPr>
            <w:tcW w:type="dxa" w:w="2268"/>
            <w:shd w:fill="FFFFFF" w:val="clear"/>
          </w:tcPr>
          <w:p>
            <w:r>
              <w:rPr>
                <w:sz w:val="16"/>
              </w:rPr>
              <w:t>NEIC - NEI-CEDA CI</w:t>
            </w:r>
          </w:p>
        </w:tc>
        <w:tc>
          <w:tcPr>
            <w:tcW w:type="dxa" w:w="1701"/>
            <w:shd w:fill="FFFFFF" w:val="clear"/>
          </w:tcPr>
          <w:p>
            <w:r>
              <w:rPr>
                <w:sz w:val="16"/>
              </w:rPr>
              <w:t>CONSOMMATION DISCR</w:t>
            </w:r>
          </w:p>
        </w:tc>
        <w:tc>
          <w:tcPr>
            <w:tcW w:type="dxa" w:w="1020"/>
            <w:shd w:fill="FFEB9C" w:val="clear"/>
          </w:tcPr>
          <w:p>
            <w:r>
              <w:rPr>
                <w:b/>
                <w:color w:val="B40000"/>
                <w:sz w:val="16"/>
              </w:rPr>
              <w:t>32.6/100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#4</w:t>
            </w:r>
          </w:p>
        </w:tc>
        <w:tc>
          <w:tcPr>
            <w:tcW w:type="dxa" w:w="850"/>
            <w:shd w:fill="FFFFFF" w:val="clear"/>
          </w:tcPr>
          <w:p>
            <w:r>
              <w:rPr>
                <w:sz w:val="16"/>
              </w:rPr>
              <w:t>NSBC</w:t>
            </w:r>
          </w:p>
        </w:tc>
        <w:tc>
          <w:tcPr>
            <w:tcW w:type="dxa" w:w="2268"/>
            <w:shd w:fill="FFFFFF" w:val="clear"/>
          </w:tcPr>
          <w:p>
            <w:r>
              <w:rPr>
                <w:sz w:val="16"/>
              </w:rPr>
              <w:t>NSBC - NSIA BANQUE COTE D'IV…</w:t>
            </w:r>
          </w:p>
        </w:tc>
        <w:tc>
          <w:tcPr>
            <w:tcW w:type="dxa" w:w="1701"/>
            <w:shd w:fill="FFFFFF" w:val="clear"/>
          </w:tcPr>
          <w:p>
            <w:r>
              <w:rPr>
                <w:sz w:val="16"/>
              </w:rPr>
              <w:t>SERVICES FINANCIER</w:t>
            </w:r>
          </w:p>
        </w:tc>
        <w:tc>
          <w:tcPr>
            <w:tcW w:type="dxa" w:w="1020"/>
            <w:shd w:fill="FFEB9C" w:val="clear"/>
          </w:tcPr>
          <w:p>
            <w:r>
              <w:rPr>
                <w:b/>
                <w:color w:val="B40000"/>
                <w:sz w:val="16"/>
              </w:rPr>
              <w:t>31.3/100</w:t>
            </w:r>
          </w:p>
        </w:tc>
        <w:tc>
          <w:tcPr>
            <w:tcW w:type="dxa" w:w="1134"/>
            <w:shd w:fill="FFEB9C" w:val="clear"/>
          </w:tcPr>
          <w:p>
            <w:r>
              <w:rPr>
                <w:sz w:val="16"/>
              </w:rPr>
              <w:t>Moyen</w:t>
            </w:r>
          </w:p>
        </w:tc>
        <w:tc>
          <w:tcPr>
            <w:tcW w:type="dxa" w:w="2381"/>
            <w:shd w:fill="FFFFFF" w:val="clear"/>
          </w:tcPr>
          <w:p>
            <w:r>
              <w:rPr>
                <w:sz w:val="16"/>
              </w:rPr>
              <w:t>📊 Volatilité élevée</w:t>
            </w:r>
          </w:p>
        </w:tc>
      </w:tr>
      <w:tr>
        <w:tc>
          <w:tcPr>
            <w:tcW w:type="dxa" w:w="567"/>
            <w:shd w:fill="FFFFFF" w:val="clear"/>
          </w:tcPr>
          <w:p>
            <w:r>
              <w:rPr>
                <w:b/>
                <w:sz w:val="16"/>
              </w:rPr>
              <w:t>#5</w:t>
            </w:r>
          </w:p>
        </w:tc>
        <w:tc>
          <w:tcPr>
            <w:tcW w:type="dxa" w:w="850"/>
            <w:shd w:fill="FFFFFF" w:val="clear"/>
          </w:tcPr>
          <w:p>
            <w:r>
              <w:rPr>
                <w:sz w:val="16"/>
              </w:rPr>
              <w:t>SAFC</w:t>
            </w:r>
          </w:p>
        </w:tc>
        <w:tc>
          <w:tcPr>
            <w:tcW w:type="dxa" w:w="2268"/>
            <w:shd w:fill="FFFFFF" w:val="clear"/>
          </w:tcPr>
          <w:p>
            <w:r>
              <w:rPr>
                <w:sz w:val="16"/>
              </w:rPr>
              <w:t>SAFCA CI</w:t>
            </w:r>
          </w:p>
        </w:tc>
        <w:tc>
          <w:tcPr>
            <w:tcW w:type="dxa" w:w="1701"/>
            <w:shd w:fill="FFFFFF" w:val="clear"/>
          </w:tcPr>
          <w:p>
            <w:r>
              <w:rPr>
                <w:sz w:val="16"/>
              </w:rPr>
              <w:t>SERVICES FINANCIER</w:t>
            </w:r>
          </w:p>
        </w:tc>
        <w:tc>
          <w:tcPr>
            <w:tcW w:type="dxa" w:w="1020"/>
            <w:shd w:fill="FFEB9C" w:val="clear"/>
          </w:tcPr>
          <w:p>
            <w:r>
              <w:rPr>
                <w:b/>
                <w:color w:val="B40000"/>
                <w:sz w:val="16"/>
              </w:rPr>
              <w:t>30.1/100</w:t>
            </w:r>
          </w:p>
        </w:tc>
        <w:tc>
          <w:tcPr>
            <w:tcW w:type="dxa" w:w="1134"/>
            <w:shd w:fill="FFEB9C" w:val="clear"/>
          </w:tcPr>
          <w:p>
            <w:r>
              <w:rPr>
                <w:sz w:val="16"/>
              </w:rPr>
              <w:t>Moyen</w:t>
            </w:r>
          </w:p>
        </w:tc>
        <w:tc>
          <w:tcPr>
            <w:tcW w:type="dxa" w:w="2381"/>
            <w:shd w:fill="FFFFFF" w:val="clear"/>
          </w:tcPr>
          <w:p>
            <w:r>
              <w:rPr>
                <w:sz w:val="16"/>
              </w:rPr>
              <w:t>📊 Volatilité élevée</w:t>
            </w:r>
          </w:p>
        </w:tc>
      </w:tr>
    </w:tbl>
    <w:p/>
    <w:p>
      <w:pPr>
        <w:pStyle w:val="ListBullet"/>
      </w:pPr>
      <w:r>
        <w:rPr>
          <w:b/>
          <w:color w:val="B40000"/>
          <w:sz w:val="18"/>
        </w:rPr>
        <w:t xml:space="preserve">#1 ETIT (33.8/100 — Moyen) : </w:t>
      </w:r>
      <w:r>
        <w:rPr>
          <w:sz w:val="17"/>
        </w:rPr>
        <w:t>Volatilité=Élevée | Bêta=Très agressif | Liquidité=Excellente | Divergence signaux=taux divergence=20% (Mixte ⚠️) | Stabilité=Modérée</w:t>
      </w:r>
    </w:p>
    <w:p>
      <w:pPr>
        <w:pStyle w:val="ListBullet"/>
      </w:pPr>
      <w:r>
        <w:rPr>
          <w:b/>
          <w:color w:val="B40000"/>
          <w:sz w:val="18"/>
        </w:rPr>
        <w:t xml:space="preserve">#2 SICC (33.8/100 — Moyen) : </w:t>
      </w:r>
      <w:r>
        <w:rPr>
          <w:sz w:val="17"/>
        </w:rPr>
        <w:t>Volatilité=Élevée | Bêta=Contre-cyclique | Liquidité=Faible | Divergence signaux=taux divergence=20% (Mixte ⚠️) | Stabilité=Modérée</w:t>
      </w:r>
    </w:p>
    <w:p>
      <w:pPr>
        <w:pStyle w:val="ListBullet"/>
      </w:pPr>
      <w:r>
        <w:rPr>
          <w:b/>
          <w:color w:val="B40000"/>
          <w:sz w:val="18"/>
        </w:rPr>
        <w:t xml:space="preserve">#3 NEIC (32.6/100 — Moyen) : </w:t>
      </w:r>
      <w:r>
        <w:rPr>
          <w:sz w:val="17"/>
        </w:rPr>
        <w:t>Volatilité=Élevée | Bêta=Contre-cyclique | Liquidité=Bonne | Divergence signaux=taux divergence=40% (Très divergent ❌) | Stabilité=Modérée</w:t>
      </w:r>
    </w:p>
    <w:p>
      <w:pPr>
        <w:pStyle w:val="ListBullet"/>
      </w:pPr>
      <w:r>
        <w:rPr>
          <w:b/>
          <w:color w:val="B40000"/>
          <w:sz w:val="18"/>
        </w:rPr>
        <w:t xml:space="preserve">#4 NSBC (31.3/100 — Moyen) : </w:t>
      </w:r>
      <w:r>
        <w:rPr>
          <w:sz w:val="17"/>
        </w:rPr>
        <w:t>Volatilité=Élevée | Bêta=Agressif | Liquidité=Bonne | Divergence signaux=taux divergence=20% (Mixte ⚠️) | Stabilité=Stable</w:t>
      </w:r>
    </w:p>
    <w:p>
      <w:pPr>
        <w:pStyle w:val="ListBullet"/>
      </w:pPr>
      <w:r>
        <w:rPr>
          <w:b/>
          <w:color w:val="B40000"/>
          <w:sz w:val="18"/>
        </w:rPr>
        <w:t xml:space="preserve">#5 SAFC (30.1/100 — Moyen) : </w:t>
      </w:r>
      <w:r>
        <w:rPr>
          <w:sz w:val="17"/>
        </w:rPr>
        <w:t>Volatilité=Élevée | Bêta=Défensif | Liquidité=Bonne | Divergence signaux=taux divergence=20% (Mixte ⚠️) | Stabilité=Instable</w:t>
      </w:r>
    </w:p>
    <w:p/>
    <w:p>
      <w:pPr>
        <w:pStyle w:val="Heading2"/>
      </w:pPr>
      <w:r>
        <w:t>🟢 3. Top 5 — Sociétés les moins risquées</w:t>
      </w:r>
    </w:p>
    <w:p>
      <w:r>
        <w:rPr>
          <w:i/>
          <w:sz w:val="17"/>
        </w:rPr>
        <w:t>Les 5 sociétés avec le score de risque le plus bas. Un score faible reflète une volatilité modérée, une bonne liquidité, un bêta défensif et des signaux techniques convergents.</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567"/>
            <w:shd w:fill="375623" w:val="clear"/>
          </w:tcPr>
          <w:p>
            <w:r>
              <w:rPr>
                <w:b/>
                <w:color w:val="FFFFFF"/>
                <w:sz w:val="16"/>
              </w:rPr>
              <w:t>Rang</w:t>
            </w:r>
          </w:p>
        </w:tc>
        <w:tc>
          <w:tcPr>
            <w:tcW w:type="dxa" w:w="850"/>
            <w:shd w:fill="375623" w:val="clear"/>
          </w:tcPr>
          <w:p>
            <w:r>
              <w:rPr>
                <w:b/>
                <w:color w:val="FFFFFF"/>
                <w:sz w:val="16"/>
              </w:rPr>
              <w:t>Symbole</w:t>
            </w:r>
          </w:p>
        </w:tc>
        <w:tc>
          <w:tcPr>
            <w:tcW w:type="dxa" w:w="2268"/>
            <w:shd w:fill="375623" w:val="clear"/>
          </w:tcPr>
          <w:p>
            <w:r>
              <w:rPr>
                <w:b/>
                <w:color w:val="FFFFFF"/>
                <w:sz w:val="16"/>
              </w:rPr>
              <w:t>Société</w:t>
            </w:r>
          </w:p>
        </w:tc>
        <w:tc>
          <w:tcPr>
            <w:tcW w:type="dxa" w:w="1701"/>
            <w:shd w:fill="375623" w:val="clear"/>
          </w:tcPr>
          <w:p>
            <w:r>
              <w:rPr>
                <w:b/>
                <w:color w:val="FFFFFF"/>
                <w:sz w:val="16"/>
              </w:rPr>
              <w:t>Secteur</w:t>
            </w:r>
          </w:p>
        </w:tc>
        <w:tc>
          <w:tcPr>
            <w:tcW w:type="dxa" w:w="1020"/>
            <w:shd w:fill="375623" w:val="clear"/>
          </w:tcPr>
          <w:p>
            <w:r>
              <w:rPr>
                <w:b/>
                <w:color w:val="FFFFFF"/>
                <w:sz w:val="16"/>
              </w:rPr>
              <w:t>Score</w:t>
            </w:r>
          </w:p>
        </w:tc>
        <w:tc>
          <w:tcPr>
            <w:tcW w:type="dxa" w:w="1134"/>
            <w:shd w:fill="375623" w:val="clear"/>
          </w:tcPr>
          <w:p>
            <w:r>
              <w:rPr>
                <w:b/>
                <w:color w:val="FFFFFF"/>
                <w:sz w:val="16"/>
              </w:rPr>
              <w:t>Niveau</w:t>
            </w:r>
          </w:p>
        </w:tc>
        <w:tc>
          <w:tcPr>
            <w:tcW w:type="dxa" w:w="2381"/>
            <w:shd w:fill="375623" w:val="clear"/>
          </w:tcPr>
          <w:p>
            <w:r>
              <w:rPr>
                <w:b/>
                <w:color w:val="FFFFFF"/>
                <w:sz w:val="16"/>
              </w:rPr>
              <w:t>Point critique</w:t>
            </w:r>
          </w:p>
        </w:tc>
      </w:tr>
      <w:tr>
        <w:tc>
          <w:tcPr>
            <w:tcW w:type="dxa" w:w="567"/>
            <w:shd w:fill="FFFFFF" w:val="clear"/>
          </w:tcPr>
          <w:p>
            <w:r>
              <w:rPr>
                <w:b/>
                <w:sz w:val="16"/>
              </w:rPr>
              <w:t>#1</w:t>
            </w:r>
          </w:p>
        </w:tc>
        <w:tc>
          <w:tcPr>
            <w:tcW w:type="dxa" w:w="850"/>
            <w:shd w:fill="FFFFFF" w:val="clear"/>
          </w:tcPr>
          <w:p>
            <w:r>
              <w:rPr>
                <w:sz w:val="16"/>
              </w:rPr>
              <w:t>SOGC</w:t>
            </w:r>
          </w:p>
        </w:tc>
        <w:tc>
          <w:tcPr>
            <w:tcW w:type="dxa" w:w="2268"/>
            <w:shd w:fill="FFFFFF" w:val="clear"/>
          </w:tcPr>
          <w:p>
            <w:r>
              <w:rPr>
                <w:sz w:val="16"/>
              </w:rPr>
              <w:t>SOGC - Société des caoutchou…</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#2</w:t>
            </w:r>
          </w:p>
        </w:tc>
        <w:tc>
          <w:tcPr>
            <w:tcW w:type="dxa" w:w="850"/>
            <w:shd w:fill="FFFFFF" w:val="clear"/>
          </w:tcPr>
          <w:p>
            <w:r>
              <w:rPr>
                <w:sz w:val="16"/>
              </w:rPr>
              <w:t>SLBC</w:t>
            </w:r>
          </w:p>
        </w:tc>
        <w:tc>
          <w:tcPr>
            <w:tcW w:type="dxa" w:w="2268"/>
            <w:shd w:fill="FFFFFF" w:val="clear"/>
          </w:tcPr>
          <w:p>
            <w:r>
              <w:rPr>
                <w:sz w:val="16"/>
              </w:rPr>
              <w:t>SLBC - SOLIBRA COTE D'IVOIRE</w:t>
            </w:r>
          </w:p>
        </w:tc>
        <w:tc>
          <w:tcPr>
            <w:tcW w:type="dxa" w:w="1701"/>
            <w:shd w:fill="FFFFFF" w:val="clear"/>
          </w:tcPr>
          <w:p>
            <w:r>
              <w:rPr>
                <w:sz w:val="16"/>
              </w:rPr>
              <w:t>CONSOMMATION DE BA</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#3</w:t>
            </w:r>
          </w:p>
        </w:tc>
        <w:tc>
          <w:tcPr>
            <w:tcW w:type="dxa" w:w="850"/>
            <w:shd w:fill="FFFFFF" w:val="clear"/>
          </w:tcPr>
          <w:p>
            <w:r>
              <w:rPr>
                <w:sz w:val="16"/>
              </w:rPr>
              <w:t>ONTBF</w:t>
            </w:r>
          </w:p>
        </w:tc>
        <w:tc>
          <w:tcPr>
            <w:tcW w:type="dxa" w:w="2268"/>
            <w:shd w:fill="FFFFFF" w:val="clear"/>
          </w:tcPr>
          <w:p>
            <w:r>
              <w:rPr>
                <w:sz w:val="16"/>
              </w:rPr>
              <w:t>ONTBF - ONATEL BURKINA FASO</w:t>
            </w:r>
          </w:p>
        </w:tc>
        <w:tc>
          <w:tcPr>
            <w:tcW w:type="dxa" w:w="1701"/>
            <w:shd w:fill="FFFFFF" w:val="clear"/>
          </w:tcPr>
          <w:p>
            <w:r>
              <w:rPr>
                <w:sz w:val="16"/>
              </w:rPr>
              <w:t>TELECOMMUNICATIONS</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#4</w:t>
            </w:r>
          </w:p>
        </w:tc>
        <w:tc>
          <w:tcPr>
            <w:tcW w:type="dxa" w:w="850"/>
            <w:shd w:fill="FFFFFF" w:val="clear"/>
          </w:tcPr>
          <w:p>
            <w:r>
              <w:rPr>
                <w:sz w:val="16"/>
              </w:rPr>
              <w:t>ECOC</w:t>
            </w:r>
          </w:p>
        </w:tc>
        <w:tc>
          <w:tcPr>
            <w:tcW w:type="dxa" w:w="2268"/>
            <w:shd w:fill="FFFFFF" w:val="clear"/>
          </w:tcPr>
          <w:p>
            <w:r>
              <w:rPr>
                <w:sz w:val="16"/>
              </w:rPr>
              <w:t>ECOC - ECOBANK COTE D'IVOIRE</w:t>
            </w:r>
          </w:p>
        </w:tc>
        <w:tc>
          <w:tcPr>
            <w:tcW w:type="dxa" w:w="1701"/>
            <w:shd w:fill="FFFFFF" w:val="clear"/>
          </w:tcPr>
          <w:p>
            <w:r>
              <w:rPr>
                <w:sz w:val="16"/>
              </w:rPr>
              <w:t>SERVICES FINANCIER</w:t>
            </w:r>
          </w:p>
        </w:tc>
        <w:tc>
          <w:tcPr>
            <w:tcW w:type="dxa" w:w="1020"/>
            <w:shd w:fill="C6EFCE" w:val="clear"/>
          </w:tcPr>
          <w:p>
            <w:r>
              <w:rPr>
                <w:b/>
                <w:color w:val="007800"/>
                <w:sz w:val="16"/>
              </w:rPr>
              <w:t>11.3/100</w:t>
            </w:r>
          </w:p>
        </w:tc>
        <w:tc>
          <w:tcPr>
            <w:tcW w:type="dxa" w:w="1134"/>
            <w:shd w:fill="C6EFCE" w:val="clear"/>
          </w:tcPr>
          <w:p>
            <w:r>
              <w:rPr>
                <w:sz w:val="16"/>
              </w:rPr>
              <w:t>Faible</w:t>
            </w:r>
          </w:p>
        </w:tc>
        <w:tc>
          <w:tcPr>
            <w:tcW w:type="dxa" w:w="2381"/>
            <w:shd w:fill="FFFFFF" w:val="clear"/>
          </w:tcPr>
          <w:p>
            <w:r>
              <w:rPr>
                <w:sz w:val="16"/>
              </w:rPr>
              <w:t>📊 Volatilité faible</w:t>
            </w:r>
          </w:p>
        </w:tc>
      </w:tr>
      <w:tr>
        <w:tc>
          <w:tcPr>
            <w:tcW w:type="dxa" w:w="567"/>
            <w:shd w:fill="FFFFFF" w:val="clear"/>
          </w:tcPr>
          <w:p>
            <w:r>
              <w:rPr>
                <w:b/>
                <w:sz w:val="16"/>
              </w:rPr>
              <w:t>#5</w:t>
            </w:r>
          </w:p>
        </w:tc>
        <w:tc>
          <w:tcPr>
            <w:tcW w:type="dxa" w:w="850"/>
            <w:shd w:fill="FFFFFF" w:val="clear"/>
          </w:tcPr>
          <w:p>
            <w:r>
              <w:rPr>
                <w:sz w:val="16"/>
              </w:rPr>
              <w:t>BOAC</w:t>
            </w:r>
          </w:p>
        </w:tc>
        <w:tc>
          <w:tcPr>
            <w:tcW w:type="dxa" w:w="2268"/>
            <w:shd w:fill="FFFFFF" w:val="clear"/>
          </w:tcPr>
          <w:p>
            <w:r>
              <w:rPr>
                <w:sz w:val="16"/>
              </w:rPr>
              <w:t>BANK OF AFRICA COTE D'IVOIRE</w:t>
            </w:r>
          </w:p>
        </w:tc>
        <w:tc>
          <w:tcPr>
            <w:tcW w:type="dxa" w:w="1701"/>
            <w:shd w:fill="FFFFFF" w:val="clear"/>
          </w:tcPr>
          <w:p>
            <w:r>
              <w:rPr>
                <w:sz w:val="16"/>
              </w:rPr>
              <w:t>SERVICES FINANCIER</w:t>
            </w:r>
          </w:p>
        </w:tc>
        <w:tc>
          <w:tcPr>
            <w:tcW w:type="dxa" w:w="1020"/>
            <w:shd w:fill="C6EFCE" w:val="clear"/>
          </w:tcPr>
          <w:p>
            <w:r>
              <w:rPr>
                <w:b/>
                <w:color w:val="007800"/>
                <w:sz w:val="16"/>
              </w:rPr>
              <w:t>15.3/100</w:t>
            </w:r>
          </w:p>
        </w:tc>
        <w:tc>
          <w:tcPr>
            <w:tcW w:type="dxa" w:w="1134"/>
            <w:shd w:fill="C6EFCE" w:val="clear"/>
          </w:tcPr>
          <w:p>
            <w:r>
              <w:rPr>
                <w:sz w:val="16"/>
              </w:rPr>
              <w:t>Faible</w:t>
            </w:r>
          </w:p>
        </w:tc>
        <w:tc>
          <w:tcPr>
            <w:tcW w:type="dxa" w:w="2381"/>
            <w:shd w:fill="FFFFFF" w:val="clear"/>
          </w:tcPr>
          <w:p>
            <w:r>
              <w:rPr>
                <w:sz w:val="16"/>
              </w:rPr>
              <w:t>📐 Bêta défensif</w:t>
            </w:r>
          </w:p>
        </w:tc>
      </w:tr>
    </w:tbl>
    <w:p/>
    <w:p>
      <w:pPr>
        <w:pStyle w:val="Heading2"/>
      </w:pPr>
      <w:r>
        <w:t>📋 4. Tableau complet — Toutes les sociétés classées par risque</w:t>
      </w:r>
    </w:p>
    <w:p>
      <w:r>
        <w:rPr>
          <w:i/>
          <w:sz w:val="17"/>
        </w:rPr>
        <w:t>Toutes les sociétés triées par score de risque décroissant, avec le détail des 5 critères. Fond 🔴 = Élevé/Très élevé | 🟡 = Moyen | 🟢 = Faible.</w:t>
      </w:r>
    </w:p>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737"/>
            <w:shd w:fill="243F60" w:val="clear"/>
          </w:tcPr>
          <w:p>
            <w:r>
              <w:rPr>
                <w:b/>
                <w:color w:val="FFFFFF"/>
                <w:sz w:val="15"/>
              </w:rPr>
              <w:t>Sym.</w:t>
            </w:r>
          </w:p>
        </w:tc>
        <w:tc>
          <w:tcPr>
            <w:tcW w:type="dxa" w:w="1984"/>
            <w:shd w:fill="243F60" w:val="clear"/>
          </w:tcPr>
          <w:p>
            <w:r>
              <w:rPr>
                <w:b/>
                <w:color w:val="FFFFFF"/>
                <w:sz w:val="15"/>
              </w:rPr>
              <w:t>Société</w:t>
            </w:r>
          </w:p>
        </w:tc>
        <w:tc>
          <w:tcPr>
            <w:tcW w:type="dxa" w:w="1417"/>
            <w:shd w:fill="243F60" w:val="clear"/>
          </w:tcPr>
          <w:p>
            <w:r>
              <w:rPr>
                <w:b/>
                <w:color w:val="FFFFFF"/>
                <w:sz w:val="15"/>
              </w:rPr>
              <w:t>Secteur</w:t>
            </w:r>
          </w:p>
        </w:tc>
        <w:tc>
          <w:tcPr>
            <w:tcW w:type="dxa" w:w="737"/>
            <w:shd w:fill="243F60" w:val="clear"/>
          </w:tcPr>
          <w:p>
            <w:r>
              <w:rPr>
                <w:b/>
                <w:color w:val="FFFFFF"/>
                <w:sz w:val="15"/>
              </w:rPr>
              <w:t>Score</w:t>
            </w:r>
          </w:p>
        </w:tc>
        <w:tc>
          <w:tcPr>
            <w:tcW w:type="dxa" w:w="1020"/>
            <w:shd w:fill="243F60" w:val="clear"/>
          </w:tcPr>
          <w:p>
            <w:r>
              <w:rPr>
                <w:b/>
                <w:color w:val="FFFFFF"/>
                <w:sz w:val="15"/>
              </w:rPr>
              <w:t>Niveau</w:t>
            </w:r>
          </w:p>
        </w:tc>
        <w:tc>
          <w:tcPr>
            <w:tcW w:type="dxa" w:w="1134"/>
            <w:shd w:fill="243F60" w:val="clear"/>
          </w:tcPr>
          <w:p>
            <w:r>
              <w:rPr>
                <w:b/>
                <w:color w:val="FFFFFF"/>
                <w:sz w:val="15"/>
              </w:rPr>
              <w:t>Volatilité</w:t>
            </w:r>
          </w:p>
        </w:tc>
        <w:tc>
          <w:tcPr>
            <w:tcW w:type="dxa" w:w="1134"/>
            <w:shd w:fill="243F60" w:val="clear"/>
          </w:tcPr>
          <w:p>
            <w:r>
              <w:rPr>
                <w:b/>
                <w:color w:val="FFFFFF"/>
                <w:sz w:val="15"/>
              </w:rPr>
              <w:t>Bêta</w:t>
            </w:r>
          </w:p>
        </w:tc>
        <w:tc>
          <w:tcPr>
            <w:tcW w:type="dxa" w:w="1134"/>
            <w:shd w:fill="243F60" w:val="clear"/>
          </w:tcPr>
          <w:p>
            <w:r>
              <w:rPr>
                <w:b/>
                <w:color w:val="FFFFFF"/>
                <w:sz w:val="15"/>
              </w:rPr>
              <w:t>Liquidité</w:t>
            </w:r>
          </w:p>
        </w:tc>
        <w:tc>
          <w:tcPr>
            <w:tcW w:type="dxa" w:w="1757"/>
            <w:shd w:fill="243F60" w:val="clear"/>
          </w:tcPr>
          <w:p>
            <w:r>
              <w:rPr>
                <w:b/>
                <w:color w:val="FFFFFF"/>
                <w:sz w:val="15"/>
              </w:rPr>
              <w:t>Divergence / Stabilité</w:t>
            </w:r>
          </w:p>
        </w:tc>
      </w:tr>
      <w:tr>
        <w:tc>
          <w:tcPr>
            <w:tcW w:type="dxa" w:w="737"/>
            <w:shd w:fill="FFFFFF" w:val="clear"/>
          </w:tcPr>
          <w:p>
            <w:r>
              <w:rPr>
                <w:sz w:val="15"/>
              </w:rPr>
              <w:t>ETIT</w:t>
            </w:r>
          </w:p>
        </w:tc>
        <w:tc>
          <w:tcPr>
            <w:tcW w:type="dxa" w:w="1984"/>
            <w:shd w:fill="FFFFFF" w:val="clear"/>
          </w:tcPr>
          <w:p>
            <w:r>
              <w:rPr>
                <w:sz w:val="15"/>
              </w:rPr>
              <w:t>ETIT - Ecobank Transna…</w:t>
            </w:r>
          </w:p>
        </w:tc>
        <w:tc>
          <w:tcPr>
            <w:tcW w:type="dxa" w:w="1417"/>
            <w:shd w:fill="FFFFFF" w:val="clear"/>
          </w:tcPr>
          <w:p>
            <w:r>
              <w:rPr>
                <w:sz w:val="15"/>
              </w:rPr>
              <w:t>SERVICES FINANCI</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Très agressif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SICC</w:t>
            </w:r>
          </w:p>
        </w:tc>
        <w:tc>
          <w:tcPr>
            <w:tcW w:type="dxa" w:w="1984"/>
            <w:shd w:fill="FFFFFF" w:val="clear"/>
          </w:tcPr>
          <w:p>
            <w:r>
              <w:rPr>
                <w:sz w:val="15"/>
              </w:rPr>
              <w:t>SICC - SICOR COTE D'IV…</w:t>
            </w:r>
          </w:p>
        </w:tc>
        <w:tc>
          <w:tcPr>
            <w:tcW w:type="dxa" w:w="1417"/>
            <w:shd w:fill="FFFFFF" w:val="clear"/>
          </w:tcPr>
          <w:p>
            <w:r>
              <w:rPr>
                <w:sz w:val="15"/>
              </w:rPr>
              <w:t xml:space="preserve">CONSOMMATION DE </w:t>
            </w:r>
          </w:p>
        </w:tc>
        <w:tc>
          <w:tcPr>
            <w:tcW w:type="dxa" w:w="737"/>
            <w:shd w:fill="FFEB9C" w:val="clear"/>
          </w:tcPr>
          <w:p>
            <w:r>
              <w:rPr>
                <w:b/>
                <w:color w:val="825A00"/>
                <w:sz w:val="15"/>
              </w:rPr>
              <w:t>33.8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Modérée</w:t>
            </w:r>
          </w:p>
        </w:tc>
      </w:tr>
      <w:tr>
        <w:tc>
          <w:tcPr>
            <w:tcW w:type="dxa" w:w="737"/>
            <w:shd w:fill="FFFFFF" w:val="clear"/>
          </w:tcPr>
          <w:p>
            <w:r>
              <w:rPr>
                <w:sz w:val="15"/>
              </w:rPr>
              <w:t>NEIC</w:t>
            </w:r>
          </w:p>
        </w:tc>
        <w:tc>
          <w:tcPr>
            <w:tcW w:type="dxa" w:w="1984"/>
            <w:shd w:fill="FFFFFF" w:val="clear"/>
          </w:tcPr>
          <w:p>
            <w:r>
              <w:rPr>
                <w:sz w:val="15"/>
              </w:rPr>
              <w:t>NEIC - NEI-CEDA CI</w:t>
            </w:r>
          </w:p>
        </w:tc>
        <w:tc>
          <w:tcPr>
            <w:tcW w:type="dxa" w:w="1417"/>
            <w:shd w:fill="FFFFFF" w:val="clear"/>
          </w:tcPr>
          <w:p>
            <w:r>
              <w:rPr>
                <w:sz w:val="15"/>
              </w:rPr>
              <w:t>CONSOMMATION DIS</w:t>
            </w:r>
          </w:p>
        </w:tc>
        <w:tc>
          <w:tcPr>
            <w:tcW w:type="dxa" w:w="737"/>
            <w:shd w:fill="FFEB9C" w:val="clear"/>
          </w:tcPr>
          <w:p>
            <w:r>
              <w:rPr>
                <w:b/>
                <w:color w:val="825A00"/>
                <w:sz w:val="15"/>
              </w:rPr>
              <w:t>32.6</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NSBC</w:t>
            </w:r>
          </w:p>
        </w:tc>
        <w:tc>
          <w:tcPr>
            <w:tcW w:type="dxa" w:w="1984"/>
            <w:shd w:fill="FFFFFF" w:val="clear"/>
          </w:tcPr>
          <w:p>
            <w:r>
              <w:rPr>
                <w:sz w:val="15"/>
              </w:rPr>
              <w:t>NSBC - NSIA BANQUE COT…</w:t>
            </w:r>
          </w:p>
        </w:tc>
        <w:tc>
          <w:tcPr>
            <w:tcW w:type="dxa" w:w="1417"/>
            <w:shd w:fill="FFFFFF" w:val="clear"/>
          </w:tcPr>
          <w:p>
            <w:r>
              <w:rPr>
                <w:sz w:val="15"/>
              </w:rPr>
              <w:t>SERVICES FINANCI</w:t>
            </w:r>
          </w:p>
        </w:tc>
        <w:tc>
          <w:tcPr>
            <w:tcW w:type="dxa" w:w="737"/>
            <w:shd w:fill="FFEB9C" w:val="clear"/>
          </w:tcPr>
          <w:p>
            <w:r>
              <w:rPr>
                <w:b/>
                <w:color w:val="825A00"/>
                <w:sz w:val="15"/>
              </w:rPr>
              <w:t>31.3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SAFC</w:t>
            </w:r>
          </w:p>
        </w:tc>
        <w:tc>
          <w:tcPr>
            <w:tcW w:type="dxa" w:w="1984"/>
            <w:shd w:fill="FFFFFF" w:val="clear"/>
          </w:tcPr>
          <w:p>
            <w:r>
              <w:rPr>
                <w:sz w:val="15"/>
              </w:rPr>
              <w:t>SAFCA CI</w:t>
            </w:r>
          </w:p>
        </w:tc>
        <w:tc>
          <w:tcPr>
            <w:tcW w:type="dxa" w:w="1417"/>
            <w:shd w:fill="FFFFFF" w:val="clear"/>
          </w:tcPr>
          <w:p>
            <w:r>
              <w:rPr>
                <w:sz w:val="15"/>
              </w:rPr>
              <w:t>SERVICES FINANCI</w:t>
            </w:r>
          </w:p>
        </w:tc>
        <w:tc>
          <w:tcPr>
            <w:tcW w:type="dxa" w:w="737"/>
            <w:shd w:fill="FFEB9C" w:val="clear"/>
          </w:tcPr>
          <w:p>
            <w:r>
              <w:rPr>
                <w:b/>
                <w:color w:val="825A00"/>
                <w:sz w:val="15"/>
              </w:rPr>
              <w:t>30.1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Instable</w:t>
            </w:r>
          </w:p>
        </w:tc>
      </w:tr>
      <w:tr>
        <w:tc>
          <w:tcPr>
            <w:tcW w:type="dxa" w:w="737"/>
            <w:shd w:fill="FFFFFF" w:val="clear"/>
          </w:tcPr>
          <w:p>
            <w:r>
              <w:rPr>
                <w:sz w:val="15"/>
              </w:rPr>
              <w:t>CIEC</w:t>
            </w:r>
          </w:p>
        </w:tc>
        <w:tc>
          <w:tcPr>
            <w:tcW w:type="dxa" w:w="1984"/>
            <w:shd w:fill="FFFFFF" w:val="clear"/>
          </w:tcPr>
          <w:p>
            <w:r>
              <w:rPr>
                <w:sz w:val="15"/>
              </w:rPr>
              <w:t>CIEC - Compagnie Ivoir…</w:t>
            </w:r>
          </w:p>
        </w:tc>
        <w:tc>
          <w:tcPr>
            <w:tcW w:type="dxa" w:w="1417"/>
            <w:shd w:fill="FFFFFF" w:val="clear"/>
          </w:tcPr>
          <w:p>
            <w:r>
              <w:rPr>
                <w:sz w:val="15"/>
              </w:rPr>
              <w:t>SERVICES PUBLICS</w:t>
            </w:r>
          </w:p>
        </w:tc>
        <w:tc>
          <w:tcPr>
            <w:tcW w:type="dxa" w:w="737"/>
            <w:shd w:fill="FFEB9C" w:val="clear"/>
          </w:tcPr>
          <w:p>
            <w:r>
              <w:rPr>
                <w:b/>
                <w:color w:val="825A00"/>
                <w:sz w:val="15"/>
              </w:rPr>
              <w:t>29.8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SDCC</w:t>
            </w:r>
          </w:p>
        </w:tc>
        <w:tc>
          <w:tcPr>
            <w:tcW w:type="dxa" w:w="1984"/>
            <w:shd w:fill="FFFFFF" w:val="clear"/>
          </w:tcPr>
          <w:p>
            <w:r>
              <w:rPr>
                <w:sz w:val="15"/>
              </w:rPr>
              <w:t>SDCC - Société de Dist…</w:t>
            </w:r>
          </w:p>
        </w:tc>
        <w:tc>
          <w:tcPr>
            <w:tcW w:type="dxa" w:w="1417"/>
            <w:shd w:fill="FFFFFF" w:val="clear"/>
          </w:tcPr>
          <w:p>
            <w:r>
              <w:rPr>
                <w:sz w:val="15"/>
              </w:rPr>
              <w:t>SERVICES PUBLICS</w:t>
            </w:r>
          </w:p>
        </w:tc>
        <w:tc>
          <w:tcPr>
            <w:tcW w:type="dxa" w:w="737"/>
            <w:shd w:fill="FFEB9C" w:val="clear"/>
          </w:tcPr>
          <w:p>
            <w:r>
              <w:rPr>
                <w:b/>
                <w:color w:val="825A00"/>
                <w:sz w:val="15"/>
              </w:rPr>
              <w:t>28.1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SNTS</w:t>
            </w:r>
          </w:p>
        </w:tc>
        <w:tc>
          <w:tcPr>
            <w:tcW w:type="dxa" w:w="1984"/>
            <w:shd w:fill="FFFFFF" w:val="clear"/>
          </w:tcPr>
          <w:p>
            <w:r>
              <w:rPr>
                <w:sz w:val="15"/>
              </w:rPr>
              <w:t>SNTS - SONATEL SN</w:t>
            </w:r>
          </w:p>
        </w:tc>
        <w:tc>
          <w:tcPr>
            <w:tcW w:type="dxa" w:w="1417"/>
            <w:shd w:fill="FFFFFF" w:val="clear"/>
          </w:tcPr>
          <w:p>
            <w:r>
              <w:rPr>
                <w:sz w:val="15"/>
              </w:rPr>
              <w:t>TELECOMMUNICATIO</w:t>
            </w:r>
          </w:p>
        </w:tc>
        <w:tc>
          <w:tcPr>
            <w:tcW w:type="dxa" w:w="737"/>
            <w:shd w:fill="FFEB9C" w:val="clear"/>
          </w:tcPr>
          <w:p>
            <w:r>
              <w:rPr>
                <w:b/>
                <w:color w:val="825A00"/>
                <w:sz w:val="15"/>
              </w:rPr>
              <w:t>27.1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Très 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CBIBF</w:t>
            </w:r>
          </w:p>
        </w:tc>
        <w:tc>
          <w:tcPr>
            <w:tcW w:type="dxa" w:w="1984"/>
            <w:shd w:fill="FFFFFF" w:val="clear"/>
          </w:tcPr>
          <w:p>
            <w:r>
              <w:rPr>
                <w:sz w:val="15"/>
              </w:rPr>
              <w:t>CBIBF - CORIS BANK INT…</w:t>
            </w:r>
          </w:p>
        </w:tc>
        <w:tc>
          <w:tcPr>
            <w:tcW w:type="dxa" w:w="1417"/>
            <w:shd w:fill="FFFFFF" w:val="clear"/>
          </w:tcPr>
          <w:p>
            <w:r>
              <w:rPr>
                <w:sz w:val="15"/>
              </w:rPr>
              <w:t>SERVICES FINANCI</w:t>
            </w:r>
          </w:p>
        </w:tc>
        <w:tc>
          <w:tcPr>
            <w:tcW w:type="dxa" w:w="737"/>
            <w:shd w:fill="FFEB9C" w:val="clear"/>
          </w:tcPr>
          <w:p>
            <w:r>
              <w:rPr>
                <w:b/>
                <w:color w:val="825A00"/>
                <w:sz w:val="15"/>
              </w:rPr>
              <w:t>26.3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BOAN</w:t>
            </w:r>
          </w:p>
        </w:tc>
        <w:tc>
          <w:tcPr>
            <w:tcW w:type="dxa" w:w="1984"/>
            <w:shd w:fill="FFFFFF" w:val="clear"/>
          </w:tcPr>
          <w:p>
            <w:r>
              <w:rPr>
                <w:sz w:val="15"/>
              </w:rPr>
              <w:t>BANK OF AFRICA NIGER</w:t>
            </w:r>
          </w:p>
        </w:tc>
        <w:tc>
          <w:tcPr>
            <w:tcW w:type="dxa" w:w="1417"/>
            <w:shd w:fill="FFFFFF" w:val="clear"/>
          </w:tcPr>
          <w:p>
            <w:r>
              <w:rPr>
                <w:sz w:val="15"/>
              </w:rPr>
              <w:t>SERVICES FINANCI</w:t>
            </w:r>
          </w:p>
        </w:tc>
        <w:tc>
          <w:tcPr>
            <w:tcW w:type="dxa" w:w="737"/>
            <w:shd w:fill="FFEB9C" w:val="clear"/>
          </w:tcPr>
          <w:p>
            <w:r>
              <w:rPr>
                <w:b/>
                <w:color w:val="825A00"/>
                <w:sz w:val="15"/>
              </w:rPr>
              <w:t>26.1</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Stable</w:t>
            </w:r>
          </w:p>
        </w:tc>
      </w:tr>
      <w:tr>
        <w:tc>
          <w:tcPr>
            <w:tcW w:type="dxa" w:w="737"/>
            <w:shd w:fill="FFFFFF" w:val="clear"/>
          </w:tcPr>
          <w:p>
            <w:r>
              <w:rPr>
                <w:sz w:val="15"/>
              </w:rPr>
              <w:t>SCRC</w:t>
            </w:r>
          </w:p>
        </w:tc>
        <w:tc>
          <w:tcPr>
            <w:tcW w:type="dxa" w:w="1984"/>
            <w:shd w:fill="FFFFFF" w:val="clear"/>
          </w:tcPr>
          <w:p>
            <w:r>
              <w:rPr>
                <w:sz w:val="15"/>
              </w:rPr>
              <w:t>SCRC - SUCRIVOIRE</w:t>
            </w:r>
          </w:p>
        </w:tc>
        <w:tc>
          <w:tcPr>
            <w:tcW w:type="dxa" w:w="1417"/>
            <w:shd w:fill="FFFFFF" w:val="clear"/>
          </w:tcPr>
          <w:p>
            <w:r>
              <w:rPr>
                <w:sz w:val="15"/>
              </w:rPr>
              <w:t xml:space="preserve">CONSOMMATION DE </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SDSC</w:t>
            </w:r>
          </w:p>
        </w:tc>
        <w:tc>
          <w:tcPr>
            <w:tcW w:type="dxa" w:w="1984"/>
            <w:shd w:fill="FFFFFF" w:val="clear"/>
          </w:tcPr>
          <w:p>
            <w:r>
              <w:rPr>
                <w:sz w:val="15"/>
              </w:rPr>
              <w:t>SDSC - AFRICA GLOBAL L…</w:t>
            </w:r>
          </w:p>
        </w:tc>
        <w:tc>
          <w:tcPr>
            <w:tcW w:type="dxa" w:w="1417"/>
            <w:shd w:fill="FFFFFF" w:val="clear"/>
          </w:tcPr>
          <w:p>
            <w:r>
              <w:rPr>
                <w:sz w:val="15"/>
              </w:rPr>
              <w:t>INDUSTRIELS</w:t>
            </w:r>
          </w:p>
        </w:tc>
        <w:tc>
          <w:tcPr>
            <w:tcW w:type="dxa" w:w="737"/>
            <w:shd w:fill="FFEB9C" w:val="clear"/>
          </w:tcPr>
          <w:p>
            <w:r>
              <w:rPr>
                <w:b/>
                <w:color w:val="825A00"/>
                <w:sz w:val="15"/>
              </w:rPr>
              <w:t>25.8</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Modérée</w:t>
            </w:r>
          </w:p>
        </w:tc>
      </w:tr>
      <w:tr>
        <w:tc>
          <w:tcPr>
            <w:tcW w:type="dxa" w:w="737"/>
            <w:shd w:fill="FFFFFF" w:val="clear"/>
          </w:tcPr>
          <w:p>
            <w:r>
              <w:rPr>
                <w:sz w:val="15"/>
              </w:rPr>
              <w:t>UNLC</w:t>
            </w:r>
          </w:p>
        </w:tc>
        <w:tc>
          <w:tcPr>
            <w:tcW w:type="dxa" w:w="1984"/>
            <w:shd w:fill="FFFFFF" w:val="clear"/>
          </w:tcPr>
          <w:p>
            <w:r>
              <w:rPr>
                <w:sz w:val="15"/>
              </w:rPr>
              <w:t>UNLC - UNILEVER COTE D…</w:t>
            </w:r>
          </w:p>
        </w:tc>
        <w:tc>
          <w:tcPr>
            <w:tcW w:type="dxa" w:w="1417"/>
            <w:shd w:fill="FFFFFF" w:val="clear"/>
          </w:tcPr>
          <w:p>
            <w:r>
              <w:rPr>
                <w:sz w:val="15"/>
              </w:rPr>
              <w:t xml:space="preserve">CONSOMMATION DE </w:t>
            </w:r>
          </w:p>
        </w:tc>
        <w:tc>
          <w:tcPr>
            <w:tcW w:type="dxa" w:w="737"/>
            <w:shd w:fill="FFEB9C" w:val="clear"/>
          </w:tcPr>
          <w:p>
            <w:r>
              <w:rPr>
                <w:b/>
                <w:color w:val="825A00"/>
                <w:sz w:val="15"/>
              </w:rPr>
              <w:t>24.8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Très faible</w:t>
            </w:r>
          </w:p>
        </w:tc>
        <w:tc>
          <w:tcPr>
            <w:tcW w:type="dxa" w:w="1757"/>
            <w:shd w:fill="FFFFFF" w:val="clear"/>
          </w:tcPr>
          <w:p>
            <w:r>
              <w:rPr>
                <w:sz w:val="15"/>
              </w:rPr>
              <w:t>Mixte ⚠️ / Modérée</w:t>
            </w:r>
          </w:p>
        </w:tc>
      </w:tr>
      <w:tr>
        <w:tc>
          <w:tcPr>
            <w:tcW w:type="dxa" w:w="737"/>
            <w:shd w:fill="FFFFFF" w:val="clear"/>
          </w:tcPr>
          <w:p>
            <w:r>
              <w:rPr>
                <w:sz w:val="15"/>
              </w:rPr>
              <w:t>BICB</w:t>
            </w:r>
          </w:p>
        </w:tc>
        <w:tc>
          <w:tcPr>
            <w:tcW w:type="dxa" w:w="1984"/>
            <w:shd w:fill="FFFFFF" w:val="clear"/>
          </w:tcPr>
          <w:p>
            <w:r>
              <w:rPr>
                <w:sz w:val="15"/>
              </w:rPr>
              <w:t>BIIC BN - Banque inter…</w:t>
            </w:r>
          </w:p>
        </w:tc>
        <w:tc>
          <w:tcPr>
            <w:tcW w:type="dxa" w:w="1417"/>
            <w:shd w:fill="FFFFFF" w:val="clear"/>
          </w:tcPr>
          <w:p>
            <w:r>
              <w:rPr>
                <w:sz w:val="15"/>
              </w:rPr>
              <w:t>SERVICES FINANCI</w:t>
            </w:r>
          </w:p>
        </w:tc>
        <w:tc>
          <w:tcPr>
            <w:tcW w:type="dxa" w:w="737"/>
            <w:shd w:fill="FFEB9C" w:val="clear"/>
          </w:tcPr>
          <w:p>
            <w:r>
              <w:rPr>
                <w:b/>
                <w:color w:val="825A00"/>
                <w:sz w:val="15"/>
              </w:rPr>
              <w:t>24.3</w:t>
            </w:r>
          </w:p>
        </w:tc>
        <w:tc>
          <w:tcPr>
            <w:tcW w:type="dxa" w:w="1020"/>
            <w:shd w:fill="FFEB9C" w:val="clear"/>
          </w:tcPr>
          <w:p>
            <w:r>
              <w:rPr>
                <w:b/>
                <w:color w:val="825A00"/>
                <w:sz w:val="15"/>
              </w:rPr>
              <w:t>Moyen</w:t>
            </w:r>
          </w:p>
        </w:tc>
        <w:tc>
          <w:tcPr>
            <w:tcW w:type="dxa" w:w="1134"/>
            <w:shd w:fill="FFFFFF" w:val="clear"/>
          </w:tcPr>
          <w:p>
            <w:r>
              <w:rPr>
                <w:sz w:val="15"/>
              </w:rPr>
              <w:t>Élevée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ORAC</w:t>
            </w:r>
          </w:p>
        </w:tc>
        <w:tc>
          <w:tcPr>
            <w:tcW w:type="dxa" w:w="1984"/>
            <w:shd w:fill="FFFFFF" w:val="clear"/>
          </w:tcPr>
          <w:p>
            <w:r>
              <w:rPr>
                <w:sz w:val="15"/>
              </w:rPr>
              <w:t>ORAC - ORANGE COTE D'I…</w:t>
            </w:r>
          </w:p>
        </w:tc>
        <w:tc>
          <w:tcPr>
            <w:tcW w:type="dxa" w:w="1417"/>
            <w:shd w:fill="FFFFFF" w:val="clear"/>
          </w:tcPr>
          <w:p>
            <w:r>
              <w:rPr>
                <w:sz w:val="15"/>
              </w:rPr>
              <w:t>TELECOMMUNICATIO</w:t>
            </w:r>
          </w:p>
        </w:tc>
        <w:tc>
          <w:tcPr>
            <w:tcW w:type="dxa" w:w="737"/>
            <w:shd w:fill="FFEB9C" w:val="clear"/>
          </w:tcPr>
          <w:p>
            <w:r>
              <w:rPr>
                <w:b/>
                <w:color w:val="825A00"/>
                <w:sz w:val="15"/>
              </w:rPr>
              <w:t>24.1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SEMC</w:t>
            </w:r>
          </w:p>
        </w:tc>
        <w:tc>
          <w:tcPr>
            <w:tcW w:type="dxa" w:w="1984"/>
            <w:shd w:fill="FFFFFF" w:val="clear"/>
          </w:tcPr>
          <w:p>
            <w:r>
              <w:rPr>
                <w:sz w:val="15"/>
              </w:rPr>
              <w:t>SEMC - EVIOSYS PACKAGI…</w:t>
            </w:r>
          </w:p>
        </w:tc>
        <w:tc>
          <w:tcPr>
            <w:tcW w:type="dxa" w:w="1417"/>
            <w:shd w:fill="FFFFFF" w:val="clear"/>
          </w:tcPr>
          <w:p>
            <w:r>
              <w:rPr>
                <w:sz w:val="15"/>
              </w:rPr>
              <w:t>INDUSTRIELS</w:t>
            </w:r>
          </w:p>
        </w:tc>
        <w:tc>
          <w:tcPr>
            <w:tcW w:type="dxa" w:w="737"/>
            <w:shd w:fill="FFEB9C" w:val="clear"/>
          </w:tcPr>
          <w:p>
            <w:r>
              <w:rPr>
                <w:b/>
                <w:color w:val="825A00"/>
                <w:sz w:val="15"/>
              </w:rPr>
              <w:t>23.8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Agressif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BNBC</w:t>
            </w:r>
          </w:p>
        </w:tc>
        <w:tc>
          <w:tcPr>
            <w:tcW w:type="dxa" w:w="1984"/>
            <w:shd w:fill="FFFFFF" w:val="clear"/>
          </w:tcPr>
          <w:p>
            <w:r>
              <w:rPr>
                <w:sz w:val="15"/>
              </w:rPr>
              <w:t>BNBC - BERNABE CI</w:t>
            </w:r>
          </w:p>
        </w:tc>
        <w:tc>
          <w:tcPr>
            <w:tcW w:type="dxa" w:w="1417"/>
            <w:shd w:fill="FFFFFF" w:val="clear"/>
          </w:tcPr>
          <w:p>
            <w:r>
              <w:rPr>
                <w:sz w:val="15"/>
              </w:rPr>
              <w:t>CONSOMMATION DIS</w:t>
            </w:r>
          </w:p>
        </w:tc>
        <w:tc>
          <w:tcPr>
            <w:tcW w:type="dxa" w:w="737"/>
            <w:shd w:fill="FFEB9C" w:val="clear"/>
          </w:tcPr>
          <w:p>
            <w:r>
              <w:rPr>
                <w:b/>
                <w:color w:val="825A00"/>
                <w:sz w:val="15"/>
              </w:rPr>
              <w:t>23.6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PRSC</w:t>
            </w:r>
          </w:p>
        </w:tc>
        <w:tc>
          <w:tcPr>
            <w:tcW w:type="dxa" w:w="1984"/>
            <w:shd w:fill="FFFFFF" w:val="clear"/>
          </w:tcPr>
          <w:p>
            <w:r>
              <w:rPr>
                <w:sz w:val="15"/>
              </w:rPr>
              <w:t>PRSC - TRACTAFRIC MOTO…</w:t>
            </w:r>
          </w:p>
        </w:tc>
        <w:tc>
          <w:tcPr>
            <w:tcW w:type="dxa" w:w="1417"/>
            <w:shd w:fill="FFFFFF" w:val="clear"/>
          </w:tcPr>
          <w:p>
            <w:r>
              <w:rPr>
                <w:sz w:val="15"/>
              </w:rPr>
              <w:t>CONSOMMATION DIS</w:t>
            </w:r>
          </w:p>
        </w:tc>
        <w:tc>
          <w:tcPr>
            <w:tcW w:type="dxa" w:w="737"/>
            <w:shd w:fill="FFEB9C" w:val="clear"/>
          </w:tcPr>
          <w:p>
            <w:r>
              <w:rPr>
                <w:b/>
                <w:color w:val="825A00"/>
                <w:sz w:val="15"/>
              </w:rPr>
              <w:t>23.3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Faible</w:t>
            </w:r>
          </w:p>
        </w:tc>
        <w:tc>
          <w:tcPr>
            <w:tcW w:type="dxa" w:w="1757"/>
            <w:shd w:fill="FFFFFF" w:val="clear"/>
          </w:tcPr>
          <w:p>
            <w:r>
              <w:rPr>
                <w:sz w:val="15"/>
              </w:rPr>
              <w:t>Mixte ⚠️ / Stable</w:t>
            </w:r>
          </w:p>
        </w:tc>
      </w:tr>
      <w:tr>
        <w:tc>
          <w:tcPr>
            <w:tcW w:type="dxa" w:w="737"/>
            <w:shd w:fill="FFFFFF" w:val="clear"/>
          </w:tcPr>
          <w:p>
            <w:r>
              <w:rPr>
                <w:sz w:val="15"/>
              </w:rPr>
              <w:t>BICC</w:t>
            </w:r>
          </w:p>
        </w:tc>
        <w:tc>
          <w:tcPr>
            <w:tcW w:type="dxa" w:w="1984"/>
            <w:shd w:fill="FFFFFF" w:val="clear"/>
          </w:tcPr>
          <w:p>
            <w:r>
              <w:rPr>
                <w:sz w:val="15"/>
              </w:rPr>
              <w:t>BICI CI - Banque inter…</w:t>
            </w:r>
          </w:p>
        </w:tc>
        <w:tc>
          <w:tcPr>
            <w:tcW w:type="dxa" w:w="1417"/>
            <w:shd w:fill="FFFFFF" w:val="clear"/>
          </w:tcPr>
          <w:p>
            <w:r>
              <w:rPr>
                <w:sz w:val="15"/>
              </w:rPr>
              <w:t>SERVICES FINANCI</w:t>
            </w:r>
          </w:p>
        </w:tc>
        <w:tc>
          <w:tcPr>
            <w:tcW w:type="dxa" w:w="737"/>
            <w:shd w:fill="FFEB9C" w:val="clear"/>
          </w:tcPr>
          <w:p>
            <w:r>
              <w:rPr>
                <w:b/>
                <w:color w:val="825A00"/>
                <w:sz w:val="15"/>
              </w:rPr>
              <w:t>22.1</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Faible</w:t>
            </w:r>
          </w:p>
        </w:tc>
        <w:tc>
          <w:tcPr>
            <w:tcW w:type="dxa" w:w="1757"/>
            <w:shd w:fill="FFFFFF" w:val="clear"/>
          </w:tcPr>
          <w:p>
            <w:r>
              <w:rPr>
                <w:sz w:val="15"/>
              </w:rPr>
              <w:t>Très divergent ❌ / Stable</w:t>
            </w:r>
          </w:p>
        </w:tc>
      </w:tr>
      <w:tr>
        <w:tc>
          <w:tcPr>
            <w:tcW w:type="dxa" w:w="737"/>
            <w:shd w:fill="FFFFFF" w:val="clear"/>
          </w:tcPr>
          <w:p>
            <w:r>
              <w:rPr>
                <w:sz w:val="15"/>
              </w:rPr>
              <w:t>STAC</w:t>
            </w:r>
          </w:p>
        </w:tc>
        <w:tc>
          <w:tcPr>
            <w:tcW w:type="dxa" w:w="1984"/>
            <w:shd w:fill="FFFFFF" w:val="clear"/>
          </w:tcPr>
          <w:p>
            <w:r>
              <w:rPr>
                <w:sz w:val="15"/>
              </w:rPr>
              <w:t>STAC - SETAO COTE D'IV…</w:t>
            </w:r>
          </w:p>
        </w:tc>
        <w:tc>
          <w:tcPr>
            <w:tcW w:type="dxa" w:w="1417"/>
            <w:shd w:fill="FFFFFF" w:val="clear"/>
          </w:tcPr>
          <w:p>
            <w:r>
              <w:rPr>
                <w:sz w:val="15"/>
              </w:rPr>
              <w:t>INDUSTRIELS</w:t>
            </w:r>
          </w:p>
        </w:tc>
        <w:tc>
          <w:tcPr>
            <w:tcW w:type="dxa" w:w="737"/>
            <w:shd w:fill="FFEB9C" w:val="clear"/>
          </w:tcPr>
          <w:p>
            <w:r>
              <w:rPr>
                <w:b/>
                <w:color w:val="825A00"/>
                <w:sz w:val="15"/>
              </w:rPr>
              <w:t>21.8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CFAC</w:t>
            </w:r>
          </w:p>
        </w:tc>
        <w:tc>
          <w:tcPr>
            <w:tcW w:type="dxa" w:w="1984"/>
            <w:shd w:fill="FFFFFF" w:val="clear"/>
          </w:tcPr>
          <w:p>
            <w:r>
              <w:rPr>
                <w:sz w:val="15"/>
              </w:rPr>
              <w:t>CFAC - CFAO MOTORS CI</w:t>
            </w:r>
          </w:p>
        </w:tc>
        <w:tc>
          <w:tcPr>
            <w:tcW w:type="dxa" w:w="1417"/>
            <w:shd w:fill="FFFFFF" w:val="clear"/>
          </w:tcPr>
          <w:p>
            <w:r>
              <w:rPr>
                <w:sz w:val="15"/>
              </w:rPr>
              <w:t>CONSOMMATION DIS</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TTLS</w:t>
            </w:r>
          </w:p>
        </w:tc>
        <w:tc>
          <w:tcPr>
            <w:tcW w:type="dxa" w:w="1984"/>
            <w:shd w:fill="FFFFFF" w:val="clear"/>
          </w:tcPr>
          <w:p>
            <w:r>
              <w:rPr>
                <w:sz w:val="15"/>
              </w:rPr>
              <w:t>TTLS - TOTAL ENERGIES …</w:t>
            </w:r>
          </w:p>
        </w:tc>
        <w:tc>
          <w:tcPr>
            <w:tcW w:type="dxa" w:w="1417"/>
            <w:shd w:fill="FFFFFF" w:val="clear"/>
          </w:tcPr>
          <w:p>
            <w:r>
              <w:rPr>
                <w:sz w:val="15"/>
              </w:rPr>
              <w:t>ENERGIE</w:t>
            </w:r>
          </w:p>
        </w:tc>
        <w:tc>
          <w:tcPr>
            <w:tcW w:type="dxa" w:w="737"/>
            <w:shd w:fill="FFEB9C" w:val="clear"/>
          </w:tcPr>
          <w:p>
            <w:r>
              <w:rPr>
                <w:b/>
                <w:color w:val="825A00"/>
                <w:sz w:val="15"/>
              </w:rPr>
              <w:t>20.8</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ABJC</w:t>
            </w:r>
          </w:p>
        </w:tc>
        <w:tc>
          <w:tcPr>
            <w:tcW w:type="dxa" w:w="1984"/>
            <w:shd w:fill="FFFFFF" w:val="clear"/>
          </w:tcPr>
          <w:p>
            <w:r>
              <w:rPr>
                <w:sz w:val="15"/>
              </w:rPr>
              <w:t>ABJC - SERVAIR ABIDJAN…</w:t>
            </w:r>
          </w:p>
        </w:tc>
        <w:tc>
          <w:tcPr>
            <w:tcW w:type="dxa" w:w="1417"/>
            <w:shd w:fill="FFFFFF" w:val="clear"/>
          </w:tcPr>
          <w:p>
            <w:r>
              <w:rPr>
                <w:sz w:val="15"/>
              </w:rPr>
              <w:t>CONSOMMATION DIS</w:t>
            </w:r>
          </w:p>
        </w:tc>
        <w:tc>
          <w:tcPr>
            <w:tcW w:type="dxa" w:w="737"/>
            <w:shd w:fill="FFEB9C" w:val="clear"/>
          </w:tcPr>
          <w:p>
            <w:r>
              <w:rPr>
                <w:b/>
                <w:color w:val="825A00"/>
                <w:sz w:val="15"/>
              </w:rPr>
              <w:t>20.6</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Modérée</w:t>
            </w:r>
          </w:p>
        </w:tc>
      </w:tr>
      <w:tr>
        <w:tc>
          <w:tcPr>
            <w:tcW w:type="dxa" w:w="737"/>
            <w:shd w:fill="FFFFFF" w:val="clear"/>
          </w:tcPr>
          <w:p>
            <w:r>
              <w:rPr>
                <w:sz w:val="15"/>
              </w:rPr>
              <w:t>BOAB</w:t>
            </w:r>
          </w:p>
        </w:tc>
        <w:tc>
          <w:tcPr>
            <w:tcW w:type="dxa" w:w="1984"/>
            <w:shd w:fill="FFFFFF" w:val="clear"/>
          </w:tcPr>
          <w:p>
            <w:r>
              <w:rPr>
                <w:sz w:val="15"/>
              </w:rPr>
              <w:t>BANK OF AFRICA BENIN</w:t>
            </w:r>
          </w:p>
        </w:tc>
        <w:tc>
          <w:tcPr>
            <w:tcW w:type="dxa" w:w="1417"/>
            <w:shd w:fill="FFFFFF" w:val="clear"/>
          </w:tcPr>
          <w:p>
            <w:r>
              <w:rPr>
                <w:sz w:val="15"/>
              </w:rPr>
              <w:t>SERVICES FINANCI</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PALC</w:t>
            </w:r>
          </w:p>
        </w:tc>
        <w:tc>
          <w:tcPr>
            <w:tcW w:type="dxa" w:w="1984"/>
            <w:shd w:fill="FFFFFF" w:val="clear"/>
          </w:tcPr>
          <w:p>
            <w:r>
              <w:rPr>
                <w:sz w:val="15"/>
              </w:rPr>
              <w:t>PALC - PALM COTE D'IVO…</w:t>
            </w:r>
          </w:p>
        </w:tc>
        <w:tc>
          <w:tcPr>
            <w:tcW w:type="dxa" w:w="1417"/>
            <w:shd w:fill="FFFFFF" w:val="clear"/>
          </w:tcPr>
          <w:p>
            <w:r>
              <w:rPr>
                <w:sz w:val="15"/>
              </w:rPr>
              <w:t xml:space="preserve">CONSOMMATION DE </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SMBC</w:t>
            </w:r>
          </w:p>
        </w:tc>
        <w:tc>
          <w:tcPr>
            <w:tcW w:type="dxa" w:w="1984"/>
            <w:shd w:fill="FFFFFF" w:val="clear"/>
          </w:tcPr>
          <w:p>
            <w:r>
              <w:rPr>
                <w:sz w:val="15"/>
              </w:rPr>
              <w:t>SMBC - Société Multina…</w:t>
            </w:r>
          </w:p>
        </w:tc>
        <w:tc>
          <w:tcPr>
            <w:tcW w:type="dxa" w:w="1417"/>
            <w:shd w:fill="FFFFFF" w:val="clear"/>
          </w:tcPr>
          <w:p>
            <w:r>
              <w:rPr>
                <w:sz w:val="15"/>
              </w:rPr>
              <w:t>ENERGIE</w:t>
            </w:r>
          </w:p>
        </w:tc>
        <w:tc>
          <w:tcPr>
            <w:tcW w:type="dxa" w:w="737"/>
            <w:shd w:fill="FFEB9C" w:val="clear"/>
          </w:tcPr>
          <w:p>
            <w:r>
              <w:rPr>
                <w:b/>
                <w:color w:val="825A00"/>
                <w:sz w:val="15"/>
              </w:rPr>
              <w:t>20.3</w:t>
            </w:r>
          </w:p>
        </w:tc>
        <w:tc>
          <w:tcPr>
            <w:tcW w:type="dxa" w:w="1020"/>
            <w:shd w:fill="FFEB9C" w:val="clear"/>
          </w:tcPr>
          <w:p>
            <w:r>
              <w:rPr>
                <w:b/>
                <w:color w:val="825A00"/>
                <w:sz w:val="15"/>
              </w:rPr>
              <w:t>Moyen</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SHEC</w:t>
            </w:r>
          </w:p>
        </w:tc>
        <w:tc>
          <w:tcPr>
            <w:tcW w:type="dxa" w:w="1984"/>
            <w:shd w:fill="FFFFFF" w:val="clear"/>
          </w:tcPr>
          <w:p>
            <w:r>
              <w:rPr>
                <w:sz w:val="15"/>
              </w:rPr>
              <w:t>SHEC - VIVO ENERGY COT…</w:t>
            </w:r>
          </w:p>
        </w:tc>
        <w:tc>
          <w:tcPr>
            <w:tcW w:type="dxa" w:w="1417"/>
            <w:shd w:fill="FFFFFF" w:val="clear"/>
          </w:tcPr>
          <w:p>
            <w:r>
              <w:rPr>
                <w:sz w:val="15"/>
              </w:rPr>
              <w:t>ENERGIE</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SPHC</w:t>
            </w:r>
          </w:p>
        </w:tc>
        <w:tc>
          <w:tcPr>
            <w:tcW w:type="dxa" w:w="1984"/>
            <w:shd w:fill="FFFFFF" w:val="clear"/>
          </w:tcPr>
          <w:p>
            <w:r>
              <w:rPr>
                <w:sz w:val="15"/>
              </w:rPr>
              <w:t>SPHC - Société Africai…</w:t>
            </w:r>
          </w:p>
        </w:tc>
        <w:tc>
          <w:tcPr>
            <w:tcW w:type="dxa" w:w="1417"/>
            <w:shd w:fill="FFFFFF" w:val="clear"/>
          </w:tcPr>
          <w:p>
            <w:r>
              <w:rPr>
                <w:sz w:val="15"/>
              </w:rPr>
              <w:t xml:space="preserve">CONSOMMATION DE </w:t>
            </w:r>
          </w:p>
        </w:tc>
        <w:tc>
          <w:tcPr>
            <w:tcW w:type="dxa" w:w="737"/>
            <w:shd w:fill="C6EFCE" w:val="clear"/>
          </w:tcPr>
          <w:p>
            <w:r>
              <w:rPr>
                <w:b/>
                <w:color w:val="006400"/>
                <w:sz w:val="15"/>
              </w:rPr>
              <w:t>19.3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Neutre (suit le marc</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BOABF</w:t>
            </w:r>
          </w:p>
        </w:tc>
        <w:tc>
          <w:tcPr>
            <w:tcW w:type="dxa" w:w="1984"/>
            <w:shd w:fill="FFFFFF" w:val="clear"/>
          </w:tcPr>
          <w:p>
            <w:r>
              <w:rPr>
                <w:sz w:val="15"/>
              </w:rPr>
              <w:t>BANK OF AFRICA BURKINA…</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BOAM</w:t>
            </w:r>
          </w:p>
        </w:tc>
        <w:tc>
          <w:tcPr>
            <w:tcW w:type="dxa" w:w="1984"/>
            <w:shd w:fill="FFFFFF" w:val="clear"/>
          </w:tcPr>
          <w:p>
            <w:r>
              <w:rPr>
                <w:sz w:val="15"/>
              </w:rPr>
              <w:t>BANK OF AFRICA MALI</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BOAS</w:t>
            </w:r>
          </w:p>
        </w:tc>
        <w:tc>
          <w:tcPr>
            <w:tcW w:type="dxa" w:w="1984"/>
            <w:shd w:fill="FFFFFF" w:val="clear"/>
          </w:tcPr>
          <w:p>
            <w:r>
              <w:rPr>
                <w:sz w:val="15"/>
              </w:rPr>
              <w:t>BANK OF AFRICA SENEGAL</w:t>
            </w:r>
          </w:p>
        </w:tc>
        <w:tc>
          <w:tcPr>
            <w:tcW w:type="dxa" w:w="1417"/>
            <w:shd w:fill="FFFFFF" w:val="clear"/>
          </w:tcPr>
          <w:p>
            <w:r>
              <w:rPr>
                <w:sz w:val="15"/>
              </w:rPr>
              <w:t>SERVICES FINANCI</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FTSC</w:t>
            </w:r>
          </w:p>
        </w:tc>
        <w:tc>
          <w:tcPr>
            <w:tcW w:type="dxa" w:w="1984"/>
            <w:shd w:fill="FFFFFF" w:val="clear"/>
          </w:tcPr>
          <w:p>
            <w:r>
              <w:rPr>
                <w:sz w:val="15"/>
              </w:rPr>
              <w:t>FTSC - FILTISAC COTE D…</w:t>
            </w:r>
          </w:p>
        </w:tc>
        <w:tc>
          <w:tcPr>
            <w:tcW w:type="dxa" w:w="1417"/>
            <w:shd w:fill="FFFFFF" w:val="clear"/>
          </w:tcPr>
          <w:p>
            <w:r>
              <w:rPr>
                <w:sz w:val="15"/>
              </w:rPr>
              <w:t>INDUSTRIELS</w:t>
            </w:r>
          </w:p>
        </w:tc>
        <w:tc>
          <w:tcPr>
            <w:tcW w:type="dxa" w:w="737"/>
            <w:shd w:fill="C6EFCE" w:val="clear"/>
          </w:tcPr>
          <w:p>
            <w:r>
              <w:rPr>
                <w:b/>
                <w:color w:val="006400"/>
                <w:sz w:val="15"/>
              </w:rPr>
              <w:t>19.1</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Très divergent ❌ / Stable</w:t>
            </w:r>
          </w:p>
        </w:tc>
      </w:tr>
      <w:tr>
        <w:tc>
          <w:tcPr>
            <w:tcW w:type="dxa" w:w="737"/>
            <w:shd w:fill="FFFFFF" w:val="clear"/>
          </w:tcPr>
          <w:p>
            <w:r>
              <w:rPr>
                <w:sz w:val="15"/>
              </w:rPr>
              <w:t>CABC</w:t>
            </w:r>
          </w:p>
        </w:tc>
        <w:tc>
          <w:tcPr>
            <w:tcW w:type="dxa" w:w="1984"/>
            <w:shd w:fill="FFFFFF" w:val="clear"/>
          </w:tcPr>
          <w:p>
            <w:r>
              <w:rPr>
                <w:sz w:val="15"/>
              </w:rPr>
              <w:t>CABC - SICABLE COTE D'…</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SIVC</w:t>
            </w:r>
          </w:p>
        </w:tc>
        <w:tc>
          <w:tcPr>
            <w:tcW w:type="dxa" w:w="1984"/>
            <w:shd w:fill="FFFFFF" w:val="clear"/>
          </w:tcPr>
          <w:p>
            <w:r>
              <w:rPr>
                <w:sz w:val="15"/>
              </w:rPr>
              <w:t>SIVC - ERIUM CI (Ex AI…</w:t>
            </w:r>
          </w:p>
        </w:tc>
        <w:tc>
          <w:tcPr>
            <w:tcW w:type="dxa" w:w="1417"/>
            <w:shd w:fill="FFFFFF" w:val="clear"/>
          </w:tcPr>
          <w:p>
            <w:r>
              <w:rPr>
                <w:sz w:val="15"/>
              </w:rPr>
              <w:t>INDUSTRIELS</w:t>
            </w:r>
          </w:p>
        </w:tc>
        <w:tc>
          <w:tcPr>
            <w:tcW w:type="dxa" w:w="737"/>
            <w:shd w:fill="C6EFCE" w:val="clear"/>
          </w:tcPr>
          <w:p>
            <w:r>
              <w:rPr>
                <w:b/>
                <w:color w:val="006400"/>
                <w:sz w:val="15"/>
              </w:rPr>
              <w:t>18.8</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Modérée</w:t>
            </w:r>
          </w:p>
        </w:tc>
      </w:tr>
      <w:tr>
        <w:tc>
          <w:tcPr>
            <w:tcW w:type="dxa" w:w="737"/>
            <w:shd w:fill="FFFFFF" w:val="clear"/>
          </w:tcPr>
          <w:p>
            <w:r>
              <w:rPr>
                <w:sz w:val="15"/>
              </w:rPr>
              <w:t>UNXC</w:t>
            </w:r>
          </w:p>
        </w:tc>
        <w:tc>
          <w:tcPr>
            <w:tcW w:type="dxa" w:w="1984"/>
            <w:shd w:fill="FFFFFF" w:val="clear"/>
          </w:tcPr>
          <w:p>
            <w:r>
              <w:rPr>
                <w:sz w:val="15"/>
              </w:rPr>
              <w:t>UNXC - UNIWAX COTE D'I…</w:t>
            </w:r>
          </w:p>
        </w:tc>
        <w:tc>
          <w:tcPr>
            <w:tcW w:type="dxa" w:w="1417"/>
            <w:shd w:fill="FFFFFF" w:val="clear"/>
          </w:tcPr>
          <w:p>
            <w:r>
              <w:rPr>
                <w:sz w:val="15"/>
              </w:rPr>
              <w:t>CONSOMMATION DIS</w:t>
            </w:r>
          </w:p>
        </w:tc>
        <w:tc>
          <w:tcPr>
            <w:tcW w:type="dxa" w:w="737"/>
            <w:shd w:fill="C6EFCE" w:val="clear"/>
          </w:tcPr>
          <w:p>
            <w:r>
              <w:rPr>
                <w:b/>
                <w:color w:val="006400"/>
                <w:sz w:val="15"/>
              </w:rPr>
              <w:t>18.6</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Très divergent ❌ / Modérée</w:t>
            </w:r>
          </w:p>
        </w:tc>
      </w:tr>
      <w:tr>
        <w:tc>
          <w:tcPr>
            <w:tcW w:type="dxa" w:w="737"/>
            <w:shd w:fill="FFFFFF" w:val="clear"/>
          </w:tcPr>
          <w:p>
            <w:r>
              <w:rPr>
                <w:sz w:val="15"/>
              </w:rPr>
              <w:t>TTLC</w:t>
            </w:r>
          </w:p>
        </w:tc>
        <w:tc>
          <w:tcPr>
            <w:tcW w:type="dxa" w:w="1984"/>
            <w:shd w:fill="FFFFFF" w:val="clear"/>
          </w:tcPr>
          <w:p>
            <w:r>
              <w:rPr>
                <w:sz w:val="15"/>
              </w:rPr>
              <w:t>TTLC - TOTAL ENERGIES …</w:t>
            </w:r>
          </w:p>
        </w:tc>
        <w:tc>
          <w:tcPr>
            <w:tcW w:type="dxa" w:w="1417"/>
            <w:shd w:fill="FFFFFF" w:val="clear"/>
          </w:tcPr>
          <w:p>
            <w:r>
              <w:rPr>
                <w:sz w:val="15"/>
              </w:rPr>
              <w:t>ENERGIE</w:t>
            </w:r>
          </w:p>
        </w:tc>
        <w:tc>
          <w:tcPr>
            <w:tcW w:type="dxa" w:w="737"/>
            <w:shd w:fill="C6EFCE" w:val="clear"/>
          </w:tcPr>
          <w:p>
            <w:r>
              <w:rPr>
                <w:b/>
                <w:color w:val="006400"/>
                <w:sz w:val="15"/>
              </w:rPr>
              <w:t>18.5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Contre-cyclique</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LNBB</w:t>
            </w:r>
          </w:p>
        </w:tc>
        <w:tc>
          <w:tcPr>
            <w:tcW w:type="dxa" w:w="1984"/>
            <w:shd w:fill="FFFFFF" w:val="clear"/>
          </w:tcPr>
          <w:p>
            <w:r>
              <w:rPr>
                <w:sz w:val="15"/>
              </w:rPr>
              <w:t>LNBB - LOTERIE NATIONA…</w:t>
            </w:r>
          </w:p>
        </w:tc>
        <w:tc>
          <w:tcPr>
            <w:tcW w:type="dxa" w:w="1417"/>
            <w:shd w:fill="FFFFFF" w:val="clear"/>
          </w:tcPr>
          <w:p>
            <w:r>
              <w:rPr>
                <w:sz w:val="15"/>
              </w:rPr>
              <w:t>CONSOMMATION DIS</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NTLC</w:t>
            </w:r>
          </w:p>
        </w:tc>
        <w:tc>
          <w:tcPr>
            <w:tcW w:type="dxa" w:w="1984"/>
            <w:shd w:fill="FFFFFF" w:val="clear"/>
          </w:tcPr>
          <w:p>
            <w:r>
              <w:rPr>
                <w:sz w:val="15"/>
              </w:rPr>
              <w:t>NTLC - NESTLE COTE D'I…</w:t>
            </w:r>
          </w:p>
        </w:tc>
        <w:tc>
          <w:tcPr>
            <w:tcW w:type="dxa" w:w="1417"/>
            <w:shd w:fill="FFFFFF" w:val="clear"/>
          </w:tcPr>
          <w:p>
            <w:r>
              <w:rPr>
                <w:sz w:val="15"/>
              </w:rPr>
              <w:t xml:space="preserve">CONSOMMATION DE </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ORGT</w:t>
            </w:r>
          </w:p>
        </w:tc>
        <w:tc>
          <w:tcPr>
            <w:tcW w:type="dxa" w:w="1984"/>
            <w:shd w:fill="FFFFFF" w:val="clear"/>
          </w:tcPr>
          <w:p>
            <w:r>
              <w:rPr>
                <w:sz w:val="15"/>
              </w:rPr>
              <w:t>ORGT - ORAGROUP TOGO</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SIBC</w:t>
            </w:r>
          </w:p>
        </w:tc>
        <w:tc>
          <w:tcPr>
            <w:tcW w:type="dxa" w:w="1984"/>
            <w:shd w:fill="FFFFFF" w:val="clear"/>
          </w:tcPr>
          <w:p>
            <w:r>
              <w:rPr>
                <w:sz w:val="15"/>
              </w:rPr>
              <w:t>SIBC - SOCIETE IVOIRIE…</w:t>
            </w:r>
          </w:p>
        </w:tc>
        <w:tc>
          <w:tcPr>
            <w:tcW w:type="dxa" w:w="1417"/>
            <w:shd w:fill="FFFFFF" w:val="clear"/>
          </w:tcPr>
          <w:p>
            <w:r>
              <w:rPr>
                <w:sz w:val="15"/>
              </w:rPr>
              <w:t>SERVICES FINANCI</w:t>
            </w:r>
          </w:p>
        </w:tc>
        <w:tc>
          <w:tcPr>
            <w:tcW w:type="dxa" w:w="737"/>
            <w:shd w:fill="C6EFCE" w:val="clear"/>
          </w:tcPr>
          <w:p>
            <w:r>
              <w:rPr>
                <w:b/>
                <w:color w:val="006400"/>
                <w:sz w:val="15"/>
              </w:rPr>
              <w:t>17.3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SGBC</w:t>
            </w:r>
          </w:p>
        </w:tc>
        <w:tc>
          <w:tcPr>
            <w:tcW w:type="dxa" w:w="1984"/>
            <w:shd w:fill="FFFFFF" w:val="clear"/>
          </w:tcPr>
          <w:p>
            <w:r>
              <w:rPr>
                <w:sz w:val="15"/>
              </w:rPr>
              <w:t>SGBC - SOCIETE GENERAL…</w:t>
            </w:r>
          </w:p>
        </w:tc>
        <w:tc>
          <w:tcPr>
            <w:tcW w:type="dxa" w:w="1417"/>
            <w:shd w:fill="FFFFFF" w:val="clear"/>
          </w:tcPr>
          <w:p>
            <w:r>
              <w:rPr>
                <w:sz w:val="15"/>
              </w:rPr>
              <w:t>SERVICES FINANCI</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STBC</w:t>
            </w:r>
          </w:p>
        </w:tc>
        <w:tc>
          <w:tcPr>
            <w:tcW w:type="dxa" w:w="1984"/>
            <w:shd w:fill="FFFFFF" w:val="clear"/>
          </w:tcPr>
          <w:p>
            <w:r>
              <w:rPr>
                <w:sz w:val="15"/>
              </w:rPr>
              <w:t>STBC - SITAB COTE D'IV…</w:t>
            </w:r>
          </w:p>
        </w:tc>
        <w:tc>
          <w:tcPr>
            <w:tcW w:type="dxa" w:w="1417"/>
            <w:shd w:fill="FFFFFF" w:val="clear"/>
          </w:tcPr>
          <w:p>
            <w:r>
              <w:rPr>
                <w:sz w:val="15"/>
              </w:rPr>
              <w:t xml:space="preserve">CONSOMMATION DE </w:t>
            </w:r>
          </w:p>
        </w:tc>
        <w:tc>
          <w:tcPr>
            <w:tcW w:type="dxa" w:w="737"/>
            <w:shd w:fill="C6EFCE" w:val="clear"/>
          </w:tcPr>
          <w:p>
            <w:r>
              <w:rPr>
                <w:b/>
                <w:color w:val="006400"/>
                <w:sz w:val="15"/>
              </w:rPr>
              <w:t>15.5</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Convergent ✅ / Stable</w:t>
            </w:r>
          </w:p>
        </w:tc>
      </w:tr>
      <w:tr>
        <w:tc>
          <w:tcPr>
            <w:tcW w:type="dxa" w:w="737"/>
            <w:shd w:fill="FFFFFF" w:val="clear"/>
          </w:tcPr>
          <w:p>
            <w:r>
              <w:rPr>
                <w:sz w:val="15"/>
              </w:rPr>
              <w:t>BOAC</w:t>
            </w:r>
          </w:p>
        </w:tc>
        <w:tc>
          <w:tcPr>
            <w:tcW w:type="dxa" w:w="1984"/>
            <w:shd w:fill="FFFFFF" w:val="clear"/>
          </w:tcPr>
          <w:p>
            <w:r>
              <w:rPr>
                <w:sz w:val="15"/>
              </w:rPr>
              <w:t>BANK OF AFRICA COTE D'…</w:t>
            </w:r>
          </w:p>
        </w:tc>
        <w:tc>
          <w:tcPr>
            <w:tcW w:type="dxa" w:w="1417"/>
            <w:shd w:fill="FFFFFF" w:val="clear"/>
          </w:tcPr>
          <w:p>
            <w:r>
              <w:rPr>
                <w:sz w:val="15"/>
              </w:rPr>
              <w:t>SERVICES FINANCI</w:t>
            </w:r>
          </w:p>
        </w:tc>
        <w:tc>
          <w:tcPr>
            <w:tcW w:type="dxa" w:w="737"/>
            <w:shd w:fill="C6EFCE" w:val="clear"/>
          </w:tcPr>
          <w:p>
            <w:r>
              <w:rPr>
                <w:b/>
                <w:color w:val="006400"/>
                <w:sz w:val="15"/>
              </w:rPr>
              <w:t>15.3</w:t>
            </w:r>
          </w:p>
        </w:tc>
        <w:tc>
          <w:tcPr>
            <w:tcW w:type="dxa" w:w="1020"/>
            <w:shd w:fill="C6EFCE" w:val="clear"/>
          </w:tcPr>
          <w:p>
            <w:r>
              <w:rPr>
                <w:b/>
                <w:color w:val="006400"/>
                <w:sz w:val="15"/>
              </w:rPr>
              <w:t>Faible</w:t>
            </w:r>
          </w:p>
        </w:tc>
        <w:tc>
          <w:tcPr>
            <w:tcW w:type="dxa" w:w="1134"/>
            <w:shd w:fill="FFFFFF" w:val="clear"/>
          </w:tcPr>
          <w:p>
            <w:r>
              <w:rPr>
                <w:sz w:val="15"/>
              </w:rPr>
              <w:t>Moyenne</w:t>
            </w:r>
          </w:p>
        </w:tc>
        <w:tc>
          <w:tcPr>
            <w:tcW w:type="dxa" w:w="1134"/>
            <w:shd w:fill="FFFFFF" w:val="clear"/>
          </w:tcPr>
          <w:p>
            <w:r>
              <w:rPr>
                <w:sz w:val="15"/>
              </w:rPr>
              <w:t>Défensif</w:t>
            </w:r>
          </w:p>
        </w:tc>
        <w:tc>
          <w:tcPr>
            <w:tcW w:type="dxa" w:w="1134"/>
            <w:shd w:fill="FFFFFF" w:val="clear"/>
          </w:tcPr>
          <w:p>
            <w:r>
              <w:rPr>
                <w:sz w:val="15"/>
              </w:rPr>
              <w:t>Excellente</w:t>
            </w:r>
          </w:p>
        </w:tc>
        <w:tc>
          <w:tcPr>
            <w:tcW w:type="dxa" w:w="1757"/>
            <w:shd w:fill="FFFFFF" w:val="clear"/>
          </w:tcPr>
          <w:p>
            <w:r>
              <w:rPr>
                <w:sz w:val="15"/>
              </w:rPr>
              <w:t>Mixte ⚠️ / Stable</w:t>
            </w:r>
          </w:p>
        </w:tc>
      </w:tr>
      <w:tr>
        <w:tc>
          <w:tcPr>
            <w:tcW w:type="dxa" w:w="737"/>
            <w:shd w:fill="FFFFFF" w:val="clear"/>
          </w:tcPr>
          <w:p>
            <w:r>
              <w:rPr>
                <w:sz w:val="15"/>
              </w:rPr>
              <w:t>ECOC</w:t>
            </w:r>
          </w:p>
        </w:tc>
        <w:tc>
          <w:tcPr>
            <w:tcW w:type="dxa" w:w="1984"/>
            <w:shd w:fill="FFFFFF" w:val="clear"/>
          </w:tcPr>
          <w:p>
            <w:r>
              <w:rPr>
                <w:sz w:val="15"/>
              </w:rPr>
              <w:t>ECOC - ECOBANK COTE D'…</w:t>
            </w:r>
          </w:p>
        </w:tc>
        <w:tc>
          <w:tcPr>
            <w:tcW w:type="dxa" w:w="1417"/>
            <w:shd w:fill="FFFFFF" w:val="clear"/>
          </w:tcPr>
          <w:p>
            <w:r>
              <w:rPr>
                <w:sz w:val="15"/>
              </w:rPr>
              <w:t>SERVICES FINANCI</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ONTBF</w:t>
            </w:r>
          </w:p>
        </w:tc>
        <w:tc>
          <w:tcPr>
            <w:tcW w:type="dxa" w:w="1984"/>
            <w:shd w:fill="FFFFFF" w:val="clear"/>
          </w:tcPr>
          <w:p>
            <w:r>
              <w:rPr>
                <w:sz w:val="15"/>
              </w:rPr>
              <w:t>ONTBF - ONATEL BURKINA…</w:t>
            </w:r>
          </w:p>
        </w:tc>
        <w:tc>
          <w:tcPr>
            <w:tcW w:type="dxa" w:w="1417"/>
            <w:shd w:fill="FFFFFF" w:val="clear"/>
          </w:tcPr>
          <w:p>
            <w:r>
              <w:rPr>
                <w:sz w:val="15"/>
              </w:rPr>
              <w:t>TELECOMMUNICATIO</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SLBC</w:t>
            </w:r>
          </w:p>
        </w:tc>
        <w:tc>
          <w:tcPr>
            <w:tcW w:type="dxa" w:w="1984"/>
            <w:shd w:fill="FFFFFF" w:val="clear"/>
          </w:tcPr>
          <w:p>
            <w:r>
              <w:rPr>
                <w:sz w:val="15"/>
              </w:rPr>
              <w:t>SLBC - SOLIBRA COTE D'…</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r>
        <w:tc>
          <w:tcPr>
            <w:tcW w:type="dxa" w:w="737"/>
            <w:shd w:fill="FFFFFF" w:val="clear"/>
          </w:tcPr>
          <w:p>
            <w:r>
              <w:rPr>
                <w:sz w:val="15"/>
              </w:rPr>
              <w:t>SOGC</w:t>
            </w:r>
          </w:p>
        </w:tc>
        <w:tc>
          <w:tcPr>
            <w:tcW w:type="dxa" w:w="1984"/>
            <w:shd w:fill="FFFFFF" w:val="clear"/>
          </w:tcPr>
          <w:p>
            <w:r>
              <w:rPr>
                <w:sz w:val="15"/>
              </w:rPr>
              <w:t>SOGC - Société des cao…</w:t>
            </w:r>
          </w:p>
        </w:tc>
        <w:tc>
          <w:tcPr>
            <w:tcW w:type="dxa" w:w="1417"/>
            <w:shd w:fill="FFFFFF" w:val="clear"/>
          </w:tcPr>
          <w:p>
            <w:r>
              <w:rPr>
                <w:sz w:val="15"/>
              </w:rPr>
              <w:t xml:space="preserve">CONSOMMATION DE </w:t>
            </w:r>
          </w:p>
        </w:tc>
        <w:tc>
          <w:tcPr>
            <w:tcW w:type="dxa" w:w="737"/>
            <w:shd w:fill="C6EFCE" w:val="clear"/>
          </w:tcPr>
          <w:p>
            <w:r>
              <w:rPr>
                <w:b/>
                <w:color w:val="006400"/>
                <w:sz w:val="15"/>
              </w:rPr>
              <w:t>11.3</w:t>
            </w:r>
          </w:p>
        </w:tc>
        <w:tc>
          <w:tcPr>
            <w:tcW w:type="dxa" w:w="1020"/>
            <w:shd w:fill="C6EFCE" w:val="clear"/>
          </w:tcPr>
          <w:p>
            <w:r>
              <w:rPr>
                <w:b/>
                <w:color w:val="006400"/>
                <w:sz w:val="15"/>
              </w:rPr>
              <w:t>Faible</w:t>
            </w:r>
          </w:p>
        </w:tc>
        <w:tc>
          <w:tcPr>
            <w:tcW w:type="dxa" w:w="1134"/>
            <w:shd w:fill="FFFFFF" w:val="clear"/>
          </w:tcPr>
          <w:p>
            <w:r>
              <w:rPr>
                <w:sz w:val="15"/>
              </w:rPr>
              <w:t>Faible</w:t>
            </w:r>
          </w:p>
        </w:tc>
        <w:tc>
          <w:tcPr>
            <w:tcW w:type="dxa" w:w="1134"/>
            <w:shd w:fill="FFFFFF" w:val="clear"/>
          </w:tcPr>
          <w:p>
            <w:r>
              <w:rPr>
                <w:sz w:val="15"/>
              </w:rPr>
              <w:t>Défensif</w:t>
            </w:r>
          </w:p>
        </w:tc>
        <w:tc>
          <w:tcPr>
            <w:tcW w:type="dxa" w:w="1134"/>
            <w:shd w:fill="FFFFFF" w:val="clear"/>
          </w:tcPr>
          <w:p>
            <w:r>
              <w:rPr>
                <w:sz w:val="15"/>
              </w:rPr>
              <w:t>Bonne</w:t>
            </w:r>
          </w:p>
        </w:tc>
        <w:tc>
          <w:tcPr>
            <w:tcW w:type="dxa" w:w="1757"/>
            <w:shd w:fill="FFFFFF" w:val="clear"/>
          </w:tcPr>
          <w:p>
            <w:r>
              <w:rPr>
                <w:sz w:val="15"/>
              </w:rPr>
              <w:t>Mixte ⚠️ / Stable</w:t>
            </w:r>
          </w:p>
        </w:tc>
      </w:tr>
    </w:tbl>
    <w:p/>
    <w:p>
      <w:r>
        <w:br w:type="page"/>
      </w:r>
    </w:p>
    <w:p>
      <w:pPr>
        <w:pStyle w:val="Heading1"/>
      </w:pPr>
      <w:r>
        <w:t>🔮 SYNTHÈSE RÉCAPITULATIVE DES PRÉDICTIONS IA (J+1 → J+10)</w:t>
      </w:r>
    </w:p>
    <w:p>
      <w:r>
        <w:rPr>
          <w:i/>
          <w:color w:val="505050"/>
          <w:sz w:val="18"/>
        </w:rPr>
        <w:t>Cette section synthétise les prédictions des modèles GRU/LSTM/BiGRU pour les 47 sociétés. La variation J+10 est calculée entre le cours actuel et le cours prédit à 10 jours ouvrables. Le niveau de confiance agrégé reflète la proportion de jours avec confiance Élevée ou Moyenne dans la séquence de prédiction. Les prédictions sont données à titre indicatif — les marchés peu liquides comme la BRVM peuvent diverger des modèles statistiques.</w:t>
      </w:r>
    </w:p>
    <w:p/>
    <w:p>
      <w:pPr>
        <w:pStyle w:val="Heading2"/>
      </w:pPr>
      <w:r>
        <w:t>📊 1. Tendance générale du marché</w:t>
      </w:r>
    </w:p>
    <w:tbl>
      <w:tblPr>
        <w:tblStyle w:val="TableGrid"/>
        <w:tblW w:type="auto" w:w="0"/>
        <w:tblLook w:firstColumn="1" w:firstRow="1" w:lastColumn="0" w:lastRow="0" w:noHBand="0" w:noVBand="1" w:val="04A0"/>
      </w:tblPr>
      <w:tblGrid>
        <w:gridCol w:w="4320"/>
        <w:gridCol w:w="4320"/>
      </w:tblGrid>
      <w:tr>
        <w:tc>
          <w:tcPr>
            <w:tcW w:type="dxa" w:w="2835"/>
            <w:shd w:fill="DEEAF1" w:val="clear"/>
          </w:tcPr>
          <w:p>
            <w:r>
              <w:rPr>
                <w:b/>
                <w:sz w:val="18"/>
              </w:rPr>
              <w:t>Signal marché (J+10)</w:t>
            </w:r>
          </w:p>
        </w:tc>
        <w:tc>
          <w:tcPr>
            <w:tcW w:type="dxa" w:w="7370"/>
            <w:shd w:fill="FFC7CE" w:val="clear"/>
          </w:tcPr>
          <w:p>
            <w:r>
              <w:rPr>
                <w:b/>
                <w:color w:val="B40000"/>
                <w:sz w:val="18"/>
              </w:rPr>
              <w:t>🔴 BAISSIER</w:t>
            </w:r>
          </w:p>
        </w:tc>
      </w:tr>
      <w:tr>
        <w:tc>
          <w:tcPr>
            <w:tcW w:type="dxa" w:w="2835"/>
            <w:shd w:fill="DEEAF1" w:val="clear"/>
          </w:tcPr>
          <w:p>
            <w:r>
              <w:rPr>
                <w:b/>
                <w:sz w:val="18"/>
              </w:rPr>
              <w:t>Variation moyenne J+10</w:t>
            </w:r>
          </w:p>
        </w:tc>
        <w:tc>
          <w:tcPr>
            <w:tcW w:type="dxa" w:w="7370"/>
          </w:tcPr>
          <w:p>
            <w:r>
              <w:rPr>
                <w:b/>
                <w:sz w:val="18"/>
              </w:rPr>
              <w:t>-12.50%  |  Médiane : -7.40%</w:t>
            </w:r>
          </w:p>
        </w:tc>
      </w:tr>
      <w:tr>
        <w:tc>
          <w:tcPr>
            <w:tcW w:type="dxa" w:w="2835"/>
            <w:shd w:fill="DEEAF1" w:val="clear"/>
          </w:tcPr>
          <w:p>
            <w:r>
              <w:rPr>
                <w:b/>
                <w:sz w:val="18"/>
              </w:rPr>
              <w:t>Répartition</w:t>
            </w:r>
          </w:p>
        </w:tc>
        <w:tc>
          <w:tcPr>
            <w:tcW w:type="dxa" w:w="7370"/>
          </w:tcPr>
          <w:p>
            <w:r>
              <w:rPr>
                <w:b/>
                <w:sz w:val="18"/>
              </w:rPr>
              <w:t>📈 7 sociétés en hausse (&gt;+1%)   📉 38 en baisse (&lt;-1%)   ➡️ 2 neutres</w:t>
            </w:r>
          </w:p>
        </w:tc>
      </w:tr>
      <w:tr>
        <w:tc>
          <w:tcPr>
            <w:tcW w:type="dxa" w:w="2835"/>
            <w:shd w:fill="DEEAF1" w:val="clear"/>
          </w:tcPr>
          <w:p>
            <w:r>
              <w:rPr>
                <w:b/>
                <w:sz w:val="18"/>
              </w:rPr>
              <w:t>Confiance globale</w:t>
            </w:r>
          </w:p>
        </w:tc>
        <w:tc>
          <w:tcPr>
            <w:tcW w:type="dxa" w:w="7370"/>
          </w:tcPr>
          <w:p>
            <w:r>
              <w:rPr>
                <w:b/>
                <w:sz w:val="18"/>
              </w:rPr>
              <w:t>Élevée : 0 sociétés (0%)   Moyenne : 13   Faible : 34 (72%)   → Confiance dominante : Faible</w:t>
            </w:r>
          </w:p>
        </w:tc>
      </w:tr>
    </w:tbl>
    <w:p/>
    <w:p>
      <w:r>
        <w:rPr>
          <w:i/>
          <w:color w:val="282828"/>
          <w:sz w:val="18"/>
        </w:rPr>
        <w:t>📝 Analyse : Les modèles anticipent une correction généralisée. 38 sociétés sur 47 sont orientées à la baisse avec une variation moyenne de -12.50%.</w:t>
      </w:r>
    </w:p>
    <w:p>
      <w:r>
        <w:rPr>
          <w:i/>
          <w:color w:val="282828"/>
          <w:sz w:val="18"/>
        </w:rPr>
        <w:t>🎯 Fiabilité : ⚠️ La confiance est globalement FAIBLE (72% des sociétés) — forte volatilité ou données insuffisantes dans les historiques. Les prédictions sont indicatives et doivent être croisées avec l'analyse technique.</w:t>
      </w:r>
    </w:p>
    <w:p/>
    <w:p>
      <w:pPr>
        <w:pStyle w:val="Heading2"/>
      </w:pPr>
      <w:r>
        <w:t>📈 2. TOP 5 — Cours attendus en HAUSSE à J+10</w:t>
      </w:r>
    </w:p>
    <w:p>
      <w:r>
        <w:rPr>
          <w:i/>
          <w:sz w:val="17"/>
        </w:rPr>
        <w:t>Classement par variation prédite J+10 (cours actuel → cours prédit dans 10 jours ouvrables). Sont indiqués : la variation attendue, la trajectoire sur 10 jours et le niveau de confiance du modèle.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375623" w:val="clear"/>
          </w:tcPr>
          <w:p>
            <w:r>
              <w:rPr>
                <w:b/>
                <w:color w:val="FFFFFF"/>
                <w:sz w:val="16"/>
              </w:rPr>
              <w:t>Rang</w:t>
            </w:r>
          </w:p>
        </w:tc>
        <w:tc>
          <w:tcPr>
            <w:tcW w:type="dxa" w:w="2835"/>
            <w:shd w:fill="375623" w:val="clear"/>
          </w:tcPr>
          <w:p>
            <w:r>
              <w:rPr>
                <w:b/>
                <w:color w:val="FFFFFF"/>
                <w:sz w:val="16"/>
              </w:rPr>
              <w:t>Symbole / Société</w:t>
            </w:r>
          </w:p>
        </w:tc>
        <w:tc>
          <w:tcPr>
            <w:tcW w:type="dxa" w:w="1701"/>
            <w:shd w:fill="375623" w:val="clear"/>
          </w:tcPr>
          <w:p>
            <w:r>
              <w:rPr>
                <w:b/>
                <w:color w:val="FFFFFF"/>
                <w:sz w:val="16"/>
              </w:rPr>
              <w:t>Secteur</w:t>
            </w:r>
          </w:p>
        </w:tc>
        <w:tc>
          <w:tcPr>
            <w:tcW w:type="dxa" w:w="1417"/>
            <w:shd w:fill="375623" w:val="clear"/>
          </w:tcPr>
          <w:p>
            <w:r>
              <w:rPr>
                <w:b/>
                <w:color w:val="FFFFFF"/>
                <w:sz w:val="16"/>
              </w:rPr>
              <w:t>Cours actuel</w:t>
            </w:r>
          </w:p>
        </w:tc>
        <w:tc>
          <w:tcPr>
            <w:tcW w:type="dxa" w:w="1417"/>
            <w:shd w:fill="375623" w:val="clear"/>
          </w:tcPr>
          <w:p>
            <w:r>
              <w:rPr>
                <w:b/>
                <w:color w:val="FFFFFF"/>
                <w:sz w:val="16"/>
              </w:rPr>
              <w:t>Cours J+10 prédit</w:t>
            </w:r>
          </w:p>
        </w:tc>
        <w:tc>
          <w:tcPr>
            <w:tcW w:type="dxa" w:w="1134"/>
            <w:shd w:fill="375623" w:val="clear"/>
          </w:tcPr>
          <w:p>
            <w:r>
              <w:rPr>
                <w:b/>
                <w:color w:val="FFFFFF"/>
                <w:sz w:val="16"/>
              </w:rPr>
              <w:t>Variation J+10</w:t>
            </w:r>
          </w:p>
        </w:tc>
        <w:tc>
          <w:tcPr>
            <w:tcW w:type="dxa" w:w="1020"/>
            <w:shd w:fill="375623" w:val="clear"/>
          </w:tcPr>
          <w:p>
            <w:r>
              <w:rPr>
                <w:b/>
                <w:color w:val="FFFFFF"/>
                <w:sz w:val="16"/>
              </w:rPr>
              <w:t>Confiance</w:t>
            </w:r>
          </w:p>
        </w:tc>
      </w:tr>
      <w:tr>
        <w:tc>
          <w:tcPr>
            <w:tcW w:type="dxa" w:w="680"/>
            <w:shd w:fill="FFFFFF" w:val="clear"/>
          </w:tcPr>
          <w:p>
            <w:r>
              <w:rPr>
                <w:b/>
                <w:sz w:val="16"/>
              </w:rPr>
              <w:t>#1</w:t>
            </w:r>
          </w:p>
        </w:tc>
        <w:tc>
          <w:tcPr>
            <w:tcW w:type="dxa" w:w="2835"/>
            <w:shd w:fill="C6EFCE" w:val="clear"/>
          </w:tcPr>
          <w:p>
            <w:r>
              <w:rPr>
                <w:sz w:val="16"/>
              </w:rPr>
              <w:t>CABC — CABC - SICABLE COTE D'IVOIRE</w:t>
            </w:r>
          </w:p>
        </w:tc>
        <w:tc>
          <w:tcPr>
            <w:tcW w:type="dxa" w:w="1701"/>
            <w:shd w:fill="FFFFFF" w:val="clear"/>
          </w:tcPr>
          <w:p>
            <w:r>
              <w:rPr>
                <w:sz w:val="16"/>
              </w:rPr>
              <w:t>INDUSTRIELS</w:t>
            </w:r>
          </w:p>
        </w:tc>
        <w:tc>
          <w:tcPr>
            <w:tcW w:type="dxa" w:w="1417"/>
            <w:shd w:fill="FFFFFF" w:val="clear"/>
          </w:tcPr>
          <w:p>
            <w:r>
              <w:rPr>
                <w:sz w:val="16"/>
              </w:rPr>
              <w:t>3,500 FCFA</w:t>
            </w:r>
          </w:p>
        </w:tc>
        <w:tc>
          <w:tcPr>
            <w:tcW w:type="dxa" w:w="1417"/>
            <w:shd w:fill="FFFFFF" w:val="clear"/>
          </w:tcPr>
          <w:p>
            <w:r>
              <w:rPr>
                <w:sz w:val="16"/>
              </w:rPr>
              <w:t>6,142 FCFA</w:t>
            </w:r>
          </w:p>
        </w:tc>
        <w:tc>
          <w:tcPr>
            <w:tcW w:type="dxa" w:w="1134"/>
            <w:shd w:fill="C6EFCE" w:val="clear"/>
          </w:tcPr>
          <w:p>
            <w:r>
              <w:rPr>
                <w:b/>
                <w:color w:val="007800"/>
                <w:sz w:val="16"/>
              </w:rPr>
              <w:t>+75.48%</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C6EFCE" w:val="clear"/>
          </w:tcPr>
          <w:p>
            <w:r>
              <w:rPr>
                <w:sz w:val="16"/>
              </w:rPr>
              <w:t>NSBC — NSBC - NSIA BANQUE COTE D'IVOIRE</w:t>
            </w:r>
          </w:p>
        </w:tc>
        <w:tc>
          <w:tcPr>
            <w:tcW w:type="dxa" w:w="1701"/>
            <w:shd w:fill="FFFFFF" w:val="clear"/>
          </w:tcPr>
          <w:p>
            <w:r>
              <w:rPr>
                <w:sz w:val="16"/>
              </w:rPr>
              <w:t>SERVICES FINANCIERS</w:t>
            </w:r>
          </w:p>
        </w:tc>
        <w:tc>
          <w:tcPr>
            <w:tcW w:type="dxa" w:w="1417"/>
            <w:shd w:fill="FFFFFF" w:val="clear"/>
          </w:tcPr>
          <w:p>
            <w:r>
              <w:rPr>
                <w:sz w:val="16"/>
              </w:rPr>
              <w:t>22,500 FCFA</w:t>
            </w:r>
          </w:p>
        </w:tc>
        <w:tc>
          <w:tcPr>
            <w:tcW w:type="dxa" w:w="1417"/>
            <w:shd w:fill="FFFFFF" w:val="clear"/>
          </w:tcPr>
          <w:p>
            <w:r>
              <w:rPr>
                <w:sz w:val="16"/>
              </w:rPr>
              <w:t>26,637 FCFA</w:t>
            </w:r>
          </w:p>
        </w:tc>
        <w:tc>
          <w:tcPr>
            <w:tcW w:type="dxa" w:w="1134"/>
            <w:shd w:fill="C6EFCE" w:val="clear"/>
          </w:tcPr>
          <w:p>
            <w:r>
              <w:rPr>
                <w:b/>
                <w:color w:val="007800"/>
                <w:sz w:val="16"/>
              </w:rPr>
              <w:t>+18.39%</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C6EFCE" w:val="clear"/>
          </w:tcPr>
          <w:p>
            <w:r>
              <w:rPr>
                <w:sz w:val="16"/>
              </w:rPr>
              <w:t>UNLC — UNLC - UNILEVER COTE D'IVOIRE</w:t>
            </w:r>
          </w:p>
        </w:tc>
        <w:tc>
          <w:tcPr>
            <w:tcW w:type="dxa" w:w="1701"/>
            <w:shd w:fill="FFFFFF" w:val="clear"/>
          </w:tcPr>
          <w:p>
            <w:r>
              <w:rPr>
                <w:sz w:val="16"/>
              </w:rPr>
              <w:t>CONSOMMATION DE BASE</w:t>
            </w:r>
          </w:p>
        </w:tc>
        <w:tc>
          <w:tcPr>
            <w:tcW w:type="dxa" w:w="1417"/>
            <w:shd w:fill="FFFFFF" w:val="clear"/>
          </w:tcPr>
          <w:p>
            <w:r>
              <w:rPr>
                <w:sz w:val="16"/>
              </w:rPr>
              <w:t>52,200 FCFA</w:t>
            </w:r>
          </w:p>
        </w:tc>
        <w:tc>
          <w:tcPr>
            <w:tcW w:type="dxa" w:w="1417"/>
            <w:shd w:fill="FFFFFF" w:val="clear"/>
          </w:tcPr>
          <w:p>
            <w:r>
              <w:rPr>
                <w:sz w:val="16"/>
              </w:rPr>
              <w:t>59,961 FCFA</w:t>
            </w:r>
          </w:p>
        </w:tc>
        <w:tc>
          <w:tcPr>
            <w:tcW w:type="dxa" w:w="1134"/>
            <w:shd w:fill="C6EFCE" w:val="clear"/>
          </w:tcPr>
          <w:p>
            <w:r>
              <w:rPr>
                <w:b/>
                <w:color w:val="007800"/>
                <w:sz w:val="16"/>
              </w:rPr>
              <w:t>+14.87%</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C6EFCE" w:val="clear"/>
          </w:tcPr>
          <w:p>
            <w:r>
              <w:rPr>
                <w:sz w:val="16"/>
              </w:rPr>
              <w:t>STBC — STBC - SITAB COTE D'IVOIRE</w:t>
            </w:r>
          </w:p>
        </w:tc>
        <w:tc>
          <w:tcPr>
            <w:tcW w:type="dxa" w:w="1701"/>
            <w:shd w:fill="FFFFFF" w:val="clear"/>
          </w:tcPr>
          <w:p>
            <w:r>
              <w:rPr>
                <w:sz w:val="16"/>
              </w:rPr>
              <w:t>CONSOMMATION DE BASE</w:t>
            </w:r>
          </w:p>
        </w:tc>
        <w:tc>
          <w:tcPr>
            <w:tcW w:type="dxa" w:w="1417"/>
            <w:shd w:fill="FFFFFF" w:val="clear"/>
          </w:tcPr>
          <w:p>
            <w:r>
              <w:rPr>
                <w:sz w:val="16"/>
              </w:rPr>
              <w:t>22,690 FCFA</w:t>
            </w:r>
          </w:p>
        </w:tc>
        <w:tc>
          <w:tcPr>
            <w:tcW w:type="dxa" w:w="1417"/>
            <w:shd w:fill="FFFFFF" w:val="clear"/>
          </w:tcPr>
          <w:p>
            <w:r>
              <w:rPr>
                <w:sz w:val="16"/>
              </w:rPr>
              <w:t>24,674 FCFA</w:t>
            </w:r>
          </w:p>
        </w:tc>
        <w:tc>
          <w:tcPr>
            <w:tcW w:type="dxa" w:w="1134"/>
            <w:shd w:fill="C6EFCE" w:val="clear"/>
          </w:tcPr>
          <w:p>
            <w:r>
              <w:rPr>
                <w:b/>
                <w:color w:val="007800"/>
                <w:sz w:val="16"/>
              </w:rPr>
              <w:t>+8.74%</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C6EFCE" w:val="clear"/>
          </w:tcPr>
          <w:p>
            <w:r>
              <w:rPr>
                <w:sz w:val="16"/>
              </w:rPr>
              <w:t>FTSC — FTSC - FILTISAC COTE D'IVOIRE</w:t>
            </w:r>
          </w:p>
        </w:tc>
        <w:tc>
          <w:tcPr>
            <w:tcW w:type="dxa" w:w="1701"/>
            <w:shd w:fill="FFFFFF" w:val="clear"/>
          </w:tcPr>
          <w:p>
            <w:r>
              <w:rPr>
                <w:sz w:val="16"/>
              </w:rPr>
              <w:t>INDUSTRIELS</w:t>
            </w:r>
          </w:p>
        </w:tc>
        <w:tc>
          <w:tcPr>
            <w:tcW w:type="dxa" w:w="1417"/>
            <w:shd w:fill="FFFFFF" w:val="clear"/>
          </w:tcPr>
          <w:p>
            <w:r>
              <w:rPr>
                <w:sz w:val="16"/>
              </w:rPr>
              <w:t>2,155 FCFA</w:t>
            </w:r>
          </w:p>
        </w:tc>
        <w:tc>
          <w:tcPr>
            <w:tcW w:type="dxa" w:w="1417"/>
            <w:shd w:fill="FFFFFF" w:val="clear"/>
          </w:tcPr>
          <w:p>
            <w:r>
              <w:rPr>
                <w:sz w:val="16"/>
              </w:rPr>
              <w:t>2,253 FCFA</w:t>
            </w:r>
          </w:p>
        </w:tc>
        <w:tc>
          <w:tcPr>
            <w:tcW w:type="dxa" w:w="1134"/>
            <w:shd w:fill="C6EFCE" w:val="clear"/>
          </w:tcPr>
          <w:p>
            <w:r>
              <w:rPr>
                <w:b/>
                <w:color w:val="007800"/>
                <w:sz w:val="16"/>
              </w:rPr>
              <w:t>+4.53%</w:t>
            </w:r>
          </w:p>
        </w:tc>
        <w:tc>
          <w:tcPr>
            <w:tcW w:type="dxa" w:w="1020"/>
            <w:shd w:fill="FFEB9C" w:val="clear"/>
          </w:tcPr>
          <w:p>
            <w:r>
              <w:rPr>
                <w:sz w:val="16"/>
              </w:rPr>
              <w:t>Moyenne</w:t>
            </w:r>
          </w:p>
        </w:tc>
      </w:tr>
    </w:tbl>
    <w:p/>
    <w:p>
      <w:pPr>
        <w:pStyle w:val="ListBullet"/>
      </w:pPr>
      <w:r>
        <w:rPr>
          <w:b/>
          <w:color w:val="006400"/>
          <w:sz w:val="18"/>
        </w:rPr>
        <w:t xml:space="preserve">#1 CABC </w:t>
      </w:r>
      <w:r>
        <w:rPr>
          <w:sz w:val="17"/>
        </w:rPr>
        <w:t>(CABC - SICABLE COTE D'IVOIRE) — hausse très forte (+75.5%) — signal potentiellement excessif, à croiser avec l'analyse technique. Trajectoire : 📈 Hausse continue. Cours actuel : 3,500 FCFA → prédit J+10 : 6,142 FCFA. ⚠️ Confiance limitée — volatilité élevée ou données insuffisantes. Résultat indicatif uniquement.</w:t>
      </w:r>
    </w:p>
    <w:p>
      <w:pPr>
        <w:pStyle w:val="ListBullet"/>
      </w:pPr>
      <w:r>
        <w:rPr>
          <w:b/>
          <w:color w:val="006400"/>
          <w:sz w:val="18"/>
        </w:rPr>
        <w:t xml:space="preserve">#2 NSBC </w:t>
      </w:r>
      <w:r>
        <w:rPr>
          <w:sz w:val="17"/>
        </w:rPr>
        <w:t>(NSBC - NSIA BANQUE COTE D'IVOIRE) — hausse significative (+18.4%) — potentiel de revalorisation notable. Trajectoire : 📈 Hausse continue. Cours actuel : 22,500 FCFA → prédit J+10 : 26,637 FCFA. ⚠️ Confiance limitée — volatilité élevée ou données insuffisantes. Résultat indicatif uniquement.</w:t>
      </w:r>
    </w:p>
    <w:p>
      <w:pPr>
        <w:pStyle w:val="ListBullet"/>
      </w:pPr>
      <w:r>
        <w:rPr>
          <w:b/>
          <w:color w:val="006400"/>
          <w:sz w:val="18"/>
        </w:rPr>
        <w:t xml:space="preserve">#3 UNLC </w:t>
      </w:r>
      <w:r>
        <w:rPr>
          <w:sz w:val="17"/>
        </w:rPr>
        <w:t>(UNLC - UNILEVER COTE D'IVOIRE) — hausse significative (+14.9%) — potentiel de revalorisation notable. Trajectoire : 📈 Hausse continue. Cours actuel : 52,200 FCFA → prédit J+10 : 59,961 FCFA. ⚠️ Confiance limitée — volatilité élevée ou données insuffisantes. Résultat indicatif uniquement.</w:t>
      </w:r>
    </w:p>
    <w:p>
      <w:pPr>
        <w:pStyle w:val="ListBullet"/>
      </w:pPr>
      <w:r>
        <w:rPr>
          <w:b/>
          <w:color w:val="006400"/>
          <w:sz w:val="18"/>
        </w:rPr>
        <w:t xml:space="preserve">#4 STBC </w:t>
      </w:r>
      <w:r>
        <w:rPr>
          <w:sz w:val="17"/>
        </w:rPr>
        <w:t>(STBC - SITAB COTE D'IVOIRE) — hausse modérée (+8.7%) — signal raisonnable et crédible. Trajectoire : 📈 Hausse continue. Cours actuel : 22,690 FCFA → prédit J+10 : 24,674 FCFA. ⚠️ Confiance limitée — volatilité élevée ou données insuffisantes. Résultat indicatif uniquement.</w:t>
      </w:r>
    </w:p>
    <w:p>
      <w:pPr>
        <w:pStyle w:val="ListBullet"/>
      </w:pPr>
      <w:r>
        <w:rPr>
          <w:b/>
          <w:color w:val="006400"/>
          <w:sz w:val="18"/>
        </w:rPr>
        <w:t xml:space="preserve">#5 FTSC </w:t>
      </w:r>
      <w:r>
        <w:rPr>
          <w:sz w:val="17"/>
        </w:rPr>
        <w:t>(FTSC - FILTISAC COTE D'IVOIRE) — légère hausse (+4.5%) — progression graduelle attendue. Trajectoire : 📈 Hausse continue. Cours actuel : 2,155 FCFA → prédit J+10 : 2,253 FCFA. Confiance partielle — les premiers jours sont fiables, les jours lointains moins précis.</w:t>
      </w:r>
    </w:p>
    <w:p/>
    <w:p>
      <w:pPr>
        <w:pStyle w:val="Heading2"/>
      </w:pPr>
      <w:r>
        <w:t>📉 3. TOP 5 — Cours attendus en BAISSE à J+10</w:t>
      </w:r>
    </w:p>
    <w:p>
      <w:r>
        <w:rPr>
          <w:i/>
          <w:sz w:val="17"/>
        </w:rPr>
        <w:t>Les sociétés présentant les prédictions les plus négatives à J+10. Une baisse prédite ne signifie pas nécessairement une recommandation de vente — elle doit être croisée avec les fondamentaux et la liquidité du titre.</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680"/>
            <w:shd w:fill="843C0C" w:val="clear"/>
          </w:tcPr>
          <w:p>
            <w:r>
              <w:rPr>
                <w:b/>
                <w:color w:val="FFFFFF"/>
                <w:sz w:val="16"/>
              </w:rPr>
              <w:t>Rang</w:t>
            </w:r>
          </w:p>
        </w:tc>
        <w:tc>
          <w:tcPr>
            <w:tcW w:type="dxa" w:w="2835"/>
            <w:shd w:fill="843C0C" w:val="clear"/>
          </w:tcPr>
          <w:p>
            <w:r>
              <w:rPr>
                <w:b/>
                <w:color w:val="FFFFFF"/>
                <w:sz w:val="16"/>
              </w:rPr>
              <w:t>Symbole / Société</w:t>
            </w:r>
          </w:p>
        </w:tc>
        <w:tc>
          <w:tcPr>
            <w:tcW w:type="dxa" w:w="1701"/>
            <w:shd w:fill="843C0C" w:val="clear"/>
          </w:tcPr>
          <w:p>
            <w:r>
              <w:rPr>
                <w:b/>
                <w:color w:val="FFFFFF"/>
                <w:sz w:val="16"/>
              </w:rPr>
              <w:t>Secteur</w:t>
            </w:r>
          </w:p>
        </w:tc>
        <w:tc>
          <w:tcPr>
            <w:tcW w:type="dxa" w:w="1417"/>
            <w:shd w:fill="843C0C" w:val="clear"/>
          </w:tcPr>
          <w:p>
            <w:r>
              <w:rPr>
                <w:b/>
                <w:color w:val="FFFFFF"/>
                <w:sz w:val="16"/>
              </w:rPr>
              <w:t>Cours actuel</w:t>
            </w:r>
          </w:p>
        </w:tc>
        <w:tc>
          <w:tcPr>
            <w:tcW w:type="dxa" w:w="1417"/>
            <w:shd w:fill="843C0C" w:val="clear"/>
          </w:tcPr>
          <w:p>
            <w:r>
              <w:rPr>
                <w:b/>
                <w:color w:val="FFFFFF"/>
                <w:sz w:val="16"/>
              </w:rPr>
              <w:t>Cours J+10 prédit</w:t>
            </w:r>
          </w:p>
        </w:tc>
        <w:tc>
          <w:tcPr>
            <w:tcW w:type="dxa" w:w="1134"/>
            <w:shd w:fill="843C0C" w:val="clear"/>
          </w:tcPr>
          <w:p>
            <w:r>
              <w:rPr>
                <w:b/>
                <w:color w:val="FFFFFF"/>
                <w:sz w:val="16"/>
              </w:rPr>
              <w:t>Variation J+10</w:t>
            </w:r>
          </w:p>
        </w:tc>
        <w:tc>
          <w:tcPr>
            <w:tcW w:type="dxa" w:w="1020"/>
            <w:shd w:fill="843C0C" w:val="clear"/>
          </w:tcPr>
          <w:p>
            <w:r>
              <w:rPr>
                <w:b/>
                <w:color w:val="FFFFFF"/>
                <w:sz w:val="16"/>
              </w:rPr>
              <w:t>Confiance</w:t>
            </w:r>
          </w:p>
        </w:tc>
      </w:tr>
      <w:tr>
        <w:tc>
          <w:tcPr>
            <w:tcW w:type="dxa" w:w="680"/>
            <w:shd w:fill="FFFFFF" w:val="clear"/>
          </w:tcPr>
          <w:p>
            <w:r>
              <w:rPr>
                <w:b/>
                <w:sz w:val="16"/>
              </w:rPr>
              <w:t>#1</w:t>
            </w:r>
          </w:p>
        </w:tc>
        <w:tc>
          <w:tcPr>
            <w:tcW w:type="dxa" w:w="2835"/>
            <w:shd w:fill="FFC7CE" w:val="clear"/>
          </w:tcPr>
          <w:p>
            <w:r>
              <w:rPr>
                <w:sz w:val="16"/>
              </w:rPr>
              <w:t>SAFC — SAFCA CI</w:t>
            </w:r>
          </w:p>
        </w:tc>
        <w:tc>
          <w:tcPr>
            <w:tcW w:type="dxa" w:w="1701"/>
            <w:shd w:fill="FFFFFF" w:val="clear"/>
          </w:tcPr>
          <w:p>
            <w:r>
              <w:rPr>
                <w:sz w:val="16"/>
              </w:rPr>
              <w:t>SERVICES FINANCIERS</w:t>
            </w:r>
          </w:p>
        </w:tc>
        <w:tc>
          <w:tcPr>
            <w:tcW w:type="dxa" w:w="1417"/>
            <w:shd w:fill="FFFFFF" w:val="clear"/>
          </w:tcPr>
          <w:p>
            <w:r>
              <w:rPr>
                <w:sz w:val="16"/>
              </w:rPr>
              <w:t>5,850 FCFA</w:t>
            </w:r>
          </w:p>
        </w:tc>
        <w:tc>
          <w:tcPr>
            <w:tcW w:type="dxa" w:w="1417"/>
            <w:shd w:fill="FFFFFF" w:val="clear"/>
          </w:tcPr>
          <w:p>
            <w:r>
              <w:rPr>
                <w:sz w:val="16"/>
              </w:rPr>
              <w:t>2,683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#2</w:t>
            </w:r>
          </w:p>
        </w:tc>
        <w:tc>
          <w:tcPr>
            <w:tcW w:type="dxa" w:w="2835"/>
            <w:shd w:fill="FFC7CE" w:val="clear"/>
          </w:tcPr>
          <w:p>
            <w:r>
              <w:rPr>
                <w:sz w:val="16"/>
              </w:rPr>
              <w:t>SCRC — SCRC - SUCRIVOIRE</w:t>
            </w:r>
          </w:p>
        </w:tc>
        <w:tc>
          <w:tcPr>
            <w:tcW w:type="dxa" w:w="1701"/>
            <w:shd w:fill="FFFFFF" w:val="clear"/>
          </w:tcPr>
          <w:p>
            <w:r>
              <w:rPr>
                <w:sz w:val="16"/>
              </w:rPr>
              <w:t>CONSOMMATION DE BASE</w:t>
            </w:r>
          </w:p>
        </w:tc>
        <w:tc>
          <w:tcPr>
            <w:tcW w:type="dxa" w:w="1417"/>
            <w:shd w:fill="FFFFFF" w:val="clear"/>
          </w:tcPr>
          <w:p>
            <w:r>
              <w:rPr>
                <w:sz w:val="16"/>
              </w:rPr>
              <w:t>3,375 FCFA</w:t>
            </w:r>
          </w:p>
        </w:tc>
        <w:tc>
          <w:tcPr>
            <w:tcW w:type="dxa" w:w="1417"/>
            <w:shd w:fill="FFFFFF" w:val="clear"/>
          </w:tcPr>
          <w:p>
            <w:r>
              <w:rPr>
                <w:sz w:val="16"/>
              </w:rPr>
              <w:t>1,548 FCFA</w:t>
            </w:r>
          </w:p>
        </w:tc>
        <w:tc>
          <w:tcPr>
            <w:tcW w:type="dxa" w:w="1134"/>
            <w:shd w:fill="FFC7CE" w:val="clear"/>
          </w:tcPr>
          <w:p>
            <w:r>
              <w:rPr>
                <w:b/>
                <w:color w:val="B40000"/>
                <w:sz w:val="16"/>
              </w:rPr>
              <w:t>-54.14%</w:t>
            </w:r>
          </w:p>
        </w:tc>
        <w:tc>
          <w:tcPr>
            <w:tcW w:type="dxa" w:w="1020"/>
            <w:shd w:fill="FFC7CE" w:val="clear"/>
          </w:tcPr>
          <w:p>
            <w:r>
              <w:rPr>
                <w:sz w:val="16"/>
              </w:rPr>
              <w:t>Faible</w:t>
            </w:r>
          </w:p>
        </w:tc>
      </w:tr>
      <w:tr>
        <w:tc>
          <w:tcPr>
            <w:tcW w:type="dxa" w:w="680"/>
            <w:shd w:fill="FFFFFF" w:val="clear"/>
          </w:tcPr>
          <w:p>
            <w:r>
              <w:rPr>
                <w:b/>
                <w:sz w:val="16"/>
              </w:rPr>
              <w:t>#3</w:t>
            </w:r>
          </w:p>
        </w:tc>
        <w:tc>
          <w:tcPr>
            <w:tcW w:type="dxa" w:w="2835"/>
            <w:shd w:fill="FFC7CE" w:val="clear"/>
          </w:tcPr>
          <w:p>
            <w:r>
              <w:rPr>
                <w:sz w:val="16"/>
              </w:rPr>
              <w:t>ETIT — ETIT - Ecobank Transnational Incorp...</w:t>
            </w:r>
          </w:p>
        </w:tc>
        <w:tc>
          <w:tcPr>
            <w:tcW w:type="dxa" w:w="1701"/>
            <w:shd w:fill="FFFFFF" w:val="clear"/>
          </w:tcPr>
          <w:p>
            <w:r>
              <w:rPr>
                <w:sz w:val="16"/>
              </w:rPr>
              <w:t>SERVICES FINANCIERS</w:t>
            </w:r>
          </w:p>
        </w:tc>
        <w:tc>
          <w:tcPr>
            <w:tcW w:type="dxa" w:w="1417"/>
            <w:shd w:fill="FFFFFF" w:val="clear"/>
          </w:tcPr>
          <w:p>
            <w:r>
              <w:rPr>
                <w:sz w:val="16"/>
              </w:rPr>
              <w:t>67 FCFA</w:t>
            </w:r>
          </w:p>
        </w:tc>
        <w:tc>
          <w:tcPr>
            <w:tcW w:type="dxa" w:w="1417"/>
            <w:shd w:fill="FFFFFF" w:val="clear"/>
          </w:tcPr>
          <w:p>
            <w:r>
              <w:rPr>
                <w:sz w:val="16"/>
              </w:rPr>
              <w:t>31 FCFA</w:t>
            </w:r>
          </w:p>
        </w:tc>
        <w:tc>
          <w:tcPr>
            <w:tcW w:type="dxa" w:w="1134"/>
            <w:shd w:fill="FFC7CE" w:val="clear"/>
          </w:tcPr>
          <w:p>
            <w:r>
              <w:rPr>
                <w:b/>
                <w:color w:val="B40000"/>
                <w:sz w:val="16"/>
              </w:rPr>
              <w:t>-54.13%</w:t>
            </w:r>
          </w:p>
        </w:tc>
        <w:tc>
          <w:tcPr>
            <w:tcW w:type="dxa" w:w="1020"/>
            <w:shd w:fill="FFC7CE" w:val="clear"/>
          </w:tcPr>
          <w:p>
            <w:r>
              <w:rPr>
                <w:sz w:val="16"/>
              </w:rPr>
              <w:t>Faible</w:t>
            </w:r>
          </w:p>
        </w:tc>
      </w:tr>
      <w:tr>
        <w:tc>
          <w:tcPr>
            <w:tcW w:type="dxa" w:w="680"/>
            <w:shd w:fill="FFFFFF" w:val="clear"/>
          </w:tcPr>
          <w:p>
            <w:r>
              <w:rPr>
                <w:b/>
                <w:sz w:val="16"/>
              </w:rPr>
              <w:t>#4</w:t>
            </w:r>
          </w:p>
        </w:tc>
        <w:tc>
          <w:tcPr>
            <w:tcW w:type="dxa" w:w="2835"/>
            <w:shd w:fill="FFC7CE" w:val="clear"/>
          </w:tcPr>
          <w:p>
            <w:r>
              <w:rPr>
                <w:sz w:val="16"/>
              </w:rPr>
              <w:t>CIEC — CIEC - Compagnie Ivoirienne d'Elect...</w:t>
            </w:r>
          </w:p>
        </w:tc>
        <w:tc>
          <w:tcPr>
            <w:tcW w:type="dxa" w:w="1701"/>
            <w:shd w:fill="FFFFFF" w:val="clear"/>
          </w:tcPr>
          <w:p>
            <w:r>
              <w:rPr>
                <w:sz w:val="16"/>
              </w:rPr>
              <w:t>SERVICES PUBLICS</w:t>
            </w:r>
          </w:p>
        </w:tc>
        <w:tc>
          <w:tcPr>
            <w:tcW w:type="dxa" w:w="1417"/>
            <w:shd w:fill="FFFFFF" w:val="clear"/>
          </w:tcPr>
          <w:p>
            <w:r>
              <w:rPr>
                <w:sz w:val="16"/>
              </w:rPr>
              <w:t>6,680 FCFA</w:t>
            </w:r>
          </w:p>
        </w:tc>
        <w:tc>
          <w:tcPr>
            <w:tcW w:type="dxa" w:w="1417"/>
            <w:shd w:fill="FFFFFF" w:val="clear"/>
          </w:tcPr>
          <w:p>
            <w:r>
              <w:rPr>
                <w:sz w:val="16"/>
              </w:rPr>
              <w:t>3,264 FCFA</w:t>
            </w:r>
          </w:p>
        </w:tc>
        <w:tc>
          <w:tcPr>
            <w:tcW w:type="dxa" w:w="1134"/>
            <w:shd w:fill="FFC7CE" w:val="clear"/>
          </w:tcPr>
          <w:p>
            <w:r>
              <w:rPr>
                <w:b/>
                <w:color w:val="B40000"/>
                <w:sz w:val="16"/>
              </w:rPr>
              <w:t>-51.14%</w:t>
            </w:r>
          </w:p>
        </w:tc>
        <w:tc>
          <w:tcPr>
            <w:tcW w:type="dxa" w:w="1020"/>
            <w:shd w:fill="FFC7CE" w:val="clear"/>
          </w:tcPr>
          <w:p>
            <w:r>
              <w:rPr>
                <w:sz w:val="16"/>
              </w:rPr>
              <w:t>Faible</w:t>
            </w:r>
          </w:p>
        </w:tc>
      </w:tr>
      <w:tr>
        <w:tc>
          <w:tcPr>
            <w:tcW w:type="dxa" w:w="680"/>
            <w:shd w:fill="FFFFFF" w:val="clear"/>
          </w:tcPr>
          <w:p>
            <w:r>
              <w:rPr>
                <w:b/>
                <w:sz w:val="16"/>
              </w:rPr>
              <w:t>#5</w:t>
            </w:r>
          </w:p>
        </w:tc>
        <w:tc>
          <w:tcPr>
            <w:tcW w:type="dxa" w:w="2835"/>
            <w:shd w:fill="FFC7CE" w:val="clear"/>
          </w:tcPr>
          <w:p>
            <w:r>
              <w:rPr>
                <w:sz w:val="16"/>
              </w:rPr>
              <w:t>NEIC — NEIC - NEI-CEDA CI</w:t>
            </w:r>
          </w:p>
        </w:tc>
        <w:tc>
          <w:tcPr>
            <w:tcW w:type="dxa" w:w="1701"/>
            <w:shd w:fill="FFFFFF" w:val="clear"/>
          </w:tcPr>
          <w:p>
            <w:r>
              <w:rPr>
                <w:sz w:val="16"/>
              </w:rPr>
              <w:t>CONSOMMATION DISCRET</w:t>
            </w:r>
          </w:p>
        </w:tc>
        <w:tc>
          <w:tcPr>
            <w:tcW w:type="dxa" w:w="1417"/>
            <w:shd w:fill="FFFFFF" w:val="clear"/>
          </w:tcPr>
          <w:p>
            <w:r>
              <w:rPr>
                <w:sz w:val="16"/>
              </w:rPr>
              <w:t>2,800 FCFA</w:t>
            </w:r>
          </w:p>
        </w:tc>
        <w:tc>
          <w:tcPr>
            <w:tcW w:type="dxa" w:w="1417"/>
            <w:shd w:fill="FFFFFF" w:val="clear"/>
          </w:tcPr>
          <w:p>
            <w:r>
              <w:rPr>
                <w:sz w:val="16"/>
              </w:rPr>
              <w:t>1,467 FCFA</w:t>
            </w:r>
          </w:p>
        </w:tc>
        <w:tc>
          <w:tcPr>
            <w:tcW w:type="dxa" w:w="1134"/>
            <w:shd w:fill="FFC7CE" w:val="clear"/>
          </w:tcPr>
          <w:p>
            <w:r>
              <w:rPr>
                <w:b/>
                <w:color w:val="B40000"/>
                <w:sz w:val="16"/>
              </w:rPr>
              <w:t>-47.60%</w:t>
            </w:r>
          </w:p>
        </w:tc>
        <w:tc>
          <w:tcPr>
            <w:tcW w:type="dxa" w:w="1020"/>
            <w:shd w:fill="FFC7CE" w:val="clear"/>
          </w:tcPr>
          <w:p>
            <w:r>
              <w:rPr>
                <w:sz w:val="16"/>
              </w:rPr>
              <w:t>Faible</w:t>
            </w:r>
          </w:p>
        </w:tc>
      </w:tr>
    </w:tbl>
    <w:p/>
    <w:p>
      <w:pPr>
        <w:pStyle w:val="ListBullet"/>
      </w:pPr>
      <w:r>
        <w:rPr>
          <w:b/>
          <w:color w:val="B40000"/>
          <w:sz w:val="18"/>
        </w:rPr>
        <w:t xml:space="preserve">#1 SAFC </w:t>
      </w:r>
      <w:r>
        <w:rPr>
          <w:sz w:val="17"/>
        </w:rPr>
        <w:t>(SAFCA CI) — baisse très forte (-54.1%) — amplitude potentiellement surestimée par le modèle. Trajectoire : 📉 Baisse continue. Cours actuel : 5,850 FCFA → prédit J+10 : 2,683 FCFA. ⚠️ Confiance limitée — volatilité élevée. Ne pas agir sur ce seul signal.</w:t>
      </w:r>
    </w:p>
    <w:p>
      <w:pPr>
        <w:pStyle w:val="ListBullet"/>
      </w:pPr>
      <w:r>
        <w:rPr>
          <w:b/>
          <w:color w:val="B40000"/>
          <w:sz w:val="18"/>
        </w:rPr>
        <w:t xml:space="preserve">#2 SCRC </w:t>
      </w:r>
      <w:r>
        <w:rPr>
          <w:sz w:val="17"/>
        </w:rPr>
        <w:t>(SCRC - SUCRIVOIRE) — baisse très forte (-54.1%) — amplitude potentiellement surestimée par le modèle. Trajectoire : 📉 Baisse continue. Cours actuel : 3,375 FCFA → prédit J+10 : 1,548 FCFA. ⚠️ Confiance limitée — volatilité élevée. Ne pas agir sur ce seul signal.</w:t>
      </w:r>
    </w:p>
    <w:p>
      <w:pPr>
        <w:pStyle w:val="ListBullet"/>
      </w:pPr>
      <w:r>
        <w:rPr>
          <w:b/>
          <w:color w:val="B40000"/>
          <w:sz w:val="18"/>
        </w:rPr>
        <w:t xml:space="preserve">#3 ETIT </w:t>
      </w:r>
      <w:r>
        <w:rPr>
          <w:sz w:val="17"/>
        </w:rPr>
        <w:t>(ETIT - Ecobank Transnational Incorporate) — baisse très forte (-54.1%) — amplitude potentiellement surestimée par le modèle. Trajectoire : 📉 Baisse continue. Cours actuel : 67 FCFA → prédit J+10 : 31 FCFA. ⚠️ Confiance limitée — volatilité élevée. Ne pas agir sur ce seul signal.</w:t>
      </w:r>
    </w:p>
    <w:p>
      <w:pPr>
        <w:pStyle w:val="ListBullet"/>
      </w:pPr>
      <w:r>
        <w:rPr>
          <w:b/>
          <w:color w:val="B40000"/>
          <w:sz w:val="18"/>
        </w:rPr>
        <w:t xml:space="preserve">#4 CIEC </w:t>
      </w:r>
      <w:r>
        <w:rPr>
          <w:sz w:val="17"/>
        </w:rPr>
        <w:t>(CIEC - Compagnie Ivoirienne d'Electricit) — baisse très forte (-51.1%) — amplitude potentiellement surestimée par le modèle. Trajectoire : 📉 Baisse continue. Cours actuel : 6,680 FCFA → prédit J+10 : 3,264 FCFA. ⚠️ Confiance limitée — volatilité élevée. Ne pas agir sur ce seul signal.</w:t>
      </w:r>
    </w:p>
    <w:p>
      <w:pPr>
        <w:pStyle w:val="ListBullet"/>
      </w:pPr>
      <w:r>
        <w:rPr>
          <w:b/>
          <w:color w:val="B40000"/>
          <w:sz w:val="18"/>
        </w:rPr>
        <w:t xml:space="preserve">#5 NEIC </w:t>
      </w:r>
      <w:r>
        <w:rPr>
          <w:sz w:val="17"/>
        </w:rPr>
        <w:t>(NEIC - NEI-CEDA CI) — baisse très forte (-47.6%) — amplitude potentiellement surestimée par le modèle. Trajectoire : 📉 Baisse continue. Cours actuel : 2,800 FCFA → prédit J+10 : 1,467 FCFA. ⚠️ Confiance limitée — volatilité élevée. Ne pas agir sur ce seul signal.</w:t>
      </w:r>
    </w:p>
    <w:p/>
    <w:p>
      <w:pPr>
        <w:pStyle w:val="Heading2"/>
      </w:pPr>
      <w:r>
        <w:t>📋 4. Tableau complet — Toutes les sociétés</w:t>
      </w:r>
    </w:p>
    <w:p>
      <w:r>
        <w:rPr>
          <w:i/>
          <w:sz w:val="17"/>
        </w:rPr>
        <w:t>Vue d'ensemble de toutes les sociétés avec prédictions disponibles, triées par variation J+10 décroissante.</w:t>
      </w:r>
    </w:p>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020"/>
            <w:shd w:fill="1F4E79" w:val="clear"/>
          </w:tcPr>
          <w:p>
            <w:r>
              <w:rPr>
                <w:b/>
                <w:color w:val="FFFFFF"/>
                <w:sz w:val="16"/>
              </w:rPr>
              <w:t>Symbole</w:t>
            </w:r>
          </w:p>
        </w:tc>
        <w:tc>
          <w:tcPr>
            <w:tcW w:type="dxa" w:w="3402"/>
            <w:shd w:fill="1F4E79" w:val="clear"/>
          </w:tcPr>
          <w:p>
            <w:r>
              <w:rPr>
                <w:b/>
                <w:color w:val="FFFFFF"/>
                <w:sz w:val="16"/>
              </w:rPr>
              <w:t>Société</w:t>
            </w:r>
          </w:p>
        </w:tc>
        <w:tc>
          <w:tcPr>
            <w:tcW w:type="dxa" w:w="1417"/>
            <w:shd w:fill="1F4E79" w:val="clear"/>
          </w:tcPr>
          <w:p>
            <w:r>
              <w:rPr>
                <w:b/>
                <w:color w:val="FFFFFF"/>
                <w:sz w:val="16"/>
              </w:rPr>
              <w:t>Cours actuel</w:t>
            </w:r>
          </w:p>
        </w:tc>
        <w:tc>
          <w:tcPr>
            <w:tcW w:type="dxa" w:w="1417"/>
            <w:shd w:fill="1F4E79" w:val="clear"/>
          </w:tcPr>
          <w:p>
            <w:r>
              <w:rPr>
                <w:b/>
                <w:color w:val="FFFFFF"/>
                <w:sz w:val="16"/>
              </w:rPr>
              <w:t>Cours J+10</w:t>
            </w:r>
          </w:p>
        </w:tc>
        <w:tc>
          <w:tcPr>
            <w:tcW w:type="dxa" w:w="1134"/>
            <w:shd w:fill="1F4E79" w:val="clear"/>
          </w:tcPr>
          <w:p>
            <w:r>
              <w:rPr>
                <w:b/>
                <w:color w:val="FFFFFF"/>
                <w:sz w:val="16"/>
              </w:rPr>
              <w:t>Var. J+10</w:t>
            </w:r>
          </w:p>
        </w:tc>
        <w:tc>
          <w:tcPr>
            <w:tcW w:type="dxa" w:w="1134"/>
            <w:shd w:fill="1F4E79" w:val="clear"/>
          </w:tcPr>
          <w:p>
            <w:r>
              <w:rPr>
                <w:b/>
                <w:color w:val="FFFFFF"/>
                <w:sz w:val="16"/>
              </w:rPr>
              <w:t>Confiance</w:t>
            </w:r>
          </w:p>
        </w:tc>
      </w:tr>
      <w:tr>
        <w:tc>
          <w:tcPr>
            <w:tcW w:type="dxa" w:w="1020"/>
            <w:shd w:fill="FFFFFF" w:val="clear"/>
          </w:tcPr>
          <w:p>
            <w:r>
              <w:rPr>
                <w:sz w:val="16"/>
              </w:rPr>
              <w:t>CABC</w:t>
            </w:r>
          </w:p>
        </w:tc>
        <w:tc>
          <w:tcPr>
            <w:tcW w:type="dxa" w:w="3402"/>
            <w:shd w:fill="FFFFFF" w:val="clear"/>
          </w:tcPr>
          <w:p>
            <w:r>
              <w:rPr>
                <w:sz w:val="16"/>
              </w:rPr>
              <w:t>CABC - SICABLE COTE D'IVOIRE</w:t>
            </w:r>
          </w:p>
        </w:tc>
        <w:tc>
          <w:tcPr>
            <w:tcW w:type="dxa" w:w="1417"/>
            <w:shd w:fill="FFFFFF" w:val="clear"/>
          </w:tcPr>
          <w:p>
            <w:r>
              <w:rPr>
                <w:sz w:val="16"/>
              </w:rPr>
              <w:t>3,500</w:t>
            </w:r>
          </w:p>
        </w:tc>
        <w:tc>
          <w:tcPr>
            <w:tcW w:type="dxa" w:w="1417"/>
            <w:shd w:fill="FFFFFF" w:val="clear"/>
          </w:tcPr>
          <w:p>
            <w:r>
              <w:rPr>
                <w:sz w:val="16"/>
              </w:rPr>
              <w:t>6,142</w:t>
            </w:r>
          </w:p>
        </w:tc>
        <w:tc>
          <w:tcPr>
            <w:tcW w:type="dxa" w:w="1134"/>
            <w:shd w:fill="C6EFCE" w:val="clear"/>
          </w:tcPr>
          <w:p>
            <w:r>
              <w:rPr>
                <w:b/>
                <w:color w:val="007800"/>
                <w:sz w:val="16"/>
              </w:rPr>
              <w:t>+75.48%</w:t>
            </w:r>
          </w:p>
        </w:tc>
        <w:tc>
          <w:tcPr>
            <w:tcW w:type="dxa" w:w="1134"/>
            <w:shd w:fill="FFC7CE" w:val="clear"/>
          </w:tcPr>
          <w:p>
            <w:r>
              <w:rPr>
                <w:sz w:val="16"/>
              </w:rPr>
              <w:t>Faible</w:t>
            </w:r>
          </w:p>
        </w:tc>
      </w:tr>
      <w:tr>
        <w:tc>
          <w:tcPr>
            <w:tcW w:type="dxa" w:w="1020"/>
            <w:shd w:fill="FFFFFF" w:val="clear"/>
          </w:tcPr>
          <w:p>
            <w:r>
              <w:rPr>
                <w:sz w:val="16"/>
              </w:rPr>
              <w:t>NSBC</w:t>
            </w:r>
          </w:p>
        </w:tc>
        <w:tc>
          <w:tcPr>
            <w:tcW w:type="dxa" w:w="3402"/>
            <w:shd w:fill="FFFFFF" w:val="clear"/>
          </w:tcPr>
          <w:p>
            <w:r>
              <w:rPr>
                <w:sz w:val="16"/>
              </w:rPr>
              <w:t>NSBC - NSIA BANQUE COTE D'IVOIRE</w:t>
            </w:r>
          </w:p>
        </w:tc>
        <w:tc>
          <w:tcPr>
            <w:tcW w:type="dxa" w:w="1417"/>
            <w:shd w:fill="FFFFFF" w:val="clear"/>
          </w:tcPr>
          <w:p>
            <w:r>
              <w:rPr>
                <w:sz w:val="16"/>
              </w:rPr>
              <w:t>22,500</w:t>
            </w:r>
          </w:p>
        </w:tc>
        <w:tc>
          <w:tcPr>
            <w:tcW w:type="dxa" w:w="1417"/>
            <w:shd w:fill="FFFFFF" w:val="clear"/>
          </w:tcPr>
          <w:p>
            <w:r>
              <w:rPr>
                <w:sz w:val="16"/>
              </w:rPr>
              <w:t>26,637</w:t>
            </w:r>
          </w:p>
        </w:tc>
        <w:tc>
          <w:tcPr>
            <w:tcW w:type="dxa" w:w="1134"/>
            <w:shd w:fill="C6EFCE" w:val="clear"/>
          </w:tcPr>
          <w:p>
            <w:r>
              <w:rPr>
                <w:b/>
                <w:color w:val="007800"/>
                <w:sz w:val="16"/>
              </w:rPr>
              <w:t>+18.39%</w:t>
            </w:r>
          </w:p>
        </w:tc>
        <w:tc>
          <w:tcPr>
            <w:tcW w:type="dxa" w:w="1134"/>
            <w:shd w:fill="FFC7CE" w:val="clear"/>
          </w:tcPr>
          <w:p>
            <w:r>
              <w:rPr>
                <w:sz w:val="16"/>
              </w:rPr>
              <w:t>Faible</w:t>
            </w:r>
          </w:p>
        </w:tc>
      </w:tr>
      <w:tr>
        <w:tc>
          <w:tcPr>
            <w:tcW w:type="dxa" w:w="1020"/>
            <w:shd w:fill="FFFFFF" w:val="clear"/>
          </w:tcPr>
          <w:p>
            <w:r>
              <w:rPr>
                <w:sz w:val="16"/>
              </w:rPr>
              <w:t>UNLC</w:t>
            </w:r>
          </w:p>
        </w:tc>
        <w:tc>
          <w:tcPr>
            <w:tcW w:type="dxa" w:w="3402"/>
            <w:shd w:fill="FFFFFF" w:val="clear"/>
          </w:tcPr>
          <w:p>
            <w:r>
              <w:rPr>
                <w:sz w:val="16"/>
              </w:rPr>
              <w:t>UNLC - UNILEVER COTE D'IVOIRE</w:t>
            </w:r>
          </w:p>
        </w:tc>
        <w:tc>
          <w:tcPr>
            <w:tcW w:type="dxa" w:w="1417"/>
            <w:shd w:fill="FFFFFF" w:val="clear"/>
          </w:tcPr>
          <w:p>
            <w:r>
              <w:rPr>
                <w:sz w:val="16"/>
              </w:rPr>
              <w:t>52,200</w:t>
            </w:r>
          </w:p>
        </w:tc>
        <w:tc>
          <w:tcPr>
            <w:tcW w:type="dxa" w:w="1417"/>
            <w:shd w:fill="FFFFFF" w:val="clear"/>
          </w:tcPr>
          <w:p>
            <w:r>
              <w:rPr>
                <w:sz w:val="16"/>
              </w:rPr>
              <w:t>59,961</w:t>
            </w:r>
          </w:p>
        </w:tc>
        <w:tc>
          <w:tcPr>
            <w:tcW w:type="dxa" w:w="1134"/>
            <w:shd w:fill="C6EFCE" w:val="clear"/>
          </w:tcPr>
          <w:p>
            <w:r>
              <w:rPr>
                <w:b/>
                <w:color w:val="007800"/>
                <w:sz w:val="16"/>
              </w:rPr>
              <w:t>+14.87%</w:t>
            </w:r>
          </w:p>
        </w:tc>
        <w:tc>
          <w:tcPr>
            <w:tcW w:type="dxa" w:w="1134"/>
            <w:shd w:fill="FFC7CE" w:val="clear"/>
          </w:tcPr>
          <w:p>
            <w:r>
              <w:rPr>
                <w:sz w:val="16"/>
              </w:rPr>
              <w:t>Faible</w:t>
            </w:r>
          </w:p>
        </w:tc>
      </w:tr>
      <w:tr>
        <w:tc>
          <w:tcPr>
            <w:tcW w:type="dxa" w:w="1020"/>
            <w:shd w:fill="FFFFFF" w:val="clear"/>
          </w:tcPr>
          <w:p>
            <w:r>
              <w:rPr>
                <w:sz w:val="16"/>
              </w:rPr>
              <w:t>STBC</w:t>
            </w:r>
          </w:p>
        </w:tc>
        <w:tc>
          <w:tcPr>
            <w:tcW w:type="dxa" w:w="3402"/>
            <w:shd w:fill="FFFFFF" w:val="clear"/>
          </w:tcPr>
          <w:p>
            <w:r>
              <w:rPr>
                <w:sz w:val="16"/>
              </w:rPr>
              <w:t>STBC - SITAB COTE D'IVOIRE</w:t>
            </w:r>
          </w:p>
        </w:tc>
        <w:tc>
          <w:tcPr>
            <w:tcW w:type="dxa" w:w="1417"/>
            <w:shd w:fill="FFFFFF" w:val="clear"/>
          </w:tcPr>
          <w:p>
            <w:r>
              <w:rPr>
                <w:sz w:val="16"/>
              </w:rPr>
              <w:t>22,690</w:t>
            </w:r>
          </w:p>
        </w:tc>
        <w:tc>
          <w:tcPr>
            <w:tcW w:type="dxa" w:w="1417"/>
            <w:shd w:fill="FFFFFF" w:val="clear"/>
          </w:tcPr>
          <w:p>
            <w:r>
              <w:rPr>
                <w:sz w:val="16"/>
              </w:rPr>
              <w:t>24,674</w:t>
            </w:r>
          </w:p>
        </w:tc>
        <w:tc>
          <w:tcPr>
            <w:tcW w:type="dxa" w:w="1134"/>
            <w:shd w:fill="C6EFCE" w:val="clear"/>
          </w:tcPr>
          <w:p>
            <w:r>
              <w:rPr>
                <w:b/>
                <w:color w:val="007800"/>
                <w:sz w:val="16"/>
              </w:rPr>
              <w:t>+8.74%</w:t>
            </w:r>
          </w:p>
        </w:tc>
        <w:tc>
          <w:tcPr>
            <w:tcW w:type="dxa" w:w="1134"/>
            <w:shd w:fill="FFC7CE" w:val="clear"/>
          </w:tcPr>
          <w:p>
            <w:r>
              <w:rPr>
                <w:sz w:val="16"/>
              </w:rPr>
              <w:t>Faible</w:t>
            </w:r>
          </w:p>
        </w:tc>
      </w:tr>
      <w:tr>
        <w:tc>
          <w:tcPr>
            <w:tcW w:type="dxa" w:w="1020"/>
            <w:shd w:fill="FFFFFF" w:val="clear"/>
          </w:tcPr>
          <w:p>
            <w:r>
              <w:rPr>
                <w:sz w:val="16"/>
              </w:rPr>
              <w:t>FTSC</w:t>
            </w:r>
          </w:p>
        </w:tc>
        <w:tc>
          <w:tcPr>
            <w:tcW w:type="dxa" w:w="3402"/>
            <w:shd w:fill="FFFFFF" w:val="clear"/>
          </w:tcPr>
          <w:p>
            <w:r>
              <w:rPr>
                <w:sz w:val="16"/>
              </w:rPr>
              <w:t>FTSC - FILTISAC COTE D'IVOIRE</w:t>
            </w:r>
          </w:p>
        </w:tc>
        <w:tc>
          <w:tcPr>
            <w:tcW w:type="dxa" w:w="1417"/>
            <w:shd w:fill="FFFFFF" w:val="clear"/>
          </w:tcPr>
          <w:p>
            <w:r>
              <w:rPr>
                <w:sz w:val="16"/>
              </w:rPr>
              <w:t>2,155</w:t>
            </w:r>
          </w:p>
        </w:tc>
        <w:tc>
          <w:tcPr>
            <w:tcW w:type="dxa" w:w="1417"/>
            <w:shd w:fill="FFFFFF" w:val="clear"/>
          </w:tcPr>
          <w:p>
            <w:r>
              <w:rPr>
                <w:sz w:val="16"/>
              </w:rPr>
              <w:t>2,253</w:t>
            </w:r>
          </w:p>
        </w:tc>
        <w:tc>
          <w:tcPr>
            <w:tcW w:type="dxa" w:w="1134"/>
            <w:shd w:fill="C6EFCE" w:val="clear"/>
          </w:tcPr>
          <w:p>
            <w:r>
              <w:rPr>
                <w:b/>
                <w:color w:val="007800"/>
                <w:sz w:val="16"/>
              </w:rPr>
              <w:t>+4.53%</w:t>
            </w:r>
          </w:p>
        </w:tc>
        <w:tc>
          <w:tcPr>
            <w:tcW w:type="dxa" w:w="1134"/>
            <w:shd w:fill="FFEB9C" w:val="clear"/>
          </w:tcPr>
          <w:p>
            <w:r>
              <w:rPr>
                <w:sz w:val="16"/>
              </w:rPr>
              <w:t>Moyenne</w:t>
            </w:r>
          </w:p>
        </w:tc>
      </w:tr>
      <w:tr>
        <w:tc>
          <w:tcPr>
            <w:tcW w:type="dxa" w:w="1020"/>
            <w:shd w:fill="FFFFFF" w:val="clear"/>
          </w:tcPr>
          <w:p>
            <w:r>
              <w:rPr>
                <w:sz w:val="16"/>
              </w:rPr>
              <w:t>PALC</w:t>
            </w:r>
          </w:p>
        </w:tc>
        <w:tc>
          <w:tcPr>
            <w:tcW w:type="dxa" w:w="3402"/>
            <w:shd w:fill="FFFFFF" w:val="clear"/>
          </w:tcPr>
          <w:p>
            <w:r>
              <w:rPr>
                <w:sz w:val="16"/>
              </w:rPr>
              <w:t>PALC - PALM COTE D'IVOIRE</w:t>
            </w:r>
          </w:p>
        </w:tc>
        <w:tc>
          <w:tcPr>
            <w:tcW w:type="dxa" w:w="1417"/>
            <w:shd w:fill="FFFFFF" w:val="clear"/>
          </w:tcPr>
          <w:p>
            <w:r>
              <w:rPr>
                <w:sz w:val="16"/>
              </w:rPr>
              <w:t>9,100</w:t>
            </w:r>
          </w:p>
        </w:tc>
        <w:tc>
          <w:tcPr>
            <w:tcW w:type="dxa" w:w="1417"/>
            <w:shd w:fill="FFFFFF" w:val="clear"/>
          </w:tcPr>
          <w:p>
            <w:r>
              <w:rPr>
                <w:sz w:val="16"/>
              </w:rPr>
              <w:t>9,481</w:t>
            </w:r>
          </w:p>
        </w:tc>
        <w:tc>
          <w:tcPr>
            <w:tcW w:type="dxa" w:w="1134"/>
            <w:shd w:fill="C6EFCE" w:val="clear"/>
          </w:tcPr>
          <w:p>
            <w:r>
              <w:rPr>
                <w:b/>
                <w:color w:val="007800"/>
                <w:sz w:val="16"/>
              </w:rPr>
              <w:t>+4.19%</w:t>
            </w:r>
          </w:p>
        </w:tc>
        <w:tc>
          <w:tcPr>
            <w:tcW w:type="dxa" w:w="1134"/>
            <w:shd w:fill="FFEB9C" w:val="clear"/>
          </w:tcPr>
          <w:p>
            <w:r>
              <w:rPr>
                <w:sz w:val="16"/>
              </w:rPr>
              <w:t>Moyenne</w:t>
            </w:r>
          </w:p>
        </w:tc>
      </w:tr>
      <w:tr>
        <w:tc>
          <w:tcPr>
            <w:tcW w:type="dxa" w:w="1020"/>
            <w:shd w:fill="FFFFFF" w:val="clear"/>
          </w:tcPr>
          <w:p>
            <w:r>
              <w:rPr>
                <w:sz w:val="16"/>
              </w:rPr>
              <w:t>SOGC</w:t>
            </w:r>
          </w:p>
        </w:tc>
        <w:tc>
          <w:tcPr>
            <w:tcW w:type="dxa" w:w="3402"/>
            <w:shd w:fill="FFFFFF" w:val="clear"/>
          </w:tcPr>
          <w:p>
            <w:r>
              <w:rPr>
                <w:sz w:val="16"/>
              </w:rPr>
              <w:t>SOGC - Société des caoutchoucs de G...</w:t>
            </w:r>
          </w:p>
        </w:tc>
        <w:tc>
          <w:tcPr>
            <w:tcW w:type="dxa" w:w="1417"/>
            <w:shd w:fill="FFFFFF" w:val="clear"/>
          </w:tcPr>
          <w:p>
            <w:r>
              <w:rPr>
                <w:sz w:val="16"/>
              </w:rPr>
              <w:t>8,200</w:t>
            </w:r>
          </w:p>
        </w:tc>
        <w:tc>
          <w:tcPr>
            <w:tcW w:type="dxa" w:w="1417"/>
            <w:shd w:fill="FFFFFF" w:val="clear"/>
          </w:tcPr>
          <w:p>
            <w:r>
              <w:rPr>
                <w:sz w:val="16"/>
              </w:rPr>
              <w:t>8,322</w:t>
            </w:r>
          </w:p>
        </w:tc>
        <w:tc>
          <w:tcPr>
            <w:tcW w:type="dxa" w:w="1134"/>
            <w:shd w:fill="C6EFCE" w:val="clear"/>
          </w:tcPr>
          <w:p>
            <w:r>
              <w:rPr>
                <w:b/>
                <w:color w:val="007800"/>
                <w:sz w:val="16"/>
              </w:rPr>
              <w:t>+1.49%</w:t>
            </w:r>
          </w:p>
        </w:tc>
        <w:tc>
          <w:tcPr>
            <w:tcW w:type="dxa" w:w="1134"/>
            <w:shd w:fill="FFC7CE" w:val="clear"/>
          </w:tcPr>
          <w:p>
            <w:r>
              <w:rPr>
                <w:sz w:val="16"/>
              </w:rPr>
              <w:t>Faible</w:t>
            </w:r>
          </w:p>
        </w:tc>
      </w:tr>
      <w:tr>
        <w:tc>
          <w:tcPr>
            <w:tcW w:type="dxa" w:w="1020"/>
            <w:shd w:fill="FFFFFF" w:val="clear"/>
          </w:tcPr>
          <w:p>
            <w:r>
              <w:rPr>
                <w:sz w:val="16"/>
              </w:rPr>
              <w:t>LNBB</w:t>
            </w:r>
          </w:p>
        </w:tc>
        <w:tc>
          <w:tcPr>
            <w:tcW w:type="dxa" w:w="3402"/>
            <w:shd w:fill="FFFFFF" w:val="clear"/>
          </w:tcPr>
          <w:p>
            <w:r>
              <w:rPr>
                <w:sz w:val="16"/>
              </w:rPr>
              <w:t>LNBB - LOTERIE NATIONALE DU BENIN</w:t>
            </w:r>
          </w:p>
        </w:tc>
        <w:tc>
          <w:tcPr>
            <w:tcW w:type="dxa" w:w="1417"/>
            <w:shd w:fill="FFFFFF" w:val="clear"/>
          </w:tcPr>
          <w:p>
            <w:r>
              <w:rPr>
                <w:sz w:val="16"/>
              </w:rPr>
              <w:t>4,005</w:t>
            </w:r>
          </w:p>
        </w:tc>
        <w:tc>
          <w:tcPr>
            <w:tcW w:type="dxa" w:w="1417"/>
            <w:shd w:fill="FFFFFF" w:val="clear"/>
          </w:tcPr>
          <w:p>
            <w:r>
              <w:rPr>
                <w:sz w:val="16"/>
              </w:rPr>
              <w:t>3,981</w:t>
            </w:r>
          </w:p>
        </w:tc>
        <w:tc>
          <w:tcPr>
            <w:tcW w:type="dxa" w:w="1134"/>
            <w:shd w:fill="FFEB9C" w:val="clear"/>
          </w:tcPr>
          <w:p>
            <w:r>
              <w:rPr>
                <w:b/>
                <w:color w:val="646400"/>
                <w:sz w:val="16"/>
              </w:rPr>
              <w:t>-0.59%</w:t>
            </w:r>
          </w:p>
        </w:tc>
        <w:tc>
          <w:tcPr>
            <w:tcW w:type="dxa" w:w="1134"/>
            <w:shd w:fill="FFC7CE" w:val="clear"/>
          </w:tcPr>
          <w:p>
            <w:r>
              <w:rPr>
                <w:sz w:val="16"/>
              </w:rPr>
              <w:t>Faible</w:t>
            </w:r>
          </w:p>
        </w:tc>
      </w:tr>
      <w:tr>
        <w:tc>
          <w:tcPr>
            <w:tcW w:type="dxa" w:w="1020"/>
            <w:shd w:fill="FFFFFF" w:val="clear"/>
          </w:tcPr>
          <w:p>
            <w:r>
              <w:rPr>
                <w:sz w:val="16"/>
              </w:rPr>
              <w:t>SLBC</w:t>
            </w:r>
          </w:p>
        </w:tc>
        <w:tc>
          <w:tcPr>
            <w:tcW w:type="dxa" w:w="3402"/>
            <w:shd w:fill="FFFFFF" w:val="clear"/>
          </w:tcPr>
          <w:p>
            <w:r>
              <w:rPr>
                <w:sz w:val="16"/>
              </w:rPr>
              <w:t>SLBC - SOLIBRA COTE D'IVOIRE</w:t>
            </w:r>
          </w:p>
        </w:tc>
        <w:tc>
          <w:tcPr>
            <w:tcW w:type="dxa" w:w="1417"/>
            <w:shd w:fill="FFFFFF" w:val="clear"/>
          </w:tcPr>
          <w:p>
            <w:r>
              <w:rPr>
                <w:sz w:val="16"/>
              </w:rPr>
              <w:t>37,500</w:t>
            </w:r>
          </w:p>
        </w:tc>
        <w:tc>
          <w:tcPr>
            <w:tcW w:type="dxa" w:w="1417"/>
            <w:shd w:fill="FFFFFF" w:val="clear"/>
          </w:tcPr>
          <w:p>
            <w:r>
              <w:rPr>
                <w:sz w:val="16"/>
              </w:rPr>
              <w:t>37,217</w:t>
            </w:r>
          </w:p>
        </w:tc>
        <w:tc>
          <w:tcPr>
            <w:tcW w:type="dxa" w:w="1134"/>
            <w:shd w:fill="FFEB9C" w:val="clear"/>
          </w:tcPr>
          <w:p>
            <w:r>
              <w:rPr>
                <w:b/>
                <w:color w:val="646400"/>
                <w:sz w:val="16"/>
              </w:rPr>
              <w:t>-0.75%</w:t>
            </w:r>
          </w:p>
        </w:tc>
        <w:tc>
          <w:tcPr>
            <w:tcW w:type="dxa" w:w="1134"/>
            <w:shd w:fill="FFEB9C" w:val="clear"/>
          </w:tcPr>
          <w:p>
            <w:r>
              <w:rPr>
                <w:sz w:val="16"/>
              </w:rPr>
              <w:t>Moyenne</w:t>
            </w:r>
          </w:p>
        </w:tc>
      </w:tr>
      <w:tr>
        <w:tc>
          <w:tcPr>
            <w:tcW w:type="dxa" w:w="1020"/>
            <w:shd w:fill="FFFFFF" w:val="clear"/>
          </w:tcPr>
          <w:p>
            <w:r>
              <w:rPr>
                <w:sz w:val="16"/>
              </w:rPr>
              <w:t>ORGT</w:t>
            </w:r>
          </w:p>
        </w:tc>
        <w:tc>
          <w:tcPr>
            <w:tcW w:type="dxa" w:w="3402"/>
            <w:shd w:fill="FFFFFF" w:val="clear"/>
          </w:tcPr>
          <w:p>
            <w:r>
              <w:rPr>
                <w:sz w:val="16"/>
              </w:rPr>
              <w:t>ORGT - ORAGROUP TOGO</w:t>
            </w:r>
          </w:p>
        </w:tc>
        <w:tc>
          <w:tcPr>
            <w:tcW w:type="dxa" w:w="1417"/>
            <w:shd w:fill="FFFFFF" w:val="clear"/>
          </w:tcPr>
          <w:p>
            <w:r>
              <w:rPr>
                <w:sz w:val="16"/>
              </w:rPr>
              <w:t>3,180</w:t>
            </w:r>
          </w:p>
        </w:tc>
        <w:tc>
          <w:tcPr>
            <w:tcW w:type="dxa" w:w="1417"/>
            <w:shd w:fill="FFFFFF" w:val="clear"/>
          </w:tcPr>
          <w:p>
            <w:r>
              <w:rPr>
                <w:sz w:val="16"/>
              </w:rPr>
              <w:t>3,138</w:t>
            </w:r>
          </w:p>
        </w:tc>
        <w:tc>
          <w:tcPr>
            <w:tcW w:type="dxa" w:w="1134"/>
            <w:shd w:fill="FFC7CE" w:val="clear"/>
          </w:tcPr>
          <w:p>
            <w:r>
              <w:rPr>
                <w:b/>
                <w:color w:val="B40000"/>
                <w:sz w:val="16"/>
              </w:rPr>
              <w:t>-1.33%</w:t>
            </w:r>
          </w:p>
        </w:tc>
        <w:tc>
          <w:tcPr>
            <w:tcW w:type="dxa" w:w="1134"/>
            <w:shd w:fill="FFEB9C" w:val="clear"/>
          </w:tcPr>
          <w:p>
            <w:r>
              <w:rPr>
                <w:sz w:val="16"/>
              </w:rPr>
              <w:t>Moyenne</w:t>
            </w:r>
          </w:p>
        </w:tc>
      </w:tr>
      <w:tr>
        <w:tc>
          <w:tcPr>
            <w:tcW w:type="dxa" w:w="1020"/>
            <w:shd w:fill="FFFFFF" w:val="clear"/>
          </w:tcPr>
          <w:p>
            <w:r>
              <w:rPr>
                <w:sz w:val="16"/>
              </w:rPr>
              <w:t>ECOC</w:t>
            </w:r>
          </w:p>
        </w:tc>
        <w:tc>
          <w:tcPr>
            <w:tcW w:type="dxa" w:w="3402"/>
            <w:shd w:fill="FFFFFF" w:val="clear"/>
          </w:tcPr>
          <w:p>
            <w:r>
              <w:rPr>
                <w:sz w:val="16"/>
              </w:rPr>
              <w:t>ECOC - ECOBANK COTE D'IVOIRE</w:t>
            </w:r>
          </w:p>
        </w:tc>
        <w:tc>
          <w:tcPr>
            <w:tcW w:type="dxa" w:w="1417"/>
            <w:shd w:fill="FFFFFF" w:val="clear"/>
          </w:tcPr>
          <w:p>
            <w:r>
              <w:rPr>
                <w:sz w:val="16"/>
              </w:rPr>
              <w:t>16,845</w:t>
            </w:r>
          </w:p>
        </w:tc>
        <w:tc>
          <w:tcPr>
            <w:tcW w:type="dxa" w:w="1417"/>
            <w:shd w:fill="FFFFFF" w:val="clear"/>
          </w:tcPr>
          <w:p>
            <w:r>
              <w:rPr>
                <w:sz w:val="16"/>
              </w:rPr>
              <w:t>16,548</w:t>
            </w:r>
          </w:p>
        </w:tc>
        <w:tc>
          <w:tcPr>
            <w:tcW w:type="dxa" w:w="1134"/>
            <w:shd w:fill="FFC7CE" w:val="clear"/>
          </w:tcPr>
          <w:p>
            <w:r>
              <w:rPr>
                <w:b/>
                <w:color w:val="B40000"/>
                <w:sz w:val="16"/>
              </w:rPr>
              <w:t>-1.77%</w:t>
            </w:r>
          </w:p>
        </w:tc>
        <w:tc>
          <w:tcPr>
            <w:tcW w:type="dxa" w:w="1134"/>
            <w:shd w:fill="FFEB9C" w:val="clear"/>
          </w:tcPr>
          <w:p>
            <w:r>
              <w:rPr>
                <w:sz w:val="16"/>
              </w:rPr>
              <w:t>Moyenne</w:t>
            </w:r>
          </w:p>
        </w:tc>
      </w:tr>
      <w:tr>
        <w:tc>
          <w:tcPr>
            <w:tcW w:type="dxa" w:w="1020"/>
            <w:shd w:fill="FFFFFF" w:val="clear"/>
          </w:tcPr>
          <w:p>
            <w:r>
              <w:rPr>
                <w:sz w:val="16"/>
              </w:rPr>
              <w:t>ONTBF</w:t>
            </w:r>
          </w:p>
        </w:tc>
        <w:tc>
          <w:tcPr>
            <w:tcW w:type="dxa" w:w="3402"/>
            <w:shd w:fill="FFFFFF" w:val="clear"/>
          </w:tcPr>
          <w:p>
            <w:r>
              <w:rPr>
                <w:sz w:val="16"/>
              </w:rPr>
              <w:t>ONTBF - ONATEL BURKINA FASO</w:t>
            </w:r>
          </w:p>
        </w:tc>
        <w:tc>
          <w:tcPr>
            <w:tcW w:type="dxa" w:w="1417"/>
            <w:shd w:fill="FFFFFF" w:val="clear"/>
          </w:tcPr>
          <w:p>
            <w:r>
              <w:rPr>
                <w:sz w:val="16"/>
              </w:rPr>
              <w:t>2,900</w:t>
            </w:r>
          </w:p>
        </w:tc>
        <w:tc>
          <w:tcPr>
            <w:tcW w:type="dxa" w:w="1417"/>
            <w:shd w:fill="FFFFFF" w:val="clear"/>
          </w:tcPr>
          <w:p>
            <w:r>
              <w:rPr>
                <w:sz w:val="16"/>
              </w:rPr>
              <w:t>2,835</w:t>
            </w:r>
          </w:p>
        </w:tc>
        <w:tc>
          <w:tcPr>
            <w:tcW w:type="dxa" w:w="1134"/>
            <w:shd w:fill="FFC7CE" w:val="clear"/>
          </w:tcPr>
          <w:p>
            <w:r>
              <w:rPr>
                <w:b/>
                <w:color w:val="B40000"/>
                <w:sz w:val="16"/>
              </w:rPr>
              <w:t>-2.25%</w:t>
            </w:r>
          </w:p>
        </w:tc>
        <w:tc>
          <w:tcPr>
            <w:tcW w:type="dxa" w:w="1134"/>
            <w:shd w:fill="FFEB9C" w:val="clear"/>
          </w:tcPr>
          <w:p>
            <w:r>
              <w:rPr>
                <w:sz w:val="16"/>
              </w:rPr>
              <w:t>Moyenne</w:t>
            </w:r>
          </w:p>
        </w:tc>
      </w:tr>
      <w:tr>
        <w:tc>
          <w:tcPr>
            <w:tcW w:type="dxa" w:w="1020"/>
            <w:shd w:fill="FFFFFF" w:val="clear"/>
          </w:tcPr>
          <w:p>
            <w:r>
              <w:rPr>
                <w:sz w:val="16"/>
              </w:rPr>
              <w:t>SGBC</w:t>
            </w:r>
          </w:p>
        </w:tc>
        <w:tc>
          <w:tcPr>
            <w:tcW w:type="dxa" w:w="3402"/>
            <w:shd w:fill="FFFFFF" w:val="clear"/>
          </w:tcPr>
          <w:p>
            <w:r>
              <w:rPr>
                <w:sz w:val="16"/>
              </w:rPr>
              <w:t>SGBC - SOCIETE GENERALE COTE D'IVOI...</w:t>
            </w:r>
          </w:p>
        </w:tc>
        <w:tc>
          <w:tcPr>
            <w:tcW w:type="dxa" w:w="1417"/>
            <w:shd w:fill="FFFFFF" w:val="clear"/>
          </w:tcPr>
          <w:p>
            <w:r>
              <w:rPr>
                <w:sz w:val="16"/>
              </w:rPr>
              <w:t>38,500</w:t>
            </w:r>
          </w:p>
        </w:tc>
        <w:tc>
          <w:tcPr>
            <w:tcW w:type="dxa" w:w="1417"/>
            <w:shd w:fill="FFFFFF" w:val="clear"/>
          </w:tcPr>
          <w:p>
            <w:r>
              <w:rPr>
                <w:sz w:val="16"/>
              </w:rPr>
              <w:t>37,527</w:t>
            </w:r>
          </w:p>
        </w:tc>
        <w:tc>
          <w:tcPr>
            <w:tcW w:type="dxa" w:w="1134"/>
            <w:shd w:fill="FFC7CE" w:val="clear"/>
          </w:tcPr>
          <w:p>
            <w:r>
              <w:rPr>
                <w:b/>
                <w:color w:val="B40000"/>
                <w:sz w:val="16"/>
              </w:rPr>
              <w:t>-2.53%</w:t>
            </w:r>
          </w:p>
        </w:tc>
        <w:tc>
          <w:tcPr>
            <w:tcW w:type="dxa" w:w="1134"/>
            <w:shd w:fill="FFEB9C" w:val="clear"/>
          </w:tcPr>
          <w:p>
            <w:r>
              <w:rPr>
                <w:sz w:val="16"/>
              </w:rPr>
              <w:t>Moyenne</w:t>
            </w:r>
          </w:p>
        </w:tc>
      </w:tr>
      <w:tr>
        <w:tc>
          <w:tcPr>
            <w:tcW w:type="dxa" w:w="1020"/>
            <w:shd w:fill="FFFFFF" w:val="clear"/>
          </w:tcPr>
          <w:p>
            <w:r>
              <w:rPr>
                <w:sz w:val="16"/>
              </w:rPr>
              <w:t>NTLC</w:t>
            </w:r>
          </w:p>
        </w:tc>
        <w:tc>
          <w:tcPr>
            <w:tcW w:type="dxa" w:w="3402"/>
            <w:shd w:fill="FFFFFF" w:val="clear"/>
          </w:tcPr>
          <w:p>
            <w:r>
              <w:rPr>
                <w:sz w:val="16"/>
              </w:rPr>
              <w:t>NTLC - NESTLE COTE D'IVOIRE</w:t>
            </w:r>
          </w:p>
        </w:tc>
        <w:tc>
          <w:tcPr>
            <w:tcW w:type="dxa" w:w="1417"/>
            <w:shd w:fill="FFFFFF" w:val="clear"/>
          </w:tcPr>
          <w:p>
            <w:r>
              <w:rPr>
                <w:sz w:val="16"/>
              </w:rPr>
              <w:t>16,900</w:t>
            </w:r>
          </w:p>
        </w:tc>
        <w:tc>
          <w:tcPr>
            <w:tcW w:type="dxa" w:w="1417"/>
            <w:shd w:fill="FFFFFF" w:val="clear"/>
          </w:tcPr>
          <w:p>
            <w:r>
              <w:rPr>
                <w:sz w:val="16"/>
              </w:rPr>
              <w:t>16,310</w:t>
            </w:r>
          </w:p>
        </w:tc>
        <w:tc>
          <w:tcPr>
            <w:tcW w:type="dxa" w:w="1134"/>
            <w:shd w:fill="FFC7CE" w:val="clear"/>
          </w:tcPr>
          <w:p>
            <w:r>
              <w:rPr>
                <w:b/>
                <w:color w:val="B40000"/>
                <w:sz w:val="16"/>
              </w:rPr>
              <w:t>-3.49%</w:t>
            </w:r>
          </w:p>
        </w:tc>
        <w:tc>
          <w:tcPr>
            <w:tcW w:type="dxa" w:w="1134"/>
            <w:shd w:fill="FFC7CE" w:val="clear"/>
          </w:tcPr>
          <w:p>
            <w:r>
              <w:rPr>
                <w:sz w:val="16"/>
              </w:rPr>
              <w:t>Faible</w:t>
            </w:r>
          </w:p>
        </w:tc>
      </w:tr>
      <w:tr>
        <w:tc>
          <w:tcPr>
            <w:tcW w:type="dxa" w:w="1020"/>
            <w:shd w:fill="FFFFFF" w:val="clear"/>
          </w:tcPr>
          <w:p>
            <w:r>
              <w:rPr>
                <w:sz w:val="16"/>
              </w:rPr>
              <w:t>SPHC</w:t>
            </w:r>
          </w:p>
        </w:tc>
        <w:tc>
          <w:tcPr>
            <w:tcW w:type="dxa" w:w="3402"/>
            <w:shd w:fill="FFFFFF" w:val="clear"/>
          </w:tcPr>
          <w:p>
            <w:r>
              <w:rPr>
                <w:sz w:val="16"/>
              </w:rPr>
              <w:t>SPHC - Société Africaine de Plantat...</w:t>
            </w:r>
          </w:p>
        </w:tc>
        <w:tc>
          <w:tcPr>
            <w:tcW w:type="dxa" w:w="1417"/>
            <w:shd w:fill="FFFFFF" w:val="clear"/>
          </w:tcPr>
          <w:p>
            <w:r>
              <w:rPr>
                <w:sz w:val="16"/>
              </w:rPr>
              <w:t>9,200</w:t>
            </w:r>
          </w:p>
        </w:tc>
        <w:tc>
          <w:tcPr>
            <w:tcW w:type="dxa" w:w="1417"/>
            <w:shd w:fill="FFFFFF" w:val="clear"/>
          </w:tcPr>
          <w:p>
            <w:r>
              <w:rPr>
                <w:sz w:val="16"/>
              </w:rPr>
              <w:t>8,809</w:t>
            </w:r>
          </w:p>
        </w:tc>
        <w:tc>
          <w:tcPr>
            <w:tcW w:type="dxa" w:w="1134"/>
            <w:shd w:fill="FFC7CE" w:val="clear"/>
          </w:tcPr>
          <w:p>
            <w:r>
              <w:rPr>
                <w:b/>
                <w:color w:val="B40000"/>
                <w:sz w:val="16"/>
              </w:rPr>
              <w:t>-4.25%</w:t>
            </w:r>
          </w:p>
        </w:tc>
        <w:tc>
          <w:tcPr>
            <w:tcW w:type="dxa" w:w="1134"/>
            <w:shd w:fill="FFC7CE" w:val="clear"/>
          </w:tcPr>
          <w:p>
            <w:r>
              <w:rPr>
                <w:sz w:val="16"/>
              </w:rPr>
              <w:t>Faible</w:t>
            </w:r>
          </w:p>
        </w:tc>
      </w:tr>
      <w:tr>
        <w:tc>
          <w:tcPr>
            <w:tcW w:type="dxa" w:w="1020"/>
            <w:shd w:fill="FFFFFF" w:val="clear"/>
          </w:tcPr>
          <w:p>
            <w:r>
              <w:rPr>
                <w:sz w:val="16"/>
              </w:rPr>
              <w:t>TTLC</w:t>
            </w:r>
          </w:p>
        </w:tc>
        <w:tc>
          <w:tcPr>
            <w:tcW w:type="dxa" w:w="3402"/>
            <w:shd w:fill="FFFFFF" w:val="clear"/>
          </w:tcPr>
          <w:p>
            <w:r>
              <w:rPr>
                <w:sz w:val="16"/>
              </w:rPr>
              <w:t>TTLC - TOTAL ENERGIES MARKETING COT...</w:t>
            </w:r>
          </w:p>
        </w:tc>
        <w:tc>
          <w:tcPr>
            <w:tcW w:type="dxa" w:w="1417"/>
            <w:shd w:fill="FFFFFF" w:val="clear"/>
          </w:tcPr>
          <w:p>
            <w:r>
              <w:rPr>
                <w:sz w:val="16"/>
              </w:rPr>
              <w:t>3,415</w:t>
            </w:r>
          </w:p>
        </w:tc>
        <w:tc>
          <w:tcPr>
            <w:tcW w:type="dxa" w:w="1417"/>
            <w:shd w:fill="FFFFFF" w:val="clear"/>
          </w:tcPr>
          <w:p>
            <w:r>
              <w:rPr>
                <w:sz w:val="16"/>
              </w:rPr>
              <w:t>3,267</w:t>
            </w:r>
          </w:p>
        </w:tc>
        <w:tc>
          <w:tcPr>
            <w:tcW w:type="dxa" w:w="1134"/>
            <w:shd w:fill="FFC7CE" w:val="clear"/>
          </w:tcPr>
          <w:p>
            <w:r>
              <w:rPr>
                <w:b/>
                <w:color w:val="B40000"/>
                <w:sz w:val="16"/>
              </w:rPr>
              <w:t>-4.33%</w:t>
            </w:r>
          </w:p>
        </w:tc>
        <w:tc>
          <w:tcPr>
            <w:tcW w:type="dxa" w:w="1134"/>
            <w:shd w:fill="FFC7CE" w:val="clear"/>
          </w:tcPr>
          <w:p>
            <w:r>
              <w:rPr>
                <w:sz w:val="16"/>
              </w:rPr>
              <w:t>Faible</w:t>
            </w:r>
          </w:p>
        </w:tc>
      </w:tr>
      <w:tr>
        <w:tc>
          <w:tcPr>
            <w:tcW w:type="dxa" w:w="1020"/>
            <w:shd w:fill="FFFFFF" w:val="clear"/>
          </w:tcPr>
          <w:p>
            <w:r>
              <w:rPr>
                <w:sz w:val="16"/>
              </w:rPr>
              <w:t>SMBC</w:t>
            </w:r>
          </w:p>
        </w:tc>
        <w:tc>
          <w:tcPr>
            <w:tcW w:type="dxa" w:w="3402"/>
            <w:shd w:fill="FFFFFF" w:val="clear"/>
          </w:tcPr>
          <w:p>
            <w:r>
              <w:rPr>
                <w:sz w:val="16"/>
              </w:rPr>
              <w:t>SMBC - Société Multinationale de Bi...</w:t>
            </w:r>
          </w:p>
        </w:tc>
        <w:tc>
          <w:tcPr>
            <w:tcW w:type="dxa" w:w="1417"/>
            <w:shd w:fill="FFFFFF" w:val="clear"/>
          </w:tcPr>
          <w:p>
            <w:r>
              <w:rPr>
                <w:sz w:val="16"/>
              </w:rPr>
              <w:t>17,100</w:t>
            </w:r>
          </w:p>
        </w:tc>
        <w:tc>
          <w:tcPr>
            <w:tcW w:type="dxa" w:w="1417"/>
            <w:shd w:fill="FFFFFF" w:val="clear"/>
          </w:tcPr>
          <w:p>
            <w:r>
              <w:rPr>
                <w:sz w:val="16"/>
              </w:rPr>
              <w:t>16,356</w:t>
            </w:r>
          </w:p>
        </w:tc>
        <w:tc>
          <w:tcPr>
            <w:tcW w:type="dxa" w:w="1134"/>
            <w:shd w:fill="FFC7CE" w:val="clear"/>
          </w:tcPr>
          <w:p>
            <w:r>
              <w:rPr>
                <w:b/>
                <w:color w:val="B40000"/>
                <w:sz w:val="16"/>
              </w:rPr>
              <w:t>-4.35%</w:t>
            </w:r>
          </w:p>
        </w:tc>
        <w:tc>
          <w:tcPr>
            <w:tcW w:type="dxa" w:w="1134"/>
            <w:shd w:fill="FFC7CE" w:val="clear"/>
          </w:tcPr>
          <w:p>
            <w:r>
              <w:rPr>
                <w:sz w:val="16"/>
              </w:rPr>
              <w:t>Faible</w:t>
            </w:r>
          </w:p>
        </w:tc>
      </w:tr>
      <w:tr>
        <w:tc>
          <w:tcPr>
            <w:tcW w:type="dxa" w:w="1020"/>
            <w:shd w:fill="FFFFFF" w:val="clear"/>
          </w:tcPr>
          <w:p>
            <w:r>
              <w:rPr>
                <w:sz w:val="16"/>
              </w:rPr>
              <w:t>SNTS</w:t>
            </w:r>
          </w:p>
        </w:tc>
        <w:tc>
          <w:tcPr>
            <w:tcW w:type="dxa" w:w="3402"/>
            <w:shd w:fill="FFFFFF" w:val="clear"/>
          </w:tcPr>
          <w:p>
            <w:r>
              <w:rPr>
                <w:sz w:val="16"/>
              </w:rPr>
              <w:t>SNTS - SONATEL SN</w:t>
            </w:r>
          </w:p>
        </w:tc>
        <w:tc>
          <w:tcPr>
            <w:tcW w:type="dxa" w:w="1417"/>
            <w:shd w:fill="FFFFFF" w:val="clear"/>
          </w:tcPr>
          <w:p>
            <w:r>
              <w:rPr>
                <w:sz w:val="16"/>
              </w:rPr>
              <w:t>36,000</w:t>
            </w:r>
          </w:p>
        </w:tc>
        <w:tc>
          <w:tcPr>
            <w:tcW w:type="dxa" w:w="1417"/>
            <w:shd w:fill="FFFFFF" w:val="clear"/>
          </w:tcPr>
          <w:p>
            <w:r>
              <w:rPr>
                <w:sz w:val="16"/>
              </w:rPr>
              <w:t>34,300</w:t>
            </w:r>
          </w:p>
        </w:tc>
        <w:tc>
          <w:tcPr>
            <w:tcW w:type="dxa" w:w="1134"/>
            <w:shd w:fill="FFC7CE" w:val="clear"/>
          </w:tcPr>
          <w:p>
            <w:r>
              <w:rPr>
                <w:b/>
                <w:color w:val="B40000"/>
                <w:sz w:val="16"/>
              </w:rPr>
              <w:t>-4.72%</w:t>
            </w:r>
          </w:p>
        </w:tc>
        <w:tc>
          <w:tcPr>
            <w:tcW w:type="dxa" w:w="1134"/>
            <w:shd w:fill="FFC7CE" w:val="clear"/>
          </w:tcPr>
          <w:p>
            <w:r>
              <w:rPr>
                <w:sz w:val="16"/>
              </w:rPr>
              <w:t>Faible</w:t>
            </w:r>
          </w:p>
        </w:tc>
      </w:tr>
      <w:tr>
        <w:tc>
          <w:tcPr>
            <w:tcW w:type="dxa" w:w="1020"/>
            <w:shd w:fill="FFFFFF" w:val="clear"/>
          </w:tcPr>
          <w:p>
            <w:r>
              <w:rPr>
                <w:sz w:val="16"/>
              </w:rPr>
              <w:t>BOAN</w:t>
            </w:r>
          </w:p>
        </w:tc>
        <w:tc>
          <w:tcPr>
            <w:tcW w:type="dxa" w:w="3402"/>
            <w:shd w:fill="FFFFFF" w:val="clear"/>
          </w:tcPr>
          <w:p>
            <w:r>
              <w:rPr>
                <w:sz w:val="16"/>
              </w:rPr>
              <w:t>BANK OF AFRICA NIGER</w:t>
            </w:r>
          </w:p>
        </w:tc>
        <w:tc>
          <w:tcPr>
            <w:tcW w:type="dxa" w:w="1417"/>
            <w:shd w:fill="FFFFFF" w:val="clear"/>
          </w:tcPr>
          <w:p>
            <w:r>
              <w:rPr>
                <w:sz w:val="16"/>
              </w:rPr>
              <w:t>5,645</w:t>
            </w:r>
          </w:p>
        </w:tc>
        <w:tc>
          <w:tcPr>
            <w:tcW w:type="dxa" w:w="1417"/>
            <w:shd w:fill="FFFFFF" w:val="clear"/>
          </w:tcPr>
          <w:p>
            <w:r>
              <w:rPr>
                <w:sz w:val="16"/>
              </w:rPr>
              <w:t>5,377</w:t>
            </w:r>
          </w:p>
        </w:tc>
        <w:tc>
          <w:tcPr>
            <w:tcW w:type="dxa" w:w="1134"/>
            <w:shd w:fill="FFC7CE" w:val="clear"/>
          </w:tcPr>
          <w:p>
            <w:r>
              <w:rPr>
                <w:b/>
                <w:color w:val="B40000"/>
                <w:sz w:val="16"/>
              </w:rPr>
              <w:t>-4.75%</w:t>
            </w:r>
          </w:p>
        </w:tc>
        <w:tc>
          <w:tcPr>
            <w:tcW w:type="dxa" w:w="1134"/>
            <w:shd w:fill="FFC7CE" w:val="clear"/>
          </w:tcPr>
          <w:p>
            <w:r>
              <w:rPr>
                <w:sz w:val="16"/>
              </w:rPr>
              <w:t>Faible</w:t>
            </w:r>
          </w:p>
        </w:tc>
      </w:tr>
      <w:tr>
        <w:tc>
          <w:tcPr>
            <w:tcW w:type="dxa" w:w="1020"/>
            <w:shd w:fill="FFFFFF" w:val="clear"/>
          </w:tcPr>
          <w:p>
            <w:r>
              <w:rPr>
                <w:sz w:val="16"/>
              </w:rPr>
              <w:t>PRSC</w:t>
            </w:r>
          </w:p>
        </w:tc>
        <w:tc>
          <w:tcPr>
            <w:tcW w:type="dxa" w:w="3402"/>
            <w:shd w:fill="FFFFFF" w:val="clear"/>
          </w:tcPr>
          <w:p>
            <w:r>
              <w:rPr>
                <w:sz w:val="16"/>
              </w:rPr>
              <w:t>PRSC - TRACTAFRIC MOTORS CI</w:t>
            </w:r>
          </w:p>
        </w:tc>
        <w:tc>
          <w:tcPr>
            <w:tcW w:type="dxa" w:w="1417"/>
            <w:shd w:fill="FFFFFF" w:val="clear"/>
          </w:tcPr>
          <w:p>
            <w:r>
              <w:rPr>
                <w:sz w:val="16"/>
              </w:rPr>
              <w:t>4,545</w:t>
            </w:r>
          </w:p>
        </w:tc>
        <w:tc>
          <w:tcPr>
            <w:tcW w:type="dxa" w:w="1417"/>
            <w:shd w:fill="FFFFFF" w:val="clear"/>
          </w:tcPr>
          <w:p>
            <w:r>
              <w:rPr>
                <w:sz w:val="16"/>
              </w:rPr>
              <w:t>4,304</w:t>
            </w:r>
          </w:p>
        </w:tc>
        <w:tc>
          <w:tcPr>
            <w:tcW w:type="dxa" w:w="1134"/>
            <w:shd w:fill="FFC7CE" w:val="clear"/>
          </w:tcPr>
          <w:p>
            <w:r>
              <w:rPr>
                <w:b/>
                <w:color w:val="B40000"/>
                <w:sz w:val="16"/>
              </w:rPr>
              <w:t>-5.31%</w:t>
            </w:r>
          </w:p>
        </w:tc>
        <w:tc>
          <w:tcPr>
            <w:tcW w:type="dxa" w:w="1134"/>
            <w:shd w:fill="FFEB9C" w:val="clear"/>
          </w:tcPr>
          <w:p>
            <w:r>
              <w:rPr>
                <w:sz w:val="16"/>
              </w:rPr>
              <w:t>Moyenne</w:t>
            </w:r>
          </w:p>
        </w:tc>
      </w:tr>
      <w:tr>
        <w:tc>
          <w:tcPr>
            <w:tcW w:type="dxa" w:w="1020"/>
            <w:shd w:fill="FFFFFF" w:val="clear"/>
          </w:tcPr>
          <w:p>
            <w:r>
              <w:rPr>
                <w:sz w:val="16"/>
              </w:rPr>
              <w:t>BNBC</w:t>
            </w:r>
          </w:p>
        </w:tc>
        <w:tc>
          <w:tcPr>
            <w:tcW w:type="dxa" w:w="3402"/>
            <w:shd w:fill="FFFFFF" w:val="clear"/>
          </w:tcPr>
          <w:p>
            <w:r>
              <w:rPr>
                <w:sz w:val="16"/>
              </w:rPr>
              <w:t>BNBC - BERNABE CI</w:t>
            </w:r>
          </w:p>
        </w:tc>
        <w:tc>
          <w:tcPr>
            <w:tcW w:type="dxa" w:w="1417"/>
            <w:shd w:fill="FFFFFF" w:val="clear"/>
          </w:tcPr>
          <w:p>
            <w:r>
              <w:rPr>
                <w:sz w:val="16"/>
              </w:rPr>
              <w:t>2,295</w:t>
            </w:r>
          </w:p>
        </w:tc>
        <w:tc>
          <w:tcPr>
            <w:tcW w:type="dxa" w:w="1417"/>
            <w:shd w:fill="FFFFFF" w:val="clear"/>
          </w:tcPr>
          <w:p>
            <w:r>
              <w:rPr>
                <w:sz w:val="16"/>
              </w:rPr>
              <w:t>2,151</w:t>
            </w:r>
          </w:p>
        </w:tc>
        <w:tc>
          <w:tcPr>
            <w:tcW w:type="dxa" w:w="1134"/>
            <w:shd w:fill="FFC7CE" w:val="clear"/>
          </w:tcPr>
          <w:p>
            <w:r>
              <w:rPr>
                <w:b/>
                <w:color w:val="B40000"/>
                <w:sz w:val="16"/>
              </w:rPr>
              <w:t>-6.26%</w:t>
            </w:r>
          </w:p>
        </w:tc>
        <w:tc>
          <w:tcPr>
            <w:tcW w:type="dxa" w:w="1134"/>
            <w:shd w:fill="FFC7CE" w:val="clear"/>
          </w:tcPr>
          <w:p>
            <w:r>
              <w:rPr>
                <w:sz w:val="16"/>
              </w:rPr>
              <w:t>Faible</w:t>
            </w:r>
          </w:p>
        </w:tc>
      </w:tr>
      <w:tr>
        <w:tc>
          <w:tcPr>
            <w:tcW w:type="dxa" w:w="1020"/>
            <w:shd w:fill="FFFFFF" w:val="clear"/>
          </w:tcPr>
          <w:p>
            <w:r>
              <w:rPr>
                <w:sz w:val="16"/>
              </w:rPr>
              <w:t>SDSC</w:t>
            </w:r>
          </w:p>
        </w:tc>
        <w:tc>
          <w:tcPr>
            <w:tcW w:type="dxa" w:w="3402"/>
            <w:shd w:fill="FFFFFF" w:val="clear"/>
          </w:tcPr>
          <w:p>
            <w:r>
              <w:rPr>
                <w:sz w:val="16"/>
              </w:rPr>
              <w:t>SDSC - AFRICA GLOBAL LOGISTICS CI</w:t>
            </w:r>
          </w:p>
        </w:tc>
        <w:tc>
          <w:tcPr>
            <w:tcW w:type="dxa" w:w="1417"/>
            <w:shd w:fill="FFFFFF" w:val="clear"/>
          </w:tcPr>
          <w:p>
            <w:r>
              <w:rPr>
                <w:sz w:val="16"/>
              </w:rPr>
              <w:t>2,635</w:t>
            </w:r>
          </w:p>
        </w:tc>
        <w:tc>
          <w:tcPr>
            <w:tcW w:type="dxa" w:w="1417"/>
            <w:shd w:fill="FFFFFF" w:val="clear"/>
          </w:tcPr>
          <w:p>
            <w:r>
              <w:rPr>
                <w:sz w:val="16"/>
              </w:rPr>
              <w:t>2,462</w:t>
            </w:r>
          </w:p>
        </w:tc>
        <w:tc>
          <w:tcPr>
            <w:tcW w:type="dxa" w:w="1134"/>
            <w:shd w:fill="FFC7CE" w:val="clear"/>
          </w:tcPr>
          <w:p>
            <w:r>
              <w:rPr>
                <w:b/>
                <w:color w:val="B40000"/>
                <w:sz w:val="16"/>
              </w:rPr>
              <w:t>-6.56%</w:t>
            </w:r>
          </w:p>
        </w:tc>
        <w:tc>
          <w:tcPr>
            <w:tcW w:type="dxa" w:w="1134"/>
            <w:shd w:fill="FFC7CE" w:val="clear"/>
          </w:tcPr>
          <w:p>
            <w:r>
              <w:rPr>
                <w:sz w:val="16"/>
              </w:rPr>
              <w:t>Faible</w:t>
            </w:r>
          </w:p>
        </w:tc>
      </w:tr>
      <w:tr>
        <w:tc>
          <w:tcPr>
            <w:tcW w:type="dxa" w:w="1020"/>
            <w:shd w:fill="FFFFFF" w:val="clear"/>
          </w:tcPr>
          <w:p>
            <w:r>
              <w:rPr>
                <w:sz w:val="16"/>
              </w:rPr>
              <w:t>UNXC</w:t>
            </w:r>
          </w:p>
        </w:tc>
        <w:tc>
          <w:tcPr>
            <w:tcW w:type="dxa" w:w="3402"/>
            <w:shd w:fill="FFFFFF" w:val="clear"/>
          </w:tcPr>
          <w:p>
            <w:r>
              <w:rPr>
                <w:sz w:val="16"/>
              </w:rPr>
              <w:t>UNXC - UNIWAX COTE D'IVOIRE</w:t>
            </w:r>
          </w:p>
        </w:tc>
        <w:tc>
          <w:tcPr>
            <w:tcW w:type="dxa" w:w="1417"/>
            <w:shd w:fill="FFFFFF" w:val="clear"/>
          </w:tcPr>
          <w:p>
            <w:r>
              <w:rPr>
                <w:sz w:val="16"/>
              </w:rPr>
              <w:t>2,415</w:t>
            </w:r>
          </w:p>
        </w:tc>
        <w:tc>
          <w:tcPr>
            <w:tcW w:type="dxa" w:w="1417"/>
            <w:shd w:fill="FFFFFF" w:val="clear"/>
          </w:tcPr>
          <w:p>
            <w:r>
              <w:rPr>
                <w:sz w:val="16"/>
              </w:rPr>
              <w:t>2,257</w:t>
            </w:r>
          </w:p>
        </w:tc>
        <w:tc>
          <w:tcPr>
            <w:tcW w:type="dxa" w:w="1134"/>
            <w:shd w:fill="FFC7CE" w:val="clear"/>
          </w:tcPr>
          <w:p>
            <w:r>
              <w:rPr>
                <w:b/>
                <w:color w:val="B40000"/>
                <w:sz w:val="16"/>
              </w:rPr>
              <w:t>-6.56%</w:t>
            </w:r>
          </w:p>
        </w:tc>
        <w:tc>
          <w:tcPr>
            <w:tcW w:type="dxa" w:w="1134"/>
            <w:shd w:fill="FFC7CE" w:val="clear"/>
          </w:tcPr>
          <w:p>
            <w:r>
              <w:rPr>
                <w:sz w:val="16"/>
              </w:rPr>
              <w:t>Faible</w:t>
            </w:r>
          </w:p>
        </w:tc>
      </w:tr>
      <w:tr>
        <w:tc>
          <w:tcPr>
            <w:tcW w:type="dxa" w:w="1020"/>
            <w:shd w:fill="FFFFFF" w:val="clear"/>
          </w:tcPr>
          <w:p>
            <w:r>
              <w:rPr>
                <w:sz w:val="16"/>
              </w:rPr>
              <w:t>SEMC</w:t>
            </w:r>
          </w:p>
        </w:tc>
        <w:tc>
          <w:tcPr>
            <w:tcW w:type="dxa" w:w="3402"/>
            <w:shd w:fill="FFFFFF" w:val="clear"/>
          </w:tcPr>
          <w:p>
            <w:r>
              <w:rPr>
                <w:sz w:val="16"/>
              </w:rPr>
              <w:t>SEMC - EVIOSYS PACKAGING SIEM CI</w:t>
            </w:r>
          </w:p>
        </w:tc>
        <w:tc>
          <w:tcPr>
            <w:tcW w:type="dxa" w:w="1417"/>
            <w:shd w:fill="FFFFFF" w:val="clear"/>
          </w:tcPr>
          <w:p>
            <w:r>
              <w:rPr>
                <w:sz w:val="16"/>
              </w:rPr>
              <w:t>1,450</w:t>
            </w:r>
          </w:p>
        </w:tc>
        <w:tc>
          <w:tcPr>
            <w:tcW w:type="dxa" w:w="1417"/>
            <w:shd w:fill="FFFFFF" w:val="clear"/>
          </w:tcPr>
          <w:p>
            <w:r>
              <w:rPr>
                <w:sz w:val="16"/>
              </w:rPr>
              <w:t>1,343</w:t>
            </w:r>
          </w:p>
        </w:tc>
        <w:tc>
          <w:tcPr>
            <w:tcW w:type="dxa" w:w="1134"/>
            <w:shd w:fill="FFC7CE" w:val="clear"/>
          </w:tcPr>
          <w:p>
            <w:r>
              <w:rPr>
                <w:b/>
                <w:color w:val="B40000"/>
                <w:sz w:val="16"/>
              </w:rPr>
              <w:t>-7.40%</w:t>
            </w:r>
          </w:p>
        </w:tc>
        <w:tc>
          <w:tcPr>
            <w:tcW w:type="dxa" w:w="1134"/>
            <w:shd w:fill="FFC7CE" w:val="clear"/>
          </w:tcPr>
          <w:p>
            <w:r>
              <w:rPr>
                <w:sz w:val="16"/>
              </w:rPr>
              <w:t>Faible</w:t>
            </w:r>
          </w:p>
        </w:tc>
      </w:tr>
      <w:tr>
        <w:tc>
          <w:tcPr>
            <w:tcW w:type="dxa" w:w="1020"/>
            <w:shd w:fill="FFFFFF" w:val="clear"/>
          </w:tcPr>
          <w:p>
            <w:r>
              <w:rPr>
                <w:sz w:val="16"/>
              </w:rPr>
              <w:t>ORAC</w:t>
            </w:r>
          </w:p>
        </w:tc>
        <w:tc>
          <w:tcPr>
            <w:tcW w:type="dxa" w:w="3402"/>
            <w:shd w:fill="FFFFFF" w:val="clear"/>
          </w:tcPr>
          <w:p>
            <w:r>
              <w:rPr>
                <w:sz w:val="16"/>
              </w:rPr>
              <w:t>ORAC - ORANGE COTE D'IVOIRE</w:t>
            </w:r>
          </w:p>
        </w:tc>
        <w:tc>
          <w:tcPr>
            <w:tcW w:type="dxa" w:w="1417"/>
            <w:shd w:fill="FFFFFF" w:val="clear"/>
          </w:tcPr>
          <w:p>
            <w:r>
              <w:rPr>
                <w:sz w:val="16"/>
              </w:rPr>
              <w:t>21,200</w:t>
            </w:r>
          </w:p>
        </w:tc>
        <w:tc>
          <w:tcPr>
            <w:tcW w:type="dxa" w:w="1417"/>
            <w:shd w:fill="FFFFFF" w:val="clear"/>
          </w:tcPr>
          <w:p>
            <w:r>
              <w:rPr>
                <w:sz w:val="16"/>
              </w:rPr>
              <w:t>19,471</w:t>
            </w:r>
          </w:p>
        </w:tc>
        <w:tc>
          <w:tcPr>
            <w:tcW w:type="dxa" w:w="1134"/>
            <w:shd w:fill="FFC7CE" w:val="clear"/>
          </w:tcPr>
          <w:p>
            <w:r>
              <w:rPr>
                <w:b/>
                <w:color w:val="B40000"/>
                <w:sz w:val="16"/>
              </w:rPr>
              <w:t>-8.15%</w:t>
            </w:r>
          </w:p>
        </w:tc>
        <w:tc>
          <w:tcPr>
            <w:tcW w:type="dxa" w:w="1134"/>
            <w:shd w:fill="FFC7CE" w:val="clear"/>
          </w:tcPr>
          <w:p>
            <w:r>
              <w:rPr>
                <w:sz w:val="16"/>
              </w:rPr>
              <w:t>Faible</w:t>
            </w:r>
          </w:p>
        </w:tc>
      </w:tr>
      <w:tr>
        <w:tc>
          <w:tcPr>
            <w:tcW w:type="dxa" w:w="1020"/>
            <w:shd w:fill="FFFFFF" w:val="clear"/>
          </w:tcPr>
          <w:p>
            <w:r>
              <w:rPr>
                <w:sz w:val="16"/>
              </w:rPr>
              <w:t>BICC</w:t>
            </w:r>
          </w:p>
        </w:tc>
        <w:tc>
          <w:tcPr>
            <w:tcW w:type="dxa" w:w="3402"/>
            <w:shd w:fill="FFFFFF" w:val="clear"/>
          </w:tcPr>
          <w:p>
            <w:r>
              <w:rPr>
                <w:sz w:val="16"/>
              </w:rPr>
              <w:t>BICI CI - Banque internationale pou...</w:t>
            </w:r>
          </w:p>
        </w:tc>
        <w:tc>
          <w:tcPr>
            <w:tcW w:type="dxa" w:w="1417"/>
            <w:shd w:fill="FFFFFF" w:val="clear"/>
          </w:tcPr>
          <w:p>
            <w:r>
              <w:rPr>
                <w:sz w:val="16"/>
              </w:rPr>
              <w:t>29,970</w:t>
            </w:r>
          </w:p>
        </w:tc>
        <w:tc>
          <w:tcPr>
            <w:tcW w:type="dxa" w:w="1417"/>
            <w:shd w:fill="FFFFFF" w:val="clear"/>
          </w:tcPr>
          <w:p>
            <w:r>
              <w:rPr>
                <w:sz w:val="16"/>
              </w:rPr>
              <w:t>26,445</w:t>
            </w:r>
          </w:p>
        </w:tc>
        <w:tc>
          <w:tcPr>
            <w:tcW w:type="dxa" w:w="1134"/>
            <w:shd w:fill="FFC7CE" w:val="clear"/>
          </w:tcPr>
          <w:p>
            <w:r>
              <w:rPr>
                <w:b/>
                <w:color w:val="B40000"/>
                <w:sz w:val="16"/>
              </w:rPr>
              <w:t>-11.76%</w:t>
            </w:r>
          </w:p>
        </w:tc>
        <w:tc>
          <w:tcPr>
            <w:tcW w:type="dxa" w:w="1134"/>
            <w:shd w:fill="FFEB9C" w:val="clear"/>
          </w:tcPr>
          <w:p>
            <w:r>
              <w:rPr>
                <w:sz w:val="16"/>
              </w:rPr>
              <w:t>Moyenne</w:t>
            </w:r>
          </w:p>
        </w:tc>
      </w:tr>
      <w:tr>
        <w:tc>
          <w:tcPr>
            <w:tcW w:type="dxa" w:w="1020"/>
            <w:shd w:fill="FFFFFF" w:val="clear"/>
          </w:tcPr>
          <w:p>
            <w:r>
              <w:rPr>
                <w:sz w:val="16"/>
              </w:rPr>
              <w:t>TTLS</w:t>
            </w:r>
          </w:p>
        </w:tc>
        <w:tc>
          <w:tcPr>
            <w:tcW w:type="dxa" w:w="3402"/>
            <w:shd w:fill="FFFFFF" w:val="clear"/>
          </w:tcPr>
          <w:p>
            <w:r>
              <w:rPr>
                <w:sz w:val="16"/>
              </w:rPr>
              <w:t>TTLS - TOTAL ENERGIES MARKETING SEN...</w:t>
            </w:r>
          </w:p>
        </w:tc>
        <w:tc>
          <w:tcPr>
            <w:tcW w:type="dxa" w:w="1417"/>
            <w:shd w:fill="FFFFFF" w:val="clear"/>
          </w:tcPr>
          <w:p>
            <w:r>
              <w:rPr>
                <w:sz w:val="16"/>
              </w:rPr>
              <w:t>3,685</w:t>
            </w:r>
          </w:p>
        </w:tc>
        <w:tc>
          <w:tcPr>
            <w:tcW w:type="dxa" w:w="1417"/>
            <w:shd w:fill="FFFFFF" w:val="clear"/>
          </w:tcPr>
          <w:p>
            <w:r>
              <w:rPr>
                <w:sz w:val="16"/>
              </w:rPr>
              <w:t>3,248</w:t>
            </w:r>
          </w:p>
        </w:tc>
        <w:tc>
          <w:tcPr>
            <w:tcW w:type="dxa" w:w="1134"/>
            <w:shd w:fill="FFC7CE" w:val="clear"/>
          </w:tcPr>
          <w:p>
            <w:r>
              <w:rPr>
                <w:b/>
                <w:color w:val="B40000"/>
                <w:sz w:val="16"/>
              </w:rPr>
              <w:t>-11.85%</w:t>
            </w:r>
          </w:p>
        </w:tc>
        <w:tc>
          <w:tcPr>
            <w:tcW w:type="dxa" w:w="1134"/>
            <w:shd w:fill="FFC7CE" w:val="clear"/>
          </w:tcPr>
          <w:p>
            <w:r>
              <w:rPr>
                <w:sz w:val="16"/>
              </w:rPr>
              <w:t>Faible</w:t>
            </w:r>
          </w:p>
        </w:tc>
      </w:tr>
      <w:tr>
        <w:tc>
          <w:tcPr>
            <w:tcW w:type="dxa" w:w="1020"/>
            <w:shd w:fill="FFFFFF" w:val="clear"/>
          </w:tcPr>
          <w:p>
            <w:r>
              <w:rPr>
                <w:sz w:val="16"/>
              </w:rPr>
              <w:t>SDCC</w:t>
            </w:r>
          </w:p>
        </w:tc>
        <w:tc>
          <w:tcPr>
            <w:tcW w:type="dxa" w:w="3402"/>
            <w:shd w:fill="FFFFFF" w:val="clear"/>
          </w:tcPr>
          <w:p>
            <w:r>
              <w:rPr>
                <w:sz w:val="16"/>
              </w:rPr>
              <w:t>SDCC - Société de Distribution d'Ea...</w:t>
            </w:r>
          </w:p>
        </w:tc>
        <w:tc>
          <w:tcPr>
            <w:tcW w:type="dxa" w:w="1417"/>
            <w:shd w:fill="FFFFFF" w:val="clear"/>
          </w:tcPr>
          <w:p>
            <w:r>
              <w:rPr>
                <w:sz w:val="16"/>
              </w:rPr>
              <w:t>12,700</w:t>
            </w:r>
          </w:p>
        </w:tc>
        <w:tc>
          <w:tcPr>
            <w:tcW w:type="dxa" w:w="1417"/>
            <w:shd w:fill="FFFFFF" w:val="clear"/>
          </w:tcPr>
          <w:p>
            <w:r>
              <w:rPr>
                <w:sz w:val="16"/>
              </w:rPr>
              <w:t>11,083</w:t>
            </w:r>
          </w:p>
        </w:tc>
        <w:tc>
          <w:tcPr>
            <w:tcW w:type="dxa" w:w="1134"/>
            <w:shd w:fill="FFC7CE" w:val="clear"/>
          </w:tcPr>
          <w:p>
            <w:r>
              <w:rPr>
                <w:b/>
                <w:color w:val="B40000"/>
                <w:sz w:val="16"/>
              </w:rPr>
              <w:t>-12.73%</w:t>
            </w:r>
          </w:p>
        </w:tc>
        <w:tc>
          <w:tcPr>
            <w:tcW w:type="dxa" w:w="1134"/>
            <w:shd w:fill="FFC7CE" w:val="clear"/>
          </w:tcPr>
          <w:p>
            <w:r>
              <w:rPr>
                <w:sz w:val="16"/>
              </w:rPr>
              <w:t>Faible</w:t>
            </w:r>
          </w:p>
        </w:tc>
      </w:tr>
      <w:tr>
        <w:tc>
          <w:tcPr>
            <w:tcW w:type="dxa" w:w="1020"/>
            <w:shd w:fill="FFFFFF" w:val="clear"/>
          </w:tcPr>
          <w:p>
            <w:r>
              <w:rPr>
                <w:sz w:val="16"/>
              </w:rPr>
              <w:t>CFAC</w:t>
            </w:r>
          </w:p>
        </w:tc>
        <w:tc>
          <w:tcPr>
            <w:tcW w:type="dxa" w:w="3402"/>
            <w:shd w:fill="FFFFFF" w:val="clear"/>
          </w:tcPr>
          <w:p>
            <w:r>
              <w:rPr>
                <w:sz w:val="16"/>
              </w:rPr>
              <w:t>CFAC - CFAO MOTORS CI</w:t>
            </w:r>
          </w:p>
        </w:tc>
        <w:tc>
          <w:tcPr>
            <w:tcW w:type="dxa" w:w="1417"/>
            <w:shd w:fill="FFFFFF" w:val="clear"/>
          </w:tcPr>
          <w:p>
            <w:r>
              <w:rPr>
                <w:sz w:val="16"/>
              </w:rPr>
              <w:t>1,745</w:t>
            </w:r>
          </w:p>
        </w:tc>
        <w:tc>
          <w:tcPr>
            <w:tcW w:type="dxa" w:w="1417"/>
            <w:shd w:fill="FFFFFF" w:val="clear"/>
          </w:tcPr>
          <w:p>
            <w:r>
              <w:rPr>
                <w:sz w:val="16"/>
              </w:rPr>
              <w:t>1,491</w:t>
            </w:r>
          </w:p>
        </w:tc>
        <w:tc>
          <w:tcPr>
            <w:tcW w:type="dxa" w:w="1134"/>
            <w:shd w:fill="FFC7CE" w:val="clear"/>
          </w:tcPr>
          <w:p>
            <w:r>
              <w:rPr>
                <w:b/>
                <w:color w:val="B40000"/>
                <w:sz w:val="16"/>
              </w:rPr>
              <w:t>-14.57%</w:t>
            </w:r>
          </w:p>
        </w:tc>
        <w:tc>
          <w:tcPr>
            <w:tcW w:type="dxa" w:w="1134"/>
            <w:shd w:fill="FFC7CE" w:val="clear"/>
          </w:tcPr>
          <w:p>
            <w:r>
              <w:rPr>
                <w:sz w:val="16"/>
              </w:rPr>
              <w:t>Faible</w:t>
            </w:r>
          </w:p>
        </w:tc>
      </w:tr>
      <w:tr>
        <w:tc>
          <w:tcPr>
            <w:tcW w:type="dxa" w:w="1020"/>
            <w:shd w:fill="FFFFFF" w:val="clear"/>
          </w:tcPr>
          <w:p>
            <w:r>
              <w:rPr>
                <w:sz w:val="16"/>
              </w:rPr>
              <w:t>BOAS</w:t>
            </w:r>
          </w:p>
        </w:tc>
        <w:tc>
          <w:tcPr>
            <w:tcW w:type="dxa" w:w="3402"/>
            <w:shd w:fill="FFFFFF" w:val="clear"/>
          </w:tcPr>
          <w:p>
            <w:r>
              <w:rPr>
                <w:sz w:val="16"/>
              </w:rPr>
              <w:t>BANK OF AFRICA SENEGAL</w:t>
            </w:r>
          </w:p>
        </w:tc>
        <w:tc>
          <w:tcPr>
            <w:tcW w:type="dxa" w:w="1417"/>
            <w:shd w:fill="FFFFFF" w:val="clear"/>
          </w:tcPr>
          <w:p>
            <w:r>
              <w:rPr>
                <w:sz w:val="16"/>
              </w:rPr>
              <w:t>8,445</w:t>
            </w:r>
          </w:p>
        </w:tc>
        <w:tc>
          <w:tcPr>
            <w:tcW w:type="dxa" w:w="1417"/>
            <w:shd w:fill="FFFFFF" w:val="clear"/>
          </w:tcPr>
          <w:p>
            <w:r>
              <w:rPr>
                <w:sz w:val="16"/>
              </w:rPr>
              <w:t>7,102</w:t>
            </w:r>
          </w:p>
        </w:tc>
        <w:tc>
          <w:tcPr>
            <w:tcW w:type="dxa" w:w="1134"/>
            <w:shd w:fill="FFC7CE" w:val="clear"/>
          </w:tcPr>
          <w:p>
            <w:r>
              <w:rPr>
                <w:b/>
                <w:color w:val="B40000"/>
                <w:sz w:val="16"/>
              </w:rPr>
              <w:t>-15.90%</w:t>
            </w:r>
          </w:p>
        </w:tc>
        <w:tc>
          <w:tcPr>
            <w:tcW w:type="dxa" w:w="1134"/>
            <w:shd w:fill="FFEB9C" w:val="clear"/>
          </w:tcPr>
          <w:p>
            <w:r>
              <w:rPr>
                <w:sz w:val="16"/>
              </w:rPr>
              <w:t>Moyenne</w:t>
            </w:r>
          </w:p>
        </w:tc>
      </w:tr>
      <w:tr>
        <w:tc>
          <w:tcPr>
            <w:tcW w:type="dxa" w:w="1020"/>
            <w:shd w:fill="FFFFFF" w:val="clear"/>
          </w:tcPr>
          <w:p>
            <w:r>
              <w:rPr>
                <w:sz w:val="16"/>
              </w:rPr>
              <w:t>ABJC</w:t>
            </w:r>
          </w:p>
        </w:tc>
        <w:tc>
          <w:tcPr>
            <w:tcW w:type="dxa" w:w="3402"/>
            <w:shd w:fill="FFFFFF" w:val="clear"/>
          </w:tcPr>
          <w:p>
            <w:r>
              <w:rPr>
                <w:sz w:val="16"/>
              </w:rPr>
              <w:t>ABJC - SERVAIR ABIDJAN CI</w:t>
            </w:r>
          </w:p>
        </w:tc>
        <w:tc>
          <w:tcPr>
            <w:tcW w:type="dxa" w:w="1417"/>
            <w:shd w:fill="FFFFFF" w:val="clear"/>
          </w:tcPr>
          <w:p>
            <w:r>
              <w:rPr>
                <w:sz w:val="16"/>
              </w:rPr>
              <w:t>3,690</w:t>
            </w:r>
          </w:p>
        </w:tc>
        <w:tc>
          <w:tcPr>
            <w:tcW w:type="dxa" w:w="1417"/>
            <w:shd w:fill="FFFFFF" w:val="clear"/>
          </w:tcPr>
          <w:p>
            <w:r>
              <w:rPr>
                <w:sz w:val="16"/>
              </w:rPr>
              <w:t>3,078</w:t>
            </w:r>
          </w:p>
        </w:tc>
        <w:tc>
          <w:tcPr>
            <w:tcW w:type="dxa" w:w="1134"/>
            <w:shd w:fill="FFC7CE" w:val="clear"/>
          </w:tcPr>
          <w:p>
            <w:r>
              <w:rPr>
                <w:b/>
                <w:color w:val="B40000"/>
                <w:sz w:val="16"/>
              </w:rPr>
              <w:t>-16.59%</w:t>
            </w:r>
          </w:p>
        </w:tc>
        <w:tc>
          <w:tcPr>
            <w:tcW w:type="dxa" w:w="1134"/>
            <w:shd w:fill="FFC7CE" w:val="clear"/>
          </w:tcPr>
          <w:p>
            <w:r>
              <w:rPr>
                <w:sz w:val="16"/>
              </w:rPr>
              <w:t>Faible</w:t>
            </w:r>
          </w:p>
        </w:tc>
      </w:tr>
      <w:tr>
        <w:tc>
          <w:tcPr>
            <w:tcW w:type="dxa" w:w="1020"/>
            <w:shd w:fill="FFFFFF" w:val="clear"/>
          </w:tcPr>
          <w:p>
            <w:r>
              <w:rPr>
                <w:sz w:val="16"/>
              </w:rPr>
              <w:t>BOAB</w:t>
            </w:r>
          </w:p>
        </w:tc>
        <w:tc>
          <w:tcPr>
            <w:tcW w:type="dxa" w:w="3402"/>
            <w:shd w:fill="FFFFFF" w:val="clear"/>
          </w:tcPr>
          <w:p>
            <w:r>
              <w:rPr>
                <w:sz w:val="16"/>
              </w:rPr>
              <w:t>BANK OF AFRICA BENIN</w:t>
            </w:r>
          </w:p>
        </w:tc>
        <w:tc>
          <w:tcPr>
            <w:tcW w:type="dxa" w:w="1417"/>
            <w:shd w:fill="FFFFFF" w:val="clear"/>
          </w:tcPr>
          <w:p>
            <w:r>
              <w:rPr>
                <w:sz w:val="16"/>
              </w:rPr>
              <w:t>10,000</w:t>
            </w:r>
          </w:p>
        </w:tc>
        <w:tc>
          <w:tcPr>
            <w:tcW w:type="dxa" w:w="1417"/>
            <w:shd w:fill="FFFFFF" w:val="clear"/>
          </w:tcPr>
          <w:p>
            <w:r>
              <w:rPr>
                <w:sz w:val="16"/>
              </w:rPr>
              <w:t>8,305</w:t>
            </w:r>
          </w:p>
        </w:tc>
        <w:tc>
          <w:tcPr>
            <w:tcW w:type="dxa" w:w="1134"/>
            <w:shd w:fill="FFC7CE" w:val="clear"/>
          </w:tcPr>
          <w:p>
            <w:r>
              <w:rPr>
                <w:b/>
                <w:color w:val="B40000"/>
                <w:sz w:val="16"/>
              </w:rPr>
              <w:t>-16.95%</w:t>
            </w:r>
          </w:p>
        </w:tc>
        <w:tc>
          <w:tcPr>
            <w:tcW w:type="dxa" w:w="1134"/>
            <w:shd w:fill="FFC7CE" w:val="clear"/>
          </w:tcPr>
          <w:p>
            <w:r>
              <w:rPr>
                <w:sz w:val="16"/>
              </w:rPr>
              <w:t>Faible</w:t>
            </w:r>
          </w:p>
        </w:tc>
      </w:tr>
      <w:tr>
        <w:tc>
          <w:tcPr>
            <w:tcW w:type="dxa" w:w="1020"/>
            <w:shd w:fill="FFFFFF" w:val="clear"/>
          </w:tcPr>
          <w:p>
            <w:r>
              <w:rPr>
                <w:sz w:val="16"/>
              </w:rPr>
              <w:t>BOAM</w:t>
            </w:r>
          </w:p>
        </w:tc>
        <w:tc>
          <w:tcPr>
            <w:tcW w:type="dxa" w:w="3402"/>
            <w:shd w:fill="FFFFFF" w:val="clear"/>
          </w:tcPr>
          <w:p>
            <w:r>
              <w:rPr>
                <w:sz w:val="16"/>
              </w:rPr>
              <w:t>BANK OF AFRICA MALI</w:t>
            </w:r>
          </w:p>
        </w:tc>
        <w:tc>
          <w:tcPr>
            <w:tcW w:type="dxa" w:w="1417"/>
            <w:shd w:fill="FFFFFF" w:val="clear"/>
          </w:tcPr>
          <w:p>
            <w:r>
              <w:rPr>
                <w:sz w:val="16"/>
              </w:rPr>
              <w:t>6,650</w:t>
            </w:r>
          </w:p>
        </w:tc>
        <w:tc>
          <w:tcPr>
            <w:tcW w:type="dxa" w:w="1417"/>
            <w:shd w:fill="FFFFFF" w:val="clear"/>
          </w:tcPr>
          <w:p>
            <w:r>
              <w:rPr>
                <w:sz w:val="16"/>
              </w:rPr>
              <w:t>5,490</w:t>
            </w:r>
          </w:p>
        </w:tc>
        <w:tc>
          <w:tcPr>
            <w:tcW w:type="dxa" w:w="1134"/>
            <w:shd w:fill="FFC7CE" w:val="clear"/>
          </w:tcPr>
          <w:p>
            <w:r>
              <w:rPr>
                <w:b/>
                <w:color w:val="B40000"/>
                <w:sz w:val="16"/>
              </w:rPr>
              <w:t>-17.44%</w:t>
            </w:r>
          </w:p>
        </w:tc>
        <w:tc>
          <w:tcPr>
            <w:tcW w:type="dxa" w:w="1134"/>
            <w:shd w:fill="FFEB9C" w:val="clear"/>
          </w:tcPr>
          <w:p>
            <w:r>
              <w:rPr>
                <w:sz w:val="16"/>
              </w:rPr>
              <w:t>Moyenne</w:t>
            </w:r>
          </w:p>
        </w:tc>
      </w:tr>
      <w:tr>
        <w:tc>
          <w:tcPr>
            <w:tcW w:type="dxa" w:w="1020"/>
            <w:shd w:fill="FFFFFF" w:val="clear"/>
          </w:tcPr>
          <w:p>
            <w:r>
              <w:rPr>
                <w:sz w:val="16"/>
              </w:rPr>
              <w:t>SICC</w:t>
            </w:r>
          </w:p>
        </w:tc>
        <w:tc>
          <w:tcPr>
            <w:tcW w:type="dxa" w:w="3402"/>
            <w:shd w:fill="FFFFFF" w:val="clear"/>
          </w:tcPr>
          <w:p>
            <w:r>
              <w:rPr>
                <w:sz w:val="16"/>
              </w:rPr>
              <w:t>SICC - SICOR COTE D'IVOIRE</w:t>
            </w:r>
          </w:p>
        </w:tc>
        <w:tc>
          <w:tcPr>
            <w:tcW w:type="dxa" w:w="1417"/>
            <w:shd w:fill="FFFFFF" w:val="clear"/>
          </w:tcPr>
          <w:p>
            <w:r>
              <w:rPr>
                <w:sz w:val="16"/>
              </w:rPr>
              <w:t>8,010</w:t>
            </w:r>
          </w:p>
        </w:tc>
        <w:tc>
          <w:tcPr>
            <w:tcW w:type="dxa" w:w="1417"/>
            <w:shd w:fill="FFFFFF" w:val="clear"/>
          </w:tcPr>
          <w:p>
            <w:r>
              <w:rPr>
                <w:sz w:val="16"/>
              </w:rPr>
              <w:t>6,424</w:t>
            </w:r>
          </w:p>
        </w:tc>
        <w:tc>
          <w:tcPr>
            <w:tcW w:type="dxa" w:w="1134"/>
            <w:shd w:fill="FFC7CE" w:val="clear"/>
          </w:tcPr>
          <w:p>
            <w:r>
              <w:rPr>
                <w:b/>
                <w:color w:val="B40000"/>
                <w:sz w:val="16"/>
              </w:rPr>
              <w:t>-19.80%</w:t>
            </w:r>
          </w:p>
        </w:tc>
        <w:tc>
          <w:tcPr>
            <w:tcW w:type="dxa" w:w="1134"/>
            <w:shd w:fill="FFC7CE" w:val="clear"/>
          </w:tcPr>
          <w:p>
            <w:r>
              <w:rPr>
                <w:sz w:val="16"/>
              </w:rPr>
              <w:t>Faible</w:t>
            </w:r>
          </w:p>
        </w:tc>
      </w:tr>
      <w:tr>
        <w:tc>
          <w:tcPr>
            <w:tcW w:type="dxa" w:w="1020"/>
            <w:shd w:fill="FFFFFF" w:val="clear"/>
          </w:tcPr>
          <w:p>
            <w:r>
              <w:rPr>
                <w:sz w:val="16"/>
              </w:rPr>
              <w:t>BOABF</w:t>
            </w:r>
          </w:p>
        </w:tc>
        <w:tc>
          <w:tcPr>
            <w:tcW w:type="dxa" w:w="3402"/>
            <w:shd w:fill="FFFFFF" w:val="clear"/>
          </w:tcPr>
          <w:p>
            <w:r>
              <w:rPr>
                <w:sz w:val="16"/>
              </w:rPr>
              <w:t>BANK OF AFRICA BURKINA FASO</w:t>
            </w:r>
          </w:p>
        </w:tc>
        <w:tc>
          <w:tcPr>
            <w:tcW w:type="dxa" w:w="1417"/>
            <w:shd w:fill="FFFFFF" w:val="clear"/>
          </w:tcPr>
          <w:p>
            <w:r>
              <w:rPr>
                <w:sz w:val="16"/>
              </w:rPr>
              <w:t>9,090</w:t>
            </w:r>
          </w:p>
        </w:tc>
        <w:tc>
          <w:tcPr>
            <w:tcW w:type="dxa" w:w="1417"/>
            <w:shd w:fill="FFFFFF" w:val="clear"/>
          </w:tcPr>
          <w:p>
            <w:r>
              <w:rPr>
                <w:sz w:val="16"/>
              </w:rPr>
              <w:t>7,169</w:t>
            </w:r>
          </w:p>
        </w:tc>
        <w:tc>
          <w:tcPr>
            <w:tcW w:type="dxa" w:w="1134"/>
            <w:shd w:fill="FFC7CE" w:val="clear"/>
          </w:tcPr>
          <w:p>
            <w:r>
              <w:rPr>
                <w:b/>
                <w:color w:val="B40000"/>
                <w:sz w:val="16"/>
              </w:rPr>
              <w:t>-21.14%</w:t>
            </w:r>
          </w:p>
        </w:tc>
        <w:tc>
          <w:tcPr>
            <w:tcW w:type="dxa" w:w="1134"/>
            <w:shd w:fill="FFC7CE" w:val="clear"/>
          </w:tcPr>
          <w:p>
            <w:r>
              <w:rPr>
                <w:sz w:val="16"/>
              </w:rPr>
              <w:t>Faible</w:t>
            </w:r>
          </w:p>
        </w:tc>
      </w:tr>
      <w:tr>
        <w:tc>
          <w:tcPr>
            <w:tcW w:type="dxa" w:w="1020"/>
            <w:shd w:fill="FFFFFF" w:val="clear"/>
          </w:tcPr>
          <w:p>
            <w:r>
              <w:rPr>
                <w:sz w:val="16"/>
              </w:rPr>
              <w:t>SIBC</w:t>
            </w:r>
          </w:p>
        </w:tc>
        <w:tc>
          <w:tcPr>
            <w:tcW w:type="dxa" w:w="3402"/>
            <w:shd w:fill="FFFFFF" w:val="clear"/>
          </w:tcPr>
          <w:p>
            <w:r>
              <w:rPr>
                <w:sz w:val="16"/>
              </w:rPr>
              <w:t>SIBC - SOCIETE IVOIRIENNE DE BANQUE</w:t>
            </w:r>
          </w:p>
        </w:tc>
        <w:tc>
          <w:tcPr>
            <w:tcW w:type="dxa" w:w="1417"/>
            <w:shd w:fill="FFFFFF" w:val="clear"/>
          </w:tcPr>
          <w:p>
            <w:r>
              <w:rPr>
                <w:sz w:val="16"/>
              </w:rPr>
              <w:t>9,200</w:t>
            </w:r>
          </w:p>
        </w:tc>
        <w:tc>
          <w:tcPr>
            <w:tcW w:type="dxa" w:w="1417"/>
            <w:shd w:fill="FFFFFF" w:val="clear"/>
          </w:tcPr>
          <w:p>
            <w:r>
              <w:rPr>
                <w:sz w:val="16"/>
              </w:rPr>
              <w:t>7,213</w:t>
            </w:r>
          </w:p>
        </w:tc>
        <w:tc>
          <w:tcPr>
            <w:tcW w:type="dxa" w:w="1134"/>
            <w:shd w:fill="FFC7CE" w:val="clear"/>
          </w:tcPr>
          <w:p>
            <w:r>
              <w:rPr>
                <w:b/>
                <w:color w:val="B40000"/>
                <w:sz w:val="16"/>
              </w:rPr>
              <w:t>-21.60%</w:t>
            </w:r>
          </w:p>
        </w:tc>
        <w:tc>
          <w:tcPr>
            <w:tcW w:type="dxa" w:w="1134"/>
            <w:shd w:fill="FFEB9C" w:val="clear"/>
          </w:tcPr>
          <w:p>
            <w:r>
              <w:rPr>
                <w:sz w:val="16"/>
              </w:rPr>
              <w:t>Moyenne</w:t>
            </w:r>
          </w:p>
        </w:tc>
      </w:tr>
      <w:tr>
        <w:tc>
          <w:tcPr>
            <w:tcW w:type="dxa" w:w="1020"/>
            <w:shd w:fill="FFFFFF" w:val="clear"/>
          </w:tcPr>
          <w:p>
            <w:r>
              <w:rPr>
                <w:sz w:val="16"/>
              </w:rPr>
              <w:t>SIVC</w:t>
            </w:r>
          </w:p>
        </w:tc>
        <w:tc>
          <w:tcPr>
            <w:tcW w:type="dxa" w:w="3402"/>
            <w:shd w:fill="FFFFFF" w:val="clear"/>
          </w:tcPr>
          <w:p>
            <w:r>
              <w:rPr>
                <w:sz w:val="16"/>
              </w:rPr>
              <w:t>SIVC - ERIUM CI (Ex AIR LIQUIDECI)</w:t>
            </w:r>
          </w:p>
        </w:tc>
        <w:tc>
          <w:tcPr>
            <w:tcW w:type="dxa" w:w="1417"/>
            <w:shd w:fill="FFFFFF" w:val="clear"/>
          </w:tcPr>
          <w:p>
            <w:r>
              <w:rPr>
                <w:sz w:val="16"/>
              </w:rPr>
              <w:t>2,365</w:t>
            </w:r>
          </w:p>
        </w:tc>
        <w:tc>
          <w:tcPr>
            <w:tcW w:type="dxa" w:w="1417"/>
            <w:shd w:fill="FFFFFF" w:val="clear"/>
          </w:tcPr>
          <w:p>
            <w:r>
              <w:rPr>
                <w:sz w:val="16"/>
              </w:rPr>
              <w:t>1,827</w:t>
            </w:r>
          </w:p>
        </w:tc>
        <w:tc>
          <w:tcPr>
            <w:tcW w:type="dxa" w:w="1134"/>
            <w:shd w:fill="FFC7CE" w:val="clear"/>
          </w:tcPr>
          <w:p>
            <w:r>
              <w:rPr>
                <w:b/>
                <w:color w:val="B40000"/>
                <w:sz w:val="16"/>
              </w:rPr>
              <w:t>-22.77%</w:t>
            </w:r>
          </w:p>
        </w:tc>
        <w:tc>
          <w:tcPr>
            <w:tcW w:type="dxa" w:w="1134"/>
            <w:shd w:fill="FFC7CE" w:val="clear"/>
          </w:tcPr>
          <w:p>
            <w:r>
              <w:rPr>
                <w:sz w:val="16"/>
              </w:rPr>
              <w:t>Faible</w:t>
            </w:r>
          </w:p>
        </w:tc>
      </w:tr>
      <w:tr>
        <w:tc>
          <w:tcPr>
            <w:tcW w:type="dxa" w:w="1020"/>
            <w:shd w:fill="FFFFFF" w:val="clear"/>
          </w:tcPr>
          <w:p>
            <w:r>
              <w:rPr>
                <w:sz w:val="16"/>
              </w:rPr>
              <w:t>SHEC</w:t>
            </w:r>
          </w:p>
        </w:tc>
        <w:tc>
          <w:tcPr>
            <w:tcW w:type="dxa" w:w="3402"/>
            <w:shd w:fill="FFFFFF" w:val="clear"/>
          </w:tcPr>
          <w:p>
            <w:r>
              <w:rPr>
                <w:sz w:val="16"/>
              </w:rPr>
              <w:t>SHEC - VIVO ENERGY COTE D'IVOIRE</w:t>
            </w:r>
          </w:p>
        </w:tc>
        <w:tc>
          <w:tcPr>
            <w:tcW w:type="dxa" w:w="1417"/>
            <w:shd w:fill="FFFFFF" w:val="clear"/>
          </w:tcPr>
          <w:p>
            <w:r>
              <w:rPr>
                <w:sz w:val="16"/>
              </w:rPr>
              <w:t>2,450</w:t>
            </w:r>
          </w:p>
        </w:tc>
        <w:tc>
          <w:tcPr>
            <w:tcW w:type="dxa" w:w="1417"/>
            <w:shd w:fill="FFFFFF" w:val="clear"/>
          </w:tcPr>
          <w:p>
            <w:r>
              <w:rPr>
                <w:sz w:val="16"/>
              </w:rPr>
              <w:t>1,701</w:t>
            </w:r>
          </w:p>
        </w:tc>
        <w:tc>
          <w:tcPr>
            <w:tcW w:type="dxa" w:w="1134"/>
            <w:shd w:fill="FFC7CE" w:val="clear"/>
          </w:tcPr>
          <w:p>
            <w:r>
              <w:rPr>
                <w:b/>
                <w:color w:val="B40000"/>
                <w:sz w:val="16"/>
              </w:rPr>
              <w:t>-30.57%</w:t>
            </w:r>
          </w:p>
        </w:tc>
        <w:tc>
          <w:tcPr>
            <w:tcW w:type="dxa" w:w="1134"/>
            <w:shd w:fill="FFC7CE" w:val="clear"/>
          </w:tcPr>
          <w:p>
            <w:r>
              <w:rPr>
                <w:sz w:val="16"/>
              </w:rPr>
              <w:t>Faible</w:t>
            </w:r>
          </w:p>
        </w:tc>
      </w:tr>
      <w:tr>
        <w:tc>
          <w:tcPr>
            <w:tcW w:type="dxa" w:w="1020"/>
            <w:shd w:fill="FFFFFF" w:val="clear"/>
          </w:tcPr>
          <w:p>
            <w:r>
              <w:rPr>
                <w:sz w:val="16"/>
              </w:rPr>
              <w:t>BOAC</w:t>
            </w:r>
          </w:p>
        </w:tc>
        <w:tc>
          <w:tcPr>
            <w:tcW w:type="dxa" w:w="3402"/>
            <w:shd w:fill="FFFFFF" w:val="clear"/>
          </w:tcPr>
          <w:p>
            <w:r>
              <w:rPr>
                <w:sz w:val="16"/>
              </w:rPr>
              <w:t>BANK OF AFRICA COTE D'IVOIRE</w:t>
            </w:r>
          </w:p>
        </w:tc>
        <w:tc>
          <w:tcPr>
            <w:tcW w:type="dxa" w:w="1417"/>
            <w:shd w:fill="FFFFFF" w:val="clear"/>
          </w:tcPr>
          <w:p>
            <w:r>
              <w:rPr>
                <w:sz w:val="16"/>
              </w:rPr>
              <w:t>12,700</w:t>
            </w:r>
          </w:p>
        </w:tc>
        <w:tc>
          <w:tcPr>
            <w:tcW w:type="dxa" w:w="1417"/>
            <w:shd w:fill="FFFFFF" w:val="clear"/>
          </w:tcPr>
          <w:p>
            <w:r>
              <w:rPr>
                <w:sz w:val="16"/>
              </w:rPr>
              <w:t>8,788</w:t>
            </w:r>
          </w:p>
        </w:tc>
        <w:tc>
          <w:tcPr>
            <w:tcW w:type="dxa" w:w="1134"/>
            <w:shd w:fill="FFC7CE" w:val="clear"/>
          </w:tcPr>
          <w:p>
            <w:r>
              <w:rPr>
                <w:b/>
                <w:color w:val="B40000"/>
                <w:sz w:val="16"/>
              </w:rPr>
              <w:t>-30.81%</w:t>
            </w:r>
          </w:p>
        </w:tc>
        <w:tc>
          <w:tcPr>
            <w:tcW w:type="dxa" w:w="1134"/>
            <w:shd w:fill="FFC7CE" w:val="clear"/>
          </w:tcPr>
          <w:p>
            <w:r>
              <w:rPr>
                <w:sz w:val="16"/>
              </w:rPr>
              <w:t>Faible</w:t>
            </w:r>
          </w:p>
        </w:tc>
      </w:tr>
      <w:tr>
        <w:tc>
          <w:tcPr>
            <w:tcW w:type="dxa" w:w="1020"/>
            <w:shd w:fill="FFFFFF" w:val="clear"/>
          </w:tcPr>
          <w:p>
            <w:r>
              <w:rPr>
                <w:sz w:val="16"/>
              </w:rPr>
              <w:t>BICB</w:t>
            </w:r>
          </w:p>
        </w:tc>
        <w:tc>
          <w:tcPr>
            <w:tcW w:type="dxa" w:w="3402"/>
            <w:shd w:fill="FFFFFF" w:val="clear"/>
          </w:tcPr>
          <w:p>
            <w:r>
              <w:rPr>
                <w:sz w:val="16"/>
              </w:rPr>
              <w:t>BIIC BN - Banque internationale pou...</w:t>
            </w:r>
          </w:p>
        </w:tc>
        <w:tc>
          <w:tcPr>
            <w:tcW w:type="dxa" w:w="1417"/>
            <w:shd w:fill="FFFFFF" w:val="clear"/>
          </w:tcPr>
          <w:p>
            <w:r>
              <w:rPr>
                <w:sz w:val="16"/>
              </w:rPr>
              <w:t>8,510</w:t>
            </w:r>
          </w:p>
        </w:tc>
        <w:tc>
          <w:tcPr>
            <w:tcW w:type="dxa" w:w="1417"/>
            <w:shd w:fill="FFFFFF" w:val="clear"/>
          </w:tcPr>
          <w:p>
            <w:r>
              <w:rPr>
                <w:sz w:val="16"/>
              </w:rPr>
              <w:t>5,514</w:t>
            </w:r>
          </w:p>
        </w:tc>
        <w:tc>
          <w:tcPr>
            <w:tcW w:type="dxa" w:w="1134"/>
            <w:shd w:fill="FFC7CE" w:val="clear"/>
          </w:tcPr>
          <w:p>
            <w:r>
              <w:rPr>
                <w:b/>
                <w:color w:val="B40000"/>
                <w:sz w:val="16"/>
              </w:rPr>
              <w:t>-35.21%</w:t>
            </w:r>
          </w:p>
        </w:tc>
        <w:tc>
          <w:tcPr>
            <w:tcW w:type="dxa" w:w="1134"/>
            <w:shd w:fill="FFC7CE" w:val="clear"/>
          </w:tcPr>
          <w:p>
            <w:r>
              <w:rPr>
                <w:sz w:val="16"/>
              </w:rPr>
              <w:t>Faible</w:t>
            </w:r>
          </w:p>
        </w:tc>
      </w:tr>
      <w:tr>
        <w:tc>
          <w:tcPr>
            <w:tcW w:type="dxa" w:w="1020"/>
            <w:shd w:fill="FFFFFF" w:val="clear"/>
          </w:tcPr>
          <w:p>
            <w:r>
              <w:rPr>
                <w:sz w:val="16"/>
              </w:rPr>
              <w:t>STAC</w:t>
            </w:r>
          </w:p>
        </w:tc>
        <w:tc>
          <w:tcPr>
            <w:tcW w:type="dxa" w:w="3402"/>
            <w:shd w:fill="FFFFFF" w:val="clear"/>
          </w:tcPr>
          <w:p>
            <w:r>
              <w:rPr>
                <w:sz w:val="16"/>
              </w:rPr>
              <w:t>STAC - SETAO COTE D'IVOIRE</w:t>
            </w:r>
          </w:p>
        </w:tc>
        <w:tc>
          <w:tcPr>
            <w:tcW w:type="dxa" w:w="1417"/>
            <w:shd w:fill="FFFFFF" w:val="clear"/>
          </w:tcPr>
          <w:p>
            <w:r>
              <w:rPr>
                <w:sz w:val="16"/>
              </w:rPr>
              <w:t>2,600</w:t>
            </w:r>
          </w:p>
        </w:tc>
        <w:tc>
          <w:tcPr>
            <w:tcW w:type="dxa" w:w="1417"/>
            <w:shd w:fill="FFFFFF" w:val="clear"/>
          </w:tcPr>
          <w:p>
            <w:r>
              <w:rPr>
                <w:sz w:val="16"/>
              </w:rPr>
              <w:t>1,598</w:t>
            </w:r>
          </w:p>
        </w:tc>
        <w:tc>
          <w:tcPr>
            <w:tcW w:type="dxa" w:w="1134"/>
            <w:shd w:fill="FFC7CE" w:val="clear"/>
          </w:tcPr>
          <w:p>
            <w:r>
              <w:rPr>
                <w:b/>
                <w:color w:val="B40000"/>
                <w:sz w:val="16"/>
              </w:rPr>
              <w:t>-38.56%</w:t>
            </w:r>
          </w:p>
        </w:tc>
        <w:tc>
          <w:tcPr>
            <w:tcW w:type="dxa" w:w="1134"/>
            <w:shd w:fill="FFC7CE" w:val="clear"/>
          </w:tcPr>
          <w:p>
            <w:r>
              <w:rPr>
                <w:sz w:val="16"/>
              </w:rPr>
              <w:t>Faible</w:t>
            </w:r>
          </w:p>
        </w:tc>
      </w:tr>
      <w:tr>
        <w:tc>
          <w:tcPr>
            <w:tcW w:type="dxa" w:w="1020"/>
            <w:shd w:fill="FFFFFF" w:val="clear"/>
          </w:tcPr>
          <w:p>
            <w:r>
              <w:rPr>
                <w:sz w:val="16"/>
              </w:rPr>
              <w:t>CBIBF</w:t>
            </w:r>
          </w:p>
        </w:tc>
        <w:tc>
          <w:tcPr>
            <w:tcW w:type="dxa" w:w="3402"/>
            <w:shd w:fill="FFFFFF" w:val="clear"/>
          </w:tcPr>
          <w:p>
            <w:r>
              <w:rPr>
                <w:sz w:val="16"/>
              </w:rPr>
              <w:t>CBIBF - CORIS BANK INTERNATIONAL BU...</w:t>
            </w:r>
          </w:p>
        </w:tc>
        <w:tc>
          <w:tcPr>
            <w:tcW w:type="dxa" w:w="1417"/>
            <w:shd w:fill="FFFFFF" w:val="clear"/>
          </w:tcPr>
          <w:p>
            <w:r>
              <w:rPr>
                <w:sz w:val="16"/>
              </w:rPr>
              <w:t>29,390</w:t>
            </w:r>
          </w:p>
        </w:tc>
        <w:tc>
          <w:tcPr>
            <w:tcW w:type="dxa" w:w="1417"/>
            <w:shd w:fill="FFFFFF" w:val="clear"/>
          </w:tcPr>
          <w:p>
            <w:r>
              <w:rPr>
                <w:sz w:val="16"/>
              </w:rPr>
              <w:t>17,467</w:t>
            </w:r>
          </w:p>
        </w:tc>
        <w:tc>
          <w:tcPr>
            <w:tcW w:type="dxa" w:w="1134"/>
            <w:shd w:fill="FFC7CE" w:val="clear"/>
          </w:tcPr>
          <w:p>
            <w:r>
              <w:rPr>
                <w:b/>
                <w:color w:val="B40000"/>
                <w:sz w:val="16"/>
              </w:rPr>
              <w:t>-40.57%</w:t>
            </w:r>
          </w:p>
        </w:tc>
        <w:tc>
          <w:tcPr>
            <w:tcW w:type="dxa" w:w="1134"/>
            <w:shd w:fill="FFEB9C" w:val="clear"/>
          </w:tcPr>
          <w:p>
            <w:r>
              <w:rPr>
                <w:sz w:val="16"/>
              </w:rPr>
              <w:t>Moyenne</w:t>
            </w:r>
          </w:p>
        </w:tc>
      </w:tr>
      <w:tr>
        <w:tc>
          <w:tcPr>
            <w:tcW w:type="dxa" w:w="1020"/>
            <w:shd w:fill="FFFFFF" w:val="clear"/>
          </w:tcPr>
          <w:p>
            <w:r>
              <w:rPr>
                <w:sz w:val="16"/>
              </w:rPr>
              <w:t>NEIC</w:t>
            </w:r>
          </w:p>
        </w:tc>
        <w:tc>
          <w:tcPr>
            <w:tcW w:type="dxa" w:w="3402"/>
            <w:shd w:fill="FFFFFF" w:val="clear"/>
          </w:tcPr>
          <w:p>
            <w:r>
              <w:rPr>
                <w:sz w:val="16"/>
              </w:rPr>
              <w:t>NEIC - NEI-CEDA CI</w:t>
            </w:r>
          </w:p>
        </w:tc>
        <w:tc>
          <w:tcPr>
            <w:tcW w:type="dxa" w:w="1417"/>
            <w:shd w:fill="FFFFFF" w:val="clear"/>
          </w:tcPr>
          <w:p>
            <w:r>
              <w:rPr>
                <w:sz w:val="16"/>
              </w:rPr>
              <w:t>2,800</w:t>
            </w:r>
          </w:p>
        </w:tc>
        <w:tc>
          <w:tcPr>
            <w:tcW w:type="dxa" w:w="1417"/>
            <w:shd w:fill="FFFFFF" w:val="clear"/>
          </w:tcPr>
          <w:p>
            <w:r>
              <w:rPr>
                <w:sz w:val="16"/>
              </w:rPr>
              <w:t>1,467</w:t>
            </w:r>
          </w:p>
        </w:tc>
        <w:tc>
          <w:tcPr>
            <w:tcW w:type="dxa" w:w="1134"/>
            <w:shd w:fill="FFC7CE" w:val="clear"/>
          </w:tcPr>
          <w:p>
            <w:r>
              <w:rPr>
                <w:b/>
                <w:color w:val="B40000"/>
                <w:sz w:val="16"/>
              </w:rPr>
              <w:t>-47.60%</w:t>
            </w:r>
          </w:p>
        </w:tc>
        <w:tc>
          <w:tcPr>
            <w:tcW w:type="dxa" w:w="1134"/>
            <w:shd w:fill="FFC7CE" w:val="clear"/>
          </w:tcPr>
          <w:p>
            <w:r>
              <w:rPr>
                <w:sz w:val="16"/>
              </w:rPr>
              <w:t>Faible</w:t>
            </w:r>
          </w:p>
        </w:tc>
      </w:tr>
      <w:tr>
        <w:tc>
          <w:tcPr>
            <w:tcW w:type="dxa" w:w="1020"/>
            <w:shd w:fill="FFFFFF" w:val="clear"/>
          </w:tcPr>
          <w:p>
            <w:r>
              <w:rPr>
                <w:sz w:val="16"/>
              </w:rPr>
              <w:t>CIEC</w:t>
            </w:r>
          </w:p>
        </w:tc>
        <w:tc>
          <w:tcPr>
            <w:tcW w:type="dxa" w:w="3402"/>
            <w:shd w:fill="FFFFFF" w:val="clear"/>
          </w:tcPr>
          <w:p>
            <w:r>
              <w:rPr>
                <w:sz w:val="16"/>
              </w:rPr>
              <w:t>CIEC - Compagnie Ivoirienne d'Elect...</w:t>
            </w:r>
          </w:p>
        </w:tc>
        <w:tc>
          <w:tcPr>
            <w:tcW w:type="dxa" w:w="1417"/>
            <w:shd w:fill="FFFFFF" w:val="clear"/>
          </w:tcPr>
          <w:p>
            <w:r>
              <w:rPr>
                <w:sz w:val="16"/>
              </w:rPr>
              <w:t>6,680</w:t>
            </w:r>
          </w:p>
        </w:tc>
        <w:tc>
          <w:tcPr>
            <w:tcW w:type="dxa" w:w="1417"/>
            <w:shd w:fill="FFFFFF" w:val="clear"/>
          </w:tcPr>
          <w:p>
            <w:r>
              <w:rPr>
                <w:sz w:val="16"/>
              </w:rPr>
              <w:t>3,264</w:t>
            </w:r>
          </w:p>
        </w:tc>
        <w:tc>
          <w:tcPr>
            <w:tcW w:type="dxa" w:w="1134"/>
            <w:shd w:fill="FFC7CE" w:val="clear"/>
          </w:tcPr>
          <w:p>
            <w:r>
              <w:rPr>
                <w:b/>
                <w:color w:val="B40000"/>
                <w:sz w:val="16"/>
              </w:rPr>
              <w:t>-51.14%</w:t>
            </w:r>
          </w:p>
        </w:tc>
        <w:tc>
          <w:tcPr>
            <w:tcW w:type="dxa" w:w="1134"/>
            <w:shd w:fill="FFC7CE" w:val="clear"/>
          </w:tcPr>
          <w:p>
            <w:r>
              <w:rPr>
                <w:sz w:val="16"/>
              </w:rPr>
              <w:t>Faible</w:t>
            </w:r>
          </w:p>
        </w:tc>
      </w:tr>
      <w:tr>
        <w:tc>
          <w:tcPr>
            <w:tcW w:type="dxa" w:w="1020"/>
            <w:shd w:fill="FFFFFF" w:val="clear"/>
          </w:tcPr>
          <w:p>
            <w:r>
              <w:rPr>
                <w:sz w:val="16"/>
              </w:rPr>
              <w:t>ETIT</w:t>
            </w:r>
          </w:p>
        </w:tc>
        <w:tc>
          <w:tcPr>
            <w:tcW w:type="dxa" w:w="3402"/>
            <w:shd w:fill="FFFFFF" w:val="clear"/>
          </w:tcPr>
          <w:p>
            <w:r>
              <w:rPr>
                <w:sz w:val="16"/>
              </w:rPr>
              <w:t>ETIT - Ecobank Transnational Incorp...</w:t>
            </w:r>
          </w:p>
        </w:tc>
        <w:tc>
          <w:tcPr>
            <w:tcW w:type="dxa" w:w="1417"/>
            <w:shd w:fill="FFFFFF" w:val="clear"/>
          </w:tcPr>
          <w:p>
            <w:r>
              <w:rPr>
                <w:sz w:val="16"/>
              </w:rPr>
              <w:t>67</w:t>
            </w:r>
          </w:p>
        </w:tc>
        <w:tc>
          <w:tcPr>
            <w:tcW w:type="dxa" w:w="1417"/>
            <w:shd w:fill="FFFFFF" w:val="clear"/>
          </w:tcPr>
          <w:p>
            <w:r>
              <w:rPr>
                <w:sz w:val="16"/>
              </w:rPr>
              <w:t>31</w:t>
            </w:r>
          </w:p>
        </w:tc>
        <w:tc>
          <w:tcPr>
            <w:tcW w:type="dxa" w:w="1134"/>
            <w:shd w:fill="FFC7CE" w:val="clear"/>
          </w:tcPr>
          <w:p>
            <w:r>
              <w:rPr>
                <w:b/>
                <w:color w:val="B40000"/>
                <w:sz w:val="16"/>
              </w:rPr>
              <w:t>-54.13%</w:t>
            </w:r>
          </w:p>
        </w:tc>
        <w:tc>
          <w:tcPr>
            <w:tcW w:type="dxa" w:w="1134"/>
            <w:shd w:fill="FFC7CE" w:val="clear"/>
          </w:tcPr>
          <w:p>
            <w:r>
              <w:rPr>
                <w:sz w:val="16"/>
              </w:rPr>
              <w:t>Faible</w:t>
            </w:r>
          </w:p>
        </w:tc>
      </w:tr>
      <w:tr>
        <w:tc>
          <w:tcPr>
            <w:tcW w:type="dxa" w:w="1020"/>
            <w:shd w:fill="FFFFFF" w:val="clear"/>
          </w:tcPr>
          <w:p>
            <w:r>
              <w:rPr>
                <w:sz w:val="16"/>
              </w:rPr>
              <w:t>SCRC</w:t>
            </w:r>
          </w:p>
        </w:tc>
        <w:tc>
          <w:tcPr>
            <w:tcW w:type="dxa" w:w="3402"/>
            <w:shd w:fill="FFFFFF" w:val="clear"/>
          </w:tcPr>
          <w:p>
            <w:r>
              <w:rPr>
                <w:sz w:val="16"/>
              </w:rPr>
              <w:t>SCRC - SUCRIVOIRE</w:t>
            </w:r>
          </w:p>
        </w:tc>
        <w:tc>
          <w:tcPr>
            <w:tcW w:type="dxa" w:w="1417"/>
            <w:shd w:fill="FFFFFF" w:val="clear"/>
          </w:tcPr>
          <w:p>
            <w:r>
              <w:rPr>
                <w:sz w:val="16"/>
              </w:rPr>
              <w:t>3,375</w:t>
            </w:r>
          </w:p>
        </w:tc>
        <w:tc>
          <w:tcPr>
            <w:tcW w:type="dxa" w:w="1417"/>
            <w:shd w:fill="FFFFFF" w:val="clear"/>
          </w:tcPr>
          <w:p>
            <w:r>
              <w:rPr>
                <w:sz w:val="16"/>
              </w:rPr>
              <w:t>1,548</w:t>
            </w:r>
          </w:p>
        </w:tc>
        <w:tc>
          <w:tcPr>
            <w:tcW w:type="dxa" w:w="1134"/>
            <w:shd w:fill="FFC7CE" w:val="clear"/>
          </w:tcPr>
          <w:p>
            <w:r>
              <w:rPr>
                <w:b/>
                <w:color w:val="B40000"/>
                <w:sz w:val="16"/>
              </w:rPr>
              <w:t>-54.14%</w:t>
            </w:r>
          </w:p>
        </w:tc>
        <w:tc>
          <w:tcPr>
            <w:tcW w:type="dxa" w:w="1134"/>
            <w:shd w:fill="FFC7CE" w:val="clear"/>
          </w:tcPr>
          <w:p>
            <w:r>
              <w:rPr>
                <w:sz w:val="16"/>
              </w:rPr>
              <w:t>Faible</w:t>
            </w:r>
          </w:p>
        </w:tc>
      </w:tr>
      <w:tr>
        <w:tc>
          <w:tcPr>
            <w:tcW w:type="dxa" w:w="1020"/>
            <w:shd w:fill="FFFFFF" w:val="clear"/>
          </w:tcPr>
          <w:p>
            <w:r>
              <w:rPr>
                <w:sz w:val="16"/>
              </w:rPr>
              <w:t>SAFC</w:t>
            </w:r>
          </w:p>
        </w:tc>
        <w:tc>
          <w:tcPr>
            <w:tcW w:type="dxa" w:w="3402"/>
            <w:shd w:fill="FFFFFF" w:val="clear"/>
          </w:tcPr>
          <w:p>
            <w:r>
              <w:rPr>
                <w:sz w:val="16"/>
              </w:rPr>
              <w:t>SAFCA CI</w:t>
            </w:r>
          </w:p>
        </w:tc>
        <w:tc>
          <w:tcPr>
            <w:tcW w:type="dxa" w:w="1417"/>
            <w:shd w:fill="FFFFFF" w:val="clear"/>
          </w:tcPr>
          <w:p>
            <w:r>
              <w:rPr>
                <w:sz w:val="16"/>
              </w:rPr>
              <w:t>5,850</w:t>
            </w:r>
          </w:p>
        </w:tc>
        <w:tc>
          <w:tcPr>
            <w:tcW w:type="dxa" w:w="1417"/>
            <w:shd w:fill="FFFFFF" w:val="clear"/>
          </w:tcPr>
          <w:p>
            <w:r>
              <w:rPr>
                <w:sz w:val="16"/>
              </w:rPr>
              <w:t>2,683</w:t>
            </w:r>
          </w:p>
        </w:tc>
        <w:tc>
          <w:tcPr>
            <w:tcW w:type="dxa" w:w="1134"/>
            <w:shd w:fill="FFC7CE" w:val="clear"/>
          </w:tcPr>
          <w:p>
            <w:r>
              <w:rPr>
                <w:b/>
                <w:color w:val="B40000"/>
                <w:sz w:val="16"/>
              </w:rPr>
              <w:t>-54.14%</w:t>
            </w:r>
          </w:p>
        </w:tc>
        <w:tc>
          <w:tcPr>
            <w:tcW w:type="dxa" w:w="1134"/>
            <w:shd w:fill="FFC7CE" w:val="clear"/>
          </w:tcPr>
          <w:p>
            <w:r>
              <w:rPr>
                <w:sz w:val="16"/>
              </w:rPr>
              <w:t>Faible</w:t>
            </w:r>
          </w:p>
        </w:tc>
      </w:tr>
    </w:tbl>
    <w:p/>
    <w:p>
      <w:r>
        <w:br w:type="page"/>
      </w:r>
    </w:p>
    <w:p>
      <w:pPr>
        <w:pStyle w:val="Heading1"/>
      </w:pPr>
      <w:r>
        <w:t>💰 ANALYSE FINANCIÈRE COMPARATIVE PAR SECTEUR</w:t>
      </w:r>
    </w:p>
    <w:p>
      <w:r>
        <w:rPr>
          <w:i/>
          <w:color w:val="505050"/>
          <w:sz w:val="18"/>
        </w:rPr>
        <w:t>Cette section compare les performances financières des sociétés cotées sur la base des données structurées annuelles issues de la table brvm_donnees_financieres. Seules les sociétés disposant de données renseignées sont analysées. Pour chaque secteur, les meilleures et moins bonnes performances sont identifiées sur les indicateurs clés de rentabilité, structure et liquidité.</w:t>
      </w:r>
    </w:p>
    <w:p/>
    <w:p>
      <w:r>
        <w:rPr>
          <w:i/>
          <w:color w:val="3C3C3C"/>
          <w:sz w:val="17"/>
        </w:rPr>
        <w:t>Données disponibles pour 44 société(s) sur 47. Sociétés sans données ignorées. 🟢 = performance positive  🔴 = performance à surveiller.</w:t>
      </w:r>
    </w:p>
    <w:p/>
    <w:p>
      <w:r>
        <w:br w:type="page"/>
      </w:r>
    </w:p>
    <w:p>
      <w:pPr>
        <w:pStyle w:val="Heading2"/>
      </w:pPr>
      <w:r>
        <w:rPr>
          <w:color w:val="003366"/>
        </w:rPr>
        <w:t>📂 Secteur : CONSOMMATION DE BASE</w:t>
      </w:r>
    </w:p>
    <w:p>
      <w:r>
        <w:rPr>
          <w:sz w:val="18"/>
        </w:rPr>
        <w:t>7 société(s) avec données financières sur 9 cotée(s) dans ce secteur. Exercice(s) analysé(s) :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NTLC (2025)</w:t>
            </w:r>
          </w:p>
        </w:tc>
        <w:tc>
          <w:tcPr>
            <w:tcW w:type="dxa" w:w="1053"/>
            <w:shd w:fill="1F4E79" w:val="clear"/>
          </w:tcPr>
          <w:p>
            <w:r>
              <w:rPr>
                <w:b/>
                <w:color w:val="FFFFFF"/>
                <w:sz w:val="15"/>
              </w:rPr>
              <w:t>PALC (2025)</w:t>
            </w:r>
          </w:p>
        </w:tc>
        <w:tc>
          <w:tcPr>
            <w:tcW w:type="dxa" w:w="1053"/>
            <w:shd w:fill="1F4E79" w:val="clear"/>
          </w:tcPr>
          <w:p>
            <w:r>
              <w:rPr>
                <w:b/>
                <w:color w:val="FFFFFF"/>
                <w:sz w:val="15"/>
              </w:rPr>
              <w:t>SCRC (2025)</w:t>
            </w:r>
          </w:p>
        </w:tc>
        <w:tc>
          <w:tcPr>
            <w:tcW w:type="dxa" w:w="1053"/>
            <w:shd w:fill="1F4E79" w:val="clear"/>
          </w:tcPr>
          <w:p>
            <w:r>
              <w:rPr>
                <w:b/>
                <w:color w:val="FFFFFF"/>
                <w:sz w:val="15"/>
              </w:rPr>
              <w:t>SLBC (2025)</w:t>
            </w:r>
          </w:p>
        </w:tc>
        <w:tc>
          <w:tcPr>
            <w:tcW w:type="dxa" w:w="1053"/>
            <w:shd w:fill="1F4E79" w:val="clear"/>
          </w:tcPr>
          <w:p>
            <w:r>
              <w:rPr>
                <w:b/>
                <w:color w:val="FFFFFF"/>
                <w:sz w:val="15"/>
              </w:rPr>
              <w:t>SOGC (2025)</w:t>
            </w:r>
          </w:p>
        </w:tc>
        <w:tc>
          <w:tcPr>
            <w:tcW w:type="dxa" w:w="1053"/>
            <w:shd w:fill="1F4E79" w:val="clear"/>
          </w:tcPr>
          <w:p>
            <w:r>
              <w:rPr>
                <w:b/>
                <w:color w:val="FFFFFF"/>
                <w:sz w:val="15"/>
              </w:rPr>
              <w:t>SPHC (2025)</w:t>
            </w:r>
          </w:p>
        </w:tc>
        <w:tc>
          <w:tcPr>
            <w:tcW w:type="dxa" w:w="1053"/>
            <w:shd w:fill="1F4E79" w:val="clear"/>
          </w:tcPr>
          <w:p>
            <w:r>
              <w:rPr>
                <w:b/>
                <w:color w:val="FFFFFF"/>
                <w:sz w:val="15"/>
              </w:rPr>
              <w:t>STBC (2025)</w:t>
            </w:r>
          </w:p>
        </w:tc>
      </w:tr>
      <w:tr>
        <w:tc>
          <w:tcPr>
            <w:tcW w:type="dxa" w:w="2551"/>
            <w:shd w:fill="EEF2F7" w:val="clear"/>
          </w:tcPr>
          <w:p>
            <w:r>
              <w:rPr>
                <w:b/>
                <w:sz w:val="15"/>
              </w:rPr>
              <w:t>ROE</w:t>
            </w:r>
          </w:p>
        </w:tc>
        <w:tc>
          <w:tcPr>
            <w:tcW w:type="dxa" w:w="1053"/>
            <w:shd w:fill="FFFFFF" w:val="clear"/>
          </w:tcPr>
          <w:p>
            <w:r>
              <w:rPr>
                <w:b/>
                <w:color w:val="000000"/>
                <w:sz w:val="16"/>
              </w:rPr>
              <w:t>62.28%</w:t>
            </w:r>
          </w:p>
        </w:tc>
        <w:tc>
          <w:tcPr>
            <w:tcW w:type="dxa" w:w="1053"/>
            <w:shd w:fill="FFFFFF" w:val="clear"/>
          </w:tcPr>
          <w:p>
            <w:r>
              <w:rPr>
                <w:b/>
                <w:color w:val="000000"/>
                <w:sz w:val="16"/>
              </w:rPr>
              <w:t>10.87%</w:t>
            </w:r>
          </w:p>
        </w:tc>
        <w:tc>
          <w:tcPr>
            <w:tcW w:type="dxa" w:w="1053"/>
            <w:shd w:fill="FFC7CE" w:val="clear"/>
          </w:tcPr>
          <w:p>
            <w:r>
              <w:rPr>
                <w:b/>
                <w:color w:val="B40000"/>
                <w:sz w:val="16"/>
              </w:rPr>
              <w:t>-46.13%</w:t>
            </w:r>
          </w:p>
        </w:tc>
        <w:tc>
          <w:tcPr>
            <w:tcW w:type="dxa" w:w="1053"/>
            <w:shd w:fill="FFFFFF" w:val="clear"/>
          </w:tcPr>
          <w:p>
            <w:r>
              <w:rPr>
                <w:b/>
                <w:color w:val="000000"/>
                <w:sz w:val="16"/>
              </w:rPr>
              <w:t>23.46%</w:t>
            </w:r>
          </w:p>
        </w:tc>
        <w:tc>
          <w:tcPr>
            <w:tcW w:type="dxa" w:w="1053"/>
            <w:shd w:fill="FFFFFF" w:val="clear"/>
          </w:tcPr>
          <w:p>
            <w:r>
              <w:rPr>
                <w:b/>
                <w:color w:val="000000"/>
                <w:sz w:val="16"/>
              </w:rPr>
              <w:t>18.26%</w:t>
            </w:r>
          </w:p>
        </w:tc>
        <w:tc>
          <w:tcPr>
            <w:tcW w:type="dxa" w:w="1053"/>
            <w:shd w:fill="FFFFFF" w:val="clear"/>
          </w:tcPr>
          <w:p>
            <w:r>
              <w:rPr>
                <w:b/>
                <w:color w:val="000000"/>
                <w:sz w:val="16"/>
              </w:rPr>
              <w:t>18.10%</w:t>
            </w:r>
          </w:p>
        </w:tc>
        <w:tc>
          <w:tcPr>
            <w:tcW w:type="dxa" w:w="1053"/>
            <w:shd w:fill="C6EFCE" w:val="clear"/>
          </w:tcPr>
          <w:p>
            <w:r>
              <w:rPr>
                <w:b/>
                <w:color w:val="006400"/>
                <w:sz w:val="16"/>
              </w:rPr>
              <w:t>79.75%</w:t>
            </w:r>
          </w:p>
        </w:tc>
      </w:tr>
      <w:tr>
        <w:tc>
          <w:tcPr>
            <w:tcW w:type="dxa" w:w="2551"/>
            <w:shd w:fill="EEF2F7" w:val="clear"/>
          </w:tcPr>
          <w:p>
            <w:r>
              <w:rPr>
                <w:b/>
                <w:sz w:val="15"/>
              </w:rPr>
              <w:t>ROA</w:t>
            </w:r>
          </w:p>
        </w:tc>
        <w:tc>
          <w:tcPr>
            <w:tcW w:type="dxa" w:w="1053"/>
            <w:shd w:fill="FFFFFF" w:val="clear"/>
          </w:tcPr>
          <w:p>
            <w:r>
              <w:rPr>
                <w:b/>
                <w:color w:val="000000"/>
                <w:sz w:val="16"/>
              </w:rPr>
              <w:t>9.70%</w:t>
            </w:r>
          </w:p>
        </w:tc>
        <w:tc>
          <w:tcPr>
            <w:tcW w:type="dxa" w:w="1053"/>
            <w:shd w:fill="FFFFFF" w:val="clear"/>
          </w:tcPr>
          <w:p>
            <w:r>
              <w:rPr>
                <w:b/>
                <w:color w:val="000000"/>
                <w:sz w:val="16"/>
              </w:rPr>
              <w:t>7.79%</w:t>
            </w:r>
          </w:p>
        </w:tc>
        <w:tc>
          <w:tcPr>
            <w:tcW w:type="dxa" w:w="1053"/>
            <w:shd w:fill="FFC7CE" w:val="clear"/>
          </w:tcPr>
          <w:p>
            <w:r>
              <w:rPr>
                <w:b/>
                <w:color w:val="B40000"/>
                <w:sz w:val="16"/>
              </w:rPr>
              <w:t>-5.08%</w:t>
            </w:r>
          </w:p>
        </w:tc>
        <w:tc>
          <w:tcPr>
            <w:tcW w:type="dxa" w:w="1053"/>
            <w:shd w:fill="FFFFFF" w:val="clear"/>
          </w:tcPr>
          <w:p>
            <w:r>
              <w:rPr>
                <w:b/>
                <w:color w:val="000000"/>
                <w:sz w:val="16"/>
              </w:rPr>
              <w:t>13.48%</w:t>
            </w:r>
          </w:p>
        </w:tc>
        <w:tc>
          <w:tcPr>
            <w:tcW w:type="dxa" w:w="1053"/>
            <w:shd w:fill="FFFFFF" w:val="clear"/>
          </w:tcPr>
          <w:p>
            <w:r>
              <w:rPr>
                <w:b/>
                <w:color w:val="000000"/>
                <w:sz w:val="16"/>
              </w:rPr>
              <w:t>13.84%</w:t>
            </w:r>
          </w:p>
        </w:tc>
        <w:tc>
          <w:tcPr>
            <w:tcW w:type="dxa" w:w="1053"/>
            <w:shd w:fill="FFFFFF" w:val="clear"/>
          </w:tcPr>
          <w:p>
            <w:r>
              <w:rPr>
                <w:b/>
                <w:color w:val="000000"/>
                <w:sz w:val="16"/>
              </w:rPr>
              <w:t>11.06%</w:t>
            </w:r>
          </w:p>
        </w:tc>
        <w:tc>
          <w:tcPr>
            <w:tcW w:type="dxa" w:w="1053"/>
            <w:shd w:fill="C6EFCE" w:val="clear"/>
          </w:tcPr>
          <w:p>
            <w:r>
              <w:rPr>
                <w:b/>
                <w:color w:val="006400"/>
                <w:sz w:val="16"/>
              </w:rPr>
              <w:t>48.09%</w:t>
            </w:r>
          </w:p>
        </w:tc>
      </w:tr>
      <w:tr>
        <w:tc>
          <w:tcPr>
            <w:tcW w:type="dxa" w:w="2551"/>
            <w:shd w:fill="EEF2F7" w:val="clear"/>
          </w:tcPr>
          <w:p>
            <w:r>
              <w:rPr>
                <w:b/>
                <w:sz w:val="15"/>
              </w:rPr>
              <w:t>Marge nette</w:t>
            </w:r>
          </w:p>
        </w:tc>
        <w:tc>
          <w:tcPr>
            <w:tcW w:type="dxa" w:w="1053"/>
            <w:shd w:fill="FFFFFF" w:val="clear"/>
          </w:tcPr>
          <w:p>
            <w:r>
              <w:rPr>
                <w:b/>
                <w:color w:val="000000"/>
                <w:sz w:val="16"/>
              </w:rPr>
              <w:t>7.90%</w:t>
            </w:r>
          </w:p>
        </w:tc>
        <w:tc>
          <w:tcPr>
            <w:tcW w:type="dxa" w:w="1053"/>
            <w:shd w:fill="FFFFFF" w:val="clear"/>
          </w:tcPr>
          <w:p>
            <w:r>
              <w:rPr>
                <w:b/>
                <w:color w:val="000000"/>
                <w:sz w:val="16"/>
              </w:rPr>
              <w:t>7.85%</w:t>
            </w:r>
          </w:p>
        </w:tc>
        <w:tc>
          <w:tcPr>
            <w:tcW w:type="dxa" w:w="1053"/>
            <w:shd w:fill="FFC7CE" w:val="clear"/>
          </w:tcPr>
          <w:p>
            <w:r>
              <w:rPr>
                <w:b/>
                <w:color w:val="B40000"/>
                <w:sz w:val="16"/>
              </w:rPr>
              <w:t>-9.87%</w:t>
            </w:r>
          </w:p>
        </w:tc>
        <w:tc>
          <w:tcPr>
            <w:tcW w:type="dxa" w:w="1053"/>
            <w:shd w:fill="FFFFFF" w:val="clear"/>
          </w:tcPr>
          <w:p>
            <w:r>
              <w:rPr>
                <w:b/>
                <w:color w:val="000000"/>
                <w:sz w:val="16"/>
              </w:rPr>
              <w:t>12.11%</w:t>
            </w:r>
          </w:p>
        </w:tc>
        <w:tc>
          <w:tcPr>
            <w:tcW w:type="dxa" w:w="1053"/>
            <w:shd w:fill="FFFFFF" w:val="clear"/>
          </w:tcPr>
          <w:p>
            <w:r>
              <w:rPr>
                <w:b/>
                <w:color w:val="000000"/>
                <w:sz w:val="16"/>
              </w:rPr>
              <w:t>12.62%</w:t>
            </w:r>
          </w:p>
        </w:tc>
        <w:tc>
          <w:tcPr>
            <w:tcW w:type="dxa" w:w="1053"/>
            <w:shd w:fill="FFFFFF" w:val="clear"/>
          </w:tcPr>
          <w:p>
            <w:r>
              <w:rPr>
                <w:b/>
                <w:color w:val="000000"/>
                <w:sz w:val="16"/>
              </w:rPr>
              <w:t>7.33%</w:t>
            </w:r>
          </w:p>
        </w:tc>
        <w:tc>
          <w:tcPr>
            <w:tcW w:type="dxa" w:w="1053"/>
            <w:shd w:fill="C6EFCE" w:val="clear"/>
          </w:tcPr>
          <w:p>
            <w:r>
              <w:rPr>
                <w:b/>
                <w:color w:val="006400"/>
                <w:sz w:val="16"/>
              </w:rPr>
              <w:t>13.46%</w:t>
            </w:r>
          </w:p>
        </w:tc>
      </w:tr>
      <w:tr>
        <w:tc>
          <w:tcPr>
            <w:tcW w:type="dxa" w:w="2551"/>
            <w:shd w:fill="EEF2F7" w:val="clear"/>
          </w:tcPr>
          <w:p>
            <w:r>
              <w:rPr>
                <w:b/>
                <w:sz w:val="15"/>
              </w:rPr>
              <w:t>Résultat net</w:t>
            </w:r>
          </w:p>
        </w:tc>
        <w:tc>
          <w:tcPr>
            <w:tcW w:type="dxa" w:w="1053"/>
            <w:shd w:fill="FFFFFF" w:val="clear"/>
          </w:tcPr>
          <w:p>
            <w:r>
              <w:rPr>
                <w:b/>
                <w:color w:val="000000"/>
                <w:sz w:val="16"/>
              </w:rPr>
              <w:t>18.427 Mds FCFA</w:t>
            </w:r>
          </w:p>
        </w:tc>
        <w:tc>
          <w:tcPr>
            <w:tcW w:type="dxa" w:w="1053"/>
            <w:shd w:fill="FFFFFF" w:val="clear"/>
          </w:tcPr>
          <w:p>
            <w:r>
              <w:rPr>
                <w:b/>
                <w:color w:val="000000"/>
                <w:sz w:val="16"/>
              </w:rPr>
              <w:t>15.509 Mds FCFA</w:t>
            </w:r>
          </w:p>
        </w:tc>
        <w:tc>
          <w:tcPr>
            <w:tcW w:type="dxa" w:w="1053"/>
            <w:shd w:fill="FFC7CE" w:val="clear"/>
          </w:tcPr>
          <w:p>
            <w:r>
              <w:rPr>
                <w:b/>
                <w:color w:val="B40000"/>
                <w:sz w:val="16"/>
              </w:rPr>
              <w:t>-7.954 Mds FCFA</w:t>
            </w:r>
          </w:p>
        </w:tc>
        <w:tc>
          <w:tcPr>
            <w:tcW w:type="dxa" w:w="1053"/>
            <w:shd w:fill="C6EFCE" w:val="clear"/>
          </w:tcPr>
          <w:p>
            <w:r>
              <w:rPr>
                <w:b/>
                <w:color w:val="006400"/>
                <w:sz w:val="16"/>
              </w:rPr>
              <w:t>45.781 Mds FCFA</w:t>
            </w:r>
          </w:p>
        </w:tc>
        <w:tc>
          <w:tcPr>
            <w:tcW w:type="dxa" w:w="1053"/>
            <w:shd w:fill="FFFFFF" w:val="clear"/>
          </w:tcPr>
          <w:p>
            <w:r>
              <w:rPr>
                <w:b/>
                <w:color w:val="000000"/>
                <w:sz w:val="16"/>
              </w:rPr>
              <w:t>12.493 Mds FCFA</w:t>
            </w:r>
          </w:p>
        </w:tc>
        <w:tc>
          <w:tcPr>
            <w:tcW w:type="dxa" w:w="1053"/>
            <w:shd w:fill="FFFFFF" w:val="clear"/>
          </w:tcPr>
          <w:p>
            <w:r>
              <w:rPr>
                <w:b/>
                <w:color w:val="000000"/>
                <w:sz w:val="16"/>
              </w:rPr>
              <w:t>24.972 Mds FCFA</w:t>
            </w:r>
          </w:p>
        </w:tc>
        <w:tc>
          <w:tcPr>
            <w:tcW w:type="dxa" w:w="1053"/>
            <w:shd w:fill="FFFFFF" w:val="clear"/>
          </w:tcPr>
          <w:p>
            <w:r>
              <w:rPr>
                <w:b/>
                <w:color w:val="000000"/>
                <w:sz w:val="16"/>
              </w:rPr>
              <w:t>36.158 Mds FCFA</w:t>
            </w:r>
          </w:p>
        </w:tc>
      </w:tr>
      <w:tr>
        <w:tc>
          <w:tcPr>
            <w:tcW w:type="dxa" w:w="2551"/>
            <w:shd w:fill="EEF2F7" w:val="clear"/>
          </w:tcPr>
          <w:p>
            <w:r>
              <w:rPr>
                <w:b/>
                <w:sz w:val="15"/>
              </w:rPr>
              <w:t>Taux croissance CA/PNB</w:t>
            </w:r>
          </w:p>
        </w:tc>
        <w:tc>
          <w:tcPr>
            <w:tcW w:type="dxa" w:w="1053"/>
            <w:shd w:fill="FFFFFF" w:val="clear"/>
          </w:tcPr>
          <w:p>
            <w:r>
              <w:rPr>
                <w:b/>
                <w:color w:val="000000"/>
                <w:sz w:val="16"/>
              </w:rPr>
              <w:t>5.97%</w:t>
            </w:r>
          </w:p>
        </w:tc>
        <w:tc>
          <w:tcPr>
            <w:tcW w:type="dxa" w:w="1053"/>
            <w:shd w:fill="FFFFFF" w:val="clear"/>
          </w:tcPr>
          <w:p>
            <w:r>
              <w:rPr>
                <w:b/>
                <w:color w:val="000000"/>
                <w:sz w:val="16"/>
              </w:rPr>
              <w:t>14.78%</w:t>
            </w:r>
          </w:p>
        </w:tc>
        <w:tc>
          <w:tcPr>
            <w:tcW w:type="dxa" w:w="1053"/>
            <w:shd w:fill="FFC7CE" w:val="clear"/>
          </w:tcPr>
          <w:p>
            <w:r>
              <w:rPr>
                <w:b/>
                <w:color w:val="B40000"/>
                <w:sz w:val="16"/>
              </w:rPr>
              <w:t>-7.63%</w:t>
            </w:r>
          </w:p>
        </w:tc>
        <w:tc>
          <w:tcPr>
            <w:tcW w:type="dxa" w:w="1053"/>
            <w:shd w:fill="FFFFFF" w:val="clear"/>
          </w:tcPr>
          <w:p>
            <w:r>
              <w:rPr>
                <w:b/>
                <w:color w:val="000000"/>
                <w:sz w:val="16"/>
              </w:rPr>
              <w:t>22.08%</w:t>
            </w:r>
          </w:p>
        </w:tc>
        <w:tc>
          <w:tcPr>
            <w:tcW w:type="dxa" w:w="1053"/>
            <w:shd w:fill="FFFFFF" w:val="clear"/>
          </w:tcPr>
          <w:p>
            <w:r>
              <w:rPr>
                <w:b/>
                <w:color w:val="000000"/>
                <w:sz w:val="16"/>
              </w:rPr>
              <w:t>10.70%</w:t>
            </w:r>
          </w:p>
        </w:tc>
        <w:tc>
          <w:tcPr>
            <w:tcW w:type="dxa" w:w="1053"/>
            <w:shd w:fill="FFFFFF" w:val="clear"/>
          </w:tcPr>
          <w:p>
            <w:r>
              <w:rPr>
                <w:b/>
                <w:color w:val="000000"/>
                <w:sz w:val="16"/>
              </w:rPr>
              <w:t>21.97%</w:t>
            </w:r>
          </w:p>
        </w:tc>
        <w:tc>
          <w:tcPr>
            <w:tcW w:type="dxa" w:w="1053"/>
            <w:shd w:fill="C6EFCE" w:val="clear"/>
          </w:tcPr>
          <w:p>
            <w:r>
              <w:rPr>
                <w:b/>
                <w:color w:val="006400"/>
                <w:sz w:val="16"/>
              </w:rPr>
              <w:t>25.30%</w:t>
            </w:r>
          </w:p>
        </w:tc>
      </w:tr>
      <w:tr>
        <w:tc>
          <w:tcPr>
            <w:tcW w:type="dxa" w:w="2551"/>
            <w:shd w:fill="EEF2F7" w:val="clear"/>
          </w:tcPr>
          <w:p>
            <w:r>
              <w:rPr>
                <w:b/>
                <w:sz w:val="15"/>
              </w:rPr>
              <w:t>Autonomie financière</w:t>
            </w:r>
          </w:p>
        </w:tc>
        <w:tc>
          <w:tcPr>
            <w:tcW w:type="dxa" w:w="1053"/>
            <w:shd w:fill="FFFFFF" w:val="clear"/>
          </w:tcPr>
          <w:p>
            <w:r>
              <w:rPr>
                <w:b/>
                <w:color w:val="000000"/>
                <w:sz w:val="16"/>
              </w:rPr>
              <w:t>15.58%</w:t>
            </w:r>
          </w:p>
        </w:tc>
        <w:tc>
          <w:tcPr>
            <w:tcW w:type="dxa" w:w="1053"/>
            <w:shd w:fill="FFFFFF" w:val="clear"/>
          </w:tcPr>
          <w:p>
            <w:r>
              <w:rPr>
                <w:b/>
                <w:color w:val="000000"/>
                <w:sz w:val="16"/>
              </w:rPr>
              <w:t>71.64%</w:t>
            </w:r>
          </w:p>
        </w:tc>
        <w:tc>
          <w:tcPr>
            <w:tcW w:type="dxa" w:w="1053"/>
            <w:shd w:fill="FFC7CE" w:val="clear"/>
          </w:tcPr>
          <w:p>
            <w:r>
              <w:rPr>
                <w:b/>
                <w:color w:val="B40000"/>
                <w:sz w:val="16"/>
              </w:rPr>
              <w:t>11.02%</w:t>
            </w:r>
          </w:p>
        </w:tc>
        <w:tc>
          <w:tcPr>
            <w:tcW w:type="dxa" w:w="1053"/>
            <w:shd w:fill="FFFFFF" w:val="clear"/>
          </w:tcPr>
          <w:p>
            <w:r>
              <w:rPr>
                <w:b/>
                <w:color w:val="000000"/>
                <w:sz w:val="16"/>
              </w:rPr>
              <w:t>57.48%</w:t>
            </w:r>
          </w:p>
        </w:tc>
        <w:tc>
          <w:tcPr>
            <w:tcW w:type="dxa" w:w="1053"/>
            <w:shd w:fill="C6EFCE" w:val="clear"/>
          </w:tcPr>
          <w:p>
            <w:r>
              <w:rPr>
                <w:b/>
                <w:color w:val="006400"/>
                <w:sz w:val="16"/>
              </w:rPr>
              <w:t>75.79%</w:t>
            </w:r>
          </w:p>
        </w:tc>
        <w:tc>
          <w:tcPr>
            <w:tcW w:type="dxa" w:w="1053"/>
            <w:shd w:fill="FFFFFF" w:val="clear"/>
          </w:tcPr>
          <w:p>
            <w:r>
              <w:rPr>
                <w:b/>
                <w:color w:val="000000"/>
                <w:sz w:val="16"/>
              </w:rPr>
              <w:t>61.08%</w:t>
            </w:r>
          </w:p>
        </w:tc>
        <w:tc>
          <w:tcPr>
            <w:tcW w:type="dxa" w:w="1053"/>
            <w:shd w:fill="FFFFFF" w:val="clear"/>
          </w:tcPr>
          <w:p>
            <w:r>
              <w:rPr>
                <w:b/>
                <w:color w:val="000000"/>
                <w:sz w:val="16"/>
              </w:rPr>
              <w:t>60.30%</w:t>
            </w:r>
          </w:p>
        </w:tc>
      </w:tr>
      <w:tr>
        <w:tc>
          <w:tcPr>
            <w:tcW w:type="dxa" w:w="2551"/>
            <w:shd w:fill="EEF2F7" w:val="clear"/>
          </w:tcPr>
          <w:p>
            <w:r>
              <w:rPr>
                <w:b/>
                <w:sz w:val="15"/>
              </w:rPr>
              <w:t>Ratio endettement</w:t>
            </w:r>
          </w:p>
        </w:tc>
        <w:tc>
          <w:tcPr>
            <w:tcW w:type="dxa" w:w="1053"/>
            <w:shd w:fill="FFC7CE" w:val="clear"/>
          </w:tcPr>
          <w:p>
            <w:r>
              <w:rPr>
                <w:b/>
                <w:color w:val="B40000"/>
                <w:sz w:val="16"/>
              </w:rPr>
              <w:t>135.85%</w:t>
            </w:r>
          </w:p>
        </w:tc>
        <w:tc>
          <w:tcPr>
            <w:tcW w:type="dxa" w:w="1053"/>
            <w:shd w:fill="C6EFCE" w:val="clear"/>
          </w:tcPr>
          <w:p>
            <w:r>
              <w:rPr>
                <w:b/>
                <w:color w:val="006400"/>
                <w:sz w:val="16"/>
              </w:rPr>
              <w:t>0.56%</w:t>
            </w:r>
          </w:p>
        </w:tc>
        <w:tc>
          <w:tcPr>
            <w:tcW w:type="dxa" w:w="1053"/>
            <w:shd w:fill="FFFFFF" w:val="clear"/>
          </w:tcPr>
          <w:p>
            <w:r>
              <w:rPr>
                <w:b/>
                <w:color w:val="000000"/>
                <w:sz w:val="16"/>
              </w:rPr>
              <w:t>88.98%</w:t>
            </w:r>
          </w:p>
        </w:tc>
        <w:tc>
          <w:tcPr>
            <w:tcW w:type="dxa" w:w="1053"/>
            <w:shd w:fill="FFFFFF" w:val="clear"/>
          </w:tcPr>
          <w:p>
            <w:r>
              <w:rPr>
                <w:b/>
                <w:color w:val="000000"/>
                <w:sz w:val="16"/>
              </w:rPr>
              <w:t>42.52%</w:t>
            </w:r>
          </w:p>
        </w:tc>
        <w:tc>
          <w:tcPr>
            <w:tcW w:type="dxa" w:w="1053"/>
            <w:shd w:fill="FFFFFF" w:val="clear"/>
          </w:tcPr>
          <w:p>
            <w:r>
              <w:rPr>
                <w:b/>
                <w:color w:val="000000"/>
                <w:sz w:val="16"/>
              </w:rPr>
              <w:t>24.21%</w:t>
            </w:r>
          </w:p>
        </w:tc>
        <w:tc>
          <w:tcPr>
            <w:tcW w:type="dxa" w:w="1053"/>
            <w:shd w:fill="FFFFFF" w:val="clear"/>
          </w:tcPr>
          <w:p>
            <w:r>
              <w:rPr>
                <w:b/>
                <w:color w:val="000000"/>
                <w:sz w:val="16"/>
              </w:rPr>
              <w:t>25.81%</w:t>
            </w:r>
          </w:p>
        </w:tc>
        <w:tc>
          <w:tcPr>
            <w:tcW w:type="dxa" w:w="1053"/>
            <w:shd w:fill="FFFFFF" w:val="clear"/>
          </w:tcPr>
          <w:p>
            <w:r>
              <w:rPr>
                <w:b/>
                <w:color w:val="000000"/>
                <w:sz w:val="16"/>
              </w:rPr>
              <w:t>39.70%</w:t>
            </w:r>
          </w:p>
        </w:tc>
      </w:tr>
      <w:tr>
        <w:tc>
          <w:tcPr>
            <w:tcW w:type="dxa" w:w="2551"/>
            <w:shd w:fill="EEF2F7" w:val="clear"/>
          </w:tcPr>
          <w:p>
            <w:r>
              <w:rPr>
                <w:b/>
                <w:sz w:val="15"/>
              </w:rPr>
              <w:t>Solvabilité générale</w:t>
            </w:r>
          </w:p>
        </w:tc>
        <w:tc>
          <w:tcPr>
            <w:tcW w:type="dxa" w:w="1053"/>
            <w:shd w:fill="FFFFFF" w:val="clear"/>
          </w:tcPr>
          <w:p>
            <w:r>
              <w:rPr>
                <w:b/>
                <w:color w:val="000000"/>
                <w:sz w:val="16"/>
              </w:rPr>
              <w:t>118.45%</w:t>
            </w:r>
          </w:p>
        </w:tc>
        <w:tc>
          <w:tcPr>
            <w:tcW w:type="dxa" w:w="1053"/>
            <w:shd w:fill="FFFFFF" w:val="clear"/>
          </w:tcPr>
          <w:p>
            <w:r>
              <w:rPr>
                <w:b/>
                <w:color w:val="000000"/>
                <w:sz w:val="16"/>
              </w:rPr>
              <w:t>352.56%</w:t>
            </w:r>
          </w:p>
        </w:tc>
        <w:tc>
          <w:tcPr>
            <w:tcW w:type="dxa" w:w="1053"/>
            <w:shd w:fill="FFC7CE" w:val="clear"/>
          </w:tcPr>
          <w:p>
            <w:r>
              <w:rPr>
                <w:b/>
                <w:color w:val="B40000"/>
                <w:sz w:val="16"/>
              </w:rPr>
              <w:t>112.39%</w:t>
            </w:r>
          </w:p>
        </w:tc>
        <w:tc>
          <w:tcPr>
            <w:tcW w:type="dxa" w:w="1053"/>
            <w:shd w:fill="FFFFFF" w:val="clear"/>
          </w:tcPr>
          <w:p>
            <w:r>
              <w:rPr>
                <w:b/>
                <w:color w:val="000000"/>
                <w:sz w:val="16"/>
              </w:rPr>
              <w:t>235.16%</w:t>
            </w:r>
          </w:p>
        </w:tc>
        <w:tc>
          <w:tcPr>
            <w:tcW w:type="dxa" w:w="1053"/>
            <w:shd w:fill="C6EFCE" w:val="clear"/>
          </w:tcPr>
          <w:p>
            <w:r>
              <w:rPr>
                <w:b/>
                <w:color w:val="006400"/>
                <w:sz w:val="16"/>
              </w:rPr>
              <w:t>413.07%</w:t>
            </w:r>
          </w:p>
        </w:tc>
        <w:tc>
          <w:tcPr>
            <w:tcW w:type="dxa" w:w="1053"/>
            <w:shd w:fill="FFFFFF" w:val="clear"/>
          </w:tcPr>
          <w:p>
            <w:r>
              <w:rPr>
                <w:b/>
                <w:color w:val="000000"/>
                <w:sz w:val="16"/>
              </w:rPr>
              <w:t>256.91%</w:t>
            </w:r>
          </w:p>
        </w:tc>
        <w:tc>
          <w:tcPr>
            <w:tcW w:type="dxa" w:w="1053"/>
            <w:shd w:fill="FFFFFF" w:val="clear"/>
          </w:tcPr>
          <w:p>
            <w:r>
              <w:rPr>
                <w:b/>
                <w:color w:val="000000"/>
                <w:sz w:val="16"/>
              </w:rPr>
              <w:t>251.89%</w:t>
            </w:r>
          </w:p>
        </w:tc>
      </w:tr>
      <w:tr>
        <w:tc>
          <w:tcPr>
            <w:tcW w:type="dxa" w:w="2551"/>
            <w:shd w:fill="EEF2F7" w:val="clear"/>
          </w:tcPr>
          <w:p>
            <w:r>
              <w:rPr>
                <w:b/>
                <w:sz w:val="15"/>
              </w:rPr>
              <w:t>Liquidité générale</w:t>
            </w:r>
          </w:p>
        </w:tc>
        <w:tc>
          <w:tcPr>
            <w:tcW w:type="dxa" w:w="1053"/>
            <w:shd w:fill="FFFFFF" w:val="clear"/>
          </w:tcPr>
          <w:p>
            <w:r>
              <w:rPr>
                <w:b/>
                <w:color w:val="000000"/>
                <w:sz w:val="16"/>
              </w:rPr>
              <w:t>79.86%</w:t>
            </w:r>
          </w:p>
        </w:tc>
        <w:tc>
          <w:tcPr>
            <w:tcW w:type="dxa" w:w="1053"/>
            <w:shd w:fill="FFFFFF" w:val="clear"/>
          </w:tcPr>
          <w:p>
            <w:r>
              <w:rPr>
                <w:b/>
                <w:color w:val="000000"/>
                <w:sz w:val="16"/>
              </w:rPr>
              <w:t>171.95%</w:t>
            </w:r>
          </w:p>
        </w:tc>
        <w:tc>
          <w:tcPr>
            <w:tcW w:type="dxa" w:w="1053"/>
            <w:shd w:fill="FFC7CE" w:val="clear"/>
          </w:tcPr>
          <w:p>
            <w:r>
              <w:rPr>
                <w:b/>
                <w:color w:val="B40000"/>
                <w:sz w:val="16"/>
              </w:rPr>
              <w:t>74.53%</w:t>
            </w:r>
          </w:p>
        </w:tc>
        <w:tc>
          <w:tcPr>
            <w:tcW w:type="dxa" w:w="1053"/>
            <w:shd w:fill="FFFFFF" w:val="clear"/>
          </w:tcPr>
          <w:p>
            <w:r>
              <w:rPr>
                <w:b/>
                <w:color w:val="000000"/>
                <w:sz w:val="16"/>
              </w:rPr>
              <w:t>195.00%</w:t>
            </w:r>
          </w:p>
        </w:tc>
        <w:tc>
          <w:tcPr>
            <w:tcW w:type="dxa" w:w="1053"/>
            <w:shd w:fill="FFFFFF" w:val="clear"/>
          </w:tcPr>
          <w:p>
            <w:r>
              <w:rPr>
                <w:b/>
                <w:color w:val="000000"/>
                <w:sz w:val="16"/>
              </w:rPr>
              <w:t>170.32%</w:t>
            </w:r>
          </w:p>
        </w:tc>
        <w:tc>
          <w:tcPr>
            <w:tcW w:type="dxa" w:w="1053"/>
            <w:shd w:fill="FFFFFF" w:val="clear"/>
          </w:tcPr>
          <w:p>
            <w:r>
              <w:rPr>
                <w:b/>
                <w:color w:val="000000"/>
                <w:sz w:val="16"/>
              </w:rPr>
              <w:t>195.54%</w:t>
            </w:r>
          </w:p>
        </w:tc>
        <w:tc>
          <w:tcPr>
            <w:tcW w:type="dxa" w:w="1053"/>
            <w:shd w:fill="C6EFCE" w:val="clear"/>
          </w:tcPr>
          <w:p>
            <w:r>
              <w:rPr>
                <w:b/>
                <w:color w:val="006400"/>
                <w:sz w:val="16"/>
              </w:rPr>
              <w:t>224.99%</w:t>
            </w:r>
          </w:p>
        </w:tc>
      </w:tr>
      <w:tr>
        <w:tc>
          <w:tcPr>
            <w:tcW w:type="dxa" w:w="2551"/>
            <w:shd w:fill="EEF2F7" w:val="clear"/>
          </w:tcPr>
          <w:p>
            <w:r>
              <w:rPr>
                <w:b/>
                <w:sz w:val="15"/>
              </w:rPr>
              <w:t>Free Cash Flow</w:t>
            </w:r>
          </w:p>
        </w:tc>
        <w:tc>
          <w:tcPr>
            <w:tcW w:type="dxa" w:w="1053"/>
            <w:shd w:fill="F2F2F2" w:val="clear"/>
          </w:tcPr>
          <w:p>
            <w:r>
              <w:rPr>
                <w:b/>
                <w:sz w:val="16"/>
              </w:rPr>
              <w:t>N/D</w:t>
            </w:r>
          </w:p>
        </w:tc>
        <w:tc>
          <w:tcPr>
            <w:tcW w:type="dxa" w:w="1053"/>
            <w:shd w:fill="FFFFFF" w:val="clear"/>
          </w:tcPr>
          <w:p>
            <w:r>
              <w:rPr>
                <w:b/>
                <w:color w:val="000000"/>
                <w:sz w:val="16"/>
              </w:rPr>
              <w:t>19.053 Mds FCFA</w:t>
            </w:r>
          </w:p>
        </w:tc>
        <w:tc>
          <w:tcPr>
            <w:tcW w:type="dxa" w:w="1053"/>
            <w:shd w:fill="FFC7CE" w:val="clear"/>
          </w:tcPr>
          <w:p>
            <w:r>
              <w:rPr>
                <w:b/>
                <w:color w:val="B40000"/>
                <w:sz w:val="16"/>
              </w:rPr>
              <w:t>-12.402 Mds FCFA</w:t>
            </w:r>
          </w:p>
        </w:tc>
        <w:tc>
          <w:tcPr>
            <w:tcW w:type="dxa" w:w="1053"/>
            <w:shd w:fill="C6EFCE" w:val="clear"/>
          </w:tcPr>
          <w:p>
            <w:r>
              <w:rPr>
                <w:b/>
                <w:color w:val="006400"/>
                <w:sz w:val="16"/>
              </w:rPr>
              <w:t>60.867 Mds FCFA</w:t>
            </w:r>
          </w:p>
        </w:tc>
        <w:tc>
          <w:tcPr>
            <w:tcW w:type="dxa" w:w="1053"/>
            <w:shd w:fill="FFFFFF" w:val="clear"/>
          </w:tcPr>
          <w:p>
            <w:r>
              <w:rPr>
                <w:b/>
                <w:color w:val="000000"/>
                <w:sz w:val="16"/>
              </w:rPr>
              <w:t>16.031 Mds FCFA</w:t>
            </w:r>
          </w:p>
        </w:tc>
        <w:tc>
          <w:tcPr>
            <w:tcW w:type="dxa" w:w="1053"/>
            <w:shd w:fill="FFFFFF" w:val="clear"/>
          </w:tcPr>
          <w:p>
            <w:r>
              <w:rPr>
                <w:b/>
                <w:color w:val="000000"/>
                <w:sz w:val="16"/>
              </w:rPr>
              <w:t>14.194 Mds FCFA</w:t>
            </w:r>
          </w:p>
        </w:tc>
        <w:tc>
          <w:tcPr>
            <w:tcW w:type="dxa" w:w="1053"/>
            <w:shd w:fill="FFFFFF" w:val="clear"/>
          </w:tcPr>
          <w:p>
            <w:r>
              <w:rPr>
                <w:b/>
                <w:color w:val="000000"/>
                <w:sz w:val="16"/>
              </w:rPr>
              <w:t>20.657 Mds FCFA</w:t>
            </w:r>
          </w:p>
        </w:tc>
      </w:tr>
      <w:tr>
        <w:tc>
          <w:tcPr>
            <w:tcW w:type="dxa" w:w="2551"/>
            <w:shd w:fill="EEF2F7" w:val="clear"/>
          </w:tcPr>
          <w:p>
            <w:r>
              <w:rPr>
                <w:b/>
                <w:sz w:val="15"/>
              </w:rPr>
              <w:t>Marge opérationnelle</w:t>
            </w:r>
          </w:p>
        </w:tc>
        <w:tc>
          <w:tcPr>
            <w:tcW w:type="dxa" w:w="1053"/>
            <w:shd w:fill="FFFFFF" w:val="clear"/>
          </w:tcPr>
          <w:p>
            <w:r>
              <w:rPr>
                <w:b/>
                <w:color w:val="000000"/>
                <w:sz w:val="16"/>
              </w:rPr>
              <w:t>16.16%</w:t>
            </w:r>
          </w:p>
        </w:tc>
        <w:tc>
          <w:tcPr>
            <w:tcW w:type="dxa" w:w="1053"/>
            <w:shd w:fill="FFFFFF" w:val="clear"/>
          </w:tcPr>
          <w:p>
            <w:r>
              <w:rPr>
                <w:b/>
                <w:color w:val="000000"/>
                <w:sz w:val="16"/>
              </w:rPr>
              <w:t>9.19%</w:t>
            </w:r>
          </w:p>
        </w:tc>
        <w:tc>
          <w:tcPr>
            <w:tcW w:type="dxa" w:w="1053"/>
            <w:shd w:fill="FFC7CE" w:val="clear"/>
          </w:tcPr>
          <w:p>
            <w:r>
              <w:rPr>
                <w:b/>
                <w:color w:val="B40000"/>
                <w:sz w:val="16"/>
              </w:rPr>
              <w:t>-0.68%</w:t>
            </w:r>
          </w:p>
        </w:tc>
        <w:tc>
          <w:tcPr>
            <w:tcW w:type="dxa" w:w="1053"/>
            <w:shd w:fill="FFFFFF" w:val="clear"/>
          </w:tcPr>
          <w:p>
            <w:r>
              <w:rPr>
                <w:b/>
                <w:color w:val="000000"/>
                <w:sz w:val="16"/>
              </w:rPr>
              <w:t>17.23%</w:t>
            </w:r>
          </w:p>
        </w:tc>
        <w:tc>
          <w:tcPr>
            <w:tcW w:type="dxa" w:w="1053"/>
            <w:shd w:fill="C6EFCE" w:val="clear"/>
          </w:tcPr>
          <w:p>
            <w:r>
              <w:rPr>
                <w:b/>
                <w:color w:val="006400"/>
                <w:sz w:val="16"/>
              </w:rPr>
              <w:t>17.24%</w:t>
            </w:r>
          </w:p>
        </w:tc>
        <w:tc>
          <w:tcPr>
            <w:tcW w:type="dxa" w:w="1053"/>
            <w:shd w:fill="FFFFFF" w:val="clear"/>
          </w:tcPr>
          <w:p>
            <w:r>
              <w:rPr>
                <w:b/>
                <w:color w:val="000000"/>
                <w:sz w:val="16"/>
              </w:rPr>
              <w:t>11.19%</w:t>
            </w:r>
          </w:p>
        </w:tc>
        <w:tc>
          <w:tcPr>
            <w:tcW w:type="dxa" w:w="1053"/>
            <w:shd w:fill="FFFFFF" w:val="clear"/>
          </w:tcPr>
          <w:p>
            <w:r>
              <w:rPr>
                <w:b/>
                <w:color w:val="000000"/>
                <w:sz w:val="16"/>
              </w:rPr>
              <w:t>17.12%</w:t>
            </w:r>
          </w:p>
        </w:tc>
      </w:tr>
      <w:tr>
        <w:tc>
          <w:tcPr>
            <w:tcW w:type="dxa" w:w="2551"/>
            <w:shd w:fill="EEF2F7" w:val="clear"/>
          </w:tcPr>
          <w:p>
            <w:r>
              <w:rPr>
                <w:b/>
                <w:sz w:val="15"/>
              </w:rPr>
              <w:t>Délai clients</w:t>
            </w:r>
          </w:p>
        </w:tc>
        <w:tc>
          <w:tcPr>
            <w:tcW w:type="dxa" w:w="1053"/>
            <w:shd w:fill="FFFFFF" w:val="clear"/>
          </w:tcPr>
          <w:p>
            <w:r>
              <w:rPr>
                <w:b/>
                <w:color w:val="000000"/>
                <w:sz w:val="16"/>
              </w:rPr>
              <w:t>74.3 j</w:t>
            </w:r>
          </w:p>
        </w:tc>
        <w:tc>
          <w:tcPr>
            <w:tcW w:type="dxa" w:w="1053"/>
            <w:shd w:fill="FFC7CE" w:val="clear"/>
          </w:tcPr>
          <w:p>
            <w:r>
              <w:rPr>
                <w:b/>
                <w:color w:val="B40000"/>
                <w:sz w:val="16"/>
              </w:rPr>
              <w:t>142.6 j</w:t>
            </w:r>
          </w:p>
        </w:tc>
        <w:tc>
          <w:tcPr>
            <w:tcW w:type="dxa" w:w="1053"/>
            <w:shd w:fill="C6EFCE" w:val="clear"/>
          </w:tcPr>
          <w:p>
            <w:r>
              <w:rPr>
                <w:b/>
                <w:color w:val="006400"/>
                <w:sz w:val="16"/>
              </w:rPr>
              <w:t>12.3 j</w:t>
            </w:r>
          </w:p>
        </w:tc>
        <w:tc>
          <w:tcPr>
            <w:tcW w:type="dxa" w:w="1053"/>
            <w:shd w:fill="FFFFFF" w:val="clear"/>
          </w:tcPr>
          <w:p>
            <w:r>
              <w:rPr>
                <w:b/>
                <w:color w:val="000000"/>
                <w:sz w:val="16"/>
              </w:rPr>
              <w:t>64.3 j</w:t>
            </w:r>
          </w:p>
        </w:tc>
        <w:tc>
          <w:tcPr>
            <w:tcW w:type="dxa" w:w="1053"/>
            <w:shd w:fill="FFFFFF" w:val="clear"/>
          </w:tcPr>
          <w:p>
            <w:r>
              <w:rPr>
                <w:b/>
                <w:color w:val="000000"/>
                <w:sz w:val="16"/>
              </w:rPr>
              <w:t>29.6 j</w:t>
            </w:r>
          </w:p>
        </w:tc>
        <w:tc>
          <w:tcPr>
            <w:tcW w:type="dxa" w:w="1053"/>
            <w:shd w:fill="FFFFFF" w:val="clear"/>
          </w:tcPr>
          <w:p>
            <w:r>
              <w:rPr>
                <w:b/>
                <w:color w:val="000000"/>
                <w:sz w:val="16"/>
              </w:rPr>
              <w:t>35.0 j</w:t>
            </w:r>
          </w:p>
        </w:tc>
        <w:tc>
          <w:tcPr>
            <w:tcW w:type="dxa" w:w="1053"/>
            <w:shd w:fill="FFFFFF" w:val="clear"/>
          </w:tcPr>
          <w:p>
            <w:r>
              <w:rPr>
                <w:b/>
                <w:color w:val="000000"/>
                <w:sz w:val="16"/>
              </w:rPr>
              <w:t>42.6 j</w:t>
            </w:r>
          </w:p>
        </w:tc>
      </w:tr>
      <w:tr>
        <w:tc>
          <w:tcPr>
            <w:tcW w:type="dxa" w:w="2551"/>
            <w:shd w:fill="EEF2F7" w:val="clear"/>
          </w:tcPr>
          <w:p>
            <w:r>
              <w:rPr>
                <w:b/>
                <w:sz w:val="15"/>
              </w:rPr>
              <w:t>Durée stockage</w:t>
            </w:r>
          </w:p>
        </w:tc>
        <w:tc>
          <w:tcPr>
            <w:tcW w:type="dxa" w:w="1053"/>
            <w:shd w:fill="FFFFFF" w:val="clear"/>
          </w:tcPr>
          <w:p>
            <w:r>
              <w:rPr>
                <w:b/>
                <w:color w:val="000000"/>
                <w:sz w:val="16"/>
              </w:rPr>
              <w:t>59.4 j</w:t>
            </w:r>
          </w:p>
        </w:tc>
        <w:tc>
          <w:tcPr>
            <w:tcW w:type="dxa" w:w="1053"/>
            <w:shd w:fill="FFFFFF" w:val="clear"/>
          </w:tcPr>
          <w:p>
            <w:r>
              <w:rPr>
                <w:b/>
                <w:color w:val="000000"/>
                <w:sz w:val="16"/>
              </w:rPr>
              <w:t>14.5 j</w:t>
            </w:r>
          </w:p>
        </w:tc>
        <w:tc>
          <w:tcPr>
            <w:tcW w:type="dxa" w:w="1053"/>
            <w:shd w:fill="FFC7CE" w:val="clear"/>
          </w:tcPr>
          <w:p>
            <w:r>
              <w:rPr>
                <w:b/>
                <w:color w:val="B40000"/>
                <w:sz w:val="16"/>
              </w:rPr>
              <w:t>360.7 j</w:t>
            </w:r>
          </w:p>
        </w:tc>
        <w:tc>
          <w:tcPr>
            <w:tcW w:type="dxa" w:w="1053"/>
            <w:shd w:fill="FFFFFF" w:val="clear"/>
          </w:tcPr>
          <w:p>
            <w:r>
              <w:rPr>
                <w:b/>
                <w:color w:val="000000"/>
                <w:sz w:val="16"/>
              </w:rPr>
              <w:t>117.3 j</w:t>
            </w:r>
          </w:p>
        </w:tc>
        <w:tc>
          <w:tcPr>
            <w:tcW w:type="dxa" w:w="1053"/>
            <w:shd w:fill="FFFFFF" w:val="clear"/>
          </w:tcPr>
          <w:p>
            <w:r>
              <w:rPr>
                <w:b/>
                <w:color w:val="000000"/>
                <w:sz w:val="16"/>
              </w:rPr>
              <w:t>97.7 j</w:t>
            </w:r>
          </w:p>
        </w:tc>
        <w:tc>
          <w:tcPr>
            <w:tcW w:type="dxa" w:w="1053"/>
            <w:shd w:fill="FFFFFF" w:val="clear"/>
          </w:tcPr>
          <w:p>
            <w:r>
              <w:rPr>
                <w:b/>
                <w:color w:val="000000"/>
                <w:sz w:val="16"/>
              </w:rPr>
              <w:t>72.3 j</w:t>
            </w:r>
          </w:p>
        </w:tc>
        <w:tc>
          <w:tcPr>
            <w:tcW w:type="dxa" w:w="1053"/>
            <w:shd w:fill="C6EFCE" w:val="clear"/>
          </w:tcPr>
          <w:p>
            <w:r>
              <w:rPr>
                <w:b/>
                <w:color w:val="006400"/>
                <w:sz w:val="16"/>
              </w:rPr>
              <w:t>5.7 j</w:t>
            </w:r>
          </w:p>
        </w:tc>
      </w:tr>
    </w:tbl>
    <w:p/>
    <w:p>
      <w:pPr>
        <w:pStyle w:val="Heading3"/>
      </w:pPr>
      <w:r>
        <w:t>🔍 Analyse détaillée par société</w:t>
      </w:r>
    </w:p>
    <w:p>
      <w:pPr>
        <w:spacing w:before="160"/>
      </w:pPr>
      <w:r>
        <w:rPr>
          <w:b/>
          <w:color w:val="003366"/>
          <w:sz w:val="20"/>
        </w:rPr>
        <w:t xml:space="preserve">▶ NTLC — NTLC - NESTLE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62.28%</w:t>
            </w:r>
          </w:p>
        </w:tc>
        <w:tc>
          <w:tcPr>
            <w:tcW w:type="dxa" w:w="5669"/>
            <w:shd w:fill="FFFFFF" w:val="clear"/>
          </w:tcPr>
          <w:p>
            <w:r>
              <w:rPr>
                <w:sz w:val="15"/>
              </w:rPr>
              <w:t>✅ ROE de 62.3%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9.70%</w:t>
            </w:r>
          </w:p>
        </w:tc>
        <w:tc>
          <w:tcPr>
            <w:tcW w:type="dxa" w:w="5669"/>
            <w:shd w:fill="FFFFFF" w:val="clear"/>
          </w:tcPr>
          <w:p>
            <w:r>
              <w:rPr>
                <w:sz w:val="15"/>
              </w:rPr>
              <w:t>✅ ROA de 9.70%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7.90%</w:t>
            </w:r>
          </w:p>
        </w:tc>
        <w:tc>
          <w:tcPr>
            <w:tcW w:type="dxa" w:w="5669"/>
            <w:shd w:fill="FFFFFF" w:val="clear"/>
          </w:tcPr>
          <w:p>
            <w:r>
              <w:rPr>
                <w:sz w:val="15"/>
              </w:rPr>
              <w:t>✅ Marge nette de 7.9%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18.427 Mds FCFA</w:t>
            </w:r>
          </w:p>
        </w:tc>
        <w:tc>
          <w:tcPr>
            <w:tcW w:type="dxa" w:w="5669"/>
            <w:shd w:fill="FFFFFF" w:val="clear"/>
          </w:tcPr>
          <w:p>
            <w:r>
              <w:rPr>
                <w:sz w:val="15"/>
              </w:rPr>
              <w:t>✅ Résultat net positif de 18.427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5.97%</w:t>
            </w:r>
          </w:p>
        </w:tc>
        <w:tc>
          <w:tcPr>
            <w:tcW w:type="dxa" w:w="5669"/>
            <w:shd w:fill="FFFFFF" w:val="clear"/>
          </w:tcPr>
          <w:p>
            <w:r>
              <w:rPr>
                <w:sz w:val="15"/>
              </w:rPr>
              <w:t>✅ Croissance de 6.0%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15.58%</w:t>
            </w:r>
          </w:p>
        </w:tc>
        <w:tc>
          <w:tcPr>
            <w:tcW w:type="dxa" w:w="5669"/>
            <w:shd w:fill="FFFFFF" w:val="clear"/>
          </w:tcPr>
          <w:p>
            <w:r>
              <w:rPr>
                <w:sz w:val="15"/>
              </w:rPr>
              <w:t>⚠️ Autonomie limitée (15.6%)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135.85%</w:t>
            </w:r>
          </w:p>
        </w:tc>
        <w:tc>
          <w:tcPr>
            <w:tcW w:type="dxa" w:w="5669"/>
            <w:shd w:fill="FFFFFF" w:val="clear"/>
          </w:tcPr>
          <w:p>
            <w:r>
              <w:rPr>
                <w:sz w:val="15"/>
              </w:rPr>
              <w:t>✅ Gearing de 136%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118.45%</w:t>
            </w:r>
          </w:p>
        </w:tc>
        <w:tc>
          <w:tcPr>
            <w:tcW w:type="dxa" w:w="5669"/>
            <w:shd w:fill="FFFFFF" w:val="clear"/>
          </w:tcPr>
          <w:p>
            <w:r>
              <w:rPr>
                <w:sz w:val="15"/>
              </w:rPr>
              <w:t>⚠️ Solvabilité limite (118%)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79.86%</w:t>
            </w:r>
          </w:p>
        </w:tc>
        <w:tc>
          <w:tcPr>
            <w:tcW w:type="dxa" w:w="5669"/>
            <w:shd w:fill="FFFFFF" w:val="clear"/>
          </w:tcPr>
          <w:p>
            <w:r>
              <w:rPr>
                <w:sz w:val="15"/>
              </w:rPr>
              <w:t>❌ Liquidité insuffisante (79.86x) — actif circulant ne couvre pas les dettes CT. Risque de défaut de paiement.</w:t>
            </w:r>
          </w:p>
        </w:tc>
      </w:tr>
      <w:tr>
        <w:tc>
          <w:tcPr>
            <w:tcW w:type="dxa" w:w="2268"/>
            <w:shd w:fill="EEF2F7" w:val="clear"/>
          </w:tcPr>
          <w:p>
            <w:r>
              <w:rPr>
                <w:b/>
                <w:sz w:val="15"/>
              </w:rPr>
              <w:t>Marge opérationnelle</w:t>
            </w:r>
          </w:p>
        </w:tc>
        <w:tc>
          <w:tcPr>
            <w:tcW w:type="dxa" w:w="1984"/>
            <w:shd w:fill="C6EFCE" w:val="clear"/>
          </w:tcPr>
          <w:p>
            <w:r>
              <w:rPr>
                <w:b/>
                <w:color w:val="007800"/>
                <w:sz w:val="17"/>
              </w:rPr>
              <w:t>16.16%</w:t>
            </w:r>
          </w:p>
        </w:tc>
        <w:tc>
          <w:tcPr>
            <w:tcW w:type="dxa" w:w="5669"/>
            <w:shd w:fill="FFFFFF" w:val="clear"/>
          </w:tcPr>
          <w:p>
            <w:r>
              <w:rPr>
                <w:sz w:val="15"/>
              </w:rPr>
              <w:t>✅ Marge opérationnelle correcte (16.2%).</w:t>
            </w:r>
          </w:p>
        </w:tc>
      </w:tr>
      <w:tr>
        <w:tc>
          <w:tcPr>
            <w:tcW w:type="dxa" w:w="2268"/>
            <w:shd w:fill="EEF2F7" w:val="clear"/>
          </w:tcPr>
          <w:p>
            <w:r>
              <w:rPr>
                <w:b/>
                <w:sz w:val="15"/>
              </w:rPr>
              <w:t>Délai clients</w:t>
            </w:r>
          </w:p>
        </w:tc>
        <w:tc>
          <w:tcPr>
            <w:tcW w:type="dxa" w:w="1984"/>
            <w:shd w:fill="FFEB9C" w:val="clear"/>
          </w:tcPr>
          <w:p>
            <w:r>
              <w:rPr>
                <w:b/>
                <w:color w:val="007800"/>
                <w:sz w:val="17"/>
              </w:rPr>
              <w:t>74.3 j</w:t>
            </w:r>
          </w:p>
        </w:tc>
        <w:tc>
          <w:tcPr>
            <w:tcW w:type="dxa" w:w="5669"/>
            <w:shd w:fill="FFFFFF" w:val="clear"/>
          </w:tcPr>
          <w:p>
            <w:r>
              <w:rPr>
                <w:sz w:val="15"/>
              </w:rPr>
              <w:t>⚠️ Délai long (74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59.4 j</w:t>
            </w:r>
          </w:p>
        </w:tc>
        <w:tc>
          <w:tcPr>
            <w:tcW w:type="dxa" w:w="5669"/>
            <w:shd w:fill="FFFFFF" w:val="clear"/>
          </w:tcPr>
          <w:p>
            <w:r>
              <w:rPr>
                <w:sz w:val="15"/>
              </w:rPr>
              <w:t>✅ Durée de stockage standard (59 jours).</w:t>
            </w:r>
          </w:p>
        </w:tc>
      </w:tr>
    </w:tbl>
    <w:p/>
    <w:p>
      <w:pPr>
        <w:spacing w:before="160"/>
      </w:pPr>
      <w:r>
        <w:rPr>
          <w:b/>
          <w:color w:val="003366"/>
          <w:sz w:val="20"/>
        </w:rPr>
        <w:t xml:space="preserve">▶ PALC — PALC - PALM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10.87%</w:t>
            </w:r>
          </w:p>
        </w:tc>
        <w:tc>
          <w:tcPr>
            <w:tcW w:type="dxa" w:w="5669"/>
            <w:shd w:fill="FFFFFF" w:val="clear"/>
          </w:tcPr>
          <w:p>
            <w:r>
              <w:rPr>
                <w:sz w:val="15"/>
              </w:rPr>
              <w:t>⚠️ ROE de 10.9%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7.79%</w:t>
            </w:r>
          </w:p>
        </w:tc>
        <w:tc>
          <w:tcPr>
            <w:tcW w:type="dxa" w:w="5669"/>
            <w:shd w:fill="FFFFFF" w:val="clear"/>
          </w:tcPr>
          <w:p>
            <w:r>
              <w:rPr>
                <w:sz w:val="15"/>
              </w:rPr>
              <w:t>✅ ROA de 7.79%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7.85%</w:t>
            </w:r>
          </w:p>
        </w:tc>
        <w:tc>
          <w:tcPr>
            <w:tcW w:type="dxa" w:w="5669"/>
            <w:shd w:fill="FFFFFF" w:val="clear"/>
          </w:tcPr>
          <w:p>
            <w:r>
              <w:rPr>
                <w:sz w:val="15"/>
              </w:rPr>
              <w:t>✅ Marge nette de 7.8%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15.509 Mds FCFA</w:t>
            </w:r>
          </w:p>
        </w:tc>
        <w:tc>
          <w:tcPr>
            <w:tcW w:type="dxa" w:w="5669"/>
            <w:shd w:fill="FFFFFF" w:val="clear"/>
          </w:tcPr>
          <w:p>
            <w:r>
              <w:rPr>
                <w:sz w:val="15"/>
              </w:rPr>
              <w:t>✅ Résultat net positif de 15.509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14.78%</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71.64%</w:t>
            </w:r>
          </w:p>
        </w:tc>
        <w:tc>
          <w:tcPr>
            <w:tcW w:type="dxa" w:w="5669"/>
            <w:shd w:fill="FFFFFF" w:val="clear"/>
          </w:tcPr>
          <w:p>
            <w:r>
              <w:rPr>
                <w:sz w:val="15"/>
              </w:rPr>
              <w:t>✅ Autonomie financière de 71.6%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0.56%</w:t>
            </w:r>
          </w:p>
        </w:tc>
        <w:tc>
          <w:tcPr>
            <w:tcW w:type="dxa" w:w="5669"/>
            <w:shd w:fill="FFFFFF" w:val="clear"/>
          </w:tcPr>
          <w:p>
            <w:r>
              <w:rPr>
                <w:sz w:val="15"/>
              </w:rPr>
              <w:t>✅ Gearing de 1%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352.56%</w:t>
            </w:r>
          </w:p>
        </w:tc>
        <w:tc>
          <w:tcPr>
            <w:tcW w:type="dxa" w:w="5669"/>
            <w:shd w:fill="FFFFFF" w:val="clear"/>
          </w:tcPr>
          <w:p>
            <w:r>
              <w:rPr>
                <w:sz w:val="15"/>
              </w:rPr>
              <w:t>✅ Solvabilité de 353%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171.95%</w:t>
            </w:r>
          </w:p>
        </w:tc>
        <w:tc>
          <w:tcPr>
            <w:tcW w:type="dxa" w:w="5669"/>
            <w:shd w:fill="FFFFFF" w:val="clear"/>
          </w:tcPr>
          <w:p>
            <w:r>
              <w:rPr>
                <w:sz w:val="15"/>
              </w:rPr>
              <w:t>✅ Liquidité générale de 171.95x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19.053 Mds FCFA</w:t>
            </w:r>
          </w:p>
        </w:tc>
        <w:tc>
          <w:tcPr>
            <w:tcW w:type="dxa" w:w="5669"/>
            <w:shd w:fill="FFFFFF" w:val="clear"/>
          </w:tcPr>
          <w:p>
            <w:r>
              <w:rPr>
                <w:sz w:val="15"/>
              </w:rPr>
              <w:t>✅ FCF positif de 19.053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9.19%</w:t>
            </w:r>
          </w:p>
        </w:tc>
        <w:tc>
          <w:tcPr>
            <w:tcW w:type="dxa" w:w="5669"/>
            <w:shd w:fill="FFFFFF" w:val="clear"/>
          </w:tcPr>
          <w:p>
            <w:r>
              <w:rPr>
                <w:sz w:val="15"/>
              </w:rPr>
              <w:t>✅ Marge opérationnelle correcte (9.2%).</w:t>
            </w:r>
          </w:p>
        </w:tc>
      </w:tr>
      <w:tr>
        <w:tc>
          <w:tcPr>
            <w:tcW w:type="dxa" w:w="2268"/>
            <w:shd w:fill="EEF2F7" w:val="clear"/>
          </w:tcPr>
          <w:p>
            <w:r>
              <w:rPr>
                <w:b/>
                <w:sz w:val="15"/>
              </w:rPr>
              <w:t>Délai clients</w:t>
            </w:r>
          </w:p>
        </w:tc>
        <w:tc>
          <w:tcPr>
            <w:tcW w:type="dxa" w:w="1984"/>
            <w:shd w:fill="FFC7CE" w:val="clear"/>
          </w:tcPr>
          <w:p>
            <w:r>
              <w:rPr>
                <w:b/>
                <w:color w:val="007800"/>
                <w:sz w:val="17"/>
              </w:rPr>
              <w:t>142.6 j</w:t>
            </w:r>
          </w:p>
        </w:tc>
        <w:tc>
          <w:tcPr>
            <w:tcW w:type="dxa" w:w="5669"/>
            <w:shd w:fill="FFFFFF" w:val="clear"/>
          </w:tcPr>
          <w:p>
            <w:r>
              <w:rPr>
                <w:sz w:val="15"/>
              </w:rPr>
              <w:t>❌ Délai critique de 143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14.5 j</w:t>
            </w:r>
          </w:p>
        </w:tc>
        <w:tc>
          <w:tcPr>
            <w:tcW w:type="dxa" w:w="5669"/>
            <w:shd w:fill="FFFFFF" w:val="clear"/>
          </w:tcPr>
          <w:p>
            <w:r>
              <w:rPr>
                <w:sz w:val="15"/>
              </w:rPr>
              <w:t>✅ Stock écoulé en 15 jours — rotation excellente, capital peu immobilisé.</w:t>
            </w:r>
          </w:p>
        </w:tc>
      </w:tr>
    </w:tbl>
    <w:p/>
    <w:p>
      <w:pPr>
        <w:spacing w:before="160"/>
      </w:pPr>
      <w:r>
        <w:rPr>
          <w:b/>
          <w:color w:val="003366"/>
          <w:sz w:val="20"/>
        </w:rPr>
        <w:t xml:space="preserve">▶ SCRC — SCRC - SUCRIVOIRE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-46.13%</w:t>
            </w:r>
          </w:p>
        </w:tc>
        <w:tc>
          <w:tcPr>
            <w:tcW w:type="dxa" w:w="5669"/>
            <w:shd w:fill="FFFFFF" w:val="clear"/>
          </w:tcPr>
          <w:p>
            <w:r>
              <w:rPr>
                <w:sz w:val="15"/>
              </w:rPr>
              <w:t>❌ ROE négatif (-46.1%)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-5.08%</w:t>
            </w:r>
          </w:p>
        </w:tc>
        <w:tc>
          <w:tcPr>
            <w:tcW w:type="dxa" w:w="5669"/>
            <w:shd w:fill="FFFFFF" w:val="clear"/>
          </w:tcPr>
          <w:p>
            <w:r>
              <w:rPr>
                <w:sz w:val="15"/>
              </w:rPr>
              <w:t>❌ ROA négatif (-5.08%) — actifs non rentables.</w:t>
            </w:r>
          </w:p>
        </w:tc>
      </w:tr>
      <w:tr>
        <w:tc>
          <w:tcPr>
            <w:tcW w:type="dxa" w:w="2268"/>
            <w:shd w:fill="EEF2F7" w:val="clear"/>
          </w:tcPr>
          <w:p>
            <w:r>
              <w:rPr>
                <w:b/>
                <w:sz w:val="15"/>
              </w:rPr>
              <w:t>Marge nette</w:t>
            </w:r>
          </w:p>
        </w:tc>
        <w:tc>
          <w:tcPr>
            <w:tcW w:type="dxa" w:w="1984"/>
            <w:shd w:fill="FFC7CE" w:val="clear"/>
          </w:tcPr>
          <w:p>
            <w:r>
              <w:rPr>
                <w:b/>
                <w:color w:val="B40000"/>
                <w:sz w:val="17"/>
              </w:rPr>
              <w:t>-9.87%</w:t>
            </w:r>
          </w:p>
        </w:tc>
        <w:tc>
          <w:tcPr>
            <w:tcW w:type="dxa" w:w="5669"/>
            <w:shd w:fill="FFFFFF" w:val="clear"/>
          </w:tcPr>
          <w:p>
            <w:r>
              <w:rPr>
                <w:sz w:val="15"/>
              </w:rPr>
              <w:t>❌ Marge nette négative (-9.9%)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-7.954 Mds FCFA</w:t>
            </w:r>
          </w:p>
        </w:tc>
        <w:tc>
          <w:tcPr>
            <w:tcW w:type="dxa" w:w="5669"/>
            <w:shd w:fill="FFFFFF" w:val="clear"/>
          </w:tcPr>
          <w:p>
            <w:r>
              <w:rPr>
                <w:sz w:val="15"/>
              </w:rPr>
              <w:t>❌ Perte nette de 7.954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-7.63%</w:t>
            </w:r>
          </w:p>
        </w:tc>
        <w:tc>
          <w:tcPr>
            <w:tcW w:type="dxa" w:w="5669"/>
            <w:shd w:fill="FFFFFF" w:val="clear"/>
          </w:tcPr>
          <w:p>
            <w:r>
              <w:rPr>
                <w:sz w:val="15"/>
              </w:rPr>
              <w:t>❌ Recul marqué de 7.6%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11.02%</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88.98%</w:t>
            </w:r>
          </w:p>
        </w:tc>
        <w:tc>
          <w:tcPr>
            <w:tcW w:type="dxa" w:w="5669"/>
            <w:shd w:fill="FFFFFF" w:val="clear"/>
          </w:tcPr>
          <w:p>
            <w:r>
              <w:rPr>
                <w:sz w:val="15"/>
              </w:rPr>
              <w:t>✅ Gearing de 89%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74.53%</w:t>
            </w:r>
          </w:p>
        </w:tc>
        <w:tc>
          <w:tcPr>
            <w:tcW w:type="dxa" w:w="5669"/>
            <w:shd w:fill="FFFFFF" w:val="clear"/>
          </w:tcPr>
          <w:p>
            <w:r>
              <w:rPr>
                <w:sz w:val="15"/>
              </w:rPr>
              <w:t>❌ Liquidité insuffisante (74.53x)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-12.402 Mds FCFA</w:t>
            </w:r>
          </w:p>
        </w:tc>
        <w:tc>
          <w:tcPr>
            <w:tcW w:type="dxa" w:w="5669"/>
            <w:shd w:fill="FFFFFF" w:val="clear"/>
          </w:tcPr>
          <w:p>
            <w:r>
              <w:rPr>
                <w:sz w:val="15"/>
              </w:rPr>
              <w:t>❌ FCF négatif significatif (-12.402 Mds FCFA) — la société consomme de la trésorerie. Risque si la situation perdure.</w:t>
            </w:r>
          </w:p>
        </w:tc>
      </w:tr>
      <w:tr>
        <w:tc>
          <w:tcPr>
            <w:tcW w:type="dxa" w:w="2268"/>
            <w:shd w:fill="EEF2F7" w:val="clear"/>
          </w:tcPr>
          <w:p>
            <w:r>
              <w:rPr>
                <w:b/>
                <w:sz w:val="15"/>
              </w:rPr>
              <w:t>Marge opérationnelle</w:t>
            </w:r>
          </w:p>
        </w:tc>
        <w:tc>
          <w:tcPr>
            <w:tcW w:type="dxa" w:w="1984"/>
            <w:shd w:fill="FFC7CE" w:val="clear"/>
          </w:tcPr>
          <w:p>
            <w:r>
              <w:rPr>
                <w:b/>
                <w:color w:val="B40000"/>
                <w:sz w:val="17"/>
              </w:rPr>
              <w:t>-0.68%</w:t>
            </w:r>
          </w:p>
        </w:tc>
        <w:tc>
          <w:tcPr>
            <w:tcW w:type="dxa" w:w="5669"/>
            <w:shd w:fill="FFFFFF" w:val="clear"/>
          </w:tcPr>
          <w:p>
            <w:r>
              <w:rPr>
                <w:sz w:val="15"/>
              </w:rPr>
              <w:t>❌ Marge opérationnelle négative (-0.7%)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12.3 j</w:t>
            </w:r>
          </w:p>
        </w:tc>
        <w:tc>
          <w:tcPr>
            <w:tcW w:type="dxa" w:w="5669"/>
            <w:shd w:fill="FFFFFF" w:val="clear"/>
          </w:tcPr>
          <w:p>
            <w:r>
              <w:rPr>
                <w:sz w:val="15"/>
              </w:rPr>
              <w:t>✅ Délai clients de 12 jours — recouvrement rapide. Trésorerie peu sollicitée par les créances clients.</w:t>
            </w:r>
          </w:p>
        </w:tc>
      </w:tr>
      <w:tr>
        <w:tc>
          <w:tcPr>
            <w:tcW w:type="dxa" w:w="2268"/>
            <w:shd w:fill="EEF2F7" w:val="clear"/>
          </w:tcPr>
          <w:p>
            <w:r>
              <w:rPr>
                <w:b/>
                <w:sz w:val="15"/>
              </w:rPr>
              <w:t>Durée stockage</w:t>
            </w:r>
          </w:p>
        </w:tc>
        <w:tc>
          <w:tcPr>
            <w:tcW w:type="dxa" w:w="1984"/>
            <w:shd w:fill="FFC7CE" w:val="clear"/>
          </w:tcPr>
          <w:p>
            <w:r>
              <w:rPr>
                <w:b/>
                <w:color w:val="007800"/>
                <w:sz w:val="17"/>
              </w:rPr>
              <w:t>360.7 j</w:t>
            </w:r>
          </w:p>
        </w:tc>
        <w:tc>
          <w:tcPr>
            <w:tcW w:type="dxa" w:w="5669"/>
            <w:shd w:fill="FFFFFF" w:val="clear"/>
          </w:tcPr>
          <w:p>
            <w:r>
              <w:rPr>
                <w:sz w:val="15"/>
              </w:rPr>
              <w:t>❌ Stock quasi-bloqué (361 jours) — capital fortement immobilisé, risque d'obsolescence élevé.</w:t>
            </w:r>
          </w:p>
        </w:tc>
      </w:tr>
    </w:tbl>
    <w:p/>
    <w:p>
      <w:pPr>
        <w:spacing w:before="160"/>
      </w:pPr>
      <w:r>
        <w:rPr>
          <w:b/>
          <w:color w:val="003366"/>
          <w:sz w:val="20"/>
        </w:rPr>
        <w:t xml:space="preserve">▶ SLBC — SLBC - SOLIBRA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23.46%</w:t>
            </w:r>
          </w:p>
        </w:tc>
        <w:tc>
          <w:tcPr>
            <w:tcW w:type="dxa" w:w="5669"/>
            <w:shd w:fill="FFFFFF" w:val="clear"/>
          </w:tcPr>
          <w:p>
            <w:r>
              <w:rPr>
                <w:sz w:val="15"/>
              </w:rPr>
              <w:t>✅ ROE de 23.5%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13.48%</w:t>
            </w:r>
          </w:p>
        </w:tc>
        <w:tc>
          <w:tcPr>
            <w:tcW w:type="dxa" w:w="5669"/>
            <w:shd w:fill="FFFFFF" w:val="clear"/>
          </w:tcPr>
          <w:p>
            <w:r>
              <w:rPr>
                <w:sz w:val="15"/>
              </w:rPr>
              <w:t>✅ ROA de 13.48%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12.11%</w:t>
            </w:r>
          </w:p>
        </w:tc>
        <w:tc>
          <w:tcPr>
            <w:tcW w:type="dxa" w:w="5669"/>
            <w:shd w:fill="FFFFFF" w:val="clear"/>
          </w:tcPr>
          <w:p>
            <w:r>
              <w:rPr>
                <w:sz w:val="15"/>
              </w:rPr>
              <w:t>✅ Marge nette de 12.1%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45.781 Mds FCFA</w:t>
            </w:r>
          </w:p>
        </w:tc>
        <w:tc>
          <w:tcPr>
            <w:tcW w:type="dxa" w:w="5669"/>
            <w:shd w:fill="FFFFFF" w:val="clear"/>
          </w:tcPr>
          <w:p>
            <w:r>
              <w:rPr>
                <w:sz w:val="15"/>
              </w:rPr>
              <w:t>✅ Résultat net positif de 45.781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22.08%</w:t>
            </w:r>
          </w:p>
        </w:tc>
        <w:tc>
          <w:tcPr>
            <w:tcW w:type="dxa" w:w="5669"/>
            <w:shd w:fill="FFFFFF" w:val="clear"/>
          </w:tcPr>
          <w:p>
            <w:r>
              <w:rPr>
                <w:sz w:val="15"/>
              </w:rPr>
              <w:t>✅ Croissance de 22.1%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57.48%</w:t>
            </w:r>
          </w:p>
        </w:tc>
        <w:tc>
          <w:tcPr>
            <w:tcW w:type="dxa" w:w="5669"/>
            <w:shd w:fill="FFFFFF" w:val="clear"/>
          </w:tcPr>
          <w:p>
            <w:r>
              <w:rPr>
                <w:sz w:val="15"/>
              </w:rPr>
              <w:t>✅ Autonomie financière de 57.5%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42.52%</w:t>
            </w:r>
          </w:p>
        </w:tc>
        <w:tc>
          <w:tcPr>
            <w:tcW w:type="dxa" w:w="5669"/>
            <w:shd w:fill="FFFFFF" w:val="clear"/>
          </w:tcPr>
          <w:p>
            <w:r>
              <w:rPr>
                <w:sz w:val="15"/>
              </w:rPr>
              <w:t>✅ Gearing de 43%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235.16%</w:t>
            </w:r>
          </w:p>
        </w:tc>
        <w:tc>
          <w:tcPr>
            <w:tcW w:type="dxa" w:w="5669"/>
            <w:shd w:fill="FFFFFF" w:val="clear"/>
          </w:tcPr>
          <w:p>
            <w:r>
              <w:rPr>
                <w:sz w:val="15"/>
              </w:rPr>
              <w:t>✅ Solvabilité de 235%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195.00%</w:t>
            </w:r>
          </w:p>
        </w:tc>
        <w:tc>
          <w:tcPr>
            <w:tcW w:type="dxa" w:w="5669"/>
            <w:shd w:fill="FFFFFF" w:val="clear"/>
          </w:tcPr>
          <w:p>
            <w:r>
              <w:rPr>
                <w:sz w:val="15"/>
              </w:rPr>
              <w:t>✅ Liquidité générale de 195.00x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60.867 Mds FCFA</w:t>
            </w:r>
          </w:p>
        </w:tc>
        <w:tc>
          <w:tcPr>
            <w:tcW w:type="dxa" w:w="5669"/>
            <w:shd w:fill="FFFFFF" w:val="clear"/>
          </w:tcPr>
          <w:p>
            <w:r>
              <w:rPr>
                <w:sz w:val="15"/>
              </w:rPr>
              <w:t>✅ FCF positif de 60.867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17.23%</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FFEB9C" w:val="clear"/>
          </w:tcPr>
          <w:p>
            <w:r>
              <w:rPr>
                <w:b/>
                <w:color w:val="007800"/>
                <w:sz w:val="17"/>
              </w:rPr>
              <w:t>64.3 j</w:t>
            </w:r>
          </w:p>
        </w:tc>
        <w:tc>
          <w:tcPr>
            <w:tcW w:type="dxa" w:w="5669"/>
            <w:shd w:fill="FFFFFF" w:val="clear"/>
          </w:tcPr>
          <w:p>
            <w:r>
              <w:rPr>
                <w:sz w:val="15"/>
              </w:rPr>
              <w:t>⚠️ Délai long (64 jours) — risque d'impayés accru, pression sur la trésorerie CT.</w:t>
            </w:r>
          </w:p>
        </w:tc>
      </w:tr>
      <w:tr>
        <w:tc>
          <w:tcPr>
            <w:tcW w:type="dxa" w:w="2268"/>
            <w:shd w:fill="EEF2F7" w:val="clear"/>
          </w:tcPr>
          <w:p>
            <w:r>
              <w:rPr>
                <w:b/>
                <w:sz w:val="15"/>
              </w:rPr>
              <w:t>Durée stockage</w:t>
            </w:r>
          </w:p>
        </w:tc>
        <w:tc>
          <w:tcPr>
            <w:tcW w:type="dxa" w:w="1984"/>
            <w:shd w:fill="FFEB9C" w:val="clear"/>
          </w:tcPr>
          <w:p>
            <w:r>
              <w:rPr>
                <w:b/>
                <w:color w:val="007800"/>
                <w:sz w:val="17"/>
              </w:rPr>
              <w:t>117.3 j</w:t>
            </w:r>
          </w:p>
        </w:tc>
        <w:tc>
          <w:tcPr>
            <w:tcW w:type="dxa" w:w="5669"/>
            <w:shd w:fill="FFFFFF" w:val="clear"/>
          </w:tcPr>
          <w:p>
            <w:r>
              <w:rPr>
                <w:sz w:val="15"/>
              </w:rPr>
              <w:t>⚠️ Stock lent (117 jours) — immobilisation de capital importante. Risque d'obsolescence.</w:t>
            </w:r>
          </w:p>
        </w:tc>
      </w:tr>
    </w:tbl>
    <w:p/>
    <w:p>
      <w:pPr>
        <w:spacing w:before="160"/>
      </w:pPr>
      <w:r>
        <w:rPr>
          <w:b/>
          <w:color w:val="003366"/>
          <w:sz w:val="20"/>
        </w:rPr>
        <w:t xml:space="preserve">▶ SOGC — SOGC - Société des caoutchoucs de Grand-Béréby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18.26%</w:t>
            </w:r>
          </w:p>
        </w:tc>
        <w:tc>
          <w:tcPr>
            <w:tcW w:type="dxa" w:w="5669"/>
            <w:shd w:fill="FFFFFF" w:val="clear"/>
          </w:tcPr>
          <w:p>
            <w:r>
              <w:rPr>
                <w:sz w:val="15"/>
              </w:rPr>
              <w:t>✅ ROE de 18.3%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13.84%</w:t>
            </w:r>
          </w:p>
        </w:tc>
        <w:tc>
          <w:tcPr>
            <w:tcW w:type="dxa" w:w="5669"/>
            <w:shd w:fill="FFFFFF" w:val="clear"/>
          </w:tcPr>
          <w:p>
            <w:r>
              <w:rPr>
                <w:sz w:val="15"/>
              </w:rPr>
              <w:t>✅ ROA de 13.84%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12.62%</w:t>
            </w:r>
          </w:p>
        </w:tc>
        <w:tc>
          <w:tcPr>
            <w:tcW w:type="dxa" w:w="5669"/>
            <w:shd w:fill="FFFFFF" w:val="clear"/>
          </w:tcPr>
          <w:p>
            <w:r>
              <w:rPr>
                <w:sz w:val="15"/>
              </w:rPr>
              <w:t>✅ Marge nette de 12.6%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12.493 Mds FCFA</w:t>
            </w:r>
          </w:p>
        </w:tc>
        <w:tc>
          <w:tcPr>
            <w:tcW w:type="dxa" w:w="5669"/>
            <w:shd w:fill="FFFFFF" w:val="clear"/>
          </w:tcPr>
          <w:p>
            <w:r>
              <w:rPr>
                <w:sz w:val="15"/>
              </w:rPr>
              <w:t>✅ Résultat net positif de 12.493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10.70%</w:t>
            </w:r>
          </w:p>
        </w:tc>
        <w:tc>
          <w:tcPr>
            <w:tcW w:type="dxa" w:w="5669"/>
            <w:shd w:fill="FFFFFF" w:val="clear"/>
          </w:tcPr>
          <w:p>
            <w:r>
              <w:rPr>
                <w:sz w:val="15"/>
              </w:rPr>
              <w:t>✅ Croissance de 10.7%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75.79%</w:t>
            </w:r>
          </w:p>
        </w:tc>
        <w:tc>
          <w:tcPr>
            <w:tcW w:type="dxa" w:w="5669"/>
            <w:shd w:fill="FFFFFF" w:val="clear"/>
          </w:tcPr>
          <w:p>
            <w:r>
              <w:rPr>
                <w:sz w:val="15"/>
              </w:rPr>
              <w:t>✅ Autonomie financière de 75.8%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24.21%</w:t>
            </w:r>
          </w:p>
        </w:tc>
        <w:tc>
          <w:tcPr>
            <w:tcW w:type="dxa" w:w="5669"/>
            <w:shd w:fill="FFFFFF" w:val="clear"/>
          </w:tcPr>
          <w:p>
            <w:r>
              <w:rPr>
                <w:sz w:val="15"/>
              </w:rPr>
              <w:t>✅ Gearing de 24%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413.07%</w:t>
            </w:r>
          </w:p>
        </w:tc>
        <w:tc>
          <w:tcPr>
            <w:tcW w:type="dxa" w:w="5669"/>
            <w:shd w:fill="FFFFFF" w:val="clear"/>
          </w:tcPr>
          <w:p>
            <w:r>
              <w:rPr>
                <w:sz w:val="15"/>
              </w:rPr>
              <w:t>✅ Solvabilité de 413%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170.32%</w:t>
            </w:r>
          </w:p>
        </w:tc>
        <w:tc>
          <w:tcPr>
            <w:tcW w:type="dxa" w:w="5669"/>
            <w:shd w:fill="FFFFFF" w:val="clear"/>
          </w:tcPr>
          <w:p>
            <w:r>
              <w:rPr>
                <w:sz w:val="15"/>
              </w:rPr>
              <w:t>✅ Liquidité générale de 170.32x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16.031 Mds FCFA</w:t>
            </w:r>
          </w:p>
        </w:tc>
        <w:tc>
          <w:tcPr>
            <w:tcW w:type="dxa" w:w="5669"/>
            <w:shd w:fill="FFFFFF" w:val="clear"/>
          </w:tcPr>
          <w:p>
            <w:r>
              <w:rPr>
                <w:sz w:val="15"/>
              </w:rPr>
              <w:t>✅ FCF positif de 16.031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17.24%</w:t>
            </w:r>
          </w:p>
        </w:tc>
        <w:tc>
          <w:tcPr>
            <w:tcW w:type="dxa" w:w="5669"/>
            <w:shd w:fill="FFFFFF" w:val="clear"/>
          </w:tcPr>
          <w:p>
            <w:r>
              <w:rPr>
                <w:sz w:val="15"/>
              </w:rPr>
              <w:t>✅ Marge opérationnelle correcte (17.2%).</w:t>
            </w:r>
          </w:p>
        </w:tc>
      </w:tr>
      <w:tr>
        <w:tc>
          <w:tcPr>
            <w:tcW w:type="dxa" w:w="2268"/>
            <w:shd w:fill="EEF2F7" w:val="clear"/>
          </w:tcPr>
          <w:p>
            <w:r>
              <w:rPr>
                <w:b/>
                <w:sz w:val="15"/>
              </w:rPr>
              <w:t>Délai clients</w:t>
            </w:r>
          </w:p>
        </w:tc>
        <w:tc>
          <w:tcPr>
            <w:tcW w:type="dxa" w:w="1984"/>
            <w:shd w:fill="C6EFCE" w:val="clear"/>
          </w:tcPr>
          <w:p>
            <w:r>
              <w:rPr>
                <w:b/>
                <w:color w:val="007800"/>
                <w:sz w:val="17"/>
              </w:rPr>
              <w:t>29.6 j</w:t>
            </w:r>
          </w:p>
        </w:tc>
        <w:tc>
          <w:tcPr>
            <w:tcW w:type="dxa" w:w="5669"/>
            <w:shd w:fill="FFFFFF" w:val="clear"/>
          </w:tcPr>
          <w:p>
            <w:r>
              <w:rPr>
                <w:sz w:val="15"/>
              </w:rPr>
              <w:t>✅ Délai clients de 30 jours — recouvrement rapide. Trésorerie peu sollicitée par les créances clients.</w:t>
            </w:r>
          </w:p>
        </w:tc>
      </w:tr>
      <w:tr>
        <w:tc>
          <w:tcPr>
            <w:tcW w:type="dxa" w:w="2268"/>
            <w:shd w:fill="EEF2F7" w:val="clear"/>
          </w:tcPr>
          <w:p>
            <w:r>
              <w:rPr>
                <w:b/>
                <w:sz w:val="15"/>
              </w:rPr>
              <w:t>Durée stockage</w:t>
            </w:r>
          </w:p>
        </w:tc>
        <w:tc>
          <w:tcPr>
            <w:tcW w:type="dxa" w:w="1984"/>
            <w:shd w:fill="FFEB9C" w:val="clear"/>
          </w:tcPr>
          <w:p>
            <w:r>
              <w:rPr>
                <w:b/>
                <w:color w:val="007800"/>
                <w:sz w:val="17"/>
              </w:rPr>
              <w:t>97.7 j</w:t>
            </w:r>
          </w:p>
        </w:tc>
        <w:tc>
          <w:tcPr>
            <w:tcW w:type="dxa" w:w="5669"/>
            <w:shd w:fill="FFFFFF" w:val="clear"/>
          </w:tcPr>
          <w:p>
            <w:r>
              <w:rPr>
                <w:sz w:val="15"/>
              </w:rPr>
              <w:t>⚠️ Stock lent (98 jours) — immobilisation de capital importante. Risque d'obsolescence.</w:t>
            </w:r>
          </w:p>
        </w:tc>
      </w:tr>
    </w:tbl>
    <w:p/>
    <w:p>
      <w:pPr>
        <w:spacing w:before="160"/>
      </w:pPr>
      <w:r>
        <w:rPr>
          <w:b/>
          <w:color w:val="003366"/>
          <w:sz w:val="20"/>
        </w:rPr>
        <w:t xml:space="preserve">▶ SPHC — SPHC - Société Africaine de Plantation d'Hévéas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18.10%</w:t>
            </w:r>
          </w:p>
        </w:tc>
        <w:tc>
          <w:tcPr>
            <w:tcW w:type="dxa" w:w="5669"/>
            <w:shd w:fill="FFFFFF" w:val="clear"/>
          </w:tcPr>
          <w:p>
            <w:r>
              <w:rPr>
                <w:sz w:val="15"/>
              </w:rPr>
              <w:t>✅ ROE de 18.1%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11.06%</w:t>
            </w:r>
          </w:p>
        </w:tc>
        <w:tc>
          <w:tcPr>
            <w:tcW w:type="dxa" w:w="5669"/>
            <w:shd w:fill="FFFFFF" w:val="clear"/>
          </w:tcPr>
          <w:p>
            <w:r>
              <w:rPr>
                <w:sz w:val="15"/>
              </w:rPr>
              <w:t>✅ ROA de 11.06%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7.33%</w:t>
            </w:r>
          </w:p>
        </w:tc>
        <w:tc>
          <w:tcPr>
            <w:tcW w:type="dxa" w:w="5669"/>
            <w:shd w:fill="FFFFFF" w:val="clear"/>
          </w:tcPr>
          <w:p>
            <w:r>
              <w:rPr>
                <w:sz w:val="15"/>
              </w:rPr>
              <w:t>✅ Marge nette de 7.3%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24.972 Mds FCFA</w:t>
            </w:r>
          </w:p>
        </w:tc>
        <w:tc>
          <w:tcPr>
            <w:tcW w:type="dxa" w:w="5669"/>
            <w:shd w:fill="FFFFFF" w:val="clear"/>
          </w:tcPr>
          <w:p>
            <w:r>
              <w:rPr>
                <w:sz w:val="15"/>
              </w:rPr>
              <w:t>✅ Résultat net positif de 24.972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21.97%</w:t>
            </w:r>
          </w:p>
        </w:tc>
        <w:tc>
          <w:tcPr>
            <w:tcW w:type="dxa" w:w="5669"/>
            <w:shd w:fill="FFFFFF" w:val="clear"/>
          </w:tcPr>
          <w:p>
            <w:r>
              <w:rPr>
                <w:sz w:val="15"/>
              </w:rPr>
              <w:t>✅ Croissance de 22.0%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61.08%</w:t>
            </w:r>
          </w:p>
        </w:tc>
        <w:tc>
          <w:tcPr>
            <w:tcW w:type="dxa" w:w="5669"/>
            <w:shd w:fill="FFFFFF" w:val="clear"/>
          </w:tcPr>
          <w:p>
            <w:r>
              <w:rPr>
                <w:sz w:val="15"/>
              </w:rPr>
              <w:t>✅ Autonomie financière de 61.1%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25.81%</w:t>
            </w:r>
          </w:p>
        </w:tc>
        <w:tc>
          <w:tcPr>
            <w:tcW w:type="dxa" w:w="5669"/>
            <w:shd w:fill="FFFFFF" w:val="clear"/>
          </w:tcPr>
          <w:p>
            <w:r>
              <w:rPr>
                <w:sz w:val="15"/>
              </w:rPr>
              <w:t>✅ Gearing de 26%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256.91%</w:t>
            </w:r>
          </w:p>
        </w:tc>
        <w:tc>
          <w:tcPr>
            <w:tcW w:type="dxa" w:w="5669"/>
            <w:shd w:fill="FFFFFF" w:val="clear"/>
          </w:tcPr>
          <w:p>
            <w:r>
              <w:rPr>
                <w:sz w:val="15"/>
              </w:rPr>
              <w:t>✅ Solvabilité de 257%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195.54%</w:t>
            </w:r>
          </w:p>
        </w:tc>
        <w:tc>
          <w:tcPr>
            <w:tcW w:type="dxa" w:w="5669"/>
            <w:shd w:fill="FFFFFF" w:val="clear"/>
          </w:tcPr>
          <w:p>
            <w:r>
              <w:rPr>
                <w:sz w:val="15"/>
              </w:rPr>
              <w:t>✅ Liquidité générale de 195.54x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14.194 Mds FCFA</w:t>
            </w:r>
          </w:p>
        </w:tc>
        <w:tc>
          <w:tcPr>
            <w:tcW w:type="dxa" w:w="5669"/>
            <w:shd w:fill="FFFFFF" w:val="clear"/>
          </w:tcPr>
          <w:p>
            <w:r>
              <w:rPr>
                <w:sz w:val="15"/>
              </w:rPr>
              <w:t>✅ FCF positif de 14.194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11.19%</w:t>
            </w:r>
          </w:p>
        </w:tc>
        <w:tc>
          <w:tcPr>
            <w:tcW w:type="dxa" w:w="5669"/>
            <w:shd w:fill="FFFFFF" w:val="clear"/>
          </w:tcPr>
          <w:p>
            <w:r>
              <w:rPr>
                <w:sz w:val="15"/>
              </w:rPr>
              <w:t>✅ Marge opérationnelle correcte (11.2%).</w:t>
            </w:r>
          </w:p>
        </w:tc>
      </w:tr>
      <w:tr>
        <w:tc>
          <w:tcPr>
            <w:tcW w:type="dxa" w:w="2268"/>
            <w:shd w:fill="EEF2F7" w:val="clear"/>
          </w:tcPr>
          <w:p>
            <w:r>
              <w:rPr>
                <w:b/>
                <w:sz w:val="15"/>
              </w:rPr>
              <w:t>Délai clients</w:t>
            </w:r>
          </w:p>
        </w:tc>
        <w:tc>
          <w:tcPr>
            <w:tcW w:type="dxa" w:w="1984"/>
            <w:shd w:fill="C6EFCE" w:val="clear"/>
          </w:tcPr>
          <w:p>
            <w:r>
              <w:rPr>
                <w:b/>
                <w:color w:val="007800"/>
                <w:sz w:val="17"/>
              </w:rPr>
              <w:t>35.0 j</w:t>
            </w:r>
          </w:p>
        </w:tc>
        <w:tc>
          <w:tcPr>
            <w:tcW w:type="dxa" w:w="5669"/>
            <w:shd w:fill="FFFFFF" w:val="clear"/>
          </w:tcPr>
          <w:p>
            <w:r>
              <w:rPr>
                <w:sz w:val="15"/>
              </w:rPr>
              <w:t>✅ Délai standard (35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72.3 j</w:t>
            </w:r>
          </w:p>
        </w:tc>
        <w:tc>
          <w:tcPr>
            <w:tcW w:type="dxa" w:w="5669"/>
            <w:shd w:fill="FFFFFF" w:val="clear"/>
          </w:tcPr>
          <w:p>
            <w:r>
              <w:rPr>
                <w:sz w:val="15"/>
              </w:rPr>
              <w:t>⚠️ Stock lent (72 jours) — immobilisation de capital importante. Risque d'obsolescence.</w:t>
            </w:r>
          </w:p>
        </w:tc>
      </w:tr>
    </w:tbl>
    <w:p/>
    <w:p>
      <w:pPr>
        <w:spacing w:before="160"/>
      </w:pPr>
      <w:r>
        <w:rPr>
          <w:b/>
          <w:color w:val="003366"/>
          <w:sz w:val="20"/>
        </w:rPr>
        <w:t xml:space="preserve">▶ STBC — STBC - SITAB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79.75%</w:t>
            </w:r>
          </w:p>
        </w:tc>
        <w:tc>
          <w:tcPr>
            <w:tcW w:type="dxa" w:w="5669"/>
            <w:shd w:fill="FFFFFF" w:val="clear"/>
          </w:tcPr>
          <w:p>
            <w:r>
              <w:rPr>
                <w:sz w:val="15"/>
              </w:rPr>
              <w:t>✅ ROE de 79.8%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48.09%</w:t>
            </w:r>
          </w:p>
        </w:tc>
        <w:tc>
          <w:tcPr>
            <w:tcW w:type="dxa" w:w="5669"/>
            <w:shd w:fill="FFFFFF" w:val="clear"/>
          </w:tcPr>
          <w:p>
            <w:r>
              <w:rPr>
                <w:sz w:val="15"/>
              </w:rPr>
              <w:t>✅ ROA de 48.09%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13.46%</w:t>
            </w:r>
          </w:p>
        </w:tc>
        <w:tc>
          <w:tcPr>
            <w:tcW w:type="dxa" w:w="5669"/>
            <w:shd w:fill="FFFFFF" w:val="clear"/>
          </w:tcPr>
          <w:p>
            <w:r>
              <w:rPr>
                <w:sz w:val="15"/>
              </w:rPr>
              <w:t>✅ Marge nette de 13.5%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36.158 Mds FCFA</w:t>
            </w:r>
          </w:p>
        </w:tc>
        <w:tc>
          <w:tcPr>
            <w:tcW w:type="dxa" w:w="5669"/>
            <w:shd w:fill="FFFFFF" w:val="clear"/>
          </w:tcPr>
          <w:p>
            <w:r>
              <w:rPr>
                <w:sz w:val="15"/>
              </w:rPr>
              <w:t>✅ Résultat net positif de 36.158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25.30%</w:t>
            </w:r>
          </w:p>
        </w:tc>
        <w:tc>
          <w:tcPr>
            <w:tcW w:type="dxa" w:w="5669"/>
            <w:shd w:fill="FFFFFF" w:val="clear"/>
          </w:tcPr>
          <w:p>
            <w:r>
              <w:rPr>
                <w:sz w:val="15"/>
              </w:rPr>
              <w:t>✅ Croissance de 25.3%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C6EFCE" w:val="clear"/>
          </w:tcPr>
          <w:p>
            <w:r>
              <w:rPr>
                <w:b/>
                <w:color w:val="007800"/>
                <w:sz w:val="17"/>
              </w:rPr>
              <w:t>60.30%</w:t>
            </w:r>
          </w:p>
        </w:tc>
        <w:tc>
          <w:tcPr>
            <w:tcW w:type="dxa" w:w="5669"/>
            <w:shd w:fill="FFFFFF" w:val="clear"/>
          </w:tcPr>
          <w:p>
            <w:r>
              <w:rPr>
                <w:sz w:val="15"/>
              </w:rPr>
              <w:t>✅ Autonomie financière de 60.3%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39.70%</w:t>
            </w:r>
          </w:p>
        </w:tc>
        <w:tc>
          <w:tcPr>
            <w:tcW w:type="dxa" w:w="5669"/>
            <w:shd w:fill="FFFFFF" w:val="clear"/>
          </w:tcPr>
          <w:p>
            <w:r>
              <w:rPr>
                <w:sz w:val="15"/>
              </w:rPr>
              <w:t>✅ Gearing de 40%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251.89%</w:t>
            </w:r>
          </w:p>
        </w:tc>
        <w:tc>
          <w:tcPr>
            <w:tcW w:type="dxa" w:w="5669"/>
            <w:shd w:fill="FFFFFF" w:val="clear"/>
          </w:tcPr>
          <w:p>
            <w:r>
              <w:rPr>
                <w:sz w:val="15"/>
              </w:rPr>
              <w:t>✅ Solvabilité de 252%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224.99%</w:t>
            </w:r>
          </w:p>
        </w:tc>
        <w:tc>
          <w:tcPr>
            <w:tcW w:type="dxa" w:w="5669"/>
            <w:shd w:fill="FFFFFF" w:val="clear"/>
          </w:tcPr>
          <w:p>
            <w:r>
              <w:rPr>
                <w:sz w:val="15"/>
              </w:rPr>
              <w:t>✅ Liquidité générale de 225x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20.657 Mds FCFA</w:t>
            </w:r>
          </w:p>
        </w:tc>
        <w:tc>
          <w:tcPr>
            <w:tcW w:type="dxa" w:w="5669"/>
            <w:shd w:fill="FFFFFF" w:val="clear"/>
          </w:tcPr>
          <w:p>
            <w:r>
              <w:rPr>
                <w:sz w:val="15"/>
              </w:rPr>
              <w:t>✅ FCF positif de 20.657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17.12%</w:t>
            </w:r>
          </w:p>
        </w:tc>
        <w:tc>
          <w:tcPr>
            <w:tcW w:type="dxa" w:w="5669"/>
            <w:shd w:fill="FFFFFF" w:val="clear"/>
          </w:tcPr>
          <w:p>
            <w:r>
              <w:rPr>
                <w:sz w:val="15"/>
              </w:rPr>
              <w:t>✅ Marge opérationnelle correcte (17.1%).</w:t>
            </w:r>
          </w:p>
        </w:tc>
      </w:tr>
      <w:tr>
        <w:tc>
          <w:tcPr>
            <w:tcW w:type="dxa" w:w="2268"/>
            <w:shd w:fill="EEF2F7" w:val="clear"/>
          </w:tcPr>
          <w:p>
            <w:r>
              <w:rPr>
                <w:b/>
                <w:sz w:val="15"/>
              </w:rPr>
              <w:t>Délai clients</w:t>
            </w:r>
          </w:p>
        </w:tc>
        <w:tc>
          <w:tcPr>
            <w:tcW w:type="dxa" w:w="1984"/>
            <w:shd w:fill="C6EFCE" w:val="clear"/>
          </w:tcPr>
          <w:p>
            <w:r>
              <w:rPr>
                <w:b/>
                <w:color w:val="007800"/>
                <w:sz w:val="17"/>
              </w:rPr>
              <w:t>42.6 j</w:t>
            </w:r>
          </w:p>
        </w:tc>
        <w:tc>
          <w:tcPr>
            <w:tcW w:type="dxa" w:w="5669"/>
            <w:shd w:fill="FFFFFF" w:val="clear"/>
          </w:tcPr>
          <w:p>
            <w:r>
              <w:rPr>
                <w:sz w:val="15"/>
              </w:rPr>
              <w:t>✅ Délai standard (43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5.7 j</w:t>
            </w:r>
          </w:p>
        </w:tc>
        <w:tc>
          <w:tcPr>
            <w:tcW w:type="dxa" w:w="5669"/>
            <w:shd w:fill="FFFFFF" w:val="clear"/>
          </w:tcPr>
          <w:p>
            <w:r>
              <w:rPr>
                <w:sz w:val="15"/>
              </w:rPr>
              <w:t>✅ Stock écoulé en 6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STBC</w:t>
            </w:r>
          </w:p>
        </w:tc>
        <w:tc>
          <w:tcPr>
            <w:tcW w:type="dxa" w:w="1728"/>
            <w:shd w:fill="C6EFCE" w:val="clear"/>
          </w:tcPr>
          <w:p>
            <w:r>
              <w:rPr>
                <w:color w:val="006400"/>
                <w:sz w:val="16"/>
              </w:rPr>
              <w:t>79.75%</w:t>
            </w:r>
          </w:p>
        </w:tc>
        <w:tc>
          <w:tcPr>
            <w:tcW w:type="dxa" w:w="1728"/>
            <w:shd w:fill="FFC7CE" w:val="clear"/>
          </w:tcPr>
          <w:p>
            <w:r>
              <w:rPr>
                <w:b/>
                <w:color w:val="B40000"/>
                <w:sz w:val="16"/>
              </w:rPr>
              <w:t>SCRC</w:t>
            </w:r>
          </w:p>
        </w:tc>
        <w:tc>
          <w:tcPr>
            <w:tcW w:type="dxa" w:w="1728"/>
            <w:shd w:fill="FFC7CE" w:val="clear"/>
          </w:tcPr>
          <w:p>
            <w:r>
              <w:rPr>
                <w:color w:val="B40000"/>
                <w:sz w:val="16"/>
              </w:rPr>
              <w:t>-46.13%</w:t>
            </w:r>
          </w:p>
        </w:tc>
      </w:tr>
      <w:tr>
        <w:tc>
          <w:tcPr>
            <w:tcW w:type="dxa" w:w="1728"/>
            <w:shd w:fill="EEF2F7" w:val="clear"/>
          </w:tcPr>
          <w:p>
            <w:r>
              <w:rPr>
                <w:b/>
                <w:sz w:val="16"/>
              </w:rPr>
              <w:t>Marge nette</w:t>
            </w:r>
          </w:p>
        </w:tc>
        <w:tc>
          <w:tcPr>
            <w:tcW w:type="dxa" w:w="1728"/>
            <w:shd w:fill="C6EFCE" w:val="clear"/>
          </w:tcPr>
          <w:p>
            <w:r>
              <w:rPr>
                <w:b/>
                <w:color w:val="006400"/>
                <w:sz w:val="16"/>
              </w:rPr>
              <w:t>STBC</w:t>
            </w:r>
          </w:p>
        </w:tc>
        <w:tc>
          <w:tcPr>
            <w:tcW w:type="dxa" w:w="1728"/>
            <w:shd w:fill="C6EFCE" w:val="clear"/>
          </w:tcPr>
          <w:p>
            <w:r>
              <w:rPr>
                <w:color w:val="006400"/>
                <w:sz w:val="16"/>
              </w:rPr>
              <w:t>13.46%</w:t>
            </w:r>
          </w:p>
        </w:tc>
        <w:tc>
          <w:tcPr>
            <w:tcW w:type="dxa" w:w="1728"/>
            <w:shd w:fill="FFC7CE" w:val="clear"/>
          </w:tcPr>
          <w:p>
            <w:r>
              <w:rPr>
                <w:b/>
                <w:color w:val="B40000"/>
                <w:sz w:val="16"/>
              </w:rPr>
              <w:t>SCRC</w:t>
            </w:r>
          </w:p>
        </w:tc>
        <w:tc>
          <w:tcPr>
            <w:tcW w:type="dxa" w:w="1728"/>
            <w:shd w:fill="FFC7CE" w:val="clear"/>
          </w:tcPr>
          <w:p>
            <w:r>
              <w:rPr>
                <w:color w:val="B40000"/>
                <w:sz w:val="16"/>
              </w:rPr>
              <w:t>-9.87%</w:t>
            </w:r>
          </w:p>
        </w:tc>
      </w:tr>
      <w:tr>
        <w:tc>
          <w:tcPr>
            <w:tcW w:type="dxa" w:w="1728"/>
            <w:shd w:fill="EEF2F7" w:val="clear"/>
          </w:tcPr>
          <w:p>
            <w:r>
              <w:rPr>
                <w:b/>
                <w:sz w:val="16"/>
              </w:rPr>
              <w:t>Croissance CA/PNB</w:t>
            </w:r>
          </w:p>
        </w:tc>
        <w:tc>
          <w:tcPr>
            <w:tcW w:type="dxa" w:w="1728"/>
            <w:shd w:fill="C6EFCE" w:val="clear"/>
          </w:tcPr>
          <w:p>
            <w:r>
              <w:rPr>
                <w:b/>
                <w:color w:val="006400"/>
                <w:sz w:val="16"/>
              </w:rPr>
              <w:t>STBC</w:t>
            </w:r>
          </w:p>
        </w:tc>
        <w:tc>
          <w:tcPr>
            <w:tcW w:type="dxa" w:w="1728"/>
            <w:shd w:fill="C6EFCE" w:val="clear"/>
          </w:tcPr>
          <w:p>
            <w:r>
              <w:rPr>
                <w:color w:val="006400"/>
                <w:sz w:val="16"/>
              </w:rPr>
              <w:t>25.30%</w:t>
            </w:r>
          </w:p>
        </w:tc>
        <w:tc>
          <w:tcPr>
            <w:tcW w:type="dxa" w:w="1728"/>
            <w:shd w:fill="FFC7CE" w:val="clear"/>
          </w:tcPr>
          <w:p>
            <w:r>
              <w:rPr>
                <w:b/>
                <w:color w:val="B40000"/>
                <w:sz w:val="16"/>
              </w:rPr>
              <w:t>SCRC</w:t>
            </w:r>
          </w:p>
        </w:tc>
        <w:tc>
          <w:tcPr>
            <w:tcW w:type="dxa" w:w="1728"/>
            <w:shd w:fill="FFC7CE" w:val="clear"/>
          </w:tcPr>
          <w:p>
            <w:r>
              <w:rPr>
                <w:color w:val="B40000"/>
                <w:sz w:val="16"/>
              </w:rPr>
              <w:t>-7.63%</w:t>
            </w:r>
          </w:p>
        </w:tc>
      </w:tr>
      <w:tr>
        <w:tc>
          <w:tcPr>
            <w:tcW w:type="dxa" w:w="1728"/>
            <w:shd w:fill="EEF2F7" w:val="clear"/>
          </w:tcPr>
          <w:p>
            <w:r>
              <w:rPr>
                <w:b/>
                <w:sz w:val="16"/>
              </w:rPr>
              <w:t>Autonomie fin.</w:t>
            </w:r>
          </w:p>
        </w:tc>
        <w:tc>
          <w:tcPr>
            <w:tcW w:type="dxa" w:w="1728"/>
            <w:shd w:fill="C6EFCE" w:val="clear"/>
          </w:tcPr>
          <w:p>
            <w:r>
              <w:rPr>
                <w:b/>
                <w:color w:val="006400"/>
                <w:sz w:val="16"/>
              </w:rPr>
              <w:t>SOGC</w:t>
            </w:r>
          </w:p>
        </w:tc>
        <w:tc>
          <w:tcPr>
            <w:tcW w:type="dxa" w:w="1728"/>
            <w:shd w:fill="C6EFCE" w:val="clear"/>
          </w:tcPr>
          <w:p>
            <w:r>
              <w:rPr>
                <w:color w:val="006400"/>
                <w:sz w:val="16"/>
              </w:rPr>
              <w:t>75.79%</w:t>
            </w:r>
          </w:p>
        </w:tc>
        <w:tc>
          <w:tcPr>
            <w:tcW w:type="dxa" w:w="1728"/>
            <w:shd w:fill="FFC7CE" w:val="clear"/>
          </w:tcPr>
          <w:p>
            <w:r>
              <w:rPr>
                <w:b/>
                <w:color w:val="B40000"/>
                <w:sz w:val="16"/>
              </w:rPr>
              <w:t>SCRC</w:t>
            </w:r>
          </w:p>
        </w:tc>
        <w:tc>
          <w:tcPr>
            <w:tcW w:type="dxa" w:w="1728"/>
            <w:shd w:fill="FFC7CE" w:val="clear"/>
          </w:tcPr>
          <w:p>
            <w:r>
              <w:rPr>
                <w:color w:val="B40000"/>
                <w:sz w:val="16"/>
              </w:rPr>
              <w:t>11.02%</w:t>
            </w:r>
          </w:p>
        </w:tc>
      </w:tr>
      <w:tr>
        <w:tc>
          <w:tcPr>
            <w:tcW w:type="dxa" w:w="1728"/>
            <w:shd w:fill="EEF2F7" w:val="clear"/>
          </w:tcPr>
          <w:p>
            <w:r>
              <w:rPr>
                <w:b/>
                <w:sz w:val="16"/>
              </w:rPr>
              <w:t>Liquidité gén.</w:t>
            </w:r>
          </w:p>
        </w:tc>
        <w:tc>
          <w:tcPr>
            <w:tcW w:type="dxa" w:w="1728"/>
            <w:shd w:fill="C6EFCE" w:val="clear"/>
          </w:tcPr>
          <w:p>
            <w:r>
              <w:rPr>
                <w:b/>
                <w:color w:val="006400"/>
                <w:sz w:val="16"/>
              </w:rPr>
              <w:t>STBC</w:t>
            </w:r>
          </w:p>
        </w:tc>
        <w:tc>
          <w:tcPr>
            <w:tcW w:type="dxa" w:w="1728"/>
            <w:shd w:fill="C6EFCE" w:val="clear"/>
          </w:tcPr>
          <w:p>
            <w:r>
              <w:rPr>
                <w:color w:val="006400"/>
                <w:sz w:val="16"/>
              </w:rPr>
              <w:t>224.99%</w:t>
            </w:r>
          </w:p>
        </w:tc>
        <w:tc>
          <w:tcPr>
            <w:tcW w:type="dxa" w:w="1728"/>
            <w:shd w:fill="FFC7CE" w:val="clear"/>
          </w:tcPr>
          <w:p>
            <w:r>
              <w:rPr>
                <w:b/>
                <w:color w:val="B40000"/>
                <w:sz w:val="16"/>
              </w:rPr>
              <w:t>SCRC</w:t>
            </w:r>
          </w:p>
        </w:tc>
        <w:tc>
          <w:tcPr>
            <w:tcW w:type="dxa" w:w="1728"/>
            <w:shd w:fill="FFC7CE" w:val="clear"/>
          </w:tcPr>
          <w:p>
            <w:r>
              <w:rPr>
                <w:color w:val="B40000"/>
                <w:sz w:val="16"/>
              </w:rPr>
              <w:t>74.53%</w:t>
            </w:r>
          </w:p>
        </w:tc>
      </w:tr>
      <w:tr>
        <w:tc>
          <w:tcPr>
            <w:tcW w:type="dxa" w:w="1728"/>
            <w:shd w:fill="EEF2F7" w:val="clear"/>
          </w:tcPr>
          <w:p>
            <w:r>
              <w:rPr>
                <w:b/>
                <w:sz w:val="16"/>
              </w:rPr>
              <w:t>FCF</w:t>
            </w:r>
          </w:p>
        </w:tc>
        <w:tc>
          <w:tcPr>
            <w:tcW w:type="dxa" w:w="1728"/>
            <w:shd w:fill="C6EFCE" w:val="clear"/>
          </w:tcPr>
          <w:p>
            <w:r>
              <w:rPr>
                <w:b/>
                <w:color w:val="006400"/>
                <w:sz w:val="16"/>
              </w:rPr>
              <w:t>SLBC</w:t>
            </w:r>
          </w:p>
        </w:tc>
        <w:tc>
          <w:tcPr>
            <w:tcW w:type="dxa" w:w="1728"/>
            <w:shd w:fill="C6EFCE" w:val="clear"/>
          </w:tcPr>
          <w:p>
            <w:r>
              <w:rPr>
                <w:color w:val="006400"/>
                <w:sz w:val="16"/>
              </w:rPr>
              <w:t>60.867 Mds FCFA</w:t>
            </w:r>
          </w:p>
        </w:tc>
        <w:tc>
          <w:tcPr>
            <w:tcW w:type="dxa" w:w="1728"/>
            <w:shd w:fill="FFC7CE" w:val="clear"/>
          </w:tcPr>
          <w:p>
            <w:r>
              <w:rPr>
                <w:b/>
                <w:color w:val="B40000"/>
                <w:sz w:val="16"/>
              </w:rPr>
              <w:t>SCRC</w:t>
            </w:r>
          </w:p>
        </w:tc>
        <w:tc>
          <w:tcPr>
            <w:tcW w:type="dxa" w:w="1728"/>
            <w:shd w:fill="FFC7CE" w:val="clear"/>
          </w:tcPr>
          <w:p>
            <w:r>
              <w:rPr>
                <w:color w:val="B40000"/>
                <w:sz w:val="16"/>
              </w:rPr>
              <w:t>-12.402 Mds FCFA</w:t>
            </w:r>
          </w:p>
        </w:tc>
      </w:tr>
    </w:tbl>
    <w:p/>
    <w:p>
      <w:r>
        <w:br w:type="page"/>
      </w:r>
    </w:p>
    <w:p>
      <w:pPr>
        <w:pStyle w:val="Heading2"/>
      </w:pPr>
      <w:r>
        <w:rPr>
          <w:color w:val="003366"/>
        </w:rPr>
        <w:t>📂 Secteur : CONSOMMATION DISCRETIONNAIRE</w:t>
      </w:r>
    </w:p>
    <w:p>
      <w:r>
        <w:rPr>
          <w:sz w:val="18"/>
        </w:rPr>
        <w:t>7 société(s) avec données financières sur 7 cotée(s) dans ce secteur. Exercice(s) analysé(s) : 2025, 2025, 2024, 2025, 2025, 2025, 2024.</w:t>
      </w:r>
    </w:p>
    <w:p/>
    <w:p>
      <w:pPr>
        <w:pStyle w:val="Heading3"/>
      </w:pPr>
      <w:r>
        <w:t>📊 Tableau comparatif des indicateurs clés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2551"/>
            <w:shd w:fill="1F4E79" w:val="clear"/>
          </w:tcPr>
          <w:p>
            <w:r>
              <w:rPr>
                <w:b/>
                <w:color w:val="FFFFFF"/>
                <w:sz w:val="16"/>
              </w:rPr>
              <w:t>Indicateur</w:t>
            </w:r>
          </w:p>
        </w:tc>
        <w:tc>
          <w:tcPr>
            <w:tcW w:type="dxa" w:w="1053"/>
            <w:shd w:fill="1F4E79" w:val="clear"/>
          </w:tcPr>
          <w:p>
            <w:r>
              <w:rPr>
                <w:b/>
                <w:color w:val="FFFFFF"/>
                <w:sz w:val="15"/>
              </w:rPr>
              <w:t>ABJC (2025)</w:t>
            </w:r>
          </w:p>
        </w:tc>
        <w:tc>
          <w:tcPr>
            <w:tcW w:type="dxa" w:w="1053"/>
            <w:shd w:fill="1F4E79" w:val="clear"/>
          </w:tcPr>
          <w:p>
            <w:r>
              <w:rPr>
                <w:b/>
                <w:color w:val="FFFFFF"/>
                <w:sz w:val="15"/>
              </w:rPr>
              <w:t>BNBC (2025)</w:t>
            </w:r>
          </w:p>
        </w:tc>
        <w:tc>
          <w:tcPr>
            <w:tcW w:type="dxa" w:w="1053"/>
            <w:shd w:fill="1F4E79" w:val="clear"/>
          </w:tcPr>
          <w:p>
            <w:r>
              <w:rPr>
                <w:b/>
                <w:color w:val="FFFFFF"/>
                <w:sz w:val="15"/>
              </w:rPr>
              <w:t>CFAC (2024)</w:t>
            </w:r>
          </w:p>
        </w:tc>
        <w:tc>
          <w:tcPr>
            <w:tcW w:type="dxa" w:w="1053"/>
            <w:shd w:fill="1F4E79" w:val="clear"/>
          </w:tcPr>
          <w:p>
            <w:r>
              <w:rPr>
                <w:b/>
                <w:color w:val="FFFFFF"/>
                <w:sz w:val="15"/>
              </w:rPr>
              <w:t>LNBB (2025)</w:t>
            </w:r>
          </w:p>
        </w:tc>
        <w:tc>
          <w:tcPr>
            <w:tcW w:type="dxa" w:w="1053"/>
            <w:shd w:fill="1F4E79" w:val="clear"/>
          </w:tcPr>
          <w:p>
            <w:r>
              <w:rPr>
                <w:b/>
                <w:color w:val="FFFFFF"/>
                <w:sz w:val="15"/>
              </w:rPr>
              <w:t>NEIC (2025)</w:t>
            </w:r>
          </w:p>
        </w:tc>
        <w:tc>
          <w:tcPr>
            <w:tcW w:type="dxa" w:w="1053"/>
            <w:shd w:fill="1F4E79" w:val="clear"/>
          </w:tcPr>
          <w:p>
            <w:r>
              <w:rPr>
                <w:b/>
                <w:color w:val="FFFFFF"/>
                <w:sz w:val="15"/>
              </w:rPr>
              <w:t>PRSC (2025)</w:t>
            </w:r>
          </w:p>
        </w:tc>
        <w:tc>
          <w:tcPr>
            <w:tcW w:type="dxa" w:w="1053"/>
            <w:shd w:fill="1F4E79" w:val="clear"/>
          </w:tcPr>
          <w:p>
            <w:r>
              <w:rPr>
                <w:b/>
                <w:color w:val="FFFFFF"/>
                <w:sz w:val="15"/>
              </w:rPr>
              <w:t>UNXC (2024)</w:t>
            </w:r>
          </w:p>
        </w:tc>
      </w:tr>
      <w:tr>
        <w:tc>
          <w:tcPr>
            <w:tcW w:type="dxa" w:w="2551"/>
            <w:shd w:fill="EEF2F7" w:val="clear"/>
          </w:tcPr>
          <w:p>
            <w:r>
              <w:rPr>
                <w:b/>
                <w:sz w:val="15"/>
              </w:rPr>
              <w:t>ROE</w:t>
            </w:r>
          </w:p>
        </w:tc>
        <w:tc>
          <w:tcPr>
            <w:tcW w:type="dxa" w:w="1053"/>
            <w:shd w:fill="FFFFFF" w:val="clear"/>
          </w:tcPr>
          <w:p>
            <w:r>
              <w:rPr>
                <w:b/>
                <w:color w:val="000000"/>
                <w:sz w:val="16"/>
              </w:rPr>
              <w:t>26.18%</w:t>
            </w:r>
          </w:p>
        </w:tc>
        <w:tc>
          <w:tcPr>
            <w:tcW w:type="dxa" w:w="1053"/>
            <w:shd w:fill="FFFFFF" w:val="clear"/>
          </w:tcPr>
          <w:p>
            <w:r>
              <w:rPr>
                <w:b/>
                <w:color w:val="000000"/>
                <w:sz w:val="16"/>
              </w:rPr>
              <w:t>0.13%</w:t>
            </w:r>
          </w:p>
        </w:tc>
        <w:tc>
          <w:tcPr>
            <w:tcW w:type="dxa" w:w="1053"/>
            <w:shd w:fill="FFFFFF" w:val="clear"/>
          </w:tcPr>
          <w:p>
            <w:r>
              <w:rPr>
                <w:b/>
                <w:color w:val="000000"/>
                <w:sz w:val="16"/>
              </w:rPr>
              <w:t>24.13%</w:t>
            </w:r>
          </w:p>
        </w:tc>
        <w:tc>
          <w:tcPr>
            <w:tcW w:type="dxa" w:w="1053"/>
            <w:shd w:fill="FFFFFF" w:val="clear"/>
          </w:tcPr>
          <w:p>
            <w:r>
              <w:rPr>
                <w:b/>
                <w:color w:val="000000"/>
                <w:sz w:val="16"/>
              </w:rPr>
              <w:t>21.05%</w:t>
            </w:r>
          </w:p>
        </w:tc>
        <w:tc>
          <w:tcPr>
            <w:tcW w:type="dxa" w:w="1053"/>
            <w:shd w:fill="C6EFCE" w:val="clear"/>
          </w:tcPr>
          <w:p>
            <w:r>
              <w:rPr>
                <w:b/>
                <w:color w:val="006400"/>
                <w:sz w:val="16"/>
              </w:rPr>
              <w:t>35.39%</w:t>
            </w:r>
          </w:p>
        </w:tc>
        <w:tc>
          <w:tcPr>
            <w:tcW w:type="dxa" w:w="1053"/>
            <w:shd w:fill="FFFFFF" w:val="clear"/>
          </w:tcPr>
          <w:p>
            <w:r>
              <w:rPr>
                <w:b/>
                <w:color w:val="000000"/>
                <w:sz w:val="16"/>
              </w:rPr>
              <w:t>20.53%</w:t>
            </w:r>
          </w:p>
        </w:tc>
        <w:tc>
          <w:tcPr>
            <w:tcW w:type="dxa" w:w="1053"/>
            <w:shd w:fill="FFC7CE" w:val="clear"/>
          </w:tcPr>
          <w:p>
            <w:r>
              <w:rPr>
                <w:b/>
                <w:color w:val="B40000"/>
                <w:sz w:val="16"/>
              </w:rPr>
              <w:t>-14.04%</w:t>
            </w:r>
          </w:p>
        </w:tc>
      </w:tr>
      <w:tr>
        <w:tc>
          <w:tcPr>
            <w:tcW w:type="dxa" w:w="2551"/>
            <w:shd w:fill="EEF2F7" w:val="clear"/>
          </w:tcPr>
          <w:p>
            <w:r>
              <w:rPr>
                <w:b/>
                <w:sz w:val="15"/>
              </w:rPr>
              <w:t>ROA</w:t>
            </w:r>
          </w:p>
        </w:tc>
        <w:tc>
          <w:tcPr>
            <w:tcW w:type="dxa" w:w="1053"/>
            <w:shd w:fill="FFFFFF" w:val="clear"/>
          </w:tcPr>
          <w:p>
            <w:r>
              <w:rPr>
                <w:b/>
                <w:color w:val="000000"/>
                <w:sz w:val="16"/>
              </w:rPr>
              <w:t>14.64%</w:t>
            </w:r>
          </w:p>
        </w:tc>
        <w:tc>
          <w:tcPr>
            <w:tcW w:type="dxa" w:w="1053"/>
            <w:shd w:fill="FFFFFF" w:val="clear"/>
          </w:tcPr>
          <w:p>
            <w:r>
              <w:rPr>
                <w:b/>
                <w:color w:val="000000"/>
                <w:sz w:val="16"/>
              </w:rPr>
              <w:t>0.05%</w:t>
            </w:r>
          </w:p>
        </w:tc>
        <w:tc>
          <w:tcPr>
            <w:tcW w:type="dxa" w:w="1053"/>
            <w:shd w:fill="FFFFFF" w:val="clear"/>
          </w:tcPr>
          <w:p>
            <w:r>
              <w:rPr>
                <w:b/>
                <w:color w:val="000000"/>
                <w:sz w:val="16"/>
              </w:rPr>
              <w:t>5.52%</w:t>
            </w:r>
          </w:p>
        </w:tc>
        <w:tc>
          <w:tcPr>
            <w:tcW w:type="dxa" w:w="1053"/>
            <w:shd w:fill="FFFFFF" w:val="clear"/>
          </w:tcPr>
          <w:p>
            <w:r>
              <w:rPr>
                <w:b/>
                <w:color w:val="000000"/>
                <w:sz w:val="16"/>
              </w:rPr>
              <w:t>14.17%</w:t>
            </w:r>
          </w:p>
        </w:tc>
        <w:tc>
          <w:tcPr>
            <w:tcW w:type="dxa" w:w="1053"/>
            <w:shd w:fill="C6EFCE" w:val="clear"/>
          </w:tcPr>
          <w:p>
            <w:r>
              <w:rPr>
                <w:b/>
                <w:color w:val="006400"/>
                <w:sz w:val="16"/>
              </w:rPr>
              <w:t>27.25%</w:t>
            </w:r>
          </w:p>
        </w:tc>
        <w:tc>
          <w:tcPr>
            <w:tcW w:type="dxa" w:w="1053"/>
            <w:shd w:fill="FFFFFF" w:val="clear"/>
          </w:tcPr>
          <w:p>
            <w:r>
              <w:rPr>
                <w:b/>
                <w:color w:val="000000"/>
                <w:sz w:val="16"/>
              </w:rPr>
              <w:t>4.95%</w:t>
            </w:r>
          </w:p>
        </w:tc>
        <w:tc>
          <w:tcPr>
            <w:tcW w:type="dxa" w:w="1053"/>
            <w:shd w:fill="FFC7CE" w:val="clear"/>
          </w:tcPr>
          <w:p>
            <w:r>
              <w:rPr>
                <w:b/>
                <w:color w:val="B40000"/>
                <w:sz w:val="16"/>
              </w:rPr>
              <w:t>-6.39%</w:t>
            </w:r>
          </w:p>
        </w:tc>
      </w:tr>
      <w:tr>
        <w:tc>
          <w:tcPr>
            <w:tcW w:type="dxa" w:w="2551"/>
            <w:shd w:fill="EEF2F7" w:val="clear"/>
          </w:tcPr>
          <w:p>
            <w:r>
              <w:rPr>
                <w:b/>
                <w:sz w:val="15"/>
              </w:rPr>
              <w:t>Marge nette</w:t>
            </w:r>
          </w:p>
        </w:tc>
        <w:tc>
          <w:tcPr>
            <w:tcW w:type="dxa" w:w="1053"/>
            <w:shd w:fill="FFFFFF" w:val="clear"/>
          </w:tcPr>
          <w:p>
            <w:r>
              <w:rPr>
                <w:b/>
                <w:color w:val="000000"/>
                <w:sz w:val="16"/>
              </w:rPr>
              <w:t>10.16%</w:t>
            </w:r>
          </w:p>
        </w:tc>
        <w:tc>
          <w:tcPr>
            <w:tcW w:type="dxa" w:w="1053"/>
            <w:shd w:fill="FFFFFF" w:val="clear"/>
          </w:tcPr>
          <w:p>
            <w:r>
              <w:rPr>
                <w:b/>
                <w:color w:val="000000"/>
                <w:sz w:val="16"/>
              </w:rPr>
              <w:t>0.05%</w:t>
            </w:r>
          </w:p>
        </w:tc>
        <w:tc>
          <w:tcPr>
            <w:tcW w:type="dxa" w:w="1053"/>
            <w:shd w:fill="FFFFFF" w:val="clear"/>
          </w:tcPr>
          <w:p>
            <w:r>
              <w:rPr>
                <w:b/>
                <w:color w:val="000000"/>
                <w:sz w:val="16"/>
              </w:rPr>
              <w:t>2.96%</w:t>
            </w:r>
          </w:p>
        </w:tc>
        <w:tc>
          <w:tcPr>
            <w:tcW w:type="dxa" w:w="1053"/>
            <w:shd w:fill="FFFFFF" w:val="clear"/>
          </w:tcPr>
          <w:p>
            <w:r>
              <w:rPr>
                <w:b/>
                <w:color w:val="000000"/>
                <w:sz w:val="16"/>
              </w:rPr>
              <w:t>4.69%</w:t>
            </w:r>
          </w:p>
        </w:tc>
        <w:tc>
          <w:tcPr>
            <w:tcW w:type="dxa" w:w="1053"/>
            <w:shd w:fill="C6EFCE" w:val="clear"/>
          </w:tcPr>
          <w:p>
            <w:r>
              <w:rPr>
                <w:b/>
                <w:color w:val="006400"/>
                <w:sz w:val="16"/>
              </w:rPr>
              <w:t>39.63%</w:t>
            </w:r>
          </w:p>
        </w:tc>
        <w:tc>
          <w:tcPr>
            <w:tcW w:type="dxa" w:w="1053"/>
            <w:shd w:fill="FFFFFF" w:val="clear"/>
          </w:tcPr>
          <w:p>
            <w:r>
              <w:rPr>
                <w:b/>
                <w:color w:val="000000"/>
                <w:sz w:val="16"/>
              </w:rPr>
              <w:t>2.92%</w:t>
            </w:r>
          </w:p>
        </w:tc>
        <w:tc>
          <w:tcPr>
            <w:tcW w:type="dxa" w:w="1053"/>
            <w:shd w:fill="FFC7CE" w:val="clear"/>
          </w:tcPr>
          <w:p>
            <w:r>
              <w:rPr>
                <w:b/>
                <w:color w:val="B40000"/>
                <w:sz w:val="16"/>
              </w:rPr>
              <w:t>-8.01%</w:t>
            </w:r>
          </w:p>
        </w:tc>
      </w:tr>
      <w:tr>
        <w:tc>
          <w:tcPr>
            <w:tcW w:type="dxa" w:w="2551"/>
            <w:shd w:fill="EEF2F7" w:val="clear"/>
          </w:tcPr>
          <w:p>
            <w:r>
              <w:rPr>
                <w:b/>
                <w:sz w:val="15"/>
              </w:rPr>
              <w:t>Résultat net</w:t>
            </w:r>
          </w:p>
        </w:tc>
        <w:tc>
          <w:tcPr>
            <w:tcW w:type="dxa" w:w="1053"/>
            <w:shd w:fill="FFFFFF" w:val="clear"/>
          </w:tcPr>
          <w:p>
            <w:r>
              <w:rPr>
                <w:b/>
                <w:color w:val="000000"/>
                <w:sz w:val="16"/>
              </w:rPr>
              <w:t>1.351 Mds FCFA</w:t>
            </w:r>
          </w:p>
        </w:tc>
        <w:tc>
          <w:tcPr>
            <w:tcW w:type="dxa" w:w="1053"/>
            <w:shd w:fill="FFFFFF" w:val="clear"/>
          </w:tcPr>
          <w:p>
            <w:r>
              <w:rPr>
                <w:b/>
                <w:color w:val="000000"/>
                <w:sz w:val="16"/>
              </w:rPr>
              <w:t>22.32 M FCFA</w:t>
            </w:r>
          </w:p>
        </w:tc>
        <w:tc>
          <w:tcPr>
            <w:tcW w:type="dxa" w:w="1053"/>
            <w:shd w:fill="C6EFCE" w:val="clear"/>
          </w:tcPr>
          <w:p>
            <w:r>
              <w:rPr>
                <w:b/>
                <w:color w:val="006400"/>
                <w:sz w:val="16"/>
              </w:rPr>
              <w:t>4.693 Mds FCFA</w:t>
            </w:r>
          </w:p>
        </w:tc>
        <w:tc>
          <w:tcPr>
            <w:tcW w:type="dxa" w:w="1053"/>
            <w:shd w:fill="FFFFFF" w:val="clear"/>
          </w:tcPr>
          <w:p>
            <w:r>
              <w:rPr>
                <w:b/>
                <w:color w:val="000000"/>
                <w:sz w:val="16"/>
              </w:rPr>
              <w:t>4.622 Mds FCFA</w:t>
            </w:r>
          </w:p>
        </w:tc>
        <w:tc>
          <w:tcPr>
            <w:tcW w:type="dxa" w:w="1053"/>
            <w:shd w:fill="FFFFFF" w:val="clear"/>
          </w:tcPr>
          <w:p>
            <w:r>
              <w:rPr>
                <w:b/>
                <w:color w:val="000000"/>
                <w:sz w:val="16"/>
              </w:rPr>
              <w:t>2.037 Mds FCFA</w:t>
            </w:r>
          </w:p>
        </w:tc>
        <w:tc>
          <w:tcPr>
            <w:tcW w:type="dxa" w:w="1053"/>
            <w:shd w:fill="FFFFFF" w:val="clear"/>
          </w:tcPr>
          <w:p>
            <w:r>
              <w:rPr>
                <w:b/>
                <w:color w:val="000000"/>
                <w:sz w:val="16"/>
              </w:rPr>
              <w:t>2.367 Mds FCFA</w:t>
            </w:r>
          </w:p>
        </w:tc>
        <w:tc>
          <w:tcPr>
            <w:tcW w:type="dxa" w:w="1053"/>
            <w:shd w:fill="FFC7CE" w:val="clear"/>
          </w:tcPr>
          <w:p>
            <w:r>
              <w:rPr>
                <w:b/>
                <w:color w:val="B40000"/>
                <w:sz w:val="16"/>
              </w:rPr>
              <w:t>-2.189 Mds FCFA</w:t>
            </w:r>
          </w:p>
        </w:tc>
      </w:tr>
      <w:tr>
        <w:tc>
          <w:tcPr>
            <w:tcW w:type="dxa" w:w="2551"/>
            <w:shd w:fill="EEF2F7" w:val="clear"/>
          </w:tcPr>
          <w:p>
            <w:r>
              <w:rPr>
                <w:b/>
                <w:sz w:val="15"/>
              </w:rPr>
              <w:t>Taux croissance CA/PNB</w:t>
            </w:r>
          </w:p>
        </w:tc>
        <w:tc>
          <w:tcPr>
            <w:tcW w:type="dxa" w:w="1053"/>
            <w:shd w:fill="FFFFFF" w:val="clear"/>
          </w:tcPr>
          <w:p>
            <w:r>
              <w:rPr>
                <w:b/>
                <w:color w:val="000000"/>
                <w:sz w:val="16"/>
              </w:rPr>
              <w:t>6.67%</w:t>
            </w:r>
          </w:p>
        </w:tc>
        <w:tc>
          <w:tcPr>
            <w:tcW w:type="dxa" w:w="1053"/>
            <w:shd w:fill="FFFFFF" w:val="clear"/>
          </w:tcPr>
          <w:p>
            <w:r>
              <w:rPr>
                <w:b/>
                <w:color w:val="000000"/>
                <w:sz w:val="16"/>
              </w:rPr>
              <w:t>-6.31%</w:t>
            </w:r>
          </w:p>
        </w:tc>
        <w:tc>
          <w:tcPr>
            <w:tcW w:type="dxa" w:w="1053"/>
            <w:shd w:fill="FFFFFF" w:val="clear"/>
          </w:tcPr>
          <w:p>
            <w:r>
              <w:rPr>
                <w:b/>
                <w:color w:val="000000"/>
                <w:sz w:val="16"/>
              </w:rPr>
              <w:t>-12.13%</w:t>
            </w:r>
          </w:p>
        </w:tc>
        <w:tc>
          <w:tcPr>
            <w:tcW w:type="dxa" w:w="1053"/>
            <w:shd w:fill="FFFFFF" w:val="clear"/>
          </w:tcPr>
          <w:p>
            <w:r>
              <w:rPr>
                <w:b/>
                <w:color w:val="000000"/>
                <w:sz w:val="16"/>
              </w:rPr>
              <w:t>-3.85%</w:t>
            </w:r>
          </w:p>
        </w:tc>
        <w:tc>
          <w:tcPr>
            <w:tcW w:type="dxa" w:w="1053"/>
            <w:shd w:fill="FFC7CE" w:val="clear"/>
          </w:tcPr>
          <w:p>
            <w:r>
              <w:rPr>
                <w:b/>
                <w:color w:val="B40000"/>
                <w:sz w:val="16"/>
              </w:rPr>
              <w:t>-23.80%</w:t>
            </w:r>
          </w:p>
        </w:tc>
        <w:tc>
          <w:tcPr>
            <w:tcW w:type="dxa" w:w="1053"/>
            <w:shd w:fill="C6EFCE" w:val="clear"/>
          </w:tcPr>
          <w:p>
            <w:r>
              <w:rPr>
                <w:b/>
                <w:color w:val="006400"/>
                <w:sz w:val="16"/>
              </w:rPr>
              <w:t>8.64%</w:t>
            </w:r>
          </w:p>
        </w:tc>
        <w:tc>
          <w:tcPr>
            <w:tcW w:type="dxa" w:w="1053"/>
            <w:shd w:fill="FFFFFF" w:val="clear"/>
          </w:tcPr>
          <w:p>
            <w:r>
              <w:rPr>
                <w:b/>
                <w:color w:val="000000"/>
                <w:sz w:val="16"/>
              </w:rPr>
              <w:t>-7.93%</w:t>
            </w:r>
          </w:p>
        </w:tc>
      </w:tr>
      <w:tr>
        <w:tc>
          <w:tcPr>
            <w:tcW w:type="dxa" w:w="2551"/>
            <w:shd w:fill="EEF2F7" w:val="clear"/>
          </w:tcPr>
          <w:p>
            <w:r>
              <w:rPr>
                <w:b/>
                <w:sz w:val="15"/>
              </w:rPr>
              <w:t>Autonomie financière</w:t>
            </w:r>
          </w:p>
        </w:tc>
        <w:tc>
          <w:tcPr>
            <w:tcW w:type="dxa" w:w="1053"/>
            <w:shd w:fill="FFFFFF" w:val="clear"/>
          </w:tcPr>
          <w:p>
            <w:r>
              <w:rPr>
                <w:b/>
                <w:color w:val="000000"/>
                <w:sz w:val="16"/>
              </w:rPr>
              <w:t>55.92%</w:t>
            </w:r>
          </w:p>
        </w:tc>
        <w:tc>
          <w:tcPr>
            <w:tcW w:type="dxa" w:w="1053"/>
            <w:shd w:fill="FFFFFF" w:val="clear"/>
          </w:tcPr>
          <w:p>
            <w:r>
              <w:rPr>
                <w:b/>
                <w:color w:val="000000"/>
                <w:sz w:val="16"/>
              </w:rPr>
              <w:t>36.16%</w:t>
            </w:r>
          </w:p>
        </w:tc>
        <w:tc>
          <w:tcPr>
            <w:tcW w:type="dxa" w:w="1053"/>
            <w:shd w:fill="FFC7CE" w:val="clear"/>
          </w:tcPr>
          <w:p>
            <w:r>
              <w:rPr>
                <w:b/>
                <w:color w:val="B40000"/>
                <w:sz w:val="16"/>
              </w:rPr>
              <w:t>22.88%</w:t>
            </w:r>
          </w:p>
        </w:tc>
        <w:tc>
          <w:tcPr>
            <w:tcW w:type="dxa" w:w="1053"/>
            <w:shd w:fill="FFFFFF" w:val="clear"/>
          </w:tcPr>
          <w:p>
            <w:r>
              <w:rPr>
                <w:b/>
                <w:color w:val="000000"/>
                <w:sz w:val="16"/>
              </w:rPr>
              <w:t>67.32%</w:t>
            </w:r>
          </w:p>
        </w:tc>
        <w:tc>
          <w:tcPr>
            <w:tcW w:type="dxa" w:w="1053"/>
            <w:shd w:fill="C6EFCE" w:val="clear"/>
          </w:tcPr>
          <w:p>
            <w:r>
              <w:rPr>
                <w:b/>
                <w:color w:val="006400"/>
                <w:sz w:val="16"/>
              </w:rPr>
              <w:t>77.01%</w:t>
            </w:r>
          </w:p>
        </w:tc>
        <w:tc>
          <w:tcPr>
            <w:tcW w:type="dxa" w:w="1053"/>
            <w:shd w:fill="FFFFFF" w:val="clear"/>
          </w:tcPr>
          <w:p>
            <w:r>
              <w:rPr>
                <w:b/>
                <w:color w:val="000000"/>
                <w:sz w:val="16"/>
              </w:rPr>
              <w:t>24.10%</w:t>
            </w:r>
          </w:p>
        </w:tc>
        <w:tc>
          <w:tcPr>
            <w:tcW w:type="dxa" w:w="1053"/>
            <w:shd w:fill="FFFFFF" w:val="clear"/>
          </w:tcPr>
          <w:p>
            <w:r>
              <w:rPr>
                <w:b/>
                <w:color w:val="000000"/>
                <w:sz w:val="16"/>
              </w:rPr>
              <w:t>45.53%</w:t>
            </w:r>
          </w:p>
        </w:tc>
      </w:tr>
      <w:tr>
        <w:tc>
          <w:tcPr>
            <w:tcW w:type="dxa" w:w="2551"/>
            <w:shd w:fill="EEF2F7" w:val="clear"/>
          </w:tcPr>
          <w:p>
            <w:r>
              <w:rPr>
                <w:b/>
                <w:sz w:val="15"/>
              </w:rPr>
              <w:t>Ratio endettement</w:t>
            </w:r>
          </w:p>
        </w:tc>
        <w:tc>
          <w:tcPr>
            <w:tcW w:type="dxa" w:w="1053"/>
            <w:shd w:fill="FFFFFF" w:val="clear"/>
          </w:tcPr>
          <w:p>
            <w:r>
              <w:rPr>
                <w:b/>
                <w:color w:val="000000"/>
                <w:sz w:val="16"/>
              </w:rPr>
              <w:t>44.08%</w:t>
            </w:r>
          </w:p>
        </w:tc>
        <w:tc>
          <w:tcPr>
            <w:tcW w:type="dxa" w:w="1053"/>
            <w:shd w:fill="FFFFFF" w:val="clear"/>
          </w:tcPr>
          <w:p>
            <w:r>
              <w:rPr>
                <w:b/>
                <w:color w:val="000000"/>
                <w:sz w:val="16"/>
              </w:rPr>
              <w:t>105.48%</w:t>
            </w:r>
          </w:p>
        </w:tc>
        <w:tc>
          <w:tcPr>
            <w:tcW w:type="dxa" w:w="1053"/>
            <w:shd w:fill="FFFFFF" w:val="clear"/>
          </w:tcPr>
          <w:p>
            <w:r>
              <w:rPr>
                <w:b/>
                <w:color w:val="000000"/>
                <w:sz w:val="16"/>
              </w:rPr>
              <w:t>23.07%</w:t>
            </w:r>
          </w:p>
        </w:tc>
        <w:tc>
          <w:tcPr>
            <w:tcW w:type="dxa" w:w="1053"/>
            <w:shd w:fill="C6EFCE" w:val="clear"/>
          </w:tcPr>
          <w:p>
            <w:r>
              <w:rPr>
                <w:b/>
                <w:color w:val="006400"/>
                <w:sz w:val="16"/>
              </w:rPr>
              <w:t>2.57%</w:t>
            </w:r>
          </w:p>
        </w:tc>
        <w:tc>
          <w:tcPr>
            <w:tcW w:type="dxa" w:w="1053"/>
            <w:shd w:fill="F2F2F2" w:val="clear"/>
          </w:tcPr>
          <w:p>
            <w:r>
              <w:rPr>
                <w:b/>
                <w:sz w:val="16"/>
              </w:rPr>
              <w:t>N/D</w:t>
            </w:r>
          </w:p>
        </w:tc>
        <w:tc>
          <w:tcPr>
            <w:tcW w:type="dxa" w:w="1053"/>
            <w:shd w:fill="FFC7CE" w:val="clear"/>
          </w:tcPr>
          <w:p>
            <w:r>
              <w:rPr>
                <w:b/>
                <w:color w:val="B40000"/>
                <w:sz w:val="16"/>
              </w:rPr>
              <w:t>314.86%</w:t>
            </w:r>
          </w:p>
        </w:tc>
        <w:tc>
          <w:tcPr>
            <w:tcW w:type="dxa" w:w="1053"/>
            <w:shd w:fill="FFFFFF" w:val="clear"/>
          </w:tcPr>
          <w:p>
            <w:r>
              <w:rPr>
                <w:b/>
                <w:color w:val="000000"/>
                <w:sz w:val="16"/>
              </w:rPr>
              <w:t>119.61%</w:t>
            </w:r>
          </w:p>
        </w:tc>
      </w:tr>
      <w:tr>
        <w:tc>
          <w:tcPr>
            <w:tcW w:type="dxa" w:w="2551"/>
            <w:shd w:fill="EEF2F7" w:val="clear"/>
          </w:tcPr>
          <w:p>
            <w:r>
              <w:rPr>
                <w:b/>
                <w:sz w:val="15"/>
              </w:rPr>
              <w:t>Solvabilité générale</w:t>
            </w:r>
          </w:p>
        </w:tc>
        <w:tc>
          <w:tcPr>
            <w:tcW w:type="dxa" w:w="1053"/>
            <w:shd w:fill="FFFFFF" w:val="clear"/>
          </w:tcPr>
          <w:p>
            <w:r>
              <w:rPr>
                <w:b/>
                <w:color w:val="000000"/>
                <w:sz w:val="16"/>
              </w:rPr>
              <w:t>226.84%</w:t>
            </w:r>
          </w:p>
        </w:tc>
        <w:tc>
          <w:tcPr>
            <w:tcW w:type="dxa" w:w="1053"/>
            <w:shd w:fill="FFFFFF" w:val="clear"/>
          </w:tcPr>
          <w:p>
            <w:r>
              <w:rPr>
                <w:b/>
                <w:color w:val="000000"/>
                <w:sz w:val="16"/>
              </w:rPr>
              <w:t>156.64%</w:t>
            </w:r>
          </w:p>
        </w:tc>
        <w:tc>
          <w:tcPr>
            <w:tcW w:type="dxa" w:w="1053"/>
            <w:shd w:fill="FFC7CE" w:val="clear"/>
          </w:tcPr>
          <w:p>
            <w:r>
              <w:rPr>
                <w:b/>
                <w:color w:val="B40000"/>
                <w:sz w:val="16"/>
              </w:rPr>
              <w:t>129.67%</w:t>
            </w:r>
          </w:p>
        </w:tc>
        <w:tc>
          <w:tcPr>
            <w:tcW w:type="dxa" w:w="1053"/>
            <w:shd w:fill="FFFFFF" w:val="clear"/>
          </w:tcPr>
          <w:p>
            <w:r>
              <w:rPr>
                <w:b/>
                <w:color w:val="000000"/>
                <w:sz w:val="16"/>
              </w:rPr>
              <w:t>306.04%</w:t>
            </w:r>
          </w:p>
        </w:tc>
        <w:tc>
          <w:tcPr>
            <w:tcW w:type="dxa" w:w="1053"/>
            <w:shd w:fill="C6EFCE" w:val="clear"/>
          </w:tcPr>
          <w:p>
            <w:r>
              <w:rPr>
                <w:b/>
                <w:color w:val="006400"/>
                <w:sz w:val="16"/>
              </w:rPr>
              <w:t>435.02%</w:t>
            </w:r>
          </w:p>
        </w:tc>
        <w:tc>
          <w:tcPr>
            <w:tcW w:type="dxa" w:w="1053"/>
            <w:shd w:fill="FFFFFF" w:val="clear"/>
          </w:tcPr>
          <w:p>
            <w:r>
              <w:rPr>
                <w:b/>
                <w:color w:val="000000"/>
                <w:sz w:val="16"/>
              </w:rPr>
              <w:t>131.76%</w:t>
            </w:r>
          </w:p>
        </w:tc>
        <w:tc>
          <w:tcPr>
            <w:tcW w:type="dxa" w:w="1053"/>
            <w:shd w:fill="FFFFFF" w:val="clear"/>
          </w:tcPr>
          <w:p>
            <w:r>
              <w:rPr>
                <w:b/>
                <w:color w:val="000000"/>
                <w:sz w:val="16"/>
              </w:rPr>
              <w:t>183.60%</w:t>
            </w:r>
          </w:p>
        </w:tc>
      </w:tr>
      <w:tr>
        <w:tc>
          <w:tcPr>
            <w:tcW w:type="dxa" w:w="2551"/>
            <w:shd w:fill="EEF2F7" w:val="clear"/>
          </w:tcPr>
          <w:p>
            <w:r>
              <w:rPr>
                <w:b/>
                <w:sz w:val="15"/>
              </w:rPr>
              <w:t>Liquidité générale</w:t>
            </w:r>
          </w:p>
        </w:tc>
        <w:tc>
          <w:tcPr>
            <w:tcW w:type="dxa" w:w="1053"/>
            <w:shd w:fill="FFFFFF" w:val="clear"/>
          </w:tcPr>
          <w:p>
            <w:r>
              <w:rPr>
                <w:b/>
                <w:color w:val="000000"/>
                <w:sz w:val="16"/>
              </w:rPr>
              <w:t>218.37%</w:t>
            </w:r>
          </w:p>
        </w:tc>
        <w:tc>
          <w:tcPr>
            <w:tcW w:type="dxa" w:w="1053"/>
            <w:shd w:fill="FFFFFF" w:val="clear"/>
          </w:tcPr>
          <w:p>
            <w:r>
              <w:rPr>
                <w:b/>
                <w:color w:val="000000"/>
                <w:sz w:val="16"/>
              </w:rPr>
              <w:t>141.69%</w:t>
            </w:r>
          </w:p>
        </w:tc>
        <w:tc>
          <w:tcPr>
            <w:tcW w:type="dxa" w:w="1053"/>
            <w:shd w:fill="FFC7CE" w:val="clear"/>
          </w:tcPr>
          <w:p>
            <w:r>
              <w:rPr>
                <w:b/>
                <w:color w:val="B40000"/>
                <w:sz w:val="16"/>
              </w:rPr>
              <w:t>93.63%</w:t>
            </w:r>
          </w:p>
        </w:tc>
        <w:tc>
          <w:tcPr>
            <w:tcW w:type="dxa" w:w="1053"/>
            <w:shd w:fill="FFFFFF" w:val="clear"/>
          </w:tcPr>
          <w:p>
            <w:r>
              <w:rPr>
                <w:b/>
                <w:color w:val="000000"/>
                <w:sz w:val="16"/>
              </w:rPr>
              <w:t>184.84%</w:t>
            </w:r>
          </w:p>
        </w:tc>
        <w:tc>
          <w:tcPr>
            <w:tcW w:type="dxa" w:w="1053"/>
            <w:shd w:fill="C6EFCE" w:val="clear"/>
          </w:tcPr>
          <w:p>
            <w:r>
              <w:rPr>
                <w:b/>
                <w:color w:val="006400"/>
                <w:sz w:val="16"/>
              </w:rPr>
              <w:t>448.86%</w:t>
            </w:r>
          </w:p>
        </w:tc>
        <w:tc>
          <w:tcPr>
            <w:tcW w:type="dxa" w:w="1053"/>
            <w:shd w:fill="FFFFFF" w:val="clear"/>
          </w:tcPr>
          <w:p>
            <w:r>
              <w:rPr>
                <w:b/>
                <w:color w:val="000000"/>
                <w:sz w:val="16"/>
              </w:rPr>
              <w:t>120.87%</w:t>
            </w:r>
          </w:p>
        </w:tc>
        <w:tc>
          <w:tcPr>
            <w:tcW w:type="dxa" w:w="1053"/>
            <w:shd w:fill="FFFFFF" w:val="clear"/>
          </w:tcPr>
          <w:p>
            <w:r>
              <w:rPr>
                <w:b/>
                <w:color w:val="000000"/>
                <w:sz w:val="16"/>
              </w:rPr>
              <w:t>126.23%</w:t>
            </w:r>
          </w:p>
        </w:tc>
      </w:tr>
      <w:tr>
        <w:tc>
          <w:tcPr>
            <w:tcW w:type="dxa" w:w="2551"/>
            <w:shd w:fill="EEF2F7" w:val="clear"/>
          </w:tcPr>
          <w:p>
            <w:r>
              <w:rPr>
                <w:b/>
                <w:sz w:val="15"/>
              </w:rPr>
              <w:t>Free Cash Flow</w:t>
            </w:r>
          </w:p>
        </w:tc>
        <w:tc>
          <w:tcPr>
            <w:tcW w:type="dxa" w:w="1053"/>
            <w:shd w:fill="FFFFFF" w:val="clear"/>
          </w:tcPr>
          <w:p>
            <w:r>
              <w:rPr>
                <w:b/>
                <w:color w:val="000000"/>
                <w:sz w:val="16"/>
              </w:rPr>
              <w:t>619.83 M FCFA</w:t>
            </w:r>
          </w:p>
        </w:tc>
        <w:tc>
          <w:tcPr>
            <w:tcW w:type="dxa" w:w="1053"/>
            <w:shd w:fill="FFFFFF" w:val="clear"/>
          </w:tcPr>
          <w:p>
            <w:r>
              <w:rPr>
                <w:b/>
                <w:color w:val="000000"/>
                <w:sz w:val="16"/>
              </w:rPr>
              <w:t>-1.239 Mds FCFA</w:t>
            </w:r>
          </w:p>
        </w:tc>
        <w:tc>
          <w:tcPr>
            <w:tcW w:type="dxa" w:w="1053"/>
            <w:shd w:fill="FFFFFF" w:val="clear"/>
          </w:tcPr>
          <w:p>
            <w:r>
              <w:rPr>
                <w:b/>
                <w:color w:val="000000"/>
                <w:sz w:val="16"/>
              </w:rPr>
              <w:t>-1.650 Mds FCFA</w:t>
            </w:r>
          </w:p>
        </w:tc>
        <w:tc>
          <w:tcPr>
            <w:tcW w:type="dxa" w:w="1053"/>
            <w:shd w:fill="F2F2F2" w:val="clear"/>
          </w:tcPr>
          <w:p>
            <w:r>
              <w:rPr>
                <w:b/>
                <w:sz w:val="16"/>
              </w:rPr>
              <w:t>N/D</w:t>
            </w:r>
          </w:p>
        </w:tc>
        <w:tc>
          <w:tcPr>
            <w:tcW w:type="dxa" w:w="1053"/>
            <w:shd w:fill="FFFFFF" w:val="clear"/>
          </w:tcPr>
          <w:p>
            <w:r>
              <w:rPr>
                <w:b/>
                <w:color w:val="000000"/>
                <w:sz w:val="16"/>
              </w:rPr>
              <w:t>-565.91 M FCFA</w:t>
            </w:r>
          </w:p>
        </w:tc>
        <w:tc>
          <w:tcPr>
            <w:tcW w:type="dxa" w:w="1053"/>
            <w:shd w:fill="FFC7CE" w:val="clear"/>
          </w:tcPr>
          <w:p>
            <w:r>
              <w:rPr>
                <w:b/>
                <w:color w:val="B40000"/>
                <w:sz w:val="16"/>
              </w:rPr>
              <w:t>-2.616 Mds FCFA</w:t>
            </w:r>
          </w:p>
        </w:tc>
        <w:tc>
          <w:tcPr>
            <w:tcW w:type="dxa" w:w="1053"/>
            <w:shd w:fill="C6EFCE" w:val="clear"/>
          </w:tcPr>
          <w:p>
            <w:r>
              <w:rPr>
                <w:b/>
                <w:color w:val="006400"/>
                <w:sz w:val="16"/>
              </w:rPr>
              <w:t>1.566 Mds FCFA</w:t>
            </w:r>
          </w:p>
        </w:tc>
      </w:tr>
      <w:tr>
        <w:tc>
          <w:tcPr>
            <w:tcW w:type="dxa" w:w="2551"/>
            <w:shd w:fill="EEF2F7" w:val="clear"/>
          </w:tcPr>
          <w:p>
            <w:r>
              <w:rPr>
                <w:b/>
                <w:sz w:val="15"/>
              </w:rPr>
              <w:t>Marge opérationnelle</w:t>
            </w:r>
          </w:p>
        </w:tc>
        <w:tc>
          <w:tcPr>
            <w:tcW w:type="dxa" w:w="1053"/>
            <w:shd w:fill="FFFFFF" w:val="clear"/>
          </w:tcPr>
          <w:p>
            <w:r>
              <w:rPr>
                <w:b/>
                <w:color w:val="000000"/>
                <w:sz w:val="16"/>
              </w:rPr>
              <w:t>16.38%</w:t>
            </w:r>
          </w:p>
        </w:tc>
        <w:tc>
          <w:tcPr>
            <w:tcW w:type="dxa" w:w="1053"/>
            <w:shd w:fill="FFFFFF" w:val="clear"/>
          </w:tcPr>
          <w:p>
            <w:r>
              <w:rPr>
                <w:b/>
                <w:color w:val="000000"/>
                <w:sz w:val="16"/>
              </w:rPr>
              <w:t>2.47%</w:t>
            </w:r>
          </w:p>
        </w:tc>
        <w:tc>
          <w:tcPr>
            <w:tcW w:type="dxa" w:w="1053"/>
            <w:shd w:fill="FFFFFF" w:val="clear"/>
          </w:tcPr>
          <w:p>
            <w:r>
              <w:rPr>
                <w:b/>
                <w:color w:val="000000"/>
                <w:sz w:val="16"/>
              </w:rPr>
              <w:t>4.96%</w:t>
            </w:r>
          </w:p>
        </w:tc>
        <w:tc>
          <w:tcPr>
            <w:tcW w:type="dxa" w:w="1053"/>
            <w:shd w:fill="FFFFFF" w:val="clear"/>
          </w:tcPr>
          <w:p>
            <w:r>
              <w:rPr>
                <w:b/>
                <w:color w:val="000000"/>
                <w:sz w:val="16"/>
              </w:rPr>
              <w:t>6.47%</w:t>
            </w:r>
          </w:p>
        </w:tc>
        <w:tc>
          <w:tcPr>
            <w:tcW w:type="dxa" w:w="1053"/>
            <w:shd w:fill="C6EFCE" w:val="clear"/>
          </w:tcPr>
          <w:p>
            <w:r>
              <w:rPr>
                <w:b/>
                <w:color w:val="006400"/>
                <w:sz w:val="16"/>
              </w:rPr>
              <w:t>23.60%</w:t>
            </w:r>
          </w:p>
        </w:tc>
        <w:tc>
          <w:tcPr>
            <w:tcW w:type="dxa" w:w="1053"/>
            <w:shd w:fill="FFFFFF" w:val="clear"/>
          </w:tcPr>
          <w:p>
            <w:r>
              <w:rPr>
                <w:b/>
                <w:color w:val="000000"/>
                <w:sz w:val="16"/>
              </w:rPr>
              <w:t>5.23%</w:t>
            </w:r>
          </w:p>
        </w:tc>
        <w:tc>
          <w:tcPr>
            <w:tcW w:type="dxa" w:w="1053"/>
            <w:shd w:fill="FFC7CE" w:val="clear"/>
          </w:tcPr>
          <w:p>
            <w:r>
              <w:rPr>
                <w:b/>
                <w:color w:val="B40000"/>
                <w:sz w:val="16"/>
              </w:rPr>
              <w:t>-7.81%</w:t>
            </w:r>
          </w:p>
        </w:tc>
      </w:tr>
      <w:tr>
        <w:tc>
          <w:tcPr>
            <w:tcW w:type="dxa" w:w="2551"/>
            <w:shd w:fill="EEF2F7" w:val="clear"/>
          </w:tcPr>
          <w:p>
            <w:r>
              <w:rPr>
                <w:b/>
                <w:sz w:val="15"/>
              </w:rPr>
              <w:t>Délai clients</w:t>
            </w:r>
          </w:p>
        </w:tc>
        <w:tc>
          <w:tcPr>
            <w:tcW w:type="dxa" w:w="1053"/>
            <w:shd w:fill="FFFFFF" w:val="clear"/>
          </w:tcPr>
          <w:p>
            <w:r>
              <w:rPr>
                <w:b/>
                <w:color w:val="000000"/>
                <w:sz w:val="16"/>
              </w:rPr>
              <w:t>70.1 j</w:t>
            </w:r>
          </w:p>
        </w:tc>
        <w:tc>
          <w:tcPr>
            <w:tcW w:type="dxa" w:w="1053"/>
            <w:shd w:fill="FFFFFF" w:val="clear"/>
          </w:tcPr>
          <w:p>
            <w:r>
              <w:rPr>
                <w:b/>
                <w:color w:val="000000"/>
                <w:sz w:val="16"/>
              </w:rPr>
              <w:t>104.4 j</w:t>
            </w:r>
          </w:p>
        </w:tc>
        <w:tc>
          <w:tcPr>
            <w:tcW w:type="dxa" w:w="1053"/>
            <w:shd w:fill="FFFFFF" w:val="clear"/>
          </w:tcPr>
          <w:p>
            <w:r>
              <w:rPr>
                <w:b/>
                <w:color w:val="000000"/>
                <w:sz w:val="16"/>
              </w:rPr>
              <w:t>36.6 j</w:t>
            </w:r>
          </w:p>
        </w:tc>
        <w:tc>
          <w:tcPr>
            <w:tcW w:type="dxa" w:w="1053"/>
            <w:shd w:fill="C6EFCE" w:val="clear"/>
          </w:tcPr>
          <w:p>
            <w:r>
              <w:rPr>
                <w:b/>
                <w:color w:val="006400"/>
                <w:sz w:val="16"/>
              </w:rPr>
              <w:t>4.8 j</w:t>
            </w:r>
          </w:p>
        </w:tc>
        <w:tc>
          <w:tcPr>
            <w:tcW w:type="dxa" w:w="1053"/>
            <w:shd w:fill="FFC7CE" w:val="clear"/>
          </w:tcPr>
          <w:p>
            <w:r>
              <w:rPr>
                <w:b/>
                <w:color w:val="B40000"/>
                <w:sz w:val="16"/>
              </w:rPr>
              <w:t>154.7 j</w:t>
            </w:r>
          </w:p>
        </w:tc>
        <w:tc>
          <w:tcPr>
            <w:tcW w:type="dxa" w:w="1053"/>
            <w:shd w:fill="FFFFFF" w:val="clear"/>
          </w:tcPr>
          <w:p>
            <w:r>
              <w:rPr>
                <w:b/>
                <w:color w:val="000000"/>
                <w:sz w:val="16"/>
              </w:rPr>
              <w:t>46.0 j</w:t>
            </w:r>
          </w:p>
        </w:tc>
        <w:tc>
          <w:tcPr>
            <w:tcW w:type="dxa" w:w="1053"/>
            <w:shd w:fill="FFFFFF" w:val="clear"/>
          </w:tcPr>
          <w:p>
            <w:r>
              <w:rPr>
                <w:b/>
                <w:color w:val="000000"/>
                <w:sz w:val="16"/>
              </w:rPr>
              <w:t>51.0 j</w:t>
            </w:r>
          </w:p>
        </w:tc>
      </w:tr>
      <w:tr>
        <w:tc>
          <w:tcPr>
            <w:tcW w:type="dxa" w:w="2551"/>
            <w:shd w:fill="EEF2F7" w:val="clear"/>
          </w:tcPr>
          <w:p>
            <w:r>
              <w:rPr>
                <w:b/>
                <w:sz w:val="15"/>
              </w:rPr>
              <w:t>Durée stockage</w:t>
            </w:r>
          </w:p>
        </w:tc>
        <w:tc>
          <w:tcPr>
            <w:tcW w:type="dxa" w:w="1053"/>
            <w:shd w:fill="FFFFFF" w:val="clear"/>
          </w:tcPr>
          <w:p>
            <w:r>
              <w:rPr>
                <w:b/>
                <w:color w:val="000000"/>
                <w:sz w:val="16"/>
              </w:rPr>
              <w:t>29.4 j</w:t>
            </w:r>
          </w:p>
        </w:tc>
        <w:tc>
          <w:tcPr>
            <w:tcW w:type="dxa" w:w="1053"/>
            <w:shd w:fill="FFC7CE" w:val="clear"/>
          </w:tcPr>
          <w:p>
            <w:r>
              <w:rPr>
                <w:b/>
                <w:color w:val="B40000"/>
                <w:sz w:val="16"/>
              </w:rPr>
              <w:t>339.2 j</w:t>
            </w:r>
          </w:p>
        </w:tc>
        <w:tc>
          <w:tcPr>
            <w:tcW w:type="dxa" w:w="1053"/>
            <w:shd w:fill="FFFFFF" w:val="clear"/>
          </w:tcPr>
          <w:p>
            <w:r>
              <w:rPr>
                <w:b/>
                <w:color w:val="000000"/>
                <w:sz w:val="16"/>
              </w:rPr>
              <w:t>88.3 j</w:t>
            </w:r>
          </w:p>
        </w:tc>
        <w:tc>
          <w:tcPr>
            <w:tcW w:type="dxa" w:w="1053"/>
            <w:shd w:fill="C6EFCE" w:val="clear"/>
          </w:tcPr>
          <w:p>
            <w:r>
              <w:rPr>
                <w:b/>
                <w:color w:val="006400"/>
                <w:sz w:val="16"/>
              </w:rPr>
              <w:t>1.6 j</w:t>
            </w:r>
          </w:p>
        </w:tc>
        <w:tc>
          <w:tcPr>
            <w:tcW w:type="dxa" w:w="1053"/>
            <w:shd w:fill="FFFFFF" w:val="clear"/>
          </w:tcPr>
          <w:p>
            <w:r>
              <w:rPr>
                <w:b/>
                <w:color w:val="000000"/>
                <w:sz w:val="16"/>
              </w:rPr>
              <w:t>54.5 j</w:t>
            </w:r>
          </w:p>
        </w:tc>
        <w:tc>
          <w:tcPr>
            <w:tcW w:type="dxa" w:w="1053"/>
            <w:shd w:fill="FFFFFF" w:val="clear"/>
          </w:tcPr>
          <w:p>
            <w:r>
              <w:rPr>
                <w:b/>
                <w:color w:val="000000"/>
                <w:sz w:val="16"/>
              </w:rPr>
              <w:t>150.5 j</w:t>
            </w:r>
          </w:p>
        </w:tc>
        <w:tc>
          <w:tcPr>
            <w:tcW w:type="dxa" w:w="1053"/>
            <w:shd w:fill="FFFFFF" w:val="clear"/>
          </w:tcPr>
          <w:p>
            <w:r>
              <w:rPr>
                <w:b/>
                <w:color w:val="000000"/>
                <w:sz w:val="16"/>
              </w:rPr>
              <w:t>254.7 j</w:t>
            </w:r>
          </w:p>
        </w:tc>
      </w:tr>
    </w:tbl>
    <w:p/>
    <w:p>
      <w:pPr>
        <w:pStyle w:val="Heading3"/>
      </w:pPr>
      <w:r>
        <w:t>🔍 Analyse détaillée par société</w:t>
      </w:r>
    </w:p>
    <w:p>
      <w:pPr>
        <w:spacing w:before="160"/>
      </w:pPr>
      <w:r>
        <w:rPr>
          <w:b/>
          <w:color w:val="003366"/>
          <w:sz w:val="20"/>
        </w:rPr>
        <w:t xml:space="preserve">▶ ABJC — ABJC - SERVAIR ABIDJAN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26.18%</w:t>
            </w:r>
          </w:p>
        </w:tc>
        <w:tc>
          <w:tcPr>
            <w:tcW w:type="dxa" w:w="5669"/>
            <w:shd w:fill="FFFFFF" w:val="clear"/>
          </w:tcPr>
          <w:p>
            <w:r>
              <w:rPr>
                <w:sz w:val="15"/>
              </w:rPr>
              <w:t>✅ ROE de 26.2%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14.64%</w:t>
            </w:r>
          </w:p>
        </w:tc>
        <w:tc>
          <w:tcPr>
            <w:tcW w:type="dxa" w:w="5669"/>
            <w:shd w:fill="FFFFFF" w:val="clear"/>
          </w:tcPr>
          <w:p>
            <w:r>
              <w:rPr>
                <w:sz w:val="15"/>
              </w:rPr>
              <w:t>✅ ROA de 14.64%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10.16%</w:t>
            </w:r>
          </w:p>
        </w:tc>
        <w:tc>
          <w:tcPr>
            <w:tcW w:type="dxa" w:w="5669"/>
            <w:shd w:fill="FFFFFF" w:val="clear"/>
          </w:tcPr>
          <w:p>
            <w:r>
              <w:rPr>
                <w:sz w:val="15"/>
              </w:rPr>
              <w:t>✅ Marge nette de 10.2%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1.351 Mds FCFA</w:t>
            </w:r>
          </w:p>
        </w:tc>
        <w:tc>
          <w:tcPr>
            <w:tcW w:type="dxa" w:w="5669"/>
            <w:shd w:fill="FFFFFF" w:val="clear"/>
          </w:tcPr>
          <w:p>
            <w:r>
              <w:rPr>
                <w:sz w:val="15"/>
              </w:rPr>
              <w:t>✅ Résultat net positif de 1.351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6.67%</w:t>
            </w:r>
          </w:p>
        </w:tc>
        <w:tc>
          <w:tcPr>
            <w:tcW w:type="dxa" w:w="5669"/>
            <w:shd w:fill="FFFFFF" w:val="clear"/>
          </w:tcPr>
          <w:p>
            <w:r>
              <w:rPr>
                <w:sz w:val="15"/>
              </w:rPr>
              <w:t>✅ Croissance de 6.7%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55.92%</w:t>
            </w:r>
          </w:p>
        </w:tc>
        <w:tc>
          <w:tcPr>
            <w:tcW w:type="dxa" w:w="5669"/>
            <w:shd w:fill="FFFFFF" w:val="clear"/>
          </w:tcPr>
          <w:p>
            <w:r>
              <w:rPr>
                <w:sz w:val="15"/>
              </w:rPr>
              <w:t>✅ Autonomie financière de 55.9%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44.08%</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226.84%</w:t>
            </w:r>
          </w:p>
        </w:tc>
        <w:tc>
          <w:tcPr>
            <w:tcW w:type="dxa" w:w="5669"/>
            <w:shd w:fill="FFFFFF" w:val="clear"/>
          </w:tcPr>
          <w:p>
            <w:r>
              <w:rPr>
                <w:sz w:val="15"/>
              </w:rPr>
              <w:t>✅ Solvabilité de 227%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218.37%</w:t>
            </w:r>
          </w:p>
        </w:tc>
        <w:tc>
          <w:tcPr>
            <w:tcW w:type="dxa" w:w="5669"/>
            <w:shd w:fill="FFFFFF" w:val="clear"/>
          </w:tcPr>
          <w:p>
            <w:r>
              <w:rPr>
                <w:sz w:val="15"/>
              </w:rPr>
              <w:t>✅ Liquidité générale de 218x — actif circulant deux fois supérieur aux dettes CT. Trésorerie très confortable.</w:t>
            </w:r>
          </w:p>
        </w:tc>
      </w:tr>
      <w:tr>
        <w:tc>
          <w:tcPr>
            <w:tcW w:type="dxa" w:w="2268"/>
            <w:shd w:fill="EEF2F7" w:val="clear"/>
          </w:tcPr>
          <w:p>
            <w:r>
              <w:rPr>
                <w:b/>
                <w:sz w:val="15"/>
              </w:rPr>
              <w:t>Free Cash Flow</w:t>
            </w:r>
          </w:p>
        </w:tc>
        <w:tc>
          <w:tcPr>
            <w:tcW w:type="dxa" w:w="1984"/>
            <w:shd w:fill="C6EFCE" w:val="clear"/>
          </w:tcPr>
          <w:p>
            <w:r>
              <w:rPr>
                <w:b/>
                <w:color w:val="007800"/>
                <w:sz w:val="17"/>
              </w:rPr>
              <w:t>619.83 M FCFA</w:t>
            </w:r>
          </w:p>
        </w:tc>
        <w:tc>
          <w:tcPr>
            <w:tcW w:type="dxa" w:w="5669"/>
            <w:shd w:fill="FFFFFF" w:val="clear"/>
          </w:tcPr>
          <w:p>
            <w:r>
              <w:rPr>
                <w:sz w:val="15"/>
              </w:rPr>
              <w:t>✅ FCF positif de 619.83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16.38%</w:t>
            </w:r>
          </w:p>
        </w:tc>
        <w:tc>
          <w:tcPr>
            <w:tcW w:type="dxa" w:w="5669"/>
            <w:shd w:fill="FFFFFF" w:val="clear"/>
          </w:tcPr>
          <w:p>
            <w:r>
              <w:rPr>
                <w:sz w:val="15"/>
              </w:rPr>
              <w:t>✅ Marge opérationnelle correcte (16.4%).</w:t>
            </w:r>
          </w:p>
        </w:tc>
      </w:tr>
      <w:tr>
        <w:tc>
          <w:tcPr>
            <w:tcW w:type="dxa" w:w="2268"/>
            <w:shd w:fill="EEF2F7" w:val="clear"/>
          </w:tcPr>
          <w:p>
            <w:r>
              <w:rPr>
                <w:b/>
                <w:sz w:val="15"/>
              </w:rPr>
              <w:t>Délai clients</w:t>
            </w:r>
          </w:p>
        </w:tc>
        <w:tc>
          <w:tcPr>
            <w:tcW w:type="dxa" w:w="1984"/>
            <w:shd w:fill="FFEB9C" w:val="clear"/>
          </w:tcPr>
          <w:p>
            <w:r>
              <w:rPr>
                <w:b/>
                <w:color w:val="007800"/>
                <w:sz w:val="17"/>
              </w:rPr>
              <w:t>70.1 j</w:t>
            </w:r>
          </w:p>
        </w:tc>
        <w:tc>
          <w:tcPr>
            <w:tcW w:type="dxa" w:w="5669"/>
            <w:shd w:fill="FFFFFF" w:val="clear"/>
          </w:tcPr>
          <w:p>
            <w:r>
              <w:rPr>
                <w:sz w:val="15"/>
              </w:rPr>
              <w:t>⚠️ Délai long (70 jours) — risque d'impayés accru, pression sur la trésorerie CT.</w:t>
            </w:r>
          </w:p>
        </w:tc>
      </w:tr>
      <w:tr>
        <w:tc>
          <w:tcPr>
            <w:tcW w:type="dxa" w:w="2268"/>
            <w:shd w:fill="EEF2F7" w:val="clear"/>
          </w:tcPr>
          <w:p>
            <w:r>
              <w:rPr>
                <w:b/>
                <w:sz w:val="15"/>
              </w:rPr>
              <w:t>Durée stockage</w:t>
            </w:r>
          </w:p>
        </w:tc>
        <w:tc>
          <w:tcPr>
            <w:tcW w:type="dxa" w:w="1984"/>
            <w:shd w:fill="C6EFCE" w:val="clear"/>
          </w:tcPr>
          <w:p>
            <w:r>
              <w:rPr>
                <w:b/>
                <w:color w:val="007800"/>
                <w:sz w:val="17"/>
              </w:rPr>
              <w:t>29.4 j</w:t>
            </w:r>
          </w:p>
        </w:tc>
        <w:tc>
          <w:tcPr>
            <w:tcW w:type="dxa" w:w="5669"/>
            <w:shd w:fill="FFFFFF" w:val="clear"/>
          </w:tcPr>
          <w:p>
            <w:r>
              <w:rPr>
                <w:sz w:val="15"/>
              </w:rPr>
              <w:t>✅ Stock écoulé en 29 jours — rotation excellente, capital peu immobilisé.</w:t>
            </w:r>
          </w:p>
        </w:tc>
      </w:tr>
    </w:tbl>
    <w:p/>
    <w:p>
      <w:pPr>
        <w:spacing w:before="160"/>
      </w:pPr>
      <w:r>
        <w:rPr>
          <w:b/>
          <w:color w:val="003366"/>
          <w:sz w:val="20"/>
        </w:rPr>
        <w:t xml:space="preserve">▶ BNBC — BNBC - BERNABE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0.13%</w:t>
            </w:r>
          </w:p>
        </w:tc>
        <w:tc>
          <w:tcPr>
            <w:tcW w:type="dxa" w:w="5669"/>
            <w:shd w:fill="FFFFFF" w:val="clear"/>
          </w:tcPr>
          <w:p>
            <w:r>
              <w:rPr>
                <w:sz w:val="15"/>
              </w:rPr>
              <w:t>⚠️ ROE de 0.1%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0.05%</w:t>
            </w:r>
          </w:p>
        </w:tc>
        <w:tc>
          <w:tcPr>
            <w:tcW w:type="dxa" w:w="5669"/>
            <w:shd w:fill="FFFFFF" w:val="clear"/>
          </w:tcPr>
          <w:p>
            <w:r>
              <w:rPr>
                <w:sz w:val="15"/>
              </w:rPr>
              <w:t>⚠️ ROA de 0.05%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0.05%</w:t>
            </w:r>
          </w:p>
        </w:tc>
        <w:tc>
          <w:tcPr>
            <w:tcW w:type="dxa" w:w="5669"/>
            <w:shd w:fill="FFFFFF" w:val="clear"/>
          </w:tcPr>
          <w:p>
            <w:r>
              <w:rPr>
                <w:sz w:val="15"/>
              </w:rPr>
              <w:t>⚠️ Marge nette quasi-nulle (0.05%)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22.32 M FCFA</w:t>
            </w:r>
          </w:p>
        </w:tc>
        <w:tc>
          <w:tcPr>
            <w:tcW w:type="dxa" w:w="5669"/>
            <w:shd w:fill="FFFFFF" w:val="clear"/>
          </w:tcPr>
          <w:p>
            <w:r>
              <w:rPr>
                <w:sz w:val="15"/>
              </w:rPr>
              <w:t>✅ Résultat net positif de 22.32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-6.31%</w:t>
            </w:r>
          </w:p>
        </w:tc>
        <w:tc>
          <w:tcPr>
            <w:tcW w:type="dxa" w:w="5669"/>
            <w:shd w:fill="FFFFFF" w:val="clear"/>
          </w:tcPr>
          <w:p>
            <w:r>
              <w:rPr>
                <w:sz w:val="15"/>
              </w:rPr>
              <w:t>❌ Recul marqué de 6.3%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36.16%</w:t>
            </w:r>
          </w:p>
        </w:tc>
        <w:tc>
          <w:tcPr>
            <w:tcW w:type="dxa" w:w="5669"/>
            <w:shd w:fill="FFFFFF" w:val="clear"/>
          </w:tcPr>
          <w:p>
            <w:r>
              <w:rPr>
                <w:sz w:val="15"/>
              </w:rPr>
              <w:t>✅ Autonomie financière correcte (36.2%)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105.48%</w:t>
            </w:r>
          </w:p>
        </w:tc>
        <w:tc>
          <w:tcPr>
            <w:tcW w:type="dxa" w:w="5669"/>
            <w:shd w:fill="FFFFFF" w:val="clear"/>
          </w:tcPr>
          <w:p>
            <w:r>
              <w:rPr>
                <w:sz w:val="15"/>
              </w:rPr>
              <w:t>✅ Gearing de 105%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156.64%</w:t>
            </w:r>
          </w:p>
        </w:tc>
        <w:tc>
          <w:tcPr>
            <w:tcW w:type="dxa" w:w="5669"/>
            <w:shd w:fill="FFFFFF" w:val="clear"/>
          </w:tcPr>
          <w:p>
            <w:r>
              <w:rPr>
                <w:sz w:val="15"/>
              </w:rPr>
              <w:t>✅ Solvabilité satisfaisante (157%)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141.69%</w:t>
            </w:r>
          </w:p>
        </w:tc>
        <w:tc>
          <w:tcPr>
            <w:tcW w:type="dxa" w:w="5669"/>
            <w:shd w:fill="FFFFFF" w:val="clear"/>
          </w:tcPr>
          <w:p>
            <w:r>
              <w:rPr>
                <w:sz w:val="15"/>
              </w:rPr>
              <w:t>✅ Liquidité générale de 141.69x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-1.239 Mds FCFA</w:t>
            </w:r>
          </w:p>
        </w:tc>
        <w:tc>
          <w:tcPr>
            <w:tcW w:type="dxa" w:w="5669"/>
            <w:shd w:fill="FFFFFF" w:val="clear"/>
          </w:tcPr>
          <w:p>
            <w:r>
              <w:rPr>
                <w:sz w:val="15"/>
              </w:rPr>
              <w:t>❌ FCF négatif significatif (-1.239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2.47%</w:t>
            </w:r>
          </w:p>
        </w:tc>
        <w:tc>
          <w:tcPr>
            <w:tcW w:type="dxa" w:w="5669"/>
            <w:shd w:fill="FFFFFF" w:val="clear"/>
          </w:tcPr>
          <w:p>
            <w:r>
              <w:rPr>
                <w:sz w:val="15"/>
              </w:rPr>
              <w:t>⚠️ Marge opérationnelle faible (2.5%)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104.4 j</w:t>
            </w:r>
          </w:p>
        </w:tc>
        <w:tc>
          <w:tcPr>
            <w:tcW w:type="dxa" w:w="5669"/>
            <w:shd w:fill="FFFFFF" w:val="clear"/>
          </w:tcPr>
          <w:p>
            <w:r>
              <w:rPr>
                <w:sz w:val="15"/>
              </w:rPr>
              <w:t>❌ Délai critique de 104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339.2 j</w:t>
            </w:r>
          </w:p>
        </w:tc>
        <w:tc>
          <w:tcPr>
            <w:tcW w:type="dxa" w:w="5669"/>
            <w:shd w:fill="FFFFFF" w:val="clear"/>
          </w:tcPr>
          <w:p>
            <w:r>
              <w:rPr>
                <w:sz w:val="15"/>
              </w:rPr>
              <w:t>❌ Stock quasi-bloqué (339 jours) — capital fortement immobilisé, risque d'obsolescence élevé.</w:t>
            </w:r>
          </w:p>
        </w:tc>
      </w:tr>
    </w:tbl>
    <w:p/>
    <w:p>
      <w:pPr>
        <w:spacing w:before="160"/>
      </w:pPr>
      <w:r>
        <w:rPr>
          <w:b/>
          <w:color w:val="003366"/>
          <w:sz w:val="20"/>
        </w:rPr>
        <w:t xml:space="preserve">▶ CFAC — CFAC - CFAO MOTORS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24.13%</w:t>
            </w:r>
          </w:p>
        </w:tc>
        <w:tc>
          <w:tcPr>
            <w:tcW w:type="dxa" w:w="5669"/>
            <w:shd w:fill="FFFFFF" w:val="clear"/>
          </w:tcPr>
          <w:p>
            <w:r>
              <w:rPr>
                <w:sz w:val="15"/>
              </w:rPr>
              <w:t>✅ ROE de 24.1%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5.52%</w:t>
            </w:r>
          </w:p>
        </w:tc>
        <w:tc>
          <w:tcPr>
            <w:tcW w:type="dxa" w:w="5669"/>
            <w:shd w:fill="FFFFFF" w:val="clear"/>
          </w:tcPr>
          <w:p>
            <w:r>
              <w:rPr>
                <w:sz w:val="15"/>
              </w:rPr>
              <w:t>✅ ROA de 5.52% — bonne utilisation des actifs (seuil entreprise ≈ 5%).</w:t>
            </w:r>
          </w:p>
        </w:tc>
      </w:tr>
      <w:tr>
        <w:tc>
          <w:tcPr>
            <w:tcW w:type="dxa" w:w="2268"/>
            <w:shd w:fill="EEF2F7" w:val="clear"/>
          </w:tcPr>
          <w:p>
            <w:r>
              <w:rPr>
                <w:b/>
                <w:sz w:val="15"/>
              </w:rPr>
              <w:t>Marge nette</w:t>
            </w:r>
          </w:p>
        </w:tc>
        <w:tc>
          <w:tcPr>
            <w:tcW w:type="dxa" w:w="1984"/>
            <w:shd w:fill="FFEB9C" w:val="clear"/>
          </w:tcPr>
          <w:p>
            <w:r>
              <w:rPr>
                <w:b/>
                <w:color w:val="007800"/>
                <w:sz w:val="17"/>
              </w:rPr>
              <w:t>2.96%</w:t>
            </w:r>
          </w:p>
        </w:tc>
        <w:tc>
          <w:tcPr>
            <w:tcW w:type="dxa" w:w="5669"/>
            <w:shd w:fill="FFFFFF" w:val="clear"/>
          </w:tcPr>
          <w:p>
            <w:r>
              <w:rPr>
                <w:sz w:val="15"/>
              </w:rPr>
              <w:t>⚠️ Marge nette de 3.0%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4.693 Mds FCFA</w:t>
            </w:r>
          </w:p>
        </w:tc>
        <w:tc>
          <w:tcPr>
            <w:tcW w:type="dxa" w:w="5669"/>
            <w:shd w:fill="FFFFFF" w:val="clear"/>
          </w:tcPr>
          <w:p>
            <w:r>
              <w:rPr>
                <w:sz w:val="15"/>
              </w:rPr>
              <w:t>✅ Résultat net positif de 4.693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-12.13%</w:t>
            </w:r>
          </w:p>
        </w:tc>
        <w:tc>
          <w:tcPr>
            <w:tcW w:type="dxa" w:w="5669"/>
            <w:shd w:fill="FFFFFF" w:val="clear"/>
          </w:tcPr>
          <w:p>
            <w:r>
              <w:rPr>
                <w:sz w:val="15"/>
              </w:rPr>
              <w:t>❌ Recul marqué de 12.1%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22.88%</w:t>
            </w:r>
          </w:p>
        </w:tc>
        <w:tc>
          <w:tcPr>
            <w:tcW w:type="dxa" w:w="5669"/>
            <w:shd w:fill="FFFFFF" w:val="clear"/>
          </w:tcPr>
          <w:p>
            <w:r>
              <w:rPr>
                <w:sz w:val="15"/>
              </w:rPr>
              <w:t>✅ Autonomie financière correcte (22.9%)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23.07%</w:t>
            </w:r>
          </w:p>
        </w:tc>
        <w:tc>
          <w:tcPr>
            <w:tcW w:type="dxa" w:w="5669"/>
            <w:shd w:fill="FFFFFF" w:val="clear"/>
          </w:tcPr>
          <w:p>
            <w:r>
              <w:rPr>
                <w:sz w:val="15"/>
              </w:rPr>
              <w:t>✅ Gearing de 23%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129.67%</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93.63%</w:t>
            </w:r>
          </w:p>
        </w:tc>
        <w:tc>
          <w:tcPr>
            <w:tcW w:type="dxa" w:w="5669"/>
            <w:shd w:fill="FFFFFF" w:val="clear"/>
          </w:tcPr>
          <w:p>
            <w:r>
              <w:rPr>
                <w:sz w:val="15"/>
              </w:rPr>
              <w:t>❌ Liquidité insuffisante (93.63x) — actif circulant ne couvre pas les dettes CT. Risque de défaut de paiement.</w:t>
            </w:r>
          </w:p>
        </w:tc>
      </w:tr>
      <w:tr>
        <w:tc>
          <w:tcPr>
            <w:tcW w:type="dxa" w:w="2268"/>
            <w:shd w:fill="EEF2F7" w:val="clear"/>
          </w:tcPr>
          <w:p>
            <w:r>
              <w:rPr>
                <w:b/>
                <w:sz w:val="15"/>
              </w:rPr>
              <w:t>Free Cash Flow</w:t>
            </w:r>
          </w:p>
        </w:tc>
        <w:tc>
          <w:tcPr>
            <w:tcW w:type="dxa" w:w="1984"/>
            <w:shd w:fill="FFC7CE" w:val="clear"/>
          </w:tcPr>
          <w:p>
            <w:r>
              <w:rPr>
                <w:b/>
                <w:color w:val="B40000"/>
                <w:sz w:val="17"/>
              </w:rPr>
              <w:t>-1.650 Mds FCFA</w:t>
            </w:r>
          </w:p>
        </w:tc>
        <w:tc>
          <w:tcPr>
            <w:tcW w:type="dxa" w:w="5669"/>
            <w:shd w:fill="FFFFFF" w:val="clear"/>
          </w:tcPr>
          <w:p>
            <w:r>
              <w:rPr>
                <w:sz w:val="15"/>
              </w:rPr>
              <w:t>❌ FCF négatif significatif (-1.650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4.96%</w:t>
            </w:r>
          </w:p>
        </w:tc>
        <w:tc>
          <w:tcPr>
            <w:tcW w:type="dxa" w:w="5669"/>
            <w:shd w:fill="FFFFFF" w:val="clear"/>
          </w:tcPr>
          <w:p>
            <w:r>
              <w:rPr>
                <w:sz w:val="15"/>
              </w:rPr>
              <w:t>⚠️ Marge opérationnelle faible (5.0%)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36.6 j</w:t>
            </w:r>
          </w:p>
        </w:tc>
        <w:tc>
          <w:tcPr>
            <w:tcW w:type="dxa" w:w="5669"/>
            <w:shd w:fill="FFFFFF" w:val="clear"/>
          </w:tcPr>
          <w:p>
            <w:r>
              <w:rPr>
                <w:sz w:val="15"/>
              </w:rPr>
              <w:t>✅ Délai standard (37 jours) — dans les normes commerciales habituelles.</w:t>
            </w:r>
          </w:p>
        </w:tc>
      </w:tr>
      <w:tr>
        <w:tc>
          <w:tcPr>
            <w:tcW w:type="dxa" w:w="2268"/>
            <w:shd w:fill="EEF2F7" w:val="clear"/>
          </w:tcPr>
          <w:p>
            <w:r>
              <w:rPr>
                <w:b/>
                <w:sz w:val="15"/>
              </w:rPr>
              <w:t>Durée stockage</w:t>
            </w:r>
          </w:p>
        </w:tc>
        <w:tc>
          <w:tcPr>
            <w:tcW w:type="dxa" w:w="1984"/>
            <w:shd w:fill="FFEB9C" w:val="clear"/>
          </w:tcPr>
          <w:p>
            <w:r>
              <w:rPr>
                <w:b/>
                <w:color w:val="007800"/>
                <w:sz w:val="17"/>
              </w:rPr>
              <w:t>88.3 j</w:t>
            </w:r>
          </w:p>
        </w:tc>
        <w:tc>
          <w:tcPr>
            <w:tcW w:type="dxa" w:w="5669"/>
            <w:shd w:fill="FFFFFF" w:val="clear"/>
          </w:tcPr>
          <w:p>
            <w:r>
              <w:rPr>
                <w:sz w:val="15"/>
              </w:rPr>
              <w:t>⚠️ Stock lent (88 jours) — immobilisation de capital importante. Risque d'obsolescence.</w:t>
            </w:r>
          </w:p>
        </w:tc>
      </w:tr>
    </w:tbl>
    <w:p/>
    <w:p>
      <w:pPr>
        <w:spacing w:before="160"/>
      </w:pPr>
      <w:r>
        <w:rPr>
          <w:b/>
          <w:color w:val="003366"/>
          <w:sz w:val="20"/>
        </w:rPr>
        <w:t xml:space="preserve">▶ LNBB — LNBB - LOTERIE NATIONALE DU BENIN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21.05%</w:t>
            </w:r>
          </w:p>
        </w:tc>
        <w:tc>
          <w:tcPr>
            <w:tcW w:type="dxa" w:w="5669"/>
            <w:shd w:fill="FFFFFF" w:val="clear"/>
          </w:tcPr>
          <w:p>
            <w:r>
              <w:rPr>
                <w:sz w:val="15"/>
              </w:rPr>
              <w:t>✅ ROE de 21.1%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14.17%</w:t>
            </w:r>
          </w:p>
        </w:tc>
        <w:tc>
          <w:tcPr>
            <w:tcW w:type="dxa" w:w="5669"/>
            <w:shd w:fill="FFFFFF" w:val="clear"/>
          </w:tcPr>
          <w:p>
            <w:r>
              <w:rPr>
                <w:sz w:val="15"/>
              </w:rPr>
              <w:t>✅ ROA de 14.17%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4.69%</w:t>
            </w:r>
          </w:p>
        </w:tc>
        <w:tc>
          <w:tcPr>
            <w:tcW w:type="dxa" w:w="5669"/>
            <w:shd w:fill="FFFFFF" w:val="clear"/>
          </w:tcPr>
          <w:p>
            <w:r>
              <w:rPr>
                <w:sz w:val="15"/>
              </w:rPr>
              <w:t>⚠️ Marge nette de 4.7%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4.622 Mds FCFA</w:t>
            </w:r>
          </w:p>
        </w:tc>
        <w:tc>
          <w:tcPr>
            <w:tcW w:type="dxa" w:w="5669"/>
            <w:shd w:fill="FFFFFF" w:val="clear"/>
          </w:tcPr>
          <w:p>
            <w:r>
              <w:rPr>
                <w:sz w:val="15"/>
              </w:rPr>
              <w:t>✅ Résultat net positif de 4.622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-3.85%</w:t>
            </w:r>
          </w:p>
        </w:tc>
        <w:tc>
          <w:tcPr>
            <w:tcW w:type="dxa" w:w="5669"/>
            <w:shd w:fill="FFFFFF" w:val="clear"/>
          </w:tcPr>
          <w:p>
            <w:r>
              <w:rPr>
                <w:sz w:val="15"/>
              </w:rPr>
              <w:t>⚠️ Légère baisse (-3.8%) — contraction modérée du revenu principal.</w:t>
            </w:r>
          </w:p>
        </w:tc>
      </w:tr>
      <w:tr>
        <w:tc>
          <w:tcPr>
            <w:tcW w:type="dxa" w:w="2268"/>
            <w:shd w:fill="EEF2F7" w:val="clear"/>
          </w:tcPr>
          <w:p>
            <w:r>
              <w:rPr>
                <w:b/>
                <w:sz w:val="15"/>
              </w:rPr>
              <w:t>Autonomie financière</w:t>
            </w:r>
          </w:p>
        </w:tc>
        <w:tc>
          <w:tcPr>
            <w:tcW w:type="dxa" w:w="1984"/>
            <w:shd w:fill="C6EFCE" w:val="clear"/>
          </w:tcPr>
          <w:p>
            <w:r>
              <w:rPr>
                <w:b/>
                <w:color w:val="007800"/>
                <w:sz w:val="17"/>
              </w:rPr>
              <w:t>67.32%</w:t>
            </w:r>
          </w:p>
        </w:tc>
        <w:tc>
          <w:tcPr>
            <w:tcW w:type="dxa" w:w="5669"/>
            <w:shd w:fill="FFFFFF" w:val="clear"/>
          </w:tcPr>
          <w:p>
            <w:r>
              <w:rPr>
                <w:sz w:val="15"/>
              </w:rPr>
              <w:t>✅ Autonomie financière de 67.3%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2.57%</w:t>
            </w:r>
          </w:p>
        </w:tc>
        <w:tc>
          <w:tcPr>
            <w:tcW w:type="dxa" w:w="5669"/>
            <w:shd w:fill="FFFFFF" w:val="clear"/>
          </w:tcPr>
          <w:p>
            <w:r>
              <w:rPr>
                <w:sz w:val="15"/>
              </w:rPr>
              <w:t>✅ Gearing de 3%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306.04%</w:t>
            </w:r>
          </w:p>
        </w:tc>
        <w:tc>
          <w:tcPr>
            <w:tcW w:type="dxa" w:w="5669"/>
            <w:shd w:fill="FFFFFF" w:val="clear"/>
          </w:tcPr>
          <w:p>
            <w:r>
              <w:rPr>
                <w:sz w:val="15"/>
              </w:rPr>
              <w:t>✅ Solvabilité de 306%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184.84%</w:t>
            </w:r>
          </w:p>
        </w:tc>
        <w:tc>
          <w:tcPr>
            <w:tcW w:type="dxa" w:w="5669"/>
            <w:shd w:fill="FFFFFF" w:val="clear"/>
          </w:tcPr>
          <w:p>
            <w:r>
              <w:rPr>
                <w:sz w:val="15"/>
              </w:rPr>
              <w:t>✅ Liquidité générale de 184.84x — bonne capacité à honorer les obligations CT.</w:t>
            </w:r>
          </w:p>
        </w:tc>
      </w:tr>
      <w:tr>
        <w:tc>
          <w:tcPr>
            <w:tcW w:type="dxa" w:w="2268"/>
            <w:shd w:fill="EEF2F7" w:val="clear"/>
          </w:tcPr>
          <w:p>
            <w:r>
              <w:rPr>
                <w:b/>
                <w:sz w:val="15"/>
              </w:rPr>
              <w:t>Marge opérationnelle</w:t>
            </w:r>
          </w:p>
        </w:tc>
        <w:tc>
          <w:tcPr>
            <w:tcW w:type="dxa" w:w="1984"/>
            <w:shd w:fill="FFEB9C" w:val="clear"/>
          </w:tcPr>
          <w:p>
            <w:r>
              <w:rPr>
                <w:b/>
                <w:color w:val="007800"/>
                <w:sz w:val="17"/>
              </w:rPr>
              <w:t>6.47%</w:t>
            </w:r>
          </w:p>
        </w:tc>
        <w:tc>
          <w:tcPr>
            <w:tcW w:type="dxa" w:w="5669"/>
            <w:shd w:fill="FFFFFF" w:val="clear"/>
          </w:tcPr>
          <w:p>
            <w:r>
              <w:rPr>
                <w:sz w:val="15"/>
              </w:rPr>
              <w:t>⚠️ Marge opérationnelle faible (6.5%)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4.8 j</w:t>
            </w:r>
          </w:p>
        </w:tc>
        <w:tc>
          <w:tcPr>
            <w:tcW w:type="dxa" w:w="5669"/>
            <w:shd w:fill="FFFFFF" w:val="clear"/>
          </w:tcPr>
          <w:p>
            <w:r>
              <w:rPr>
                <w:sz w:val="15"/>
              </w:rPr>
              <w:t>✅ Délai clients de 5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1.6 j</w:t>
            </w:r>
          </w:p>
        </w:tc>
        <w:tc>
          <w:tcPr>
            <w:tcW w:type="dxa" w:w="5669"/>
            <w:shd w:fill="FFFFFF" w:val="clear"/>
          </w:tcPr>
          <w:p>
            <w:r>
              <w:rPr>
                <w:sz w:val="15"/>
              </w:rPr>
              <w:t>✅ Stock écoulé en 2 jours — rotation excellente, capital peu immobilisé.</w:t>
            </w:r>
          </w:p>
        </w:tc>
      </w:tr>
    </w:tbl>
    <w:p/>
    <w:p>
      <w:pPr>
        <w:spacing w:before="160"/>
      </w:pPr>
      <w:r>
        <w:rPr>
          <w:b/>
          <w:color w:val="003366"/>
          <w:sz w:val="20"/>
        </w:rPr>
        <w:t xml:space="preserve">▶ NEIC — NEIC - NEI-CEDA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35.39%</w:t>
            </w:r>
          </w:p>
        </w:tc>
        <w:tc>
          <w:tcPr>
            <w:tcW w:type="dxa" w:w="5669"/>
            <w:shd w:fill="FFFFFF" w:val="clear"/>
          </w:tcPr>
          <w:p>
            <w:r>
              <w:rPr>
                <w:sz w:val="15"/>
              </w:rPr>
              <w:t>✅ ROE de 35.4%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27.25%</w:t>
            </w:r>
          </w:p>
        </w:tc>
        <w:tc>
          <w:tcPr>
            <w:tcW w:type="dxa" w:w="5669"/>
            <w:shd w:fill="FFFFFF" w:val="clear"/>
          </w:tcPr>
          <w:p>
            <w:r>
              <w:rPr>
                <w:sz w:val="15"/>
              </w:rPr>
              <w:t>✅ ROA de 27.25%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39.63%</w:t>
            </w:r>
          </w:p>
        </w:tc>
        <w:tc>
          <w:tcPr>
            <w:tcW w:type="dxa" w:w="5669"/>
            <w:shd w:fill="FFFFFF" w:val="clear"/>
          </w:tcPr>
          <w:p>
            <w:r>
              <w:rPr>
                <w:sz w:val="15"/>
              </w:rPr>
              <w:t>✅ Marge nette de 39.6%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2.037 Mds FCFA</w:t>
            </w:r>
          </w:p>
        </w:tc>
        <w:tc>
          <w:tcPr>
            <w:tcW w:type="dxa" w:w="5669"/>
            <w:shd w:fill="FFFFFF" w:val="clear"/>
          </w:tcPr>
          <w:p>
            <w:r>
              <w:rPr>
                <w:sz w:val="15"/>
              </w:rPr>
              <w:t>✅ Résultat net positif de 2.037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-23.80%</w:t>
            </w:r>
          </w:p>
        </w:tc>
        <w:tc>
          <w:tcPr>
            <w:tcW w:type="dxa" w:w="5669"/>
            <w:shd w:fill="FFFFFF" w:val="clear"/>
          </w:tcPr>
          <w:p>
            <w:r>
              <w:rPr>
                <w:sz w:val="15"/>
              </w:rPr>
              <w:t>❌ Recul marqué de 23.8%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77.01%</w:t>
            </w:r>
          </w:p>
        </w:tc>
        <w:tc>
          <w:tcPr>
            <w:tcW w:type="dxa" w:w="5669"/>
            <w:shd w:fill="FFFFFF" w:val="clear"/>
          </w:tcPr>
          <w:p>
            <w:r>
              <w:rPr>
                <w:sz w:val="15"/>
              </w:rPr>
              <w:t>✅ Autonomie financière de 77.0% — société très peu dépendante des créanciers. Capacité élevée à absorber les chocs.</w:t>
            </w:r>
          </w:p>
        </w:tc>
      </w:tr>
      <w:tr>
        <w:tc>
          <w:tcPr>
            <w:tcW w:type="dxa" w:w="2268"/>
            <w:shd w:fill="EEF2F7" w:val="clear"/>
          </w:tcPr>
          <w:p>
            <w:r>
              <w:rPr>
                <w:b/>
                <w:sz w:val="15"/>
              </w:rPr>
              <w:t>Solvabilité générale</w:t>
            </w:r>
          </w:p>
        </w:tc>
        <w:tc>
          <w:tcPr>
            <w:tcW w:type="dxa" w:w="1984"/>
            <w:shd w:fill="C6EFCE" w:val="clear"/>
          </w:tcPr>
          <w:p>
            <w:r>
              <w:rPr>
                <w:b/>
                <w:color w:val="007800"/>
                <w:sz w:val="17"/>
              </w:rPr>
              <w:t>435.02%</w:t>
            </w:r>
          </w:p>
        </w:tc>
        <w:tc>
          <w:tcPr>
            <w:tcW w:type="dxa" w:w="5669"/>
            <w:shd w:fill="FFFFFF" w:val="clear"/>
          </w:tcPr>
          <w:p>
            <w:r>
              <w:rPr>
                <w:sz w:val="15"/>
              </w:rPr>
              <w:t>✅ Solvabilité de 435% — actifs très largement supérieurs aux dettes. Confort absolu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448.86%</w:t>
            </w:r>
          </w:p>
        </w:tc>
        <w:tc>
          <w:tcPr>
            <w:tcW w:type="dxa" w:w="5669"/>
            <w:shd w:fill="FFFFFF" w:val="clear"/>
          </w:tcPr>
          <w:p>
            <w:r>
              <w:rPr>
                <w:sz w:val="15"/>
              </w:rPr>
              <w:t>✅ Liquidité générale de 449x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-565.91 M FCFA</w:t>
            </w:r>
          </w:p>
        </w:tc>
        <w:tc>
          <w:tcPr>
            <w:tcW w:type="dxa" w:w="5669"/>
            <w:shd w:fill="FFFFFF" w:val="clear"/>
          </w:tcPr>
          <w:p>
            <w:r>
              <w:rPr>
                <w:sz w:val="15"/>
              </w:rPr>
              <w:t>❌ FCF négatif significatif (-565.91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23.60%</w:t>
            </w:r>
          </w:p>
        </w:tc>
        <w:tc>
          <w:tcPr>
            <w:tcW w:type="dxa" w:w="5669"/>
            <w:shd w:fill="FFFFFF" w:val="clear"/>
          </w:tcPr>
          <w:p>
            <w:r>
              <w:rPr>
                <w:sz w:val="15"/>
              </w:rPr>
              <w:t>✅ Marge opérationnelle de 23.6% — excellente efficacité de l'exploitation principale.</w:t>
            </w:r>
          </w:p>
        </w:tc>
      </w:tr>
      <w:tr>
        <w:tc>
          <w:tcPr>
            <w:tcW w:type="dxa" w:w="2268"/>
            <w:shd w:fill="EEF2F7" w:val="clear"/>
          </w:tcPr>
          <w:p>
            <w:r>
              <w:rPr>
                <w:b/>
                <w:sz w:val="15"/>
              </w:rPr>
              <w:t>Délai clients</w:t>
            </w:r>
          </w:p>
        </w:tc>
        <w:tc>
          <w:tcPr>
            <w:tcW w:type="dxa" w:w="1984"/>
            <w:shd w:fill="FFC7CE" w:val="clear"/>
          </w:tcPr>
          <w:p>
            <w:r>
              <w:rPr>
                <w:b/>
                <w:color w:val="007800"/>
                <w:sz w:val="17"/>
              </w:rPr>
              <w:t>154.7 j</w:t>
            </w:r>
          </w:p>
        </w:tc>
        <w:tc>
          <w:tcPr>
            <w:tcW w:type="dxa" w:w="5669"/>
            <w:shd w:fill="FFFFFF" w:val="clear"/>
          </w:tcPr>
          <w:p>
            <w:r>
              <w:rPr>
                <w:sz w:val="15"/>
              </w:rPr>
              <w:t>❌ Délai critique de 155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54.5 j</w:t>
            </w:r>
          </w:p>
        </w:tc>
        <w:tc>
          <w:tcPr>
            <w:tcW w:type="dxa" w:w="5669"/>
            <w:shd w:fill="FFFFFF" w:val="clear"/>
          </w:tcPr>
          <w:p>
            <w:r>
              <w:rPr>
                <w:sz w:val="15"/>
              </w:rPr>
              <w:t>✅ Durée de stockage standard (54 jours).</w:t>
            </w:r>
          </w:p>
        </w:tc>
      </w:tr>
    </w:tbl>
    <w:p/>
    <w:p>
      <w:pPr>
        <w:spacing w:before="160"/>
      </w:pPr>
      <w:r>
        <w:rPr>
          <w:b/>
          <w:color w:val="003366"/>
          <w:sz w:val="20"/>
        </w:rPr>
        <w:t xml:space="preserve">▶ PRSC — PRSC - TRACTAFRIC MOTORS CI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20.53%</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4.95%</w:t>
            </w:r>
          </w:p>
        </w:tc>
        <w:tc>
          <w:tcPr>
            <w:tcW w:type="dxa" w:w="5669"/>
            <w:shd w:fill="FFFFFF" w:val="clear"/>
          </w:tcPr>
          <w:p>
            <w:r>
              <w:rPr>
                <w:sz w:val="15"/>
              </w:rPr>
              <w:t>⚠️ ROA de 4.95%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2.92%</w:t>
            </w:r>
          </w:p>
        </w:tc>
        <w:tc>
          <w:tcPr>
            <w:tcW w:type="dxa" w:w="5669"/>
            <w:shd w:fill="FFFFFF" w:val="clear"/>
          </w:tcPr>
          <w:p>
            <w:r>
              <w:rPr>
                <w:sz w:val="15"/>
              </w:rPr>
              <w:t>⚠️ Marge nette de 2.9%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2.367 Mds FCFA</w:t>
            </w:r>
          </w:p>
        </w:tc>
        <w:tc>
          <w:tcPr>
            <w:tcW w:type="dxa" w:w="5669"/>
            <w:shd w:fill="FFFFFF" w:val="clear"/>
          </w:tcPr>
          <w:p>
            <w:r>
              <w:rPr>
                <w:sz w:val="15"/>
              </w:rPr>
              <w:t>✅ Résultat net positif de 2.367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8.64%</w:t>
            </w:r>
          </w:p>
        </w:tc>
        <w:tc>
          <w:tcPr>
            <w:tcW w:type="dxa" w:w="5669"/>
            <w:shd w:fill="FFFFFF" w:val="clear"/>
          </w:tcPr>
          <w:p>
            <w:r>
              <w:rPr>
                <w:sz w:val="15"/>
              </w:rPr>
              <w:t>✅ Croissance de 8.6%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24.10%</w:t>
            </w:r>
          </w:p>
        </w:tc>
        <w:tc>
          <w:tcPr>
            <w:tcW w:type="dxa" w:w="5669"/>
            <w:shd w:fill="FFFFFF" w:val="clear"/>
          </w:tcPr>
          <w:p>
            <w:r>
              <w:rPr>
                <w:sz w:val="15"/>
              </w:rPr>
              <w:t>✅ Autonomie financière correcte (24.1%) — équilibre sain entre fonds propres et dettes.</w:t>
            </w:r>
          </w:p>
        </w:tc>
      </w:tr>
      <w:tr>
        <w:tc>
          <w:tcPr>
            <w:tcW w:type="dxa" w:w="2268"/>
            <w:shd w:fill="EEF2F7" w:val="clear"/>
          </w:tcPr>
          <w:p>
            <w:r>
              <w:rPr>
                <w:b/>
                <w:sz w:val="15"/>
              </w:rPr>
              <w:t>Ratio endettement</w:t>
            </w:r>
          </w:p>
        </w:tc>
        <w:tc>
          <w:tcPr>
            <w:tcW w:type="dxa" w:w="1984"/>
            <w:shd w:fill="FFC7CE" w:val="clear"/>
          </w:tcPr>
          <w:p>
            <w:r>
              <w:rPr>
                <w:b/>
                <w:color w:val="007800"/>
                <w:sz w:val="17"/>
              </w:rPr>
              <w:t>314.86%</w:t>
            </w:r>
          </w:p>
        </w:tc>
        <w:tc>
          <w:tcPr>
            <w:tcW w:type="dxa" w:w="5669"/>
            <w:shd w:fill="FFFFFF" w:val="clear"/>
          </w:tcPr>
          <w:p>
            <w:r>
              <w:rPr>
                <w:sz w:val="15"/>
              </w:rPr>
              <w:t>❌ Gearing de 315% — sur-endettement critique. Risque de défaillance financière si les revenus baissent.</w:t>
            </w:r>
          </w:p>
        </w:tc>
      </w:tr>
      <w:tr>
        <w:tc>
          <w:tcPr>
            <w:tcW w:type="dxa" w:w="2268"/>
            <w:shd w:fill="EEF2F7" w:val="clear"/>
          </w:tcPr>
          <w:p>
            <w:r>
              <w:rPr>
                <w:b/>
                <w:sz w:val="15"/>
              </w:rPr>
              <w:t>Solvabilité générale</w:t>
            </w:r>
          </w:p>
        </w:tc>
        <w:tc>
          <w:tcPr>
            <w:tcW w:type="dxa" w:w="1984"/>
            <w:shd w:fill="C6EFCE" w:val="clear"/>
          </w:tcPr>
          <w:p>
            <w:r>
              <w:rPr>
                <w:b/>
                <w:color w:val="007800"/>
                <w:sz w:val="17"/>
              </w:rPr>
              <w:t>131.76%</w:t>
            </w:r>
          </w:p>
        </w:tc>
        <w:tc>
          <w:tcPr>
            <w:tcW w:type="dxa" w:w="5669"/>
            <w:shd w:fill="FFFFFF" w:val="clear"/>
          </w:tcPr>
          <w:p>
            <w:r>
              <w:rPr>
                <w:sz w:val="15"/>
              </w:rPr>
              <w:t>✅ Solvabilité satisfaisante (132%)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120.87%</w:t>
            </w:r>
          </w:p>
        </w:tc>
        <w:tc>
          <w:tcPr>
            <w:tcW w:type="dxa" w:w="5669"/>
            <w:shd w:fill="FFFFFF" w:val="clear"/>
          </w:tcPr>
          <w:p>
            <w:r>
              <w:rPr>
                <w:sz w:val="15"/>
              </w:rPr>
              <w:t>✅ Liquidité générale de 120.87x — bonne capacité à honorer les obligations CT.</w:t>
            </w:r>
          </w:p>
        </w:tc>
      </w:tr>
      <w:tr>
        <w:tc>
          <w:tcPr>
            <w:tcW w:type="dxa" w:w="2268"/>
            <w:shd w:fill="EEF2F7" w:val="clear"/>
          </w:tcPr>
          <w:p>
            <w:r>
              <w:rPr>
                <w:b/>
                <w:sz w:val="15"/>
              </w:rPr>
              <w:t>Free Cash Flow</w:t>
            </w:r>
          </w:p>
        </w:tc>
        <w:tc>
          <w:tcPr>
            <w:tcW w:type="dxa" w:w="1984"/>
            <w:shd w:fill="FFC7CE" w:val="clear"/>
          </w:tcPr>
          <w:p>
            <w:r>
              <w:rPr>
                <w:b/>
                <w:color w:val="B40000"/>
                <w:sz w:val="17"/>
              </w:rPr>
              <w:t>-2.616 Mds FCFA</w:t>
            </w:r>
          </w:p>
        </w:tc>
        <w:tc>
          <w:tcPr>
            <w:tcW w:type="dxa" w:w="5669"/>
            <w:shd w:fill="FFFFFF" w:val="clear"/>
          </w:tcPr>
          <w:p>
            <w:r>
              <w:rPr>
                <w:sz w:val="15"/>
              </w:rPr>
              <w:t>❌ FCF négatif significatif (-2.616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5.23%</w:t>
            </w:r>
          </w:p>
        </w:tc>
        <w:tc>
          <w:tcPr>
            <w:tcW w:type="dxa" w:w="5669"/>
            <w:shd w:fill="FFFFFF" w:val="clear"/>
          </w:tcPr>
          <w:p>
            <w:r>
              <w:rPr>
                <w:sz w:val="15"/>
              </w:rPr>
              <w:t>⚠️ Marge opérationnelle faible (5.2%)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46.0 j</w:t>
            </w:r>
          </w:p>
        </w:tc>
        <w:tc>
          <w:tcPr>
            <w:tcW w:type="dxa" w:w="5669"/>
            <w:shd w:fill="FFFFFF" w:val="clear"/>
          </w:tcPr>
          <w:p>
            <w:r>
              <w:rPr>
                <w:sz w:val="15"/>
              </w:rPr>
              <w:t>✅ Délai standard (46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150.5 j</w:t>
            </w:r>
          </w:p>
        </w:tc>
        <w:tc>
          <w:tcPr>
            <w:tcW w:type="dxa" w:w="5669"/>
            <w:shd w:fill="FFFFFF" w:val="clear"/>
          </w:tcPr>
          <w:p>
            <w:r>
              <w:rPr>
                <w:sz w:val="15"/>
              </w:rPr>
              <w:t>❌ Stock quasi-bloqué (151 jours) — capital fortement immobilisé, risque d'obsolescence élevé.</w:t>
            </w:r>
          </w:p>
        </w:tc>
      </w:tr>
    </w:tbl>
    <w:p/>
    <w:p>
      <w:pPr>
        <w:spacing w:before="160"/>
      </w:pPr>
      <w:r>
        <w:rPr>
          <w:b/>
          <w:color w:val="003366"/>
          <w:sz w:val="20"/>
        </w:rPr>
        <w:t xml:space="preserve">▶ UNXC — UNXC - UNIWAX COTE D'IVOIRE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-14.04%</w:t>
            </w:r>
          </w:p>
        </w:tc>
        <w:tc>
          <w:tcPr>
            <w:tcW w:type="dxa" w:w="5669"/>
            <w:shd w:fill="FFFFFF" w:val="clear"/>
          </w:tcPr>
          <w:p>
            <w:r>
              <w:rPr>
                <w:sz w:val="15"/>
              </w:rPr>
              <w:t>❌ ROE négatif (-14.0%)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-6.39%</w:t>
            </w:r>
          </w:p>
        </w:tc>
        <w:tc>
          <w:tcPr>
            <w:tcW w:type="dxa" w:w="5669"/>
            <w:shd w:fill="FFFFFF" w:val="clear"/>
          </w:tcPr>
          <w:p>
            <w:r>
              <w:rPr>
                <w:sz w:val="15"/>
              </w:rPr>
              <w:t>❌ ROA négatif (-6.39%) — actifs non rentables.</w:t>
            </w:r>
          </w:p>
        </w:tc>
      </w:tr>
      <w:tr>
        <w:tc>
          <w:tcPr>
            <w:tcW w:type="dxa" w:w="2268"/>
            <w:shd w:fill="EEF2F7" w:val="clear"/>
          </w:tcPr>
          <w:p>
            <w:r>
              <w:rPr>
                <w:b/>
                <w:sz w:val="15"/>
              </w:rPr>
              <w:t>Marge nette</w:t>
            </w:r>
          </w:p>
        </w:tc>
        <w:tc>
          <w:tcPr>
            <w:tcW w:type="dxa" w:w="1984"/>
            <w:shd w:fill="FFC7CE" w:val="clear"/>
          </w:tcPr>
          <w:p>
            <w:r>
              <w:rPr>
                <w:b/>
                <w:color w:val="B40000"/>
                <w:sz w:val="17"/>
              </w:rPr>
              <w:t>-8.01%</w:t>
            </w:r>
          </w:p>
        </w:tc>
        <w:tc>
          <w:tcPr>
            <w:tcW w:type="dxa" w:w="5669"/>
            <w:shd w:fill="FFFFFF" w:val="clear"/>
          </w:tcPr>
          <w:p>
            <w:r>
              <w:rPr>
                <w:sz w:val="15"/>
              </w:rPr>
              <w:t>❌ Marge nette négative (-8.0%)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-2.189 Mds FCFA</w:t>
            </w:r>
          </w:p>
        </w:tc>
        <w:tc>
          <w:tcPr>
            <w:tcW w:type="dxa" w:w="5669"/>
            <w:shd w:fill="FFFFFF" w:val="clear"/>
          </w:tcPr>
          <w:p>
            <w:r>
              <w:rPr>
                <w:sz w:val="15"/>
              </w:rPr>
              <w:t>❌ Perte nette de 2.189 Mds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FFC7CE" w:val="clear"/>
          </w:tcPr>
          <w:p>
            <w:r>
              <w:rPr>
                <w:b/>
                <w:color w:val="B40000"/>
                <w:sz w:val="17"/>
              </w:rPr>
              <w:t>-7.93%</w:t>
            </w:r>
          </w:p>
        </w:tc>
        <w:tc>
          <w:tcPr>
            <w:tcW w:type="dxa" w:w="5669"/>
            <w:shd w:fill="FFFFFF" w:val="clear"/>
          </w:tcPr>
          <w:p>
            <w:r>
              <w:rPr>
                <w:sz w:val="15"/>
              </w:rPr>
              <w:t>❌ Recul marqué de 7.9%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45.53%</w:t>
            </w:r>
          </w:p>
        </w:tc>
        <w:tc>
          <w:tcPr>
            <w:tcW w:type="dxa" w:w="5669"/>
            <w:shd w:fill="FFFFFF" w:val="clear"/>
          </w:tcPr>
          <w:p>
            <w:r>
              <w:rPr>
                <w:sz w:val="15"/>
              </w:rPr>
              <w:t>✅ Autonomie financière de 45.5%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119.61%</w:t>
            </w:r>
          </w:p>
        </w:tc>
        <w:tc>
          <w:tcPr>
            <w:tcW w:type="dxa" w:w="5669"/>
            <w:shd w:fill="FFFFFF" w:val="clear"/>
          </w:tcPr>
          <w:p>
            <w:r>
              <w:rPr>
                <w:sz w:val="15"/>
              </w:rPr>
              <w:t>✅ Gearing de 120%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183.60%</w:t>
            </w:r>
          </w:p>
        </w:tc>
        <w:tc>
          <w:tcPr>
            <w:tcW w:type="dxa" w:w="5669"/>
            <w:shd w:fill="FFFFFF" w:val="clear"/>
          </w:tcPr>
          <w:p>
            <w:r>
              <w:rPr>
                <w:sz w:val="15"/>
              </w:rPr>
              <w:t>✅ Solvabilité satisfaisante (184%)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126.23%</w:t>
            </w:r>
          </w:p>
        </w:tc>
        <w:tc>
          <w:tcPr>
            <w:tcW w:type="dxa" w:w="5669"/>
            <w:shd w:fill="FFFFFF" w:val="clear"/>
          </w:tcPr>
          <w:p>
            <w:r>
              <w:rPr>
                <w:sz w:val="15"/>
              </w:rPr>
              <w:t>✅ Liquidité générale de 126.23x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1.566 Mds FCFA</w:t>
            </w:r>
          </w:p>
        </w:tc>
        <w:tc>
          <w:tcPr>
            <w:tcW w:type="dxa" w:w="5669"/>
            <w:shd w:fill="FFFFFF" w:val="clear"/>
          </w:tcPr>
          <w:p>
            <w:r>
              <w:rPr>
                <w:sz w:val="15"/>
              </w:rPr>
              <w:t>✅ FCF positif de 1.566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C7CE" w:val="clear"/>
          </w:tcPr>
          <w:p>
            <w:r>
              <w:rPr>
                <w:b/>
                <w:color w:val="B40000"/>
                <w:sz w:val="17"/>
              </w:rPr>
              <w:t>-7.81%</w:t>
            </w:r>
          </w:p>
        </w:tc>
        <w:tc>
          <w:tcPr>
            <w:tcW w:type="dxa" w:w="5669"/>
            <w:shd w:fill="FFFFFF" w:val="clear"/>
          </w:tcPr>
          <w:p>
            <w:r>
              <w:rPr>
                <w:sz w:val="15"/>
              </w:rPr>
              <w:t>❌ Marge opérationnelle négative (-7.8%) — l'activité principale est déficitaire.</w:t>
            </w:r>
          </w:p>
        </w:tc>
      </w:tr>
      <w:tr>
        <w:tc>
          <w:tcPr>
            <w:tcW w:type="dxa" w:w="2268"/>
            <w:shd w:fill="EEF2F7" w:val="clear"/>
          </w:tcPr>
          <w:p>
            <w:r>
              <w:rPr>
                <w:b/>
                <w:sz w:val="15"/>
              </w:rPr>
              <w:t>Délai clients</w:t>
            </w:r>
          </w:p>
        </w:tc>
        <w:tc>
          <w:tcPr>
            <w:tcW w:type="dxa" w:w="1984"/>
            <w:shd w:fill="C6EFCE" w:val="clear"/>
          </w:tcPr>
          <w:p>
            <w:r>
              <w:rPr>
                <w:b/>
                <w:color w:val="007800"/>
                <w:sz w:val="17"/>
              </w:rPr>
              <w:t>51.0 j</w:t>
            </w:r>
          </w:p>
        </w:tc>
        <w:tc>
          <w:tcPr>
            <w:tcW w:type="dxa" w:w="5669"/>
            <w:shd w:fill="FFFFFF" w:val="clear"/>
          </w:tcPr>
          <w:p>
            <w:r>
              <w:rPr>
                <w:sz w:val="15"/>
              </w:rPr>
              <w:t>✅ Délai standard (51 jours) — dans les normes commerciales habituelles.</w:t>
            </w:r>
          </w:p>
        </w:tc>
      </w:tr>
      <w:tr>
        <w:tc>
          <w:tcPr>
            <w:tcW w:type="dxa" w:w="2268"/>
            <w:shd w:fill="EEF2F7" w:val="clear"/>
          </w:tcPr>
          <w:p>
            <w:r>
              <w:rPr>
                <w:b/>
                <w:sz w:val="15"/>
              </w:rPr>
              <w:t>Durée stockage</w:t>
            </w:r>
          </w:p>
        </w:tc>
        <w:tc>
          <w:tcPr>
            <w:tcW w:type="dxa" w:w="1984"/>
            <w:shd w:fill="FFC7CE" w:val="clear"/>
          </w:tcPr>
          <w:p>
            <w:r>
              <w:rPr>
                <w:b/>
                <w:color w:val="007800"/>
                <w:sz w:val="17"/>
              </w:rPr>
              <w:t>254.7 j</w:t>
            </w:r>
          </w:p>
        </w:tc>
        <w:tc>
          <w:tcPr>
            <w:tcW w:type="dxa" w:w="5669"/>
            <w:shd w:fill="FFFFFF" w:val="clear"/>
          </w:tcPr>
          <w:p>
            <w:r>
              <w:rPr>
                <w:sz w:val="15"/>
              </w:rPr>
              <w:t>❌ Stock quasi-bloqué (255 jours) — capital fortement immobilisé, risque d'obsolescence élevé.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NEIC</w:t>
            </w:r>
          </w:p>
        </w:tc>
        <w:tc>
          <w:tcPr>
            <w:tcW w:type="dxa" w:w="1728"/>
            <w:shd w:fill="C6EFCE" w:val="clear"/>
          </w:tcPr>
          <w:p>
            <w:r>
              <w:rPr>
                <w:color w:val="006400"/>
                <w:sz w:val="16"/>
              </w:rPr>
              <w:t>35.39%</w:t>
            </w:r>
          </w:p>
        </w:tc>
        <w:tc>
          <w:tcPr>
            <w:tcW w:type="dxa" w:w="1728"/>
            <w:shd w:fill="FFC7CE" w:val="clear"/>
          </w:tcPr>
          <w:p>
            <w:r>
              <w:rPr>
                <w:b/>
                <w:color w:val="B40000"/>
                <w:sz w:val="16"/>
              </w:rPr>
              <w:t>UNXC</w:t>
            </w:r>
          </w:p>
        </w:tc>
        <w:tc>
          <w:tcPr>
            <w:tcW w:type="dxa" w:w="1728"/>
            <w:shd w:fill="FFC7CE" w:val="clear"/>
          </w:tcPr>
          <w:p>
            <w:r>
              <w:rPr>
                <w:color w:val="B40000"/>
                <w:sz w:val="16"/>
              </w:rPr>
              <w:t>-14.04%</w:t>
            </w:r>
          </w:p>
        </w:tc>
      </w:tr>
      <w:tr>
        <w:tc>
          <w:tcPr>
            <w:tcW w:type="dxa" w:w="1728"/>
            <w:shd w:fill="EEF2F7" w:val="clear"/>
          </w:tcPr>
          <w:p>
            <w:r>
              <w:rPr>
                <w:b/>
                <w:sz w:val="16"/>
              </w:rPr>
              <w:t>Marge nette</w:t>
            </w:r>
          </w:p>
        </w:tc>
        <w:tc>
          <w:tcPr>
            <w:tcW w:type="dxa" w:w="1728"/>
            <w:shd w:fill="C6EFCE" w:val="clear"/>
          </w:tcPr>
          <w:p>
            <w:r>
              <w:rPr>
                <w:b/>
                <w:color w:val="006400"/>
                <w:sz w:val="16"/>
              </w:rPr>
              <w:t>NEIC</w:t>
            </w:r>
          </w:p>
        </w:tc>
        <w:tc>
          <w:tcPr>
            <w:tcW w:type="dxa" w:w="1728"/>
            <w:shd w:fill="C6EFCE" w:val="clear"/>
          </w:tcPr>
          <w:p>
            <w:r>
              <w:rPr>
                <w:color w:val="006400"/>
                <w:sz w:val="16"/>
              </w:rPr>
              <w:t>39.63%</w:t>
            </w:r>
          </w:p>
        </w:tc>
        <w:tc>
          <w:tcPr>
            <w:tcW w:type="dxa" w:w="1728"/>
            <w:shd w:fill="FFC7CE" w:val="clear"/>
          </w:tcPr>
          <w:p>
            <w:r>
              <w:rPr>
                <w:b/>
                <w:color w:val="B40000"/>
                <w:sz w:val="16"/>
              </w:rPr>
              <w:t>UNXC</w:t>
            </w:r>
          </w:p>
        </w:tc>
        <w:tc>
          <w:tcPr>
            <w:tcW w:type="dxa" w:w="1728"/>
            <w:shd w:fill="FFC7CE" w:val="clear"/>
          </w:tcPr>
          <w:p>
            <w:r>
              <w:rPr>
                <w:color w:val="B40000"/>
                <w:sz w:val="16"/>
              </w:rPr>
              <w:t>-8.01%</w:t>
            </w:r>
          </w:p>
        </w:tc>
      </w:tr>
      <w:tr>
        <w:tc>
          <w:tcPr>
            <w:tcW w:type="dxa" w:w="1728"/>
            <w:shd w:fill="EEF2F7" w:val="clear"/>
          </w:tcPr>
          <w:p>
            <w:r>
              <w:rPr>
                <w:b/>
                <w:sz w:val="16"/>
              </w:rPr>
              <w:t>Croissance CA/PNB</w:t>
            </w:r>
          </w:p>
        </w:tc>
        <w:tc>
          <w:tcPr>
            <w:tcW w:type="dxa" w:w="1728"/>
            <w:shd w:fill="C6EFCE" w:val="clear"/>
          </w:tcPr>
          <w:p>
            <w:r>
              <w:rPr>
                <w:b/>
                <w:color w:val="006400"/>
                <w:sz w:val="16"/>
              </w:rPr>
              <w:t>PRSC</w:t>
            </w:r>
          </w:p>
        </w:tc>
        <w:tc>
          <w:tcPr>
            <w:tcW w:type="dxa" w:w="1728"/>
            <w:shd w:fill="C6EFCE" w:val="clear"/>
          </w:tcPr>
          <w:p>
            <w:r>
              <w:rPr>
                <w:color w:val="006400"/>
                <w:sz w:val="16"/>
              </w:rPr>
              <w:t>8.64%</w:t>
            </w:r>
          </w:p>
        </w:tc>
        <w:tc>
          <w:tcPr>
            <w:tcW w:type="dxa" w:w="1728"/>
            <w:shd w:fill="FFC7CE" w:val="clear"/>
          </w:tcPr>
          <w:p>
            <w:r>
              <w:rPr>
                <w:b/>
                <w:color w:val="B40000"/>
                <w:sz w:val="16"/>
              </w:rPr>
              <w:t>NEIC</w:t>
            </w:r>
          </w:p>
        </w:tc>
        <w:tc>
          <w:tcPr>
            <w:tcW w:type="dxa" w:w="1728"/>
            <w:shd w:fill="FFC7CE" w:val="clear"/>
          </w:tcPr>
          <w:p>
            <w:r>
              <w:rPr>
                <w:color w:val="B40000"/>
                <w:sz w:val="16"/>
              </w:rPr>
              <w:t>-23.80%</w:t>
            </w:r>
          </w:p>
        </w:tc>
      </w:tr>
      <w:tr>
        <w:tc>
          <w:tcPr>
            <w:tcW w:type="dxa" w:w="1728"/>
            <w:shd w:fill="EEF2F7" w:val="clear"/>
          </w:tcPr>
          <w:p>
            <w:r>
              <w:rPr>
                <w:b/>
                <w:sz w:val="16"/>
              </w:rPr>
              <w:t>Autonomie fin.</w:t>
            </w:r>
          </w:p>
        </w:tc>
        <w:tc>
          <w:tcPr>
            <w:tcW w:type="dxa" w:w="1728"/>
            <w:shd w:fill="C6EFCE" w:val="clear"/>
          </w:tcPr>
          <w:p>
            <w:r>
              <w:rPr>
                <w:b/>
                <w:color w:val="006400"/>
                <w:sz w:val="16"/>
              </w:rPr>
              <w:t>NEIC</w:t>
            </w:r>
          </w:p>
        </w:tc>
        <w:tc>
          <w:tcPr>
            <w:tcW w:type="dxa" w:w="1728"/>
            <w:shd w:fill="C6EFCE" w:val="clear"/>
          </w:tcPr>
          <w:p>
            <w:r>
              <w:rPr>
                <w:color w:val="006400"/>
                <w:sz w:val="16"/>
              </w:rPr>
              <w:t>77.01%</w:t>
            </w:r>
          </w:p>
        </w:tc>
        <w:tc>
          <w:tcPr>
            <w:tcW w:type="dxa" w:w="1728"/>
            <w:shd w:fill="FFC7CE" w:val="clear"/>
          </w:tcPr>
          <w:p>
            <w:r>
              <w:rPr>
                <w:b/>
                <w:color w:val="B40000"/>
                <w:sz w:val="16"/>
              </w:rPr>
              <w:t>CFAC</w:t>
            </w:r>
          </w:p>
        </w:tc>
        <w:tc>
          <w:tcPr>
            <w:tcW w:type="dxa" w:w="1728"/>
            <w:shd w:fill="FFC7CE" w:val="clear"/>
          </w:tcPr>
          <w:p>
            <w:r>
              <w:rPr>
                <w:color w:val="B40000"/>
                <w:sz w:val="16"/>
              </w:rPr>
              <w:t>22.88%</w:t>
            </w:r>
          </w:p>
        </w:tc>
      </w:tr>
      <w:tr>
        <w:tc>
          <w:tcPr>
            <w:tcW w:type="dxa" w:w="1728"/>
            <w:shd w:fill="EEF2F7" w:val="clear"/>
          </w:tcPr>
          <w:p>
            <w:r>
              <w:rPr>
                <w:b/>
                <w:sz w:val="16"/>
              </w:rPr>
              <w:t>Liquidité gén.</w:t>
            </w:r>
          </w:p>
        </w:tc>
        <w:tc>
          <w:tcPr>
            <w:tcW w:type="dxa" w:w="1728"/>
            <w:shd w:fill="C6EFCE" w:val="clear"/>
          </w:tcPr>
          <w:p>
            <w:r>
              <w:rPr>
                <w:b/>
                <w:color w:val="006400"/>
                <w:sz w:val="16"/>
              </w:rPr>
              <w:t>NEIC</w:t>
            </w:r>
          </w:p>
        </w:tc>
        <w:tc>
          <w:tcPr>
            <w:tcW w:type="dxa" w:w="1728"/>
            <w:shd w:fill="C6EFCE" w:val="clear"/>
          </w:tcPr>
          <w:p>
            <w:r>
              <w:rPr>
                <w:color w:val="006400"/>
                <w:sz w:val="16"/>
              </w:rPr>
              <w:t>448.86%</w:t>
            </w:r>
          </w:p>
        </w:tc>
        <w:tc>
          <w:tcPr>
            <w:tcW w:type="dxa" w:w="1728"/>
            <w:shd w:fill="FFC7CE" w:val="clear"/>
          </w:tcPr>
          <w:p>
            <w:r>
              <w:rPr>
                <w:b/>
                <w:color w:val="B40000"/>
                <w:sz w:val="16"/>
              </w:rPr>
              <w:t>CFAC</w:t>
            </w:r>
          </w:p>
        </w:tc>
        <w:tc>
          <w:tcPr>
            <w:tcW w:type="dxa" w:w="1728"/>
            <w:shd w:fill="FFC7CE" w:val="clear"/>
          </w:tcPr>
          <w:p>
            <w:r>
              <w:rPr>
                <w:color w:val="B40000"/>
                <w:sz w:val="16"/>
              </w:rPr>
              <w:t>93.63%</w:t>
            </w:r>
          </w:p>
        </w:tc>
      </w:tr>
      <w:tr>
        <w:tc>
          <w:tcPr>
            <w:tcW w:type="dxa" w:w="1728"/>
            <w:shd w:fill="EEF2F7" w:val="clear"/>
          </w:tcPr>
          <w:p>
            <w:r>
              <w:rPr>
                <w:b/>
                <w:sz w:val="16"/>
              </w:rPr>
              <w:t>FCF</w:t>
            </w:r>
          </w:p>
        </w:tc>
        <w:tc>
          <w:tcPr>
            <w:tcW w:type="dxa" w:w="1728"/>
            <w:shd w:fill="C6EFCE" w:val="clear"/>
          </w:tcPr>
          <w:p>
            <w:r>
              <w:rPr>
                <w:b/>
                <w:color w:val="006400"/>
                <w:sz w:val="16"/>
              </w:rPr>
              <w:t>UNXC</w:t>
            </w:r>
          </w:p>
        </w:tc>
        <w:tc>
          <w:tcPr>
            <w:tcW w:type="dxa" w:w="1728"/>
            <w:shd w:fill="C6EFCE" w:val="clear"/>
          </w:tcPr>
          <w:p>
            <w:r>
              <w:rPr>
                <w:color w:val="006400"/>
                <w:sz w:val="16"/>
              </w:rPr>
              <w:t>1.566 Mds FCFA</w:t>
            </w:r>
          </w:p>
        </w:tc>
        <w:tc>
          <w:tcPr>
            <w:tcW w:type="dxa" w:w="1728"/>
            <w:shd w:fill="FFC7CE" w:val="clear"/>
          </w:tcPr>
          <w:p>
            <w:r>
              <w:rPr>
                <w:b/>
                <w:color w:val="B40000"/>
                <w:sz w:val="16"/>
              </w:rPr>
              <w:t>PRSC</w:t>
            </w:r>
          </w:p>
        </w:tc>
        <w:tc>
          <w:tcPr>
            <w:tcW w:type="dxa" w:w="1728"/>
            <w:shd w:fill="FFC7CE" w:val="clear"/>
          </w:tcPr>
          <w:p>
            <w:r>
              <w:rPr>
                <w:color w:val="B40000"/>
                <w:sz w:val="16"/>
              </w:rPr>
              <w:t>-2.616 Mds FCFA</w:t>
            </w:r>
          </w:p>
        </w:tc>
      </w:tr>
    </w:tbl>
    <w:p/>
    <w:p>
      <w:r>
        <w:br w:type="page"/>
      </w:r>
    </w:p>
    <w:p>
      <w:pPr>
        <w:pStyle w:val="Heading2"/>
      </w:pPr>
      <w:r>
        <w:rPr>
          <w:color w:val="003366"/>
        </w:rPr>
        <w:t>📂 Secteur : ENERGIE</w:t>
      </w:r>
    </w:p>
    <w:p>
      <w:r>
        <w:rPr>
          <w:sz w:val="18"/>
        </w:rPr>
        <w:t>4 société(s) avec données financières sur 4 cotée(s) dans ce secteur. Exercice(s) analysé(s) :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551"/>
            <w:shd w:fill="1F4E79" w:val="clear"/>
          </w:tcPr>
          <w:p>
            <w:r>
              <w:rPr>
                <w:b/>
                <w:color w:val="FFFFFF"/>
                <w:sz w:val="16"/>
              </w:rPr>
              <w:t>Indicateur</w:t>
            </w:r>
          </w:p>
        </w:tc>
        <w:tc>
          <w:tcPr>
            <w:tcW w:type="dxa" w:w="1843"/>
            <w:shd w:fill="1F4E79" w:val="clear"/>
          </w:tcPr>
          <w:p>
            <w:r>
              <w:rPr>
                <w:b/>
                <w:color w:val="FFFFFF"/>
                <w:sz w:val="15"/>
              </w:rPr>
              <w:t>SHEC (2025)</w:t>
            </w:r>
          </w:p>
        </w:tc>
        <w:tc>
          <w:tcPr>
            <w:tcW w:type="dxa" w:w="1843"/>
            <w:shd w:fill="1F4E79" w:val="clear"/>
          </w:tcPr>
          <w:p>
            <w:r>
              <w:rPr>
                <w:b/>
                <w:color w:val="FFFFFF"/>
                <w:sz w:val="15"/>
              </w:rPr>
              <w:t>SMBC (2025)</w:t>
            </w:r>
          </w:p>
        </w:tc>
        <w:tc>
          <w:tcPr>
            <w:tcW w:type="dxa" w:w="1843"/>
            <w:shd w:fill="1F4E79" w:val="clear"/>
          </w:tcPr>
          <w:p>
            <w:r>
              <w:rPr>
                <w:b/>
                <w:color w:val="FFFFFF"/>
                <w:sz w:val="15"/>
              </w:rPr>
              <w:t>TTLC (2025)</w:t>
            </w:r>
          </w:p>
        </w:tc>
        <w:tc>
          <w:tcPr>
            <w:tcW w:type="dxa" w:w="1843"/>
            <w:shd w:fill="1F4E79" w:val="clear"/>
          </w:tcPr>
          <w:p>
            <w:r>
              <w:rPr>
                <w:b/>
                <w:color w:val="FFFFFF"/>
                <w:sz w:val="15"/>
              </w:rPr>
              <w:t>TTLS (2025)</w:t>
            </w:r>
          </w:p>
        </w:tc>
      </w:tr>
      <w:tr>
        <w:tc>
          <w:tcPr>
            <w:tcW w:type="dxa" w:w="2551"/>
            <w:shd w:fill="EEF2F7" w:val="clear"/>
          </w:tcPr>
          <w:p>
            <w:r>
              <w:rPr>
                <w:b/>
                <w:sz w:val="15"/>
              </w:rPr>
              <w:t>ROE</w:t>
            </w:r>
          </w:p>
        </w:tc>
        <w:tc>
          <w:tcPr>
            <w:tcW w:type="dxa" w:w="1843"/>
            <w:shd w:fill="FFC7CE" w:val="clear"/>
          </w:tcPr>
          <w:p>
            <w:r>
              <w:rPr>
                <w:b/>
                <w:color w:val="B40000"/>
                <w:sz w:val="16"/>
              </w:rPr>
              <w:t>22.20%</w:t>
            </w:r>
          </w:p>
        </w:tc>
        <w:tc>
          <w:tcPr>
            <w:tcW w:type="dxa" w:w="1843"/>
            <w:shd w:fill="C6EFCE" w:val="clear"/>
          </w:tcPr>
          <w:p>
            <w:r>
              <w:rPr>
                <w:b/>
                <w:color w:val="006400"/>
                <w:sz w:val="16"/>
              </w:rPr>
              <w:t>30.47%</w:t>
            </w:r>
          </w:p>
        </w:tc>
        <w:tc>
          <w:tcPr>
            <w:tcW w:type="dxa" w:w="1843"/>
            <w:shd w:fill="FFFFFF" w:val="clear"/>
          </w:tcPr>
          <w:p>
            <w:r>
              <w:rPr>
                <w:b/>
                <w:color w:val="000000"/>
                <w:sz w:val="16"/>
              </w:rPr>
              <w:t>25.10%</w:t>
            </w:r>
          </w:p>
        </w:tc>
        <w:tc>
          <w:tcPr>
            <w:tcW w:type="dxa" w:w="1843"/>
            <w:shd w:fill="FFFFFF" w:val="clear"/>
          </w:tcPr>
          <w:p>
            <w:r>
              <w:rPr>
                <w:b/>
                <w:color w:val="000000"/>
                <w:sz w:val="16"/>
              </w:rPr>
              <w:t>24.01%</w:t>
            </w:r>
          </w:p>
        </w:tc>
      </w:tr>
      <w:tr>
        <w:tc>
          <w:tcPr>
            <w:tcW w:type="dxa" w:w="2551"/>
            <w:shd w:fill="EEF2F7" w:val="clear"/>
          </w:tcPr>
          <w:p>
            <w:r>
              <w:rPr>
                <w:b/>
                <w:sz w:val="15"/>
              </w:rPr>
              <w:t>ROA</w:t>
            </w:r>
          </w:p>
        </w:tc>
        <w:tc>
          <w:tcPr>
            <w:tcW w:type="dxa" w:w="1843"/>
            <w:shd w:fill="FFC7CE" w:val="clear"/>
          </w:tcPr>
          <w:p>
            <w:r>
              <w:rPr>
                <w:b/>
                <w:color w:val="B40000"/>
                <w:sz w:val="16"/>
              </w:rPr>
              <w:t>3.11%</w:t>
            </w:r>
          </w:p>
        </w:tc>
        <w:tc>
          <w:tcPr>
            <w:tcW w:type="dxa" w:w="1843"/>
            <w:shd w:fill="C6EFCE" w:val="clear"/>
          </w:tcPr>
          <w:p>
            <w:r>
              <w:rPr>
                <w:b/>
                <w:color w:val="006400"/>
                <w:sz w:val="16"/>
              </w:rPr>
              <w:t>7.26%</w:t>
            </w:r>
          </w:p>
        </w:tc>
        <w:tc>
          <w:tcPr>
            <w:tcW w:type="dxa" w:w="1843"/>
            <w:shd w:fill="FFFFFF" w:val="clear"/>
          </w:tcPr>
          <w:p>
            <w:r>
              <w:rPr>
                <w:b/>
                <w:color w:val="000000"/>
                <w:sz w:val="16"/>
              </w:rPr>
              <w:t>4.82%</w:t>
            </w:r>
          </w:p>
        </w:tc>
        <w:tc>
          <w:tcPr>
            <w:tcW w:type="dxa" w:w="1843"/>
            <w:shd w:fill="FFFFFF" w:val="clear"/>
          </w:tcPr>
          <w:p>
            <w:r>
              <w:rPr>
                <w:b/>
                <w:color w:val="000000"/>
                <w:sz w:val="16"/>
              </w:rPr>
              <w:t>3.95%</w:t>
            </w:r>
          </w:p>
        </w:tc>
      </w:tr>
      <w:tr>
        <w:tc>
          <w:tcPr>
            <w:tcW w:type="dxa" w:w="2551"/>
            <w:shd w:fill="EEF2F7" w:val="clear"/>
          </w:tcPr>
          <w:p>
            <w:r>
              <w:rPr>
                <w:b/>
                <w:sz w:val="15"/>
              </w:rPr>
              <w:t>Marge nette</w:t>
            </w:r>
          </w:p>
        </w:tc>
        <w:tc>
          <w:tcPr>
            <w:tcW w:type="dxa" w:w="1843"/>
            <w:shd w:fill="FFC7CE" w:val="clear"/>
          </w:tcPr>
          <w:p>
            <w:r>
              <w:rPr>
                <w:b/>
                <w:color w:val="B40000"/>
                <w:sz w:val="16"/>
              </w:rPr>
              <w:t>1.00%</w:t>
            </w:r>
          </w:p>
        </w:tc>
        <w:tc>
          <w:tcPr>
            <w:tcW w:type="dxa" w:w="1843"/>
            <w:shd w:fill="C6EFCE" w:val="clear"/>
          </w:tcPr>
          <w:p>
            <w:r>
              <w:rPr>
                <w:b/>
                <w:color w:val="006400"/>
                <w:sz w:val="16"/>
              </w:rPr>
              <w:t>6.32%</w:t>
            </w:r>
          </w:p>
        </w:tc>
        <w:tc>
          <w:tcPr>
            <w:tcW w:type="dxa" w:w="1843"/>
            <w:shd w:fill="FFFFFF" w:val="clear"/>
          </w:tcPr>
          <w:p>
            <w:r>
              <w:rPr>
                <w:b/>
                <w:color w:val="000000"/>
                <w:sz w:val="16"/>
              </w:rPr>
              <w:t>1.54%</w:t>
            </w:r>
          </w:p>
        </w:tc>
        <w:tc>
          <w:tcPr>
            <w:tcW w:type="dxa" w:w="1843"/>
            <w:shd w:fill="FFFFFF" w:val="clear"/>
          </w:tcPr>
          <w:p>
            <w:r>
              <w:rPr>
                <w:b/>
                <w:color w:val="000000"/>
                <w:sz w:val="16"/>
              </w:rPr>
              <w:t>1.49%</w:t>
            </w:r>
          </w:p>
        </w:tc>
      </w:tr>
      <w:tr>
        <w:tc>
          <w:tcPr>
            <w:tcW w:type="dxa" w:w="2551"/>
            <w:shd w:fill="EEF2F7" w:val="clear"/>
          </w:tcPr>
          <w:p>
            <w:r>
              <w:rPr>
                <w:b/>
                <w:sz w:val="15"/>
              </w:rPr>
              <w:t>Résultat net</w:t>
            </w:r>
          </w:p>
        </w:tc>
        <w:tc>
          <w:tcPr>
            <w:tcW w:type="dxa" w:w="1843"/>
            <w:shd w:fill="FFC7CE" w:val="clear"/>
          </w:tcPr>
          <w:p>
            <w:r>
              <w:rPr>
                <w:b/>
                <w:color w:val="B40000"/>
                <w:sz w:val="16"/>
              </w:rPr>
              <w:t>6.028 Mds FCFA</w:t>
            </w:r>
          </w:p>
        </w:tc>
        <w:tc>
          <w:tcPr>
            <w:tcW w:type="dxa" w:w="1843"/>
            <w:shd w:fill="C6EFCE" w:val="clear"/>
          </w:tcPr>
          <w:p>
            <w:r>
              <w:rPr>
                <w:b/>
                <w:color w:val="006400"/>
                <w:sz w:val="16"/>
              </w:rPr>
              <w:t>13.075 Mds FCFA</w:t>
            </w:r>
          </w:p>
        </w:tc>
        <w:tc>
          <w:tcPr>
            <w:tcW w:type="dxa" w:w="1843"/>
            <w:shd w:fill="FFFFFF" w:val="clear"/>
          </w:tcPr>
          <w:p>
            <w:r>
              <w:rPr>
                <w:b/>
                <w:color w:val="000000"/>
                <w:sz w:val="16"/>
              </w:rPr>
              <w:t>9.087 Mds FCFA</w:t>
            </w:r>
          </w:p>
        </w:tc>
        <w:tc>
          <w:tcPr>
            <w:tcW w:type="dxa" w:w="1843"/>
            <w:shd w:fill="FFFFFF" w:val="clear"/>
          </w:tcPr>
          <w:p>
            <w:r>
              <w:rPr>
                <w:b/>
                <w:color w:val="000000"/>
                <w:sz w:val="16"/>
              </w:rPr>
              <w:t>6.779 Mds FCFA</w:t>
            </w:r>
          </w:p>
        </w:tc>
      </w:tr>
      <w:tr>
        <w:tc>
          <w:tcPr>
            <w:tcW w:type="dxa" w:w="2551"/>
            <w:shd w:fill="EEF2F7" w:val="clear"/>
          </w:tcPr>
          <w:p>
            <w:r>
              <w:rPr>
                <w:b/>
                <w:sz w:val="15"/>
              </w:rPr>
              <w:t>Taux croissance CA/PNB</w:t>
            </w:r>
          </w:p>
        </w:tc>
        <w:tc>
          <w:tcPr>
            <w:tcW w:type="dxa" w:w="1843"/>
            <w:shd w:fill="C6EFCE" w:val="clear"/>
          </w:tcPr>
          <w:p>
            <w:r>
              <w:rPr>
                <w:b/>
                <w:color w:val="006400"/>
                <w:sz w:val="16"/>
              </w:rPr>
              <w:t>0.71%</w:t>
            </w:r>
          </w:p>
        </w:tc>
        <w:tc>
          <w:tcPr>
            <w:tcW w:type="dxa" w:w="1843"/>
            <w:shd w:fill="FFC7CE" w:val="clear"/>
          </w:tcPr>
          <w:p>
            <w:r>
              <w:rPr>
                <w:b/>
                <w:color w:val="B40000"/>
                <w:sz w:val="16"/>
              </w:rPr>
              <w:t>-9.74%</w:t>
            </w:r>
          </w:p>
        </w:tc>
        <w:tc>
          <w:tcPr>
            <w:tcW w:type="dxa" w:w="1843"/>
            <w:shd w:fill="FFFFFF" w:val="clear"/>
          </w:tcPr>
          <w:p>
            <w:r>
              <w:rPr>
                <w:b/>
                <w:color w:val="000000"/>
                <w:sz w:val="16"/>
              </w:rPr>
              <w:t>-5.21%</w:t>
            </w:r>
          </w:p>
        </w:tc>
        <w:tc>
          <w:tcPr>
            <w:tcW w:type="dxa" w:w="1843"/>
            <w:shd w:fill="FFFFFF" w:val="clear"/>
          </w:tcPr>
          <w:p>
            <w:r>
              <w:rPr>
                <w:b/>
                <w:color w:val="000000"/>
                <w:sz w:val="16"/>
              </w:rPr>
              <w:t>-6.13%</w:t>
            </w:r>
          </w:p>
        </w:tc>
      </w:tr>
      <w:tr>
        <w:tc>
          <w:tcPr>
            <w:tcW w:type="dxa" w:w="2551"/>
            <w:shd w:fill="EEF2F7" w:val="clear"/>
          </w:tcPr>
          <w:p>
            <w:r>
              <w:rPr>
                <w:b/>
                <w:sz w:val="15"/>
              </w:rPr>
              <w:t>Autonomie financière</w:t>
            </w:r>
          </w:p>
        </w:tc>
        <w:tc>
          <w:tcPr>
            <w:tcW w:type="dxa" w:w="1843"/>
            <w:shd w:fill="FFC7CE" w:val="clear"/>
          </w:tcPr>
          <w:p>
            <w:r>
              <w:rPr>
                <w:b/>
                <w:color w:val="B40000"/>
                <w:sz w:val="16"/>
              </w:rPr>
              <w:t>14.03%</w:t>
            </w:r>
          </w:p>
        </w:tc>
        <w:tc>
          <w:tcPr>
            <w:tcW w:type="dxa" w:w="1843"/>
            <w:shd w:fill="C6EFCE" w:val="clear"/>
          </w:tcPr>
          <w:p>
            <w:r>
              <w:rPr>
                <w:b/>
                <w:color w:val="006400"/>
                <w:sz w:val="16"/>
              </w:rPr>
              <w:t>23.84%</w:t>
            </w:r>
          </w:p>
        </w:tc>
        <w:tc>
          <w:tcPr>
            <w:tcW w:type="dxa" w:w="1843"/>
            <w:shd w:fill="FFFFFF" w:val="clear"/>
          </w:tcPr>
          <w:p>
            <w:r>
              <w:rPr>
                <w:b/>
                <w:color w:val="000000"/>
                <w:sz w:val="16"/>
              </w:rPr>
              <w:t>19.21%</w:t>
            </w:r>
          </w:p>
        </w:tc>
        <w:tc>
          <w:tcPr>
            <w:tcW w:type="dxa" w:w="1843"/>
            <w:shd w:fill="FFFFFF" w:val="clear"/>
          </w:tcPr>
          <w:p>
            <w:r>
              <w:rPr>
                <w:b/>
                <w:color w:val="000000"/>
                <w:sz w:val="16"/>
              </w:rPr>
              <w:t>16.44%</w:t>
            </w:r>
          </w:p>
        </w:tc>
      </w:tr>
      <w:tr>
        <w:tc>
          <w:tcPr>
            <w:tcW w:type="dxa" w:w="2551"/>
            <w:shd w:fill="EEF2F7" w:val="clear"/>
          </w:tcPr>
          <w:p>
            <w:r>
              <w:rPr>
                <w:b/>
                <w:sz w:val="15"/>
              </w:rPr>
              <w:t>Ratio endettement</w:t>
            </w:r>
          </w:p>
        </w:tc>
        <w:tc>
          <w:tcPr>
            <w:tcW w:type="dxa" w:w="1843"/>
            <w:shd w:fill="C6EFCE" w:val="clear"/>
          </w:tcPr>
          <w:p>
            <w:r>
              <w:rPr>
                <w:b/>
                <w:color w:val="006400"/>
                <w:sz w:val="16"/>
              </w:rPr>
              <w:t>43.95%</w:t>
            </w:r>
          </w:p>
        </w:tc>
        <w:tc>
          <w:tcPr>
            <w:tcW w:type="dxa" w:w="1843"/>
            <w:shd w:fill="FFFFFF" w:val="clear"/>
          </w:tcPr>
          <w:p>
            <w:r>
              <w:rPr>
                <w:b/>
                <w:color w:val="000000"/>
                <w:sz w:val="16"/>
              </w:rPr>
              <w:t>76.16%</w:t>
            </w:r>
          </w:p>
        </w:tc>
        <w:tc>
          <w:tcPr>
            <w:tcW w:type="dxa" w:w="1843"/>
            <w:shd w:fill="FFC7CE" w:val="clear"/>
          </w:tcPr>
          <w:p>
            <w:r>
              <w:rPr>
                <w:b/>
                <w:color w:val="B40000"/>
                <w:sz w:val="16"/>
              </w:rPr>
              <w:t>90.23%</w:t>
            </w:r>
          </w:p>
        </w:tc>
        <w:tc>
          <w:tcPr>
            <w:tcW w:type="dxa" w:w="1843"/>
            <w:shd w:fill="FFFFFF" w:val="clear"/>
          </w:tcPr>
          <w:p>
            <w:r>
              <w:rPr>
                <w:b/>
                <w:color w:val="000000"/>
                <w:sz w:val="16"/>
              </w:rPr>
              <w:t>52.16%</w:t>
            </w:r>
          </w:p>
        </w:tc>
      </w:tr>
      <w:tr>
        <w:tc>
          <w:tcPr>
            <w:tcW w:type="dxa" w:w="2551"/>
            <w:shd w:fill="EEF2F7" w:val="clear"/>
          </w:tcPr>
          <w:p>
            <w:r>
              <w:rPr>
                <w:b/>
                <w:sz w:val="15"/>
              </w:rPr>
              <w:t>Solvabilité générale</w:t>
            </w:r>
          </w:p>
        </w:tc>
        <w:tc>
          <w:tcPr>
            <w:tcW w:type="dxa" w:w="1843"/>
            <w:shd w:fill="FFC7CE" w:val="clear"/>
          </w:tcPr>
          <w:p>
            <w:r>
              <w:rPr>
                <w:b/>
                <w:color w:val="B40000"/>
                <w:sz w:val="16"/>
              </w:rPr>
              <w:t>116.32%</w:t>
            </w:r>
          </w:p>
        </w:tc>
        <w:tc>
          <w:tcPr>
            <w:tcW w:type="dxa" w:w="1843"/>
            <w:shd w:fill="C6EFCE" w:val="clear"/>
          </w:tcPr>
          <w:p>
            <w:r>
              <w:rPr>
                <w:b/>
                <w:color w:val="006400"/>
                <w:sz w:val="16"/>
              </w:rPr>
              <w:t>131.30%</w:t>
            </w:r>
          </w:p>
        </w:tc>
        <w:tc>
          <w:tcPr>
            <w:tcW w:type="dxa" w:w="1843"/>
            <w:shd w:fill="FFFFFF" w:val="clear"/>
          </w:tcPr>
          <w:p>
            <w:r>
              <w:rPr>
                <w:b/>
                <w:color w:val="000000"/>
                <w:sz w:val="16"/>
              </w:rPr>
              <w:t>123.77%</w:t>
            </w:r>
          </w:p>
        </w:tc>
        <w:tc>
          <w:tcPr>
            <w:tcW w:type="dxa" w:w="1843"/>
            <w:shd w:fill="FFFFFF" w:val="clear"/>
          </w:tcPr>
          <w:p>
            <w:r>
              <w:rPr>
                <w:b/>
                <w:color w:val="000000"/>
                <w:sz w:val="16"/>
              </w:rPr>
              <w:t>119.67%</w:t>
            </w:r>
          </w:p>
        </w:tc>
      </w:tr>
      <w:tr>
        <w:tc>
          <w:tcPr>
            <w:tcW w:type="dxa" w:w="2551"/>
            <w:shd w:fill="EEF2F7" w:val="clear"/>
          </w:tcPr>
          <w:p>
            <w:r>
              <w:rPr>
                <w:b/>
                <w:sz w:val="15"/>
              </w:rPr>
              <w:t>Liquidité générale</w:t>
            </w:r>
          </w:p>
        </w:tc>
        <w:tc>
          <w:tcPr>
            <w:tcW w:type="dxa" w:w="1843"/>
            <w:shd w:fill="FFFFFF" w:val="clear"/>
          </w:tcPr>
          <w:p>
            <w:r>
              <w:rPr>
                <w:b/>
                <w:color w:val="000000"/>
                <w:sz w:val="16"/>
              </w:rPr>
              <w:t>118.17%</w:t>
            </w:r>
          </w:p>
        </w:tc>
        <w:tc>
          <w:tcPr>
            <w:tcW w:type="dxa" w:w="1843"/>
            <w:shd w:fill="C6EFCE" w:val="clear"/>
          </w:tcPr>
          <w:p>
            <w:r>
              <w:rPr>
                <w:b/>
                <w:color w:val="006400"/>
                <w:sz w:val="16"/>
              </w:rPr>
              <w:t>120.18%</w:t>
            </w:r>
          </w:p>
        </w:tc>
        <w:tc>
          <w:tcPr>
            <w:tcW w:type="dxa" w:w="1843"/>
            <w:shd w:fill="FFC7CE" w:val="clear"/>
          </w:tcPr>
          <w:p>
            <w:r>
              <w:rPr>
                <w:b/>
                <w:color w:val="B40000"/>
                <w:sz w:val="16"/>
              </w:rPr>
              <w:t>78.77%</w:t>
            </w:r>
          </w:p>
        </w:tc>
        <w:tc>
          <w:tcPr>
            <w:tcW w:type="dxa" w:w="1843"/>
            <w:shd w:fill="FFFFFF" w:val="clear"/>
          </w:tcPr>
          <w:p>
            <w:r>
              <w:rPr>
                <w:b/>
                <w:color w:val="000000"/>
                <w:sz w:val="16"/>
              </w:rPr>
              <w:t>93.50%</w:t>
            </w:r>
          </w:p>
        </w:tc>
      </w:tr>
      <w:tr>
        <w:tc>
          <w:tcPr>
            <w:tcW w:type="dxa" w:w="2551"/>
            <w:shd w:fill="EEF2F7" w:val="clear"/>
          </w:tcPr>
          <w:p>
            <w:r>
              <w:rPr>
                <w:b/>
                <w:sz w:val="15"/>
              </w:rPr>
              <w:t>Free Cash Flow</w:t>
            </w:r>
          </w:p>
        </w:tc>
        <w:tc>
          <w:tcPr>
            <w:tcW w:type="dxa" w:w="1843"/>
            <w:shd w:fill="FFC7CE" w:val="clear"/>
          </w:tcPr>
          <w:p>
            <w:r>
              <w:rPr>
                <w:b/>
                <w:color w:val="B40000"/>
                <w:sz w:val="16"/>
              </w:rPr>
              <w:t>-1.538 Mds FCFA</w:t>
            </w:r>
          </w:p>
        </w:tc>
        <w:tc>
          <w:tcPr>
            <w:tcW w:type="dxa" w:w="1843"/>
            <w:shd w:fill="C6EFCE" w:val="clear"/>
          </w:tcPr>
          <w:p>
            <w:r>
              <w:rPr>
                <w:b/>
                <w:color w:val="006400"/>
                <w:sz w:val="16"/>
              </w:rPr>
              <w:t>20.642 Mds FCFA</w:t>
            </w:r>
          </w:p>
        </w:tc>
        <w:tc>
          <w:tcPr>
            <w:tcW w:type="dxa" w:w="1843"/>
            <w:shd w:fill="FFFFFF" w:val="clear"/>
          </w:tcPr>
          <w:p>
            <w:r>
              <w:rPr>
                <w:b/>
                <w:color w:val="000000"/>
                <w:sz w:val="16"/>
              </w:rPr>
              <w:t>72.00 M FCFA</w:t>
            </w:r>
          </w:p>
        </w:tc>
        <w:tc>
          <w:tcPr>
            <w:tcW w:type="dxa" w:w="1843"/>
            <w:shd w:fill="FFFFFF" w:val="clear"/>
          </w:tcPr>
          <w:p>
            <w:r>
              <w:rPr>
                <w:b/>
                <w:color w:val="000000"/>
                <w:sz w:val="16"/>
              </w:rPr>
              <w:t>17.483 Mds FCFA</w:t>
            </w:r>
          </w:p>
        </w:tc>
      </w:tr>
      <w:tr>
        <w:tc>
          <w:tcPr>
            <w:tcW w:type="dxa" w:w="2551"/>
            <w:shd w:fill="EEF2F7" w:val="clear"/>
          </w:tcPr>
          <w:p>
            <w:r>
              <w:rPr>
                <w:b/>
                <w:sz w:val="15"/>
              </w:rPr>
              <w:t>Marge opérationnelle</w:t>
            </w:r>
          </w:p>
        </w:tc>
        <w:tc>
          <w:tcPr>
            <w:tcW w:type="dxa" w:w="1843"/>
            <w:shd w:fill="FFFFFF" w:val="clear"/>
          </w:tcPr>
          <w:p>
            <w:r>
              <w:rPr>
                <w:b/>
                <w:color w:val="000000"/>
                <w:sz w:val="16"/>
              </w:rPr>
              <w:t>1.93%</w:t>
            </w:r>
          </w:p>
        </w:tc>
        <w:tc>
          <w:tcPr>
            <w:tcW w:type="dxa" w:w="1843"/>
            <w:shd w:fill="C6EFCE" w:val="clear"/>
          </w:tcPr>
          <w:p>
            <w:r>
              <w:rPr>
                <w:b/>
                <w:color w:val="006400"/>
                <w:sz w:val="16"/>
              </w:rPr>
              <w:t>8.62%</w:t>
            </w:r>
          </w:p>
        </w:tc>
        <w:tc>
          <w:tcPr>
            <w:tcW w:type="dxa" w:w="1843"/>
            <w:shd w:fill="FFFFFF" w:val="clear"/>
          </w:tcPr>
          <w:p>
            <w:r>
              <w:rPr>
                <w:b/>
                <w:color w:val="000000"/>
                <w:sz w:val="16"/>
              </w:rPr>
              <w:t>2.09%</w:t>
            </w:r>
          </w:p>
        </w:tc>
        <w:tc>
          <w:tcPr>
            <w:tcW w:type="dxa" w:w="1843"/>
            <w:shd w:fill="FFC7CE" w:val="clear"/>
          </w:tcPr>
          <w:p>
            <w:r>
              <w:rPr>
                <w:b/>
                <w:color w:val="B40000"/>
                <w:sz w:val="16"/>
              </w:rPr>
              <w:t>1.91%</w:t>
            </w:r>
          </w:p>
        </w:tc>
      </w:tr>
      <w:tr>
        <w:tc>
          <w:tcPr>
            <w:tcW w:type="dxa" w:w="2551"/>
            <w:shd w:fill="EEF2F7" w:val="clear"/>
          </w:tcPr>
          <w:p>
            <w:r>
              <w:rPr>
                <w:b/>
                <w:sz w:val="15"/>
              </w:rPr>
              <w:t>Délai clients</w:t>
            </w:r>
          </w:p>
        </w:tc>
        <w:tc>
          <w:tcPr>
            <w:tcW w:type="dxa" w:w="1843"/>
            <w:shd w:fill="C6EFCE" w:val="clear"/>
          </w:tcPr>
          <w:p>
            <w:r>
              <w:rPr>
                <w:b/>
                <w:color w:val="006400"/>
                <w:sz w:val="16"/>
              </w:rPr>
              <w:t>23.3 j</w:t>
            </w:r>
          </w:p>
        </w:tc>
        <w:tc>
          <w:tcPr>
            <w:tcW w:type="dxa" w:w="1843"/>
            <w:shd w:fill="FFC7CE" w:val="clear"/>
          </w:tcPr>
          <w:p>
            <w:r>
              <w:rPr>
                <w:b/>
                <w:color w:val="B40000"/>
                <w:sz w:val="16"/>
              </w:rPr>
              <w:t>193.8 j</w:t>
            </w:r>
          </w:p>
        </w:tc>
        <w:tc>
          <w:tcPr>
            <w:tcW w:type="dxa" w:w="1843"/>
            <w:shd w:fill="F2F2F2" w:val="clear"/>
          </w:tcPr>
          <w:p>
            <w:r>
              <w:rPr>
                <w:b/>
                <w:sz w:val="16"/>
              </w:rPr>
              <w:t>N/D</w:t>
            </w:r>
          </w:p>
        </w:tc>
        <w:tc>
          <w:tcPr>
            <w:tcW w:type="dxa" w:w="1843"/>
            <w:shd w:fill="FFFFFF" w:val="clear"/>
          </w:tcPr>
          <w:p>
            <w:r>
              <w:rPr>
                <w:b/>
                <w:color w:val="000000"/>
                <w:sz w:val="16"/>
              </w:rPr>
              <w:t>47.4 j</w:t>
            </w:r>
          </w:p>
        </w:tc>
      </w:tr>
      <w:tr>
        <w:tc>
          <w:tcPr>
            <w:tcW w:type="dxa" w:w="2551"/>
            <w:shd w:fill="EEF2F7" w:val="clear"/>
          </w:tcPr>
          <w:p>
            <w:r>
              <w:rPr>
                <w:b/>
                <w:sz w:val="15"/>
              </w:rPr>
              <w:t>Durée stockage</w:t>
            </w:r>
          </w:p>
        </w:tc>
        <w:tc>
          <w:tcPr>
            <w:tcW w:type="dxa" w:w="1843"/>
            <w:shd w:fill="C6EFCE" w:val="clear"/>
          </w:tcPr>
          <w:p>
            <w:r>
              <w:rPr>
                <w:b/>
                <w:color w:val="006400"/>
                <w:sz w:val="16"/>
              </w:rPr>
              <w:t>7.5 j</w:t>
            </w:r>
          </w:p>
        </w:tc>
        <w:tc>
          <w:tcPr>
            <w:tcW w:type="dxa" w:w="1843"/>
            <w:shd w:fill="FFC7CE" w:val="clear"/>
          </w:tcPr>
          <w:p>
            <w:r>
              <w:rPr>
                <w:b/>
                <w:color w:val="B40000"/>
                <w:sz w:val="16"/>
              </w:rPr>
              <w:t>38.1 j</w:t>
            </w:r>
          </w:p>
        </w:tc>
        <w:tc>
          <w:tcPr>
            <w:tcW w:type="dxa" w:w="1843"/>
            <w:shd w:fill="FFFFFF" w:val="clear"/>
          </w:tcPr>
          <w:p>
            <w:r>
              <w:rPr>
                <w:b/>
                <w:color w:val="000000"/>
                <w:sz w:val="16"/>
              </w:rPr>
              <w:t>13.8 j</w:t>
            </w:r>
          </w:p>
        </w:tc>
        <w:tc>
          <w:tcPr>
            <w:tcW w:type="dxa" w:w="1843"/>
            <w:shd w:fill="FFFFFF" w:val="clear"/>
          </w:tcPr>
          <w:p>
            <w:r>
              <w:rPr>
                <w:b/>
                <w:color w:val="000000"/>
                <w:sz w:val="16"/>
              </w:rPr>
              <w:t>17.6 j</w:t>
            </w:r>
          </w:p>
        </w:tc>
      </w:tr>
    </w:tbl>
    <w:p/>
    <w:p>
      <w:pPr>
        <w:pStyle w:val="Heading3"/>
      </w:pPr>
      <w:r>
        <w:t>🔍 Analyse détaillée par société</w:t>
      </w:r>
    </w:p>
    <w:p>
      <w:pPr>
        <w:spacing w:before="160"/>
      </w:pPr>
      <w:r>
        <w:rPr>
          <w:b/>
          <w:color w:val="003366"/>
          <w:sz w:val="20"/>
        </w:rPr>
        <w:t xml:space="preserve">▶ SHEC — SHEC - VIVO ENERGY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22.20%</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3.11%</w:t>
            </w:r>
          </w:p>
        </w:tc>
        <w:tc>
          <w:tcPr>
            <w:tcW w:type="dxa" w:w="5669"/>
            <w:shd w:fill="FFFFFF" w:val="clear"/>
          </w:tcPr>
          <w:p>
            <w:r>
              <w:rPr>
                <w:sz w:val="15"/>
              </w:rPr>
              <w:t>⚠️ ROA de 3.11%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1.00%</w:t>
            </w:r>
          </w:p>
        </w:tc>
        <w:tc>
          <w:tcPr>
            <w:tcW w:type="dxa" w:w="5669"/>
            <w:shd w:fill="FFFFFF" w:val="clear"/>
          </w:tcPr>
          <w:p>
            <w:r>
              <w:rPr>
                <w:sz w:val="15"/>
              </w:rPr>
              <w:t>⚠️ Marge nette quasi-nulle (1.00%) — activité à peine bénéficiaire.</w:t>
            </w:r>
          </w:p>
        </w:tc>
      </w:tr>
      <w:tr>
        <w:tc>
          <w:tcPr>
            <w:tcW w:type="dxa" w:w="2268"/>
            <w:shd w:fill="EEF2F7" w:val="clear"/>
          </w:tcPr>
          <w:p>
            <w:r>
              <w:rPr>
                <w:b/>
                <w:sz w:val="15"/>
              </w:rPr>
              <w:t>Résultat net</w:t>
            </w:r>
          </w:p>
        </w:tc>
        <w:tc>
          <w:tcPr>
            <w:tcW w:type="dxa" w:w="1984"/>
            <w:shd w:fill="C6EFCE" w:val="clear"/>
          </w:tcPr>
          <w:p>
            <w:r>
              <w:rPr>
                <w:b/>
                <w:color w:val="007800"/>
                <w:sz w:val="17"/>
              </w:rPr>
              <w:t>6.028 Mds FCFA</w:t>
            </w:r>
          </w:p>
        </w:tc>
        <w:tc>
          <w:tcPr>
            <w:tcW w:type="dxa" w:w="5669"/>
            <w:shd w:fill="FFFFFF" w:val="clear"/>
          </w:tcPr>
          <w:p>
            <w:r>
              <w:rPr>
                <w:sz w:val="15"/>
              </w:rPr>
              <w:t>✅ Résultat net positif de 6.028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0.71%</w:t>
            </w:r>
          </w:p>
        </w:tc>
        <w:tc>
          <w:tcPr>
            <w:tcW w:type="dxa" w:w="5669"/>
            <w:shd w:fill="FFFFFF" w:val="clear"/>
          </w:tcPr>
          <w:p>
            <w:r>
              <w:rPr>
                <w:sz w:val="15"/>
              </w:rPr>
              <w:t>⚠️ Croissance faible (0.7%)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14.03%</w:t>
            </w:r>
          </w:p>
        </w:tc>
        <w:tc>
          <w:tcPr>
            <w:tcW w:type="dxa" w:w="5669"/>
            <w:shd w:fill="FFFFFF" w:val="clear"/>
          </w:tcPr>
          <w:p>
            <w:r>
              <w:rPr>
                <w:sz w:val="15"/>
              </w:rPr>
              <w:t>⚠️ Autonomie limitée (14.0%)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43.95%</w:t>
            </w:r>
          </w:p>
        </w:tc>
        <w:tc>
          <w:tcPr>
            <w:tcW w:type="dxa" w:w="5669"/>
            <w:shd w:fill="FFFFFF" w:val="clear"/>
          </w:tcPr>
          <w:p>
            <w:r>
              <w:rPr>
                <w:sz w:val="15"/>
              </w:rPr>
              <w:t>✅ Gearing de 44%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116.32%</w:t>
            </w:r>
          </w:p>
        </w:tc>
        <w:tc>
          <w:tcPr>
            <w:tcW w:type="dxa" w:w="5669"/>
            <w:shd w:fill="FFFFFF" w:val="clear"/>
          </w:tcPr>
          <w:p>
            <w:r>
              <w:rPr>
                <w:sz w:val="15"/>
              </w:rPr>
              <w:t>⚠️ Solvabilité limite (116%)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118.17%</w:t>
            </w:r>
          </w:p>
        </w:tc>
        <w:tc>
          <w:tcPr>
            <w:tcW w:type="dxa" w:w="5669"/>
            <w:shd w:fill="FFFFFF" w:val="clear"/>
          </w:tcPr>
          <w:p>
            <w:r>
              <w:rPr>
                <w:sz w:val="15"/>
              </w:rPr>
              <w:t>⚠️ Liquidité générale limite (118.17x)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-1.538 Mds FCFA</w:t>
            </w:r>
          </w:p>
        </w:tc>
        <w:tc>
          <w:tcPr>
            <w:tcW w:type="dxa" w:w="5669"/>
            <w:shd w:fill="FFFFFF" w:val="clear"/>
          </w:tcPr>
          <w:p>
            <w:r>
              <w:rPr>
                <w:sz w:val="15"/>
              </w:rPr>
              <w:t>❌ FCF négatif significatif (-1.538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1.93%</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23.3 j</w:t>
            </w:r>
          </w:p>
        </w:tc>
        <w:tc>
          <w:tcPr>
            <w:tcW w:type="dxa" w:w="5669"/>
            <w:shd w:fill="FFFFFF" w:val="clear"/>
          </w:tcPr>
          <w:p>
            <w:r>
              <w:rPr>
                <w:sz w:val="15"/>
              </w:rPr>
              <w:t>✅ Délai clients de 23 jours — recouvrement rapide. Trésorerie peu sollicitée par les créances clients.</w:t>
            </w:r>
          </w:p>
        </w:tc>
      </w:tr>
      <w:tr>
        <w:tc>
          <w:tcPr>
            <w:tcW w:type="dxa" w:w="2268"/>
            <w:shd w:fill="EEF2F7" w:val="clear"/>
          </w:tcPr>
          <w:p>
            <w:r>
              <w:rPr>
                <w:b/>
                <w:sz w:val="15"/>
              </w:rPr>
              <w:t>Durée stockage</w:t>
            </w:r>
          </w:p>
        </w:tc>
        <w:tc>
          <w:tcPr>
            <w:tcW w:type="dxa" w:w="1984"/>
            <w:shd w:fill="C6EFCE" w:val="clear"/>
          </w:tcPr>
          <w:p>
            <w:r>
              <w:rPr>
                <w:b/>
                <w:color w:val="007800"/>
                <w:sz w:val="17"/>
              </w:rPr>
              <w:t>7.5 j</w:t>
            </w:r>
          </w:p>
        </w:tc>
        <w:tc>
          <w:tcPr>
            <w:tcW w:type="dxa" w:w="5669"/>
            <w:shd w:fill="FFFFFF" w:val="clear"/>
          </w:tcPr>
          <w:p>
            <w:r>
              <w:rPr>
                <w:sz w:val="15"/>
              </w:rPr>
              <w:t>✅ Stock écoulé en 7 jours — rotation excellente, capital peu immobilisé.</w:t>
            </w:r>
          </w:p>
        </w:tc>
      </w:tr>
    </w:tbl>
    <w:p/>
    <w:p>
      <w:pPr>
        <w:spacing w:before="160"/>
      </w:pPr>
      <w:r>
        <w:rPr>
          <w:b/>
          <w:color w:val="003366"/>
          <w:sz w:val="20"/>
        </w:rPr>
        <w:t xml:space="preserve">▶ SMBC — SMBC - Société Multinationale de Bitumes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30.47%</w:t>
            </w:r>
          </w:p>
        </w:tc>
        <w:tc>
          <w:tcPr>
            <w:tcW w:type="dxa" w:w="5669"/>
            <w:shd w:fill="FFFFFF" w:val="clear"/>
          </w:tcPr>
          <w:p>
            <w:r>
              <w:rPr>
                <w:sz w:val="15"/>
              </w:rPr>
              <w:t>✅ ROE de 30.5%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7.26%</w:t>
            </w:r>
          </w:p>
        </w:tc>
        <w:tc>
          <w:tcPr>
            <w:tcW w:type="dxa" w:w="5669"/>
            <w:shd w:fill="FFFFFF" w:val="clear"/>
          </w:tcPr>
          <w:p>
            <w:r>
              <w:rPr>
                <w:sz w:val="15"/>
              </w:rPr>
              <w:t>✅ ROA de 7.26%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6.32%</w:t>
            </w:r>
          </w:p>
        </w:tc>
        <w:tc>
          <w:tcPr>
            <w:tcW w:type="dxa" w:w="5669"/>
            <w:shd w:fill="FFFFFF" w:val="clear"/>
          </w:tcPr>
          <w:p>
            <w:r>
              <w:rPr>
                <w:sz w:val="15"/>
              </w:rPr>
              <w:t>✅ Marge nette de 6.3%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13.075 Mds FCFA</w:t>
            </w:r>
          </w:p>
        </w:tc>
        <w:tc>
          <w:tcPr>
            <w:tcW w:type="dxa" w:w="5669"/>
            <w:shd w:fill="FFFFFF" w:val="clear"/>
          </w:tcPr>
          <w:p>
            <w:r>
              <w:rPr>
                <w:sz w:val="15"/>
              </w:rPr>
              <w:t>✅ Résultat net positif de 13.075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-9.74%</w:t>
            </w:r>
          </w:p>
        </w:tc>
        <w:tc>
          <w:tcPr>
            <w:tcW w:type="dxa" w:w="5669"/>
            <w:shd w:fill="FFFFFF" w:val="clear"/>
          </w:tcPr>
          <w:p>
            <w:r>
              <w:rPr>
                <w:sz w:val="15"/>
              </w:rPr>
              <w:t>❌ Recul marqué de 9.7% — perte de revenus significative, signal d'alerte fort.</w:t>
            </w:r>
          </w:p>
        </w:tc>
      </w:tr>
      <w:tr>
        <w:tc>
          <w:tcPr>
            <w:tcW w:type="dxa" w:w="2268"/>
            <w:shd w:fill="EEF2F7" w:val="clear"/>
          </w:tcPr>
          <w:p>
            <w:r>
              <w:rPr>
                <w:b/>
                <w:sz w:val="15"/>
              </w:rPr>
              <w:t>Autonomie financière</w:t>
            </w:r>
          </w:p>
        </w:tc>
        <w:tc>
          <w:tcPr>
            <w:tcW w:type="dxa" w:w="1984"/>
            <w:shd w:fill="C6EFCE" w:val="clear"/>
          </w:tcPr>
          <w:p>
            <w:r>
              <w:rPr>
                <w:b/>
                <w:color w:val="007800"/>
                <w:sz w:val="17"/>
              </w:rPr>
              <w:t>23.84%</w:t>
            </w:r>
          </w:p>
        </w:tc>
        <w:tc>
          <w:tcPr>
            <w:tcW w:type="dxa" w:w="5669"/>
            <w:shd w:fill="FFFFFF" w:val="clear"/>
          </w:tcPr>
          <w:p>
            <w:r>
              <w:rPr>
                <w:sz w:val="15"/>
              </w:rPr>
              <w:t>✅ Autonomie financière correcte (23.8%)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76.16%</w:t>
            </w:r>
          </w:p>
        </w:tc>
        <w:tc>
          <w:tcPr>
            <w:tcW w:type="dxa" w:w="5669"/>
            <w:shd w:fill="FFFFFF" w:val="clear"/>
          </w:tcPr>
          <w:p>
            <w:r>
              <w:rPr>
                <w:sz w:val="15"/>
              </w:rPr>
              <w:t>✅ Gearing de 76%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131.30%</w:t>
            </w:r>
          </w:p>
        </w:tc>
        <w:tc>
          <w:tcPr>
            <w:tcW w:type="dxa" w:w="5669"/>
            <w:shd w:fill="FFFFFF" w:val="clear"/>
          </w:tcPr>
          <w:p>
            <w:r>
              <w:rPr>
                <w:sz w:val="15"/>
              </w:rPr>
              <w:t>✅ Solvabilité satisfaisante (131%)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120.18%</w:t>
            </w:r>
          </w:p>
        </w:tc>
        <w:tc>
          <w:tcPr>
            <w:tcW w:type="dxa" w:w="5669"/>
            <w:shd w:fill="FFFFFF" w:val="clear"/>
          </w:tcPr>
          <w:p>
            <w:r>
              <w:rPr>
                <w:sz w:val="15"/>
              </w:rPr>
              <w:t>✅ Liquidité générale de 120.18x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20.642 Mds FCFA</w:t>
            </w:r>
          </w:p>
        </w:tc>
        <w:tc>
          <w:tcPr>
            <w:tcW w:type="dxa" w:w="5669"/>
            <w:shd w:fill="FFFFFF" w:val="clear"/>
          </w:tcPr>
          <w:p>
            <w:r>
              <w:rPr>
                <w:sz w:val="15"/>
              </w:rPr>
              <w:t>✅ FCF positif de 20.642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8.62%</w:t>
            </w:r>
          </w:p>
        </w:tc>
        <w:tc>
          <w:tcPr>
            <w:tcW w:type="dxa" w:w="5669"/>
            <w:shd w:fill="FFFFFF" w:val="clear"/>
          </w:tcPr>
          <w:p>
            <w:r>
              <w:rPr>
                <w:sz w:val="15"/>
              </w:rPr>
              <w:t>✅ Marge opérationnelle correcte (8.6%).</w:t>
            </w:r>
          </w:p>
        </w:tc>
      </w:tr>
      <w:tr>
        <w:tc>
          <w:tcPr>
            <w:tcW w:type="dxa" w:w="2268"/>
            <w:shd w:fill="EEF2F7" w:val="clear"/>
          </w:tcPr>
          <w:p>
            <w:r>
              <w:rPr>
                <w:b/>
                <w:sz w:val="15"/>
              </w:rPr>
              <w:t>Délai clients</w:t>
            </w:r>
          </w:p>
        </w:tc>
        <w:tc>
          <w:tcPr>
            <w:tcW w:type="dxa" w:w="1984"/>
            <w:shd w:fill="FFC7CE" w:val="clear"/>
          </w:tcPr>
          <w:p>
            <w:r>
              <w:rPr>
                <w:b/>
                <w:color w:val="007800"/>
                <w:sz w:val="17"/>
              </w:rPr>
              <w:t>193.8 j</w:t>
            </w:r>
          </w:p>
        </w:tc>
        <w:tc>
          <w:tcPr>
            <w:tcW w:type="dxa" w:w="5669"/>
            <w:shd w:fill="FFFFFF" w:val="clear"/>
          </w:tcPr>
          <w:p>
            <w:r>
              <w:rPr>
                <w:sz w:val="15"/>
              </w:rPr>
              <w:t>❌ Délai critique de 194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38.1 j</w:t>
            </w:r>
          </w:p>
        </w:tc>
        <w:tc>
          <w:tcPr>
            <w:tcW w:type="dxa" w:w="5669"/>
            <w:shd w:fill="FFFFFF" w:val="clear"/>
          </w:tcPr>
          <w:p>
            <w:r>
              <w:rPr>
                <w:sz w:val="15"/>
              </w:rPr>
              <w:t>✅ Durée de stockage standard (38 jours).</w:t>
            </w:r>
          </w:p>
        </w:tc>
      </w:tr>
    </w:tbl>
    <w:p/>
    <w:p>
      <w:pPr>
        <w:spacing w:before="160"/>
      </w:pPr>
      <w:r>
        <w:rPr>
          <w:b/>
          <w:color w:val="003366"/>
          <w:sz w:val="20"/>
        </w:rPr>
        <w:t xml:space="preserve">▶ TTLC — TTLC - TOTAL ENERGIES MARKETING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25.10%</w:t>
            </w:r>
          </w:p>
        </w:tc>
        <w:tc>
          <w:tcPr>
            <w:tcW w:type="dxa" w:w="5669"/>
            <w:shd w:fill="FFFFFF" w:val="clear"/>
          </w:tcPr>
          <w:p>
            <w:r>
              <w:rPr>
                <w:sz w:val="15"/>
              </w:rPr>
              <w:t>✅ ROE de 25.1%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4.82%</w:t>
            </w:r>
          </w:p>
        </w:tc>
        <w:tc>
          <w:tcPr>
            <w:tcW w:type="dxa" w:w="5669"/>
            <w:shd w:fill="FFFFFF" w:val="clear"/>
          </w:tcPr>
          <w:p>
            <w:r>
              <w:rPr>
                <w:sz w:val="15"/>
              </w:rPr>
              <w:t>⚠️ ROA de 4.82%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1.54%</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9.087 Mds FCFA</w:t>
            </w:r>
          </w:p>
        </w:tc>
        <w:tc>
          <w:tcPr>
            <w:tcW w:type="dxa" w:w="5669"/>
            <w:shd w:fill="FFFFFF" w:val="clear"/>
          </w:tcPr>
          <w:p>
            <w:r>
              <w:rPr>
                <w:sz w:val="15"/>
              </w:rPr>
              <w:t>✅ Résultat net positif de 9.087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-5.21%</w:t>
            </w:r>
          </w:p>
        </w:tc>
        <w:tc>
          <w:tcPr>
            <w:tcW w:type="dxa" w:w="5669"/>
            <w:shd w:fill="FFFFFF" w:val="clear"/>
          </w:tcPr>
          <w:p>
            <w:r>
              <w:rPr>
                <w:sz w:val="15"/>
              </w:rPr>
              <w:t>❌ Recul marqué de 5.2%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19.21%</w:t>
            </w:r>
          </w:p>
        </w:tc>
        <w:tc>
          <w:tcPr>
            <w:tcW w:type="dxa" w:w="5669"/>
            <w:shd w:fill="FFFFFF" w:val="clear"/>
          </w:tcPr>
          <w:p>
            <w:r>
              <w:rPr>
                <w:sz w:val="15"/>
              </w:rPr>
              <w:t>⚠️ Autonomie limitée (19.2%)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90.23%</w:t>
            </w:r>
          </w:p>
        </w:tc>
        <w:tc>
          <w:tcPr>
            <w:tcW w:type="dxa" w:w="5669"/>
            <w:shd w:fill="FFFFFF" w:val="clear"/>
          </w:tcPr>
          <w:p>
            <w:r>
              <w:rPr>
                <w:sz w:val="15"/>
              </w:rPr>
              <w:t>✅ Gearing de 90%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123.77%</w:t>
            </w:r>
          </w:p>
        </w:tc>
        <w:tc>
          <w:tcPr>
            <w:tcW w:type="dxa" w:w="5669"/>
            <w:shd w:fill="FFFFFF" w:val="clear"/>
          </w:tcPr>
          <w:p>
            <w:r>
              <w:rPr>
                <w:sz w:val="15"/>
              </w:rPr>
              <w:t>✅ Solvabilité satisfaisante (124%)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78.77%</w:t>
            </w:r>
          </w:p>
        </w:tc>
        <w:tc>
          <w:tcPr>
            <w:tcW w:type="dxa" w:w="5669"/>
            <w:shd w:fill="FFFFFF" w:val="clear"/>
          </w:tcPr>
          <w:p>
            <w:r>
              <w:rPr>
                <w:sz w:val="15"/>
              </w:rPr>
              <w:t>❌ Liquidité insuffisante (78.77x)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72.00 M FCFA</w:t>
            </w:r>
          </w:p>
        </w:tc>
        <w:tc>
          <w:tcPr>
            <w:tcW w:type="dxa" w:w="5669"/>
            <w:shd w:fill="FFFFFF" w:val="clear"/>
          </w:tcPr>
          <w:p>
            <w:r>
              <w:rPr>
                <w:sz w:val="15"/>
              </w:rPr>
              <w:t>✅ FCF positif de 72.00 M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2.09%</w:t>
            </w:r>
          </w:p>
        </w:tc>
        <w:tc>
          <w:tcPr>
            <w:tcW w:type="dxa" w:w="5669"/>
            <w:shd w:fill="FFFFFF" w:val="clear"/>
          </w:tcPr>
          <w:p>
            <w:r>
              <w:rPr>
                <w:sz w:val="15"/>
              </w:rPr>
              <w:t>⚠️ Marge opérationnelle faible (2.1%) — l'exploitation laisse peu de bénéfice avant charges financières.</w:t>
            </w:r>
          </w:p>
        </w:tc>
      </w:tr>
      <w:tr>
        <w:tc>
          <w:tcPr>
            <w:tcW w:type="dxa" w:w="2268"/>
            <w:shd w:fill="EEF2F7" w:val="clear"/>
          </w:tcPr>
          <w:p>
            <w:r>
              <w:rPr>
                <w:b/>
                <w:sz w:val="15"/>
              </w:rPr>
              <w:t>Durée stockage</w:t>
            </w:r>
          </w:p>
        </w:tc>
        <w:tc>
          <w:tcPr>
            <w:tcW w:type="dxa" w:w="1984"/>
            <w:shd w:fill="C6EFCE" w:val="clear"/>
          </w:tcPr>
          <w:p>
            <w:r>
              <w:rPr>
                <w:b/>
                <w:color w:val="007800"/>
                <w:sz w:val="17"/>
              </w:rPr>
              <w:t>13.8 j</w:t>
            </w:r>
          </w:p>
        </w:tc>
        <w:tc>
          <w:tcPr>
            <w:tcW w:type="dxa" w:w="5669"/>
            <w:shd w:fill="FFFFFF" w:val="clear"/>
          </w:tcPr>
          <w:p>
            <w:r>
              <w:rPr>
                <w:sz w:val="15"/>
              </w:rPr>
              <w:t>✅ Stock écoulé en 14 jours — rotation excellente, capital peu immobilisé.</w:t>
            </w:r>
          </w:p>
        </w:tc>
      </w:tr>
    </w:tbl>
    <w:p/>
    <w:p>
      <w:pPr>
        <w:spacing w:before="160"/>
      </w:pPr>
      <w:r>
        <w:rPr>
          <w:b/>
          <w:color w:val="003366"/>
          <w:sz w:val="20"/>
        </w:rPr>
        <w:t xml:space="preserve">▶ TTLS — TTLS - TOTAL ENERGIES MARKETING SENEGAL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24.01%</w:t>
            </w:r>
          </w:p>
        </w:tc>
        <w:tc>
          <w:tcPr>
            <w:tcW w:type="dxa" w:w="5669"/>
            <w:shd w:fill="FFFFFF" w:val="clear"/>
          </w:tcPr>
          <w:p>
            <w:r>
              <w:rPr>
                <w:sz w:val="15"/>
              </w:rPr>
              <w:t>✅ ROE de 24.0%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3.95%</w:t>
            </w:r>
          </w:p>
        </w:tc>
        <w:tc>
          <w:tcPr>
            <w:tcW w:type="dxa" w:w="5669"/>
            <w:shd w:fill="FFFFFF" w:val="clear"/>
          </w:tcPr>
          <w:p>
            <w:r>
              <w:rPr>
                <w:sz w:val="15"/>
              </w:rPr>
              <w:t>⚠️ ROA de 3.95%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1.49%</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6.779 Mds FCFA</w:t>
            </w:r>
          </w:p>
        </w:tc>
        <w:tc>
          <w:tcPr>
            <w:tcW w:type="dxa" w:w="5669"/>
            <w:shd w:fill="FFFFFF" w:val="clear"/>
          </w:tcPr>
          <w:p>
            <w:r>
              <w:rPr>
                <w:sz w:val="15"/>
              </w:rPr>
              <w:t>✅ Résultat net positif de 6.779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C7CE" w:val="clear"/>
          </w:tcPr>
          <w:p>
            <w:r>
              <w:rPr>
                <w:b/>
                <w:color w:val="B40000"/>
                <w:sz w:val="17"/>
              </w:rPr>
              <w:t>-6.13%</w:t>
            </w:r>
          </w:p>
        </w:tc>
        <w:tc>
          <w:tcPr>
            <w:tcW w:type="dxa" w:w="5669"/>
            <w:shd w:fill="FFFFFF" w:val="clear"/>
          </w:tcPr>
          <w:p>
            <w:r>
              <w:rPr>
                <w:sz w:val="15"/>
              </w:rPr>
              <w:t>❌ Recul marqué de 6.1% — perte de revenus significative, signal d'alerte fort.</w:t>
            </w:r>
          </w:p>
        </w:tc>
      </w:tr>
      <w:tr>
        <w:tc>
          <w:tcPr>
            <w:tcW w:type="dxa" w:w="2268"/>
            <w:shd w:fill="EEF2F7" w:val="clear"/>
          </w:tcPr>
          <w:p>
            <w:r>
              <w:rPr>
                <w:b/>
                <w:sz w:val="15"/>
              </w:rPr>
              <w:t>Autonomie financière</w:t>
            </w:r>
          </w:p>
        </w:tc>
        <w:tc>
          <w:tcPr>
            <w:tcW w:type="dxa" w:w="1984"/>
            <w:shd w:fill="FFEB9C" w:val="clear"/>
          </w:tcPr>
          <w:p>
            <w:r>
              <w:rPr>
                <w:b/>
                <w:color w:val="007800"/>
                <w:sz w:val="17"/>
              </w:rPr>
              <w:t>16.44%</w:t>
            </w:r>
          </w:p>
        </w:tc>
        <w:tc>
          <w:tcPr>
            <w:tcW w:type="dxa" w:w="5669"/>
            <w:shd w:fill="FFFFFF" w:val="clear"/>
          </w:tcPr>
          <w:p>
            <w:r>
              <w:rPr>
                <w:sz w:val="15"/>
              </w:rPr>
              <w:t>⚠️ Autonomie limitée (16.4%)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52.16%</w:t>
            </w:r>
          </w:p>
        </w:tc>
        <w:tc>
          <w:tcPr>
            <w:tcW w:type="dxa" w:w="5669"/>
            <w:shd w:fill="FFFFFF" w:val="clear"/>
          </w:tcPr>
          <w:p>
            <w:r>
              <w:rPr>
                <w:sz w:val="15"/>
              </w:rPr>
              <w:t>✅ Gearing de 52%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119.67%</w:t>
            </w:r>
          </w:p>
        </w:tc>
        <w:tc>
          <w:tcPr>
            <w:tcW w:type="dxa" w:w="5669"/>
            <w:shd w:fill="FFFFFF" w:val="clear"/>
          </w:tcPr>
          <w:p>
            <w:r>
              <w:rPr>
                <w:sz w:val="15"/>
              </w:rPr>
              <w:t>⚠️ Solvabilité limite (120%)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93.50%</w:t>
            </w:r>
          </w:p>
        </w:tc>
        <w:tc>
          <w:tcPr>
            <w:tcW w:type="dxa" w:w="5669"/>
            <w:shd w:fill="FFFFFF" w:val="clear"/>
          </w:tcPr>
          <w:p>
            <w:r>
              <w:rPr>
                <w:sz w:val="15"/>
              </w:rPr>
              <w:t>❌ Liquidité insuffisante (93.50x)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17.483 Mds FCFA</w:t>
            </w:r>
          </w:p>
        </w:tc>
        <w:tc>
          <w:tcPr>
            <w:tcW w:type="dxa" w:w="5669"/>
            <w:shd w:fill="FFFFFF" w:val="clear"/>
          </w:tcPr>
          <w:p>
            <w:r>
              <w:rPr>
                <w:sz w:val="15"/>
              </w:rPr>
              <w:t>✅ FCF positif de 17.483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1.91%</w:t>
            </w:r>
          </w:p>
        </w:tc>
        <w:tc>
          <w:tcPr>
            <w:tcW w:type="dxa" w:w="5669"/>
            <w:shd w:fill="FFFFFF" w:val="clear"/>
          </w:tcPr>
          <w:p>
            <w:r>
              <w:rPr>
                <w:sz w:val="15"/>
              </w:rPr>
              <w:t>⚠️ Marge opérationnelle faible (1.9%) — l'exploitation laisse peu de bénéfice avant charges financières.</w:t>
            </w:r>
          </w:p>
        </w:tc>
      </w:tr>
      <w:tr>
        <w:tc>
          <w:tcPr>
            <w:tcW w:type="dxa" w:w="2268"/>
            <w:shd w:fill="EEF2F7" w:val="clear"/>
          </w:tcPr>
          <w:p>
            <w:r>
              <w:rPr>
                <w:b/>
                <w:sz w:val="15"/>
              </w:rPr>
              <w:t>Délai clients</w:t>
            </w:r>
          </w:p>
        </w:tc>
        <w:tc>
          <w:tcPr>
            <w:tcW w:type="dxa" w:w="1984"/>
            <w:shd w:fill="C6EFCE" w:val="clear"/>
          </w:tcPr>
          <w:p>
            <w:r>
              <w:rPr>
                <w:b/>
                <w:color w:val="007800"/>
                <w:sz w:val="17"/>
              </w:rPr>
              <w:t>47.4 j</w:t>
            </w:r>
          </w:p>
        </w:tc>
        <w:tc>
          <w:tcPr>
            <w:tcW w:type="dxa" w:w="5669"/>
            <w:shd w:fill="FFFFFF" w:val="clear"/>
          </w:tcPr>
          <w:p>
            <w:r>
              <w:rPr>
                <w:sz w:val="15"/>
              </w:rPr>
              <w:t>✅ Délai standard (47 jours) — dans les normes commerciales habituelles.</w:t>
            </w:r>
          </w:p>
        </w:tc>
      </w:tr>
      <w:tr>
        <w:tc>
          <w:tcPr>
            <w:tcW w:type="dxa" w:w="2268"/>
            <w:shd w:fill="EEF2F7" w:val="clear"/>
          </w:tcPr>
          <w:p>
            <w:r>
              <w:rPr>
                <w:b/>
                <w:sz w:val="15"/>
              </w:rPr>
              <w:t>Durée stockage</w:t>
            </w:r>
          </w:p>
        </w:tc>
        <w:tc>
          <w:tcPr>
            <w:tcW w:type="dxa" w:w="1984"/>
            <w:shd w:fill="C6EFCE" w:val="clear"/>
          </w:tcPr>
          <w:p>
            <w:r>
              <w:rPr>
                <w:b/>
                <w:color w:val="007800"/>
                <w:sz w:val="17"/>
              </w:rPr>
              <w:t>17.6 j</w:t>
            </w:r>
          </w:p>
        </w:tc>
        <w:tc>
          <w:tcPr>
            <w:tcW w:type="dxa" w:w="5669"/>
            <w:shd w:fill="FFFFFF" w:val="clear"/>
          </w:tcPr>
          <w:p>
            <w:r>
              <w:rPr>
                <w:sz w:val="15"/>
              </w:rPr>
              <w:t>✅ Stock écoulé en 18 jours — rotation excellente, capital peu immobilisé.</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SMBC</w:t>
            </w:r>
          </w:p>
        </w:tc>
        <w:tc>
          <w:tcPr>
            <w:tcW w:type="dxa" w:w="1728"/>
            <w:shd w:fill="C6EFCE" w:val="clear"/>
          </w:tcPr>
          <w:p>
            <w:r>
              <w:rPr>
                <w:color w:val="006400"/>
                <w:sz w:val="16"/>
              </w:rPr>
              <w:t>30.47%</w:t>
            </w:r>
          </w:p>
        </w:tc>
        <w:tc>
          <w:tcPr>
            <w:tcW w:type="dxa" w:w="1728"/>
            <w:shd w:fill="FFC7CE" w:val="clear"/>
          </w:tcPr>
          <w:p>
            <w:r>
              <w:rPr>
                <w:b/>
                <w:color w:val="B40000"/>
                <w:sz w:val="16"/>
              </w:rPr>
              <w:t>SHEC</w:t>
            </w:r>
          </w:p>
        </w:tc>
        <w:tc>
          <w:tcPr>
            <w:tcW w:type="dxa" w:w="1728"/>
            <w:shd w:fill="FFC7CE" w:val="clear"/>
          </w:tcPr>
          <w:p>
            <w:r>
              <w:rPr>
                <w:color w:val="B40000"/>
                <w:sz w:val="16"/>
              </w:rPr>
              <w:t>22.20%</w:t>
            </w:r>
          </w:p>
        </w:tc>
      </w:tr>
      <w:tr>
        <w:tc>
          <w:tcPr>
            <w:tcW w:type="dxa" w:w="1728"/>
            <w:shd w:fill="EEF2F7" w:val="clear"/>
          </w:tcPr>
          <w:p>
            <w:r>
              <w:rPr>
                <w:b/>
                <w:sz w:val="16"/>
              </w:rPr>
              <w:t>Marge nette</w:t>
            </w:r>
          </w:p>
        </w:tc>
        <w:tc>
          <w:tcPr>
            <w:tcW w:type="dxa" w:w="1728"/>
            <w:shd w:fill="C6EFCE" w:val="clear"/>
          </w:tcPr>
          <w:p>
            <w:r>
              <w:rPr>
                <w:b/>
                <w:color w:val="006400"/>
                <w:sz w:val="16"/>
              </w:rPr>
              <w:t>SMBC</w:t>
            </w:r>
          </w:p>
        </w:tc>
        <w:tc>
          <w:tcPr>
            <w:tcW w:type="dxa" w:w="1728"/>
            <w:shd w:fill="C6EFCE" w:val="clear"/>
          </w:tcPr>
          <w:p>
            <w:r>
              <w:rPr>
                <w:color w:val="006400"/>
                <w:sz w:val="16"/>
              </w:rPr>
              <w:t>6.32%</w:t>
            </w:r>
          </w:p>
        </w:tc>
        <w:tc>
          <w:tcPr>
            <w:tcW w:type="dxa" w:w="1728"/>
            <w:shd w:fill="FFC7CE" w:val="clear"/>
          </w:tcPr>
          <w:p>
            <w:r>
              <w:rPr>
                <w:b/>
                <w:color w:val="B40000"/>
                <w:sz w:val="16"/>
              </w:rPr>
              <w:t>SHEC</w:t>
            </w:r>
          </w:p>
        </w:tc>
        <w:tc>
          <w:tcPr>
            <w:tcW w:type="dxa" w:w="1728"/>
            <w:shd w:fill="FFC7CE" w:val="clear"/>
          </w:tcPr>
          <w:p>
            <w:r>
              <w:rPr>
                <w:color w:val="B40000"/>
                <w:sz w:val="16"/>
              </w:rPr>
              <w:t>1.00%</w:t>
            </w:r>
          </w:p>
        </w:tc>
      </w:tr>
      <w:tr>
        <w:tc>
          <w:tcPr>
            <w:tcW w:type="dxa" w:w="1728"/>
            <w:shd w:fill="EEF2F7" w:val="clear"/>
          </w:tcPr>
          <w:p>
            <w:r>
              <w:rPr>
                <w:b/>
                <w:sz w:val="16"/>
              </w:rPr>
              <w:t>Croissance CA/PNB</w:t>
            </w:r>
          </w:p>
        </w:tc>
        <w:tc>
          <w:tcPr>
            <w:tcW w:type="dxa" w:w="1728"/>
            <w:shd w:fill="C6EFCE" w:val="clear"/>
          </w:tcPr>
          <w:p>
            <w:r>
              <w:rPr>
                <w:b/>
                <w:color w:val="006400"/>
                <w:sz w:val="16"/>
              </w:rPr>
              <w:t>SHEC</w:t>
            </w:r>
          </w:p>
        </w:tc>
        <w:tc>
          <w:tcPr>
            <w:tcW w:type="dxa" w:w="1728"/>
            <w:shd w:fill="C6EFCE" w:val="clear"/>
          </w:tcPr>
          <w:p>
            <w:r>
              <w:rPr>
                <w:color w:val="006400"/>
                <w:sz w:val="16"/>
              </w:rPr>
              <w:t>0.71%</w:t>
            </w:r>
          </w:p>
        </w:tc>
        <w:tc>
          <w:tcPr>
            <w:tcW w:type="dxa" w:w="1728"/>
            <w:shd w:fill="FFC7CE" w:val="clear"/>
          </w:tcPr>
          <w:p>
            <w:r>
              <w:rPr>
                <w:b/>
                <w:color w:val="B40000"/>
                <w:sz w:val="16"/>
              </w:rPr>
              <w:t>SMBC</w:t>
            </w:r>
          </w:p>
        </w:tc>
        <w:tc>
          <w:tcPr>
            <w:tcW w:type="dxa" w:w="1728"/>
            <w:shd w:fill="FFC7CE" w:val="clear"/>
          </w:tcPr>
          <w:p>
            <w:r>
              <w:rPr>
                <w:color w:val="B40000"/>
                <w:sz w:val="16"/>
              </w:rPr>
              <w:t>-9.74%</w:t>
            </w:r>
          </w:p>
        </w:tc>
      </w:tr>
      <w:tr>
        <w:tc>
          <w:tcPr>
            <w:tcW w:type="dxa" w:w="1728"/>
            <w:shd w:fill="EEF2F7" w:val="clear"/>
          </w:tcPr>
          <w:p>
            <w:r>
              <w:rPr>
                <w:b/>
                <w:sz w:val="16"/>
              </w:rPr>
              <w:t>Autonomie fin.</w:t>
            </w:r>
          </w:p>
        </w:tc>
        <w:tc>
          <w:tcPr>
            <w:tcW w:type="dxa" w:w="1728"/>
            <w:shd w:fill="C6EFCE" w:val="clear"/>
          </w:tcPr>
          <w:p>
            <w:r>
              <w:rPr>
                <w:b/>
                <w:color w:val="006400"/>
                <w:sz w:val="16"/>
              </w:rPr>
              <w:t>SMBC</w:t>
            </w:r>
          </w:p>
        </w:tc>
        <w:tc>
          <w:tcPr>
            <w:tcW w:type="dxa" w:w="1728"/>
            <w:shd w:fill="C6EFCE" w:val="clear"/>
          </w:tcPr>
          <w:p>
            <w:r>
              <w:rPr>
                <w:color w:val="006400"/>
                <w:sz w:val="16"/>
              </w:rPr>
              <w:t>23.84%</w:t>
            </w:r>
          </w:p>
        </w:tc>
        <w:tc>
          <w:tcPr>
            <w:tcW w:type="dxa" w:w="1728"/>
            <w:shd w:fill="FFC7CE" w:val="clear"/>
          </w:tcPr>
          <w:p>
            <w:r>
              <w:rPr>
                <w:b/>
                <w:color w:val="B40000"/>
                <w:sz w:val="16"/>
              </w:rPr>
              <w:t>SHEC</w:t>
            </w:r>
          </w:p>
        </w:tc>
        <w:tc>
          <w:tcPr>
            <w:tcW w:type="dxa" w:w="1728"/>
            <w:shd w:fill="FFC7CE" w:val="clear"/>
          </w:tcPr>
          <w:p>
            <w:r>
              <w:rPr>
                <w:color w:val="B40000"/>
                <w:sz w:val="16"/>
              </w:rPr>
              <w:t>14.03%</w:t>
            </w:r>
          </w:p>
        </w:tc>
      </w:tr>
      <w:tr>
        <w:tc>
          <w:tcPr>
            <w:tcW w:type="dxa" w:w="1728"/>
            <w:shd w:fill="EEF2F7" w:val="clear"/>
          </w:tcPr>
          <w:p>
            <w:r>
              <w:rPr>
                <w:b/>
                <w:sz w:val="16"/>
              </w:rPr>
              <w:t>Liquidité gén.</w:t>
            </w:r>
          </w:p>
        </w:tc>
        <w:tc>
          <w:tcPr>
            <w:tcW w:type="dxa" w:w="1728"/>
            <w:shd w:fill="C6EFCE" w:val="clear"/>
          </w:tcPr>
          <w:p>
            <w:r>
              <w:rPr>
                <w:b/>
                <w:color w:val="006400"/>
                <w:sz w:val="16"/>
              </w:rPr>
              <w:t>SMBC</w:t>
            </w:r>
          </w:p>
        </w:tc>
        <w:tc>
          <w:tcPr>
            <w:tcW w:type="dxa" w:w="1728"/>
            <w:shd w:fill="C6EFCE" w:val="clear"/>
          </w:tcPr>
          <w:p>
            <w:r>
              <w:rPr>
                <w:color w:val="006400"/>
                <w:sz w:val="16"/>
              </w:rPr>
              <w:t>120.18%</w:t>
            </w:r>
          </w:p>
        </w:tc>
        <w:tc>
          <w:tcPr>
            <w:tcW w:type="dxa" w:w="1728"/>
            <w:shd w:fill="FFC7CE" w:val="clear"/>
          </w:tcPr>
          <w:p>
            <w:r>
              <w:rPr>
                <w:b/>
                <w:color w:val="B40000"/>
                <w:sz w:val="16"/>
              </w:rPr>
              <w:t>TTLC</w:t>
            </w:r>
          </w:p>
        </w:tc>
        <w:tc>
          <w:tcPr>
            <w:tcW w:type="dxa" w:w="1728"/>
            <w:shd w:fill="FFC7CE" w:val="clear"/>
          </w:tcPr>
          <w:p>
            <w:r>
              <w:rPr>
                <w:color w:val="B40000"/>
                <w:sz w:val="16"/>
              </w:rPr>
              <w:t>78.77%</w:t>
            </w:r>
          </w:p>
        </w:tc>
      </w:tr>
      <w:tr>
        <w:tc>
          <w:tcPr>
            <w:tcW w:type="dxa" w:w="1728"/>
            <w:shd w:fill="EEF2F7" w:val="clear"/>
          </w:tcPr>
          <w:p>
            <w:r>
              <w:rPr>
                <w:b/>
                <w:sz w:val="16"/>
              </w:rPr>
              <w:t>FCF</w:t>
            </w:r>
          </w:p>
        </w:tc>
        <w:tc>
          <w:tcPr>
            <w:tcW w:type="dxa" w:w="1728"/>
            <w:shd w:fill="C6EFCE" w:val="clear"/>
          </w:tcPr>
          <w:p>
            <w:r>
              <w:rPr>
                <w:b/>
                <w:color w:val="006400"/>
                <w:sz w:val="16"/>
              </w:rPr>
              <w:t>SMBC</w:t>
            </w:r>
          </w:p>
        </w:tc>
        <w:tc>
          <w:tcPr>
            <w:tcW w:type="dxa" w:w="1728"/>
            <w:shd w:fill="C6EFCE" w:val="clear"/>
          </w:tcPr>
          <w:p>
            <w:r>
              <w:rPr>
                <w:color w:val="006400"/>
                <w:sz w:val="16"/>
              </w:rPr>
              <w:t>20.642 Mds FCFA</w:t>
            </w:r>
          </w:p>
        </w:tc>
        <w:tc>
          <w:tcPr>
            <w:tcW w:type="dxa" w:w="1728"/>
            <w:shd w:fill="FFC7CE" w:val="clear"/>
          </w:tcPr>
          <w:p>
            <w:r>
              <w:rPr>
                <w:b/>
                <w:color w:val="B40000"/>
                <w:sz w:val="16"/>
              </w:rPr>
              <w:t>SHEC</w:t>
            </w:r>
          </w:p>
        </w:tc>
        <w:tc>
          <w:tcPr>
            <w:tcW w:type="dxa" w:w="1728"/>
            <w:shd w:fill="FFC7CE" w:val="clear"/>
          </w:tcPr>
          <w:p>
            <w:r>
              <w:rPr>
                <w:color w:val="B40000"/>
                <w:sz w:val="16"/>
              </w:rPr>
              <w:t>-1.538 Mds FCFA</w:t>
            </w:r>
          </w:p>
        </w:tc>
      </w:tr>
    </w:tbl>
    <w:p/>
    <w:p>
      <w:r>
        <w:br w:type="page"/>
      </w:r>
    </w:p>
    <w:p>
      <w:pPr>
        <w:pStyle w:val="Heading2"/>
      </w:pPr>
      <w:r>
        <w:rPr>
          <w:color w:val="003366"/>
        </w:rPr>
        <w:t>📂 Secteur : INDUSTRIELS</w:t>
      </w:r>
    </w:p>
    <w:p>
      <w:r>
        <w:rPr>
          <w:sz w:val="18"/>
        </w:rPr>
        <w:t>5 société(s) avec données financières sur 6 cotée(s) dans ce secteur. Exercice(s) analysé(s) : 2025, 2025, 2024, 2024, 2025.</w:t>
      </w:r>
    </w:p>
    <w:p/>
    <w:p>
      <w:pPr>
        <w:pStyle w:val="Heading3"/>
      </w:pPr>
      <w:r>
        <w:t>📊 Tableau comparatif des indicateurs clés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2551"/>
            <w:shd w:fill="1F4E79" w:val="clear"/>
          </w:tcPr>
          <w:p>
            <w:r>
              <w:rPr>
                <w:b/>
                <w:color w:val="FFFFFF"/>
                <w:sz w:val="16"/>
              </w:rPr>
              <w:t>Indicateur</w:t>
            </w:r>
          </w:p>
        </w:tc>
        <w:tc>
          <w:tcPr>
            <w:tcW w:type="dxa" w:w="1474"/>
            <w:shd w:fill="1F4E79" w:val="clear"/>
          </w:tcPr>
          <w:p>
            <w:r>
              <w:rPr>
                <w:b/>
                <w:color w:val="FFFFFF"/>
                <w:sz w:val="15"/>
              </w:rPr>
              <w:t>CABC (2025)</w:t>
            </w:r>
          </w:p>
        </w:tc>
        <w:tc>
          <w:tcPr>
            <w:tcW w:type="dxa" w:w="1474"/>
            <w:shd w:fill="1F4E79" w:val="clear"/>
          </w:tcPr>
          <w:p>
            <w:r>
              <w:rPr>
                <w:b/>
                <w:color w:val="FFFFFF"/>
                <w:sz w:val="15"/>
              </w:rPr>
              <w:t>FTSC (2025)</w:t>
            </w:r>
          </w:p>
        </w:tc>
        <w:tc>
          <w:tcPr>
            <w:tcW w:type="dxa" w:w="1474"/>
            <w:shd w:fill="1F4E79" w:val="clear"/>
          </w:tcPr>
          <w:p>
            <w:r>
              <w:rPr>
                <w:b/>
                <w:color w:val="FFFFFF"/>
                <w:sz w:val="15"/>
              </w:rPr>
              <w:t>SDSC (2024)</w:t>
            </w:r>
          </w:p>
        </w:tc>
        <w:tc>
          <w:tcPr>
            <w:tcW w:type="dxa" w:w="1474"/>
            <w:shd w:fill="1F4E79" w:val="clear"/>
          </w:tcPr>
          <w:p>
            <w:r>
              <w:rPr>
                <w:b/>
                <w:color w:val="FFFFFF"/>
                <w:sz w:val="15"/>
              </w:rPr>
              <w:t>SIVC (2024)</w:t>
            </w:r>
          </w:p>
        </w:tc>
        <w:tc>
          <w:tcPr>
            <w:tcW w:type="dxa" w:w="1474"/>
            <w:shd w:fill="1F4E79" w:val="clear"/>
          </w:tcPr>
          <w:p>
            <w:r>
              <w:rPr>
                <w:b/>
                <w:color w:val="FFFFFF"/>
                <w:sz w:val="15"/>
              </w:rPr>
              <w:t>STAC (2025)</w:t>
            </w:r>
          </w:p>
        </w:tc>
      </w:tr>
      <w:tr>
        <w:tc>
          <w:tcPr>
            <w:tcW w:type="dxa" w:w="2551"/>
            <w:shd w:fill="EEF2F7" w:val="clear"/>
          </w:tcPr>
          <w:p>
            <w:r>
              <w:rPr>
                <w:b/>
                <w:sz w:val="15"/>
              </w:rPr>
              <w:t>ROE</w:t>
            </w:r>
          </w:p>
        </w:tc>
        <w:tc>
          <w:tcPr>
            <w:tcW w:type="dxa" w:w="1474"/>
            <w:shd w:fill="FFFFFF" w:val="clear"/>
          </w:tcPr>
          <w:p>
            <w:r>
              <w:rPr>
                <w:b/>
                <w:color w:val="000000"/>
                <w:sz w:val="16"/>
              </w:rPr>
              <w:t>15.40%</w:t>
            </w:r>
          </w:p>
        </w:tc>
        <w:tc>
          <w:tcPr>
            <w:tcW w:type="dxa" w:w="1474"/>
            <w:shd w:fill="FFFFFF" w:val="clear"/>
          </w:tcPr>
          <w:p>
            <w:r>
              <w:rPr>
                <w:b/>
                <w:color w:val="000000"/>
                <w:sz w:val="16"/>
              </w:rPr>
              <w:t>2.97%</w:t>
            </w:r>
          </w:p>
        </w:tc>
        <w:tc>
          <w:tcPr>
            <w:tcW w:type="dxa" w:w="1474"/>
            <w:shd w:fill="C6EFCE" w:val="clear"/>
          </w:tcPr>
          <w:p>
            <w:r>
              <w:rPr>
                <w:b/>
                <w:color w:val="006400"/>
                <w:sz w:val="16"/>
              </w:rPr>
              <w:t>27.08%</w:t>
            </w:r>
          </w:p>
        </w:tc>
        <w:tc>
          <w:tcPr>
            <w:tcW w:type="dxa" w:w="1474"/>
            <w:shd w:fill="FFFFFF" w:val="clear"/>
          </w:tcPr>
          <w:p>
            <w:r>
              <w:rPr>
                <w:b/>
                <w:color w:val="000000"/>
                <w:sz w:val="16"/>
              </w:rPr>
              <w:t>11.52%</w:t>
            </w:r>
          </w:p>
        </w:tc>
        <w:tc>
          <w:tcPr>
            <w:tcW w:type="dxa" w:w="1474"/>
            <w:shd w:fill="FFC7CE" w:val="clear"/>
          </w:tcPr>
          <w:p>
            <w:r>
              <w:rPr>
                <w:b/>
                <w:color w:val="B40000"/>
                <w:sz w:val="16"/>
              </w:rPr>
              <w:t>-27.07%</w:t>
            </w:r>
          </w:p>
        </w:tc>
      </w:tr>
      <w:tr>
        <w:tc>
          <w:tcPr>
            <w:tcW w:type="dxa" w:w="2551"/>
            <w:shd w:fill="EEF2F7" w:val="clear"/>
          </w:tcPr>
          <w:p>
            <w:r>
              <w:rPr>
                <w:b/>
                <w:sz w:val="15"/>
              </w:rPr>
              <w:t>ROA</w:t>
            </w:r>
          </w:p>
        </w:tc>
        <w:tc>
          <w:tcPr>
            <w:tcW w:type="dxa" w:w="1474"/>
            <w:shd w:fill="FFFFFF" w:val="clear"/>
          </w:tcPr>
          <w:p>
            <w:r>
              <w:rPr>
                <w:b/>
                <w:color w:val="000000"/>
                <w:sz w:val="16"/>
              </w:rPr>
              <w:t>6.10%</w:t>
            </w:r>
          </w:p>
        </w:tc>
        <w:tc>
          <w:tcPr>
            <w:tcW w:type="dxa" w:w="1474"/>
            <w:shd w:fill="FFFFFF" w:val="clear"/>
          </w:tcPr>
          <w:p>
            <w:r>
              <w:rPr>
                <w:b/>
                <w:color w:val="000000"/>
                <w:sz w:val="16"/>
              </w:rPr>
              <w:t>1.19%</w:t>
            </w:r>
          </w:p>
        </w:tc>
        <w:tc>
          <w:tcPr>
            <w:tcW w:type="dxa" w:w="1474"/>
            <w:shd w:fill="C6EFCE" w:val="clear"/>
          </w:tcPr>
          <w:p>
            <w:r>
              <w:rPr>
                <w:b/>
                <w:color w:val="006400"/>
                <w:sz w:val="16"/>
              </w:rPr>
              <w:t>11.20%</w:t>
            </w:r>
          </w:p>
        </w:tc>
        <w:tc>
          <w:tcPr>
            <w:tcW w:type="dxa" w:w="1474"/>
            <w:shd w:fill="FFFFFF" w:val="clear"/>
          </w:tcPr>
          <w:p>
            <w:r>
              <w:rPr>
                <w:b/>
                <w:color w:val="000000"/>
                <w:sz w:val="16"/>
              </w:rPr>
              <w:t>2.69%</w:t>
            </w:r>
          </w:p>
        </w:tc>
        <w:tc>
          <w:tcPr>
            <w:tcW w:type="dxa" w:w="1474"/>
            <w:shd w:fill="FFC7CE" w:val="clear"/>
          </w:tcPr>
          <w:p>
            <w:r>
              <w:rPr>
                <w:b/>
                <w:color w:val="B40000"/>
                <w:sz w:val="16"/>
              </w:rPr>
              <w:t>-1.77%</w:t>
            </w:r>
          </w:p>
        </w:tc>
      </w:tr>
      <w:tr>
        <w:tc>
          <w:tcPr>
            <w:tcW w:type="dxa" w:w="2551"/>
            <w:shd w:fill="EEF2F7" w:val="clear"/>
          </w:tcPr>
          <w:p>
            <w:r>
              <w:rPr>
                <w:b/>
                <w:sz w:val="15"/>
              </w:rPr>
              <w:t>Marge nette</w:t>
            </w:r>
          </w:p>
        </w:tc>
        <w:tc>
          <w:tcPr>
            <w:tcW w:type="dxa" w:w="1474"/>
            <w:shd w:fill="FFFFFF" w:val="clear"/>
          </w:tcPr>
          <w:p>
            <w:r>
              <w:rPr>
                <w:b/>
                <w:color w:val="000000"/>
                <w:sz w:val="16"/>
              </w:rPr>
              <w:t>6.77%</w:t>
            </w:r>
          </w:p>
        </w:tc>
        <w:tc>
          <w:tcPr>
            <w:tcW w:type="dxa" w:w="1474"/>
            <w:shd w:fill="FFFFFF" w:val="clear"/>
          </w:tcPr>
          <w:p>
            <w:r>
              <w:rPr>
                <w:b/>
                <w:color w:val="000000"/>
                <w:sz w:val="16"/>
              </w:rPr>
              <w:t>1.45%</w:t>
            </w:r>
          </w:p>
        </w:tc>
        <w:tc>
          <w:tcPr>
            <w:tcW w:type="dxa" w:w="1474"/>
            <w:shd w:fill="C6EFCE" w:val="clear"/>
          </w:tcPr>
          <w:p>
            <w:r>
              <w:rPr>
                <w:b/>
                <w:color w:val="006400"/>
                <w:sz w:val="16"/>
              </w:rPr>
              <w:t>24.60%</w:t>
            </w:r>
          </w:p>
        </w:tc>
        <w:tc>
          <w:tcPr>
            <w:tcW w:type="dxa" w:w="1474"/>
            <w:shd w:fill="FFFFFF" w:val="clear"/>
          </w:tcPr>
          <w:p>
            <w:r>
              <w:rPr>
                <w:b/>
                <w:color w:val="000000"/>
                <w:sz w:val="16"/>
              </w:rPr>
              <w:t>4.06%</w:t>
            </w:r>
          </w:p>
        </w:tc>
        <w:tc>
          <w:tcPr>
            <w:tcW w:type="dxa" w:w="1474"/>
            <w:shd w:fill="FFC7CE" w:val="clear"/>
          </w:tcPr>
          <w:p>
            <w:r>
              <w:rPr>
                <w:b/>
                <w:color w:val="B40000"/>
                <w:sz w:val="16"/>
              </w:rPr>
              <w:t>-2.49%</w:t>
            </w:r>
          </w:p>
        </w:tc>
      </w:tr>
      <w:tr>
        <w:tc>
          <w:tcPr>
            <w:tcW w:type="dxa" w:w="2551"/>
            <w:shd w:fill="EEF2F7" w:val="clear"/>
          </w:tcPr>
          <w:p>
            <w:r>
              <w:rPr>
                <w:b/>
                <w:sz w:val="15"/>
              </w:rPr>
              <w:t>Résultat net</w:t>
            </w:r>
          </w:p>
        </w:tc>
        <w:tc>
          <w:tcPr>
            <w:tcW w:type="dxa" w:w="1474"/>
            <w:shd w:fill="FFFFFF" w:val="clear"/>
          </w:tcPr>
          <w:p>
            <w:r>
              <w:rPr>
                <w:b/>
                <w:color w:val="000000"/>
                <w:sz w:val="16"/>
              </w:rPr>
              <w:t>1.439 Mds FCFA</w:t>
            </w:r>
          </w:p>
        </w:tc>
        <w:tc>
          <w:tcPr>
            <w:tcW w:type="dxa" w:w="1474"/>
            <w:shd w:fill="FFFFFF" w:val="clear"/>
          </w:tcPr>
          <w:p>
            <w:r>
              <w:rPr>
                <w:b/>
                <w:color w:val="000000"/>
                <w:sz w:val="16"/>
              </w:rPr>
              <w:t>465.98 M FCFA</w:t>
            </w:r>
          </w:p>
        </w:tc>
        <w:tc>
          <w:tcPr>
            <w:tcW w:type="dxa" w:w="1474"/>
            <w:shd w:fill="C6EFCE" w:val="clear"/>
          </w:tcPr>
          <w:p>
            <w:r>
              <w:rPr>
                <w:b/>
                <w:color w:val="006400"/>
                <w:sz w:val="16"/>
              </w:rPr>
              <w:t>21.069 Mds FCFA</w:t>
            </w:r>
          </w:p>
        </w:tc>
        <w:tc>
          <w:tcPr>
            <w:tcW w:type="dxa" w:w="1474"/>
            <w:shd w:fill="FFFFFF" w:val="clear"/>
          </w:tcPr>
          <w:p>
            <w:r>
              <w:rPr>
                <w:b/>
                <w:color w:val="000000"/>
                <w:sz w:val="16"/>
              </w:rPr>
              <w:t>376.96 M FCFA</w:t>
            </w:r>
          </w:p>
        </w:tc>
        <w:tc>
          <w:tcPr>
            <w:tcW w:type="dxa" w:w="1474"/>
            <w:shd w:fill="FFC7CE" w:val="clear"/>
          </w:tcPr>
          <w:p>
            <w:r>
              <w:rPr>
                <w:b/>
                <w:color w:val="B40000"/>
                <w:sz w:val="16"/>
              </w:rPr>
              <w:t>-96.56 M FCFA</w:t>
            </w:r>
          </w:p>
        </w:tc>
      </w:tr>
      <w:tr>
        <w:tc>
          <w:tcPr>
            <w:tcW w:type="dxa" w:w="2551"/>
            <w:shd w:fill="EEF2F7" w:val="clear"/>
          </w:tcPr>
          <w:p>
            <w:r>
              <w:rPr>
                <w:b/>
                <w:sz w:val="15"/>
              </w:rPr>
              <w:t>Taux croissance CA/PNB</w:t>
            </w:r>
          </w:p>
        </w:tc>
        <w:tc>
          <w:tcPr>
            <w:tcW w:type="dxa" w:w="1474"/>
            <w:shd w:fill="FFFFFF" w:val="clear"/>
          </w:tcPr>
          <w:p>
            <w:r>
              <w:rPr>
                <w:b/>
                <w:color w:val="000000"/>
                <w:sz w:val="16"/>
              </w:rPr>
              <w:t>11.18%</w:t>
            </w:r>
          </w:p>
        </w:tc>
        <w:tc>
          <w:tcPr>
            <w:tcW w:type="dxa" w:w="1474"/>
            <w:shd w:fill="FFFFFF" w:val="clear"/>
          </w:tcPr>
          <w:p>
            <w:r>
              <w:rPr>
                <w:b/>
                <w:color w:val="000000"/>
                <w:sz w:val="16"/>
              </w:rPr>
              <w:t>4.61%</w:t>
            </w:r>
          </w:p>
        </w:tc>
        <w:tc>
          <w:tcPr>
            <w:tcW w:type="dxa" w:w="1474"/>
            <w:shd w:fill="FFC7CE" w:val="clear"/>
          </w:tcPr>
          <w:p>
            <w:r>
              <w:rPr>
                <w:b/>
                <w:color w:val="B40000"/>
                <w:sz w:val="16"/>
              </w:rPr>
              <w:t>3.65%</w:t>
            </w:r>
          </w:p>
        </w:tc>
        <w:tc>
          <w:tcPr>
            <w:tcW w:type="dxa" w:w="1474"/>
            <w:shd w:fill="FFFFFF" w:val="clear"/>
          </w:tcPr>
          <w:p>
            <w:r>
              <w:rPr>
                <w:b/>
                <w:color w:val="000000"/>
                <w:sz w:val="16"/>
              </w:rPr>
              <w:t>9.05%</w:t>
            </w:r>
          </w:p>
        </w:tc>
        <w:tc>
          <w:tcPr>
            <w:tcW w:type="dxa" w:w="1474"/>
            <w:shd w:fill="C6EFCE" w:val="clear"/>
          </w:tcPr>
          <w:p>
            <w:r>
              <w:rPr>
                <w:b/>
                <w:color w:val="006400"/>
                <w:sz w:val="16"/>
              </w:rPr>
              <w:t>116.26%</w:t>
            </w:r>
          </w:p>
        </w:tc>
      </w:tr>
      <w:tr>
        <w:tc>
          <w:tcPr>
            <w:tcW w:type="dxa" w:w="2551"/>
            <w:shd w:fill="EEF2F7" w:val="clear"/>
          </w:tcPr>
          <w:p>
            <w:r>
              <w:rPr>
                <w:b/>
                <w:sz w:val="15"/>
              </w:rPr>
              <w:t>Autonomie financière</w:t>
            </w:r>
          </w:p>
        </w:tc>
        <w:tc>
          <w:tcPr>
            <w:tcW w:type="dxa" w:w="1474"/>
            <w:shd w:fill="FFFFFF" w:val="clear"/>
          </w:tcPr>
          <w:p>
            <w:r>
              <w:rPr>
                <w:b/>
                <w:color w:val="000000"/>
                <w:sz w:val="16"/>
              </w:rPr>
              <w:t>39.58%</w:t>
            </w:r>
          </w:p>
        </w:tc>
        <w:tc>
          <w:tcPr>
            <w:tcW w:type="dxa" w:w="1474"/>
            <w:shd w:fill="FFFFFF" w:val="clear"/>
          </w:tcPr>
          <w:p>
            <w:r>
              <w:rPr>
                <w:b/>
                <w:color w:val="000000"/>
                <w:sz w:val="16"/>
              </w:rPr>
              <w:t>40.11%</w:t>
            </w:r>
          </w:p>
        </w:tc>
        <w:tc>
          <w:tcPr>
            <w:tcW w:type="dxa" w:w="1474"/>
            <w:shd w:fill="C6EFCE" w:val="clear"/>
          </w:tcPr>
          <w:p>
            <w:r>
              <w:rPr>
                <w:b/>
                <w:color w:val="006400"/>
                <w:sz w:val="16"/>
              </w:rPr>
              <w:t>41.36%</w:t>
            </w:r>
          </w:p>
        </w:tc>
        <w:tc>
          <w:tcPr>
            <w:tcW w:type="dxa" w:w="1474"/>
            <w:shd w:fill="FFFFFF" w:val="clear"/>
          </w:tcPr>
          <w:p>
            <w:r>
              <w:rPr>
                <w:b/>
                <w:color w:val="000000"/>
                <w:sz w:val="16"/>
              </w:rPr>
              <w:t>23.34%</w:t>
            </w:r>
          </w:p>
        </w:tc>
        <w:tc>
          <w:tcPr>
            <w:tcW w:type="dxa" w:w="1474"/>
            <w:shd w:fill="FFC7CE" w:val="clear"/>
          </w:tcPr>
          <w:p>
            <w:r>
              <w:rPr>
                <w:b/>
                <w:color w:val="B40000"/>
                <w:sz w:val="16"/>
              </w:rPr>
              <w:t>6.55%</w:t>
            </w:r>
          </w:p>
        </w:tc>
      </w:tr>
      <w:tr>
        <w:tc>
          <w:tcPr>
            <w:tcW w:type="dxa" w:w="2551"/>
            <w:shd w:fill="EEF2F7" w:val="clear"/>
          </w:tcPr>
          <w:p>
            <w:r>
              <w:rPr>
                <w:b/>
                <w:sz w:val="15"/>
              </w:rPr>
              <w:t>Ratio endettement</w:t>
            </w:r>
          </w:p>
        </w:tc>
        <w:tc>
          <w:tcPr>
            <w:tcW w:type="dxa" w:w="1474"/>
            <w:shd w:fill="FFFFFF" w:val="clear"/>
          </w:tcPr>
          <w:p>
            <w:r>
              <w:rPr>
                <w:b/>
                <w:color w:val="000000"/>
                <w:sz w:val="16"/>
              </w:rPr>
              <w:t>60.42%</w:t>
            </w:r>
          </w:p>
        </w:tc>
        <w:tc>
          <w:tcPr>
            <w:tcW w:type="dxa" w:w="1474"/>
            <w:shd w:fill="FFC7CE" w:val="clear"/>
          </w:tcPr>
          <w:p>
            <w:r>
              <w:rPr>
                <w:b/>
                <w:color w:val="B40000"/>
                <w:sz w:val="16"/>
              </w:rPr>
              <w:t>97.60%</w:t>
            </w:r>
          </w:p>
        </w:tc>
        <w:tc>
          <w:tcPr>
            <w:tcW w:type="dxa" w:w="1474"/>
            <w:shd w:fill="C6EFCE" w:val="clear"/>
          </w:tcPr>
          <w:p>
            <w:r>
              <w:rPr>
                <w:b/>
                <w:color w:val="006400"/>
                <w:sz w:val="16"/>
              </w:rPr>
              <w:t>17.88%</w:t>
            </w:r>
          </w:p>
        </w:tc>
        <w:tc>
          <w:tcPr>
            <w:tcW w:type="dxa" w:w="1474"/>
            <w:shd w:fill="FFFFFF" w:val="clear"/>
          </w:tcPr>
          <w:p>
            <w:r>
              <w:rPr>
                <w:b/>
                <w:color w:val="000000"/>
                <w:sz w:val="16"/>
              </w:rPr>
              <w:t>80.09%</w:t>
            </w:r>
          </w:p>
        </w:tc>
        <w:tc>
          <w:tcPr>
            <w:tcW w:type="dxa" w:w="1474"/>
            <w:shd w:fill="FFFFFF" w:val="clear"/>
          </w:tcPr>
          <w:p>
            <w:r>
              <w:rPr>
                <w:b/>
                <w:color w:val="000000"/>
                <w:sz w:val="16"/>
              </w:rPr>
              <w:t>93.45%</w:t>
            </w:r>
          </w:p>
        </w:tc>
      </w:tr>
      <w:tr>
        <w:tc>
          <w:tcPr>
            <w:tcW w:type="dxa" w:w="2551"/>
            <w:shd w:fill="EEF2F7" w:val="clear"/>
          </w:tcPr>
          <w:p>
            <w:r>
              <w:rPr>
                <w:b/>
                <w:sz w:val="15"/>
              </w:rPr>
              <w:t>Solvabilité générale</w:t>
            </w:r>
          </w:p>
        </w:tc>
        <w:tc>
          <w:tcPr>
            <w:tcW w:type="dxa" w:w="1474"/>
            <w:shd w:fill="FFFFFF" w:val="clear"/>
          </w:tcPr>
          <w:p>
            <w:r>
              <w:rPr>
                <w:b/>
                <w:color w:val="000000"/>
                <w:sz w:val="16"/>
              </w:rPr>
              <w:t>165.52%</w:t>
            </w:r>
          </w:p>
        </w:tc>
        <w:tc>
          <w:tcPr>
            <w:tcW w:type="dxa" w:w="1474"/>
            <w:shd w:fill="FFFFFF" w:val="clear"/>
          </w:tcPr>
          <w:p>
            <w:r>
              <w:rPr>
                <w:b/>
                <w:color w:val="000000"/>
                <w:sz w:val="16"/>
              </w:rPr>
              <w:t>166.98%</w:t>
            </w:r>
          </w:p>
        </w:tc>
        <w:tc>
          <w:tcPr>
            <w:tcW w:type="dxa" w:w="1474"/>
            <w:shd w:fill="C6EFCE" w:val="clear"/>
          </w:tcPr>
          <w:p>
            <w:r>
              <w:rPr>
                <w:b/>
                <w:color w:val="006400"/>
                <w:sz w:val="16"/>
              </w:rPr>
              <w:t>170.53%</w:t>
            </w:r>
          </w:p>
        </w:tc>
        <w:tc>
          <w:tcPr>
            <w:tcW w:type="dxa" w:w="1474"/>
            <w:shd w:fill="FFFFFF" w:val="clear"/>
          </w:tcPr>
          <w:p>
            <w:r>
              <w:rPr>
                <w:b/>
                <w:color w:val="000000"/>
                <w:sz w:val="16"/>
              </w:rPr>
              <w:t>130.44%</w:t>
            </w:r>
          </w:p>
        </w:tc>
        <w:tc>
          <w:tcPr>
            <w:tcW w:type="dxa" w:w="1474"/>
            <w:shd w:fill="FFC7CE" w:val="clear"/>
          </w:tcPr>
          <w:p>
            <w:r>
              <w:rPr>
                <w:b/>
                <w:color w:val="B40000"/>
                <w:sz w:val="16"/>
              </w:rPr>
              <w:t>107.01%</w:t>
            </w:r>
          </w:p>
        </w:tc>
      </w:tr>
      <w:tr>
        <w:tc>
          <w:tcPr>
            <w:tcW w:type="dxa" w:w="2551"/>
            <w:shd w:fill="EEF2F7" w:val="clear"/>
          </w:tcPr>
          <w:p>
            <w:r>
              <w:rPr>
                <w:b/>
                <w:sz w:val="15"/>
              </w:rPr>
              <w:t>Liquidité générale</w:t>
            </w:r>
          </w:p>
        </w:tc>
        <w:tc>
          <w:tcPr>
            <w:tcW w:type="dxa" w:w="1474"/>
            <w:shd w:fill="C6EFCE" w:val="clear"/>
          </w:tcPr>
          <w:p>
            <w:r>
              <w:rPr>
                <w:b/>
                <w:color w:val="006400"/>
                <w:sz w:val="16"/>
              </w:rPr>
              <w:t>242.60%</w:t>
            </w:r>
          </w:p>
        </w:tc>
        <w:tc>
          <w:tcPr>
            <w:tcW w:type="dxa" w:w="1474"/>
            <w:shd w:fill="FFFFFF" w:val="clear"/>
          </w:tcPr>
          <w:p>
            <w:r>
              <w:rPr>
                <w:b/>
                <w:color w:val="000000"/>
                <w:sz w:val="16"/>
              </w:rPr>
              <w:t>158.64%</w:t>
            </w:r>
          </w:p>
        </w:tc>
        <w:tc>
          <w:tcPr>
            <w:tcW w:type="dxa" w:w="1474"/>
            <w:shd w:fill="FFFFFF" w:val="clear"/>
          </w:tcPr>
          <w:p>
            <w:r>
              <w:rPr>
                <w:b/>
                <w:color w:val="000000"/>
                <w:sz w:val="16"/>
              </w:rPr>
              <w:t>132.84%</w:t>
            </w:r>
          </w:p>
        </w:tc>
        <w:tc>
          <w:tcPr>
            <w:tcW w:type="dxa" w:w="1474"/>
            <w:shd w:fill="FFC7CE" w:val="clear"/>
          </w:tcPr>
          <w:p>
            <w:r>
              <w:rPr>
                <w:b/>
                <w:color w:val="B40000"/>
                <w:sz w:val="16"/>
              </w:rPr>
              <w:t>61.93%</w:t>
            </w:r>
          </w:p>
        </w:tc>
        <w:tc>
          <w:tcPr>
            <w:tcW w:type="dxa" w:w="1474"/>
            <w:shd w:fill="FFFFFF" w:val="clear"/>
          </w:tcPr>
          <w:p>
            <w:r>
              <w:rPr>
                <w:b/>
                <w:color w:val="000000"/>
                <w:sz w:val="16"/>
              </w:rPr>
              <w:t>108.64%</w:t>
            </w:r>
          </w:p>
        </w:tc>
      </w:tr>
      <w:tr>
        <w:tc>
          <w:tcPr>
            <w:tcW w:type="dxa" w:w="2551"/>
            <w:shd w:fill="EEF2F7" w:val="clear"/>
          </w:tcPr>
          <w:p>
            <w:r>
              <w:rPr>
                <w:b/>
                <w:sz w:val="15"/>
              </w:rPr>
              <w:t>Free Cash Flow</w:t>
            </w:r>
          </w:p>
        </w:tc>
        <w:tc>
          <w:tcPr>
            <w:tcW w:type="dxa" w:w="1474"/>
            <w:shd w:fill="FFC7CE" w:val="clear"/>
          </w:tcPr>
          <w:p>
            <w:r>
              <w:rPr>
                <w:b/>
                <w:color w:val="B40000"/>
                <w:sz w:val="16"/>
              </w:rPr>
              <w:t>-982.71 M FCFA</w:t>
            </w:r>
          </w:p>
        </w:tc>
        <w:tc>
          <w:tcPr>
            <w:tcW w:type="dxa" w:w="1474"/>
            <w:shd w:fill="FFFFFF" w:val="clear"/>
          </w:tcPr>
          <w:p>
            <w:r>
              <w:rPr>
                <w:b/>
                <w:color w:val="000000"/>
                <w:sz w:val="16"/>
              </w:rPr>
              <w:t>577.83 M FCFA</w:t>
            </w:r>
          </w:p>
        </w:tc>
        <w:tc>
          <w:tcPr>
            <w:tcW w:type="dxa" w:w="1474"/>
            <w:shd w:fill="C6EFCE" w:val="clear"/>
          </w:tcPr>
          <w:p>
            <w:r>
              <w:rPr>
                <w:b/>
                <w:color w:val="006400"/>
                <w:sz w:val="16"/>
              </w:rPr>
              <w:t>14.417 Mds FCFA</w:t>
            </w:r>
          </w:p>
        </w:tc>
        <w:tc>
          <w:tcPr>
            <w:tcW w:type="dxa" w:w="1474"/>
            <w:shd w:fill="FFFFFF" w:val="clear"/>
          </w:tcPr>
          <w:p>
            <w:r>
              <w:rPr>
                <w:b/>
                <w:color w:val="000000"/>
                <w:sz w:val="16"/>
              </w:rPr>
              <w:t>595.87 M FCFA</w:t>
            </w:r>
          </w:p>
        </w:tc>
        <w:tc>
          <w:tcPr>
            <w:tcW w:type="dxa" w:w="1474"/>
            <w:shd w:fill="F2F2F2" w:val="clear"/>
          </w:tcPr>
          <w:p>
            <w:r>
              <w:rPr>
                <w:b/>
                <w:sz w:val="16"/>
              </w:rPr>
              <w:t>N/D</w:t>
            </w:r>
          </w:p>
        </w:tc>
      </w:tr>
      <w:tr>
        <w:tc>
          <w:tcPr>
            <w:tcW w:type="dxa" w:w="2551"/>
            <w:shd w:fill="EEF2F7" w:val="clear"/>
          </w:tcPr>
          <w:p>
            <w:r>
              <w:rPr>
                <w:b/>
                <w:sz w:val="15"/>
              </w:rPr>
              <w:t>Coeff. exploitation</w:t>
            </w:r>
          </w:p>
        </w:tc>
        <w:tc>
          <w:tcPr>
            <w:tcW w:type="dxa" w:w="1474"/>
            <w:shd w:fill="F2F2F2" w:val="clear"/>
          </w:tcPr>
          <w:p>
            <w:r>
              <w:rPr>
                <w:b/>
                <w:sz w:val="16"/>
              </w:rPr>
              <w:t>N/D</w:t>
            </w:r>
          </w:p>
        </w:tc>
        <w:tc>
          <w:tcPr>
            <w:tcW w:type="dxa" w:w="1474"/>
            <w:shd w:fill="FFC7CE" w:val="clear"/>
          </w:tcPr>
          <w:p>
            <w:r>
              <w:rPr>
                <w:b/>
                <w:color w:val="B40000"/>
                <w:sz w:val="16"/>
              </w:rPr>
              <w:t>116.59%</w:t>
            </w:r>
          </w:p>
        </w:tc>
        <w:tc>
          <w:tcPr>
            <w:tcW w:type="dxa" w:w="1474"/>
            <w:shd w:fill="C6EFCE" w:val="clear"/>
          </w:tcPr>
          <w:p>
            <w:r>
              <w:rPr>
                <w:b/>
                <w:color w:val="006400"/>
                <w:sz w:val="16"/>
              </w:rPr>
              <w:t>47.66%</w:t>
            </w:r>
          </w:p>
        </w:tc>
        <w:tc>
          <w:tcPr>
            <w:tcW w:type="dxa" w:w="1474"/>
            <w:shd w:fill="FFFFFF" w:val="clear"/>
          </w:tcPr>
          <w:p>
            <w:r>
              <w:rPr>
                <w:b/>
                <w:color w:val="000000"/>
                <w:sz w:val="16"/>
              </w:rPr>
              <w:t>95.83%</w:t>
            </w:r>
          </w:p>
        </w:tc>
        <w:tc>
          <w:tcPr>
            <w:tcW w:type="dxa" w:w="1474"/>
            <w:shd w:fill="F2F2F2" w:val="clear"/>
          </w:tcPr>
          <w:p>
            <w:r>
              <w:rPr>
                <w:b/>
                <w:sz w:val="16"/>
              </w:rPr>
              <w:t>N/D</w:t>
            </w:r>
          </w:p>
        </w:tc>
      </w:tr>
      <w:tr>
        <w:tc>
          <w:tcPr>
            <w:tcW w:type="dxa" w:w="2551"/>
            <w:shd w:fill="EEF2F7" w:val="clear"/>
          </w:tcPr>
          <w:p>
            <w:r>
              <w:rPr>
                <w:b/>
                <w:sz w:val="15"/>
              </w:rPr>
              <w:t>Marge opérationnelle</w:t>
            </w:r>
          </w:p>
        </w:tc>
        <w:tc>
          <w:tcPr>
            <w:tcW w:type="dxa" w:w="1474"/>
            <w:shd w:fill="C6EFCE" w:val="clear"/>
          </w:tcPr>
          <w:p>
            <w:r>
              <w:rPr>
                <w:b/>
                <w:color w:val="006400"/>
                <w:sz w:val="16"/>
              </w:rPr>
              <w:t>9.82%</w:t>
            </w:r>
          </w:p>
        </w:tc>
        <w:tc>
          <w:tcPr>
            <w:tcW w:type="dxa" w:w="1474"/>
            <w:shd w:fill="FFFFFF" w:val="clear"/>
          </w:tcPr>
          <w:p>
            <w:r>
              <w:rPr>
                <w:b/>
                <w:color w:val="000000"/>
                <w:sz w:val="16"/>
              </w:rPr>
              <w:t>0.86%</w:t>
            </w:r>
          </w:p>
        </w:tc>
        <w:tc>
          <w:tcPr>
            <w:tcW w:type="dxa" w:w="1474"/>
            <w:shd w:fill="FFFFFF" w:val="clear"/>
          </w:tcPr>
          <w:p>
            <w:r>
              <w:rPr>
                <w:b/>
                <w:color w:val="000000"/>
                <w:sz w:val="16"/>
              </w:rPr>
              <w:t>1.10%</w:t>
            </w:r>
          </w:p>
        </w:tc>
        <w:tc>
          <w:tcPr>
            <w:tcW w:type="dxa" w:w="1474"/>
            <w:shd w:fill="FFFFFF" w:val="clear"/>
          </w:tcPr>
          <w:p>
            <w:r>
              <w:rPr>
                <w:b/>
                <w:color w:val="000000"/>
                <w:sz w:val="16"/>
              </w:rPr>
              <w:t>5.63%</w:t>
            </w:r>
          </w:p>
        </w:tc>
        <w:tc>
          <w:tcPr>
            <w:tcW w:type="dxa" w:w="1474"/>
            <w:shd w:fill="FFC7CE" w:val="clear"/>
          </w:tcPr>
          <w:p>
            <w:r>
              <w:rPr>
                <w:b/>
                <w:color w:val="B40000"/>
                <w:sz w:val="16"/>
              </w:rPr>
              <w:t>-19.90%</w:t>
            </w:r>
          </w:p>
        </w:tc>
      </w:tr>
    </w:tbl>
    <w:p/>
    <w:p>
      <w:pPr>
        <w:pStyle w:val="Heading3"/>
      </w:pPr>
      <w:r>
        <w:t>🔍 Analyse détaillée par société</w:t>
      </w:r>
    </w:p>
    <w:p>
      <w:pPr>
        <w:spacing w:before="160"/>
      </w:pPr>
      <w:r>
        <w:rPr>
          <w:b/>
          <w:color w:val="003366"/>
          <w:sz w:val="20"/>
        </w:rPr>
        <w:t xml:space="preserve">▶ CABC — CABC - SICABLE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15.40%</w:t>
            </w:r>
          </w:p>
        </w:tc>
        <w:tc>
          <w:tcPr>
            <w:tcW w:type="dxa" w:w="5669"/>
            <w:shd w:fill="FFFFFF" w:val="clear"/>
          </w:tcPr>
          <w:p>
            <w:r>
              <w:rPr>
                <w:sz w:val="15"/>
              </w:rPr>
              <w:t>✅ ROE de 15.4%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6.10%</w:t>
            </w:r>
          </w:p>
        </w:tc>
        <w:tc>
          <w:tcPr>
            <w:tcW w:type="dxa" w:w="5669"/>
            <w:shd w:fill="FFFFFF" w:val="clear"/>
          </w:tcPr>
          <w:p>
            <w:r>
              <w:rPr>
                <w:sz w:val="15"/>
              </w:rPr>
              <w:t>✅ ROA de 6.10%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6.77%</w:t>
            </w:r>
          </w:p>
        </w:tc>
        <w:tc>
          <w:tcPr>
            <w:tcW w:type="dxa" w:w="5669"/>
            <w:shd w:fill="FFFFFF" w:val="clear"/>
          </w:tcPr>
          <w:p>
            <w:r>
              <w:rPr>
                <w:sz w:val="15"/>
              </w:rPr>
              <w:t>✅ Marge nette de 6.8%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1.439 Mds FCFA</w:t>
            </w:r>
          </w:p>
        </w:tc>
        <w:tc>
          <w:tcPr>
            <w:tcW w:type="dxa" w:w="5669"/>
            <w:shd w:fill="FFFFFF" w:val="clear"/>
          </w:tcPr>
          <w:p>
            <w:r>
              <w:rPr>
                <w:sz w:val="15"/>
              </w:rPr>
              <w:t>✅ Résultat net positif de 1.439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11.18%</w:t>
            </w:r>
          </w:p>
        </w:tc>
        <w:tc>
          <w:tcPr>
            <w:tcW w:type="dxa" w:w="5669"/>
            <w:shd w:fill="FFFFFF" w:val="clear"/>
          </w:tcPr>
          <w:p>
            <w:r>
              <w:rPr>
                <w:sz w:val="15"/>
              </w:rPr>
              <w:t>✅ Croissance de 11.2%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39.58%</w:t>
            </w:r>
          </w:p>
        </w:tc>
        <w:tc>
          <w:tcPr>
            <w:tcW w:type="dxa" w:w="5669"/>
            <w:shd w:fill="FFFFFF" w:val="clear"/>
          </w:tcPr>
          <w:p>
            <w:r>
              <w:rPr>
                <w:sz w:val="15"/>
              </w:rPr>
              <w:t>✅ Autonomie financière correcte (39.6%)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60.42%</w:t>
            </w:r>
          </w:p>
        </w:tc>
        <w:tc>
          <w:tcPr>
            <w:tcW w:type="dxa" w:w="5669"/>
            <w:shd w:fill="FFFFFF" w:val="clear"/>
          </w:tcPr>
          <w:p>
            <w:r>
              <w:rPr>
                <w:sz w:val="15"/>
              </w:rPr>
              <w:t>✅ Gearing de 60%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165.52%</w:t>
            </w:r>
          </w:p>
        </w:tc>
        <w:tc>
          <w:tcPr>
            <w:tcW w:type="dxa" w:w="5669"/>
            <w:shd w:fill="FFFFFF" w:val="clear"/>
          </w:tcPr>
          <w:p>
            <w:r>
              <w:rPr>
                <w:sz w:val="15"/>
              </w:rPr>
              <w:t>✅ Solvabilité satisfaisante (166%)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242.60%</w:t>
            </w:r>
          </w:p>
        </w:tc>
        <w:tc>
          <w:tcPr>
            <w:tcW w:type="dxa" w:w="5669"/>
            <w:shd w:fill="FFFFFF" w:val="clear"/>
          </w:tcPr>
          <w:p>
            <w:r>
              <w:rPr>
                <w:sz w:val="15"/>
              </w:rPr>
              <w:t>✅ Liquidité générale de 243x — actif circulant deux fois supérieur aux dettes CT. Trésorerie très confortable.</w:t>
            </w:r>
          </w:p>
        </w:tc>
      </w:tr>
      <w:tr>
        <w:tc>
          <w:tcPr>
            <w:tcW w:type="dxa" w:w="2268"/>
            <w:shd w:fill="EEF2F7" w:val="clear"/>
          </w:tcPr>
          <w:p>
            <w:r>
              <w:rPr>
                <w:b/>
                <w:sz w:val="15"/>
              </w:rPr>
              <w:t>Free Cash Flow</w:t>
            </w:r>
          </w:p>
        </w:tc>
        <w:tc>
          <w:tcPr>
            <w:tcW w:type="dxa" w:w="1984"/>
            <w:shd w:fill="FFC7CE" w:val="clear"/>
          </w:tcPr>
          <w:p>
            <w:r>
              <w:rPr>
                <w:b/>
                <w:color w:val="B40000"/>
                <w:sz w:val="17"/>
              </w:rPr>
              <w:t>-982.71 M FCFA</w:t>
            </w:r>
          </w:p>
        </w:tc>
        <w:tc>
          <w:tcPr>
            <w:tcW w:type="dxa" w:w="5669"/>
            <w:shd w:fill="FFFFFF" w:val="clear"/>
          </w:tcPr>
          <w:p>
            <w:r>
              <w:rPr>
                <w:sz w:val="15"/>
              </w:rPr>
              <w:t>❌ FCF négatif significatif (-982.71 M FCFA) — la société consomme de la trésorerie. Risque si la situation perdure.</w:t>
            </w:r>
          </w:p>
        </w:tc>
      </w:tr>
      <w:tr>
        <w:tc>
          <w:tcPr>
            <w:tcW w:type="dxa" w:w="2268"/>
            <w:shd w:fill="EEF2F7" w:val="clear"/>
          </w:tcPr>
          <w:p>
            <w:r>
              <w:rPr>
                <w:b/>
                <w:sz w:val="15"/>
              </w:rPr>
              <w:t>Marge opérationnelle</w:t>
            </w:r>
          </w:p>
        </w:tc>
        <w:tc>
          <w:tcPr>
            <w:tcW w:type="dxa" w:w="1984"/>
            <w:shd w:fill="C6EFCE" w:val="clear"/>
          </w:tcPr>
          <w:p>
            <w:r>
              <w:rPr>
                <w:b/>
                <w:color w:val="007800"/>
                <w:sz w:val="17"/>
              </w:rPr>
              <w:t>9.82%</w:t>
            </w:r>
          </w:p>
        </w:tc>
        <w:tc>
          <w:tcPr>
            <w:tcW w:type="dxa" w:w="5669"/>
            <w:shd w:fill="FFFFFF" w:val="clear"/>
          </w:tcPr>
          <w:p>
            <w:r>
              <w:rPr>
                <w:sz w:val="15"/>
              </w:rPr>
              <w:t>✅ Marge opérationnelle correcte (9.8%).</w:t>
            </w:r>
          </w:p>
        </w:tc>
      </w:tr>
    </w:tbl>
    <w:p/>
    <w:p>
      <w:pPr>
        <w:spacing w:before="160"/>
      </w:pPr>
      <w:r>
        <w:rPr>
          <w:b/>
          <w:color w:val="003366"/>
          <w:sz w:val="20"/>
        </w:rPr>
        <w:t xml:space="preserve">▶ FTSC — FTSC - FILTISAC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2.97%</w:t>
            </w:r>
          </w:p>
        </w:tc>
        <w:tc>
          <w:tcPr>
            <w:tcW w:type="dxa" w:w="5669"/>
            <w:shd w:fill="FFFFFF" w:val="clear"/>
          </w:tcPr>
          <w:p>
            <w:r>
              <w:rPr>
                <w:sz w:val="15"/>
              </w:rPr>
              <w:t>⚠️ ROE de 3.0%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1.19%</w:t>
            </w:r>
          </w:p>
        </w:tc>
        <w:tc>
          <w:tcPr>
            <w:tcW w:type="dxa" w:w="5669"/>
            <w:shd w:fill="FFFFFF" w:val="clear"/>
          </w:tcPr>
          <w:p>
            <w:r>
              <w:rPr>
                <w:sz w:val="15"/>
              </w:rPr>
              <w:t>⚠️ ROA de 1.19%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1.45%</w:t>
            </w:r>
          </w:p>
        </w:tc>
        <w:tc>
          <w:tcPr>
            <w:tcW w:type="dxa" w:w="5669"/>
            <w:shd w:fill="FFFFFF" w:val="clear"/>
          </w:tcPr>
          <w:p>
            <w:r>
              <w:rPr>
                <w:sz w:val="15"/>
              </w:rPr>
              <w:t>⚠️ Marge nette de 1.5%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465.98 M FCFA</w:t>
            </w:r>
          </w:p>
        </w:tc>
        <w:tc>
          <w:tcPr>
            <w:tcW w:type="dxa" w:w="5669"/>
            <w:shd w:fill="FFFFFF" w:val="clear"/>
          </w:tcPr>
          <w:p>
            <w:r>
              <w:rPr>
                <w:sz w:val="15"/>
              </w:rPr>
              <w:t>✅ Résultat net positif de 465.98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4.61%</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40.11%</w:t>
            </w:r>
          </w:p>
        </w:tc>
        <w:tc>
          <w:tcPr>
            <w:tcW w:type="dxa" w:w="5669"/>
            <w:shd w:fill="FFFFFF" w:val="clear"/>
          </w:tcPr>
          <w:p>
            <w:r>
              <w:rPr>
                <w:sz w:val="15"/>
              </w:rPr>
              <w:t>✅ Autonomie financière de 40.1%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97.60%</w:t>
            </w:r>
          </w:p>
        </w:tc>
        <w:tc>
          <w:tcPr>
            <w:tcW w:type="dxa" w:w="5669"/>
            <w:shd w:fill="FFFFFF" w:val="clear"/>
          </w:tcPr>
          <w:p>
            <w:r>
              <w:rPr>
                <w:sz w:val="15"/>
              </w:rPr>
              <w:t>✅ Gearing de 98%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166.98%</w:t>
            </w:r>
          </w:p>
        </w:tc>
        <w:tc>
          <w:tcPr>
            <w:tcW w:type="dxa" w:w="5669"/>
            <w:shd w:fill="FFFFFF" w:val="clear"/>
          </w:tcPr>
          <w:p>
            <w:r>
              <w:rPr>
                <w:sz w:val="15"/>
              </w:rPr>
              <w:t>✅ Solvabilité satisfaisante (167%)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158.64%</w:t>
            </w:r>
          </w:p>
        </w:tc>
        <w:tc>
          <w:tcPr>
            <w:tcW w:type="dxa" w:w="5669"/>
            <w:shd w:fill="FFFFFF" w:val="clear"/>
          </w:tcPr>
          <w:p>
            <w:r>
              <w:rPr>
                <w:sz w:val="15"/>
              </w:rPr>
              <w:t>✅ Liquidité générale de 158.64x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577.83 M FCFA</w:t>
            </w:r>
          </w:p>
        </w:tc>
        <w:tc>
          <w:tcPr>
            <w:tcW w:type="dxa" w:w="5669"/>
            <w:shd w:fill="FFFFFF" w:val="clear"/>
          </w:tcPr>
          <w:p>
            <w:r>
              <w:rPr>
                <w:sz w:val="15"/>
              </w:rPr>
              <w:t>✅ FCF positif de 577.83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116.59%</w:t>
            </w:r>
          </w:p>
        </w:tc>
        <w:tc>
          <w:tcPr>
            <w:tcW w:type="dxa" w:w="5669"/>
            <w:shd w:fill="FFFFFF" w:val="clear"/>
          </w:tcPr>
          <w:p>
            <w:r>
              <w:rPr>
                <w:sz w:val="15"/>
              </w:rPr>
              <w:t>❌ Coeff. d'exploitation de 116.6%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0.86%</w:t>
            </w:r>
          </w:p>
        </w:tc>
        <w:tc>
          <w:tcPr>
            <w:tcW w:type="dxa" w:w="5669"/>
            <w:shd w:fill="FFFFFF" w:val="clear"/>
          </w:tcPr>
          <w:p>
            <w:r>
              <w:rPr>
                <w:sz w:val="15"/>
              </w:rPr>
              <w:t>⚠️ Marge opérationnelle faible (0.9%) — l'exploitation laisse peu de bénéfice avant charges financières.</w:t>
            </w:r>
          </w:p>
        </w:tc>
      </w:tr>
    </w:tbl>
    <w:p/>
    <w:p>
      <w:pPr>
        <w:spacing w:before="160"/>
      </w:pPr>
      <w:r>
        <w:rPr>
          <w:b/>
          <w:color w:val="003366"/>
          <w:sz w:val="20"/>
        </w:rPr>
        <w:t xml:space="preserve">▶ SDSC — SDSC - AFRICA GLOBAL LOGISTICS CI </w:t>
      </w:r>
      <w:r>
        <w:rPr>
          <w:i/>
          <w:color w:val="505050"/>
          <w:sz w:val="17"/>
        </w:rPr>
        <w:t>[🏢 Entreprise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27.08%</w:t>
            </w:r>
          </w:p>
        </w:tc>
        <w:tc>
          <w:tcPr>
            <w:tcW w:type="dxa" w:w="5669"/>
            <w:shd w:fill="FFFFFF" w:val="clear"/>
          </w:tcPr>
          <w:p>
            <w:r>
              <w:rPr>
                <w:sz w:val="15"/>
              </w:rPr>
              <w:t>✅ ROE de 27.1%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11.20%</w:t>
            </w:r>
          </w:p>
        </w:tc>
        <w:tc>
          <w:tcPr>
            <w:tcW w:type="dxa" w:w="5669"/>
            <w:shd w:fill="FFFFFF" w:val="clear"/>
          </w:tcPr>
          <w:p>
            <w:r>
              <w:rPr>
                <w:sz w:val="15"/>
              </w:rPr>
              <w:t>✅ ROA de 11.20%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24.60%</w:t>
            </w:r>
          </w:p>
        </w:tc>
        <w:tc>
          <w:tcPr>
            <w:tcW w:type="dxa" w:w="5669"/>
            <w:shd w:fill="FFFFFF" w:val="clear"/>
          </w:tcPr>
          <w:p>
            <w:r>
              <w:rPr>
                <w:sz w:val="15"/>
              </w:rPr>
              <w:t>✅ Marge nette de 24.6%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21.069 Mds FCFA</w:t>
            </w:r>
          </w:p>
        </w:tc>
        <w:tc>
          <w:tcPr>
            <w:tcW w:type="dxa" w:w="5669"/>
            <w:shd w:fill="FFFFFF" w:val="clear"/>
          </w:tcPr>
          <w:p>
            <w:r>
              <w:rPr>
                <w:sz w:val="15"/>
              </w:rPr>
              <w:t>✅ Résultat net positif de 21.069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3.65%</w:t>
            </w:r>
          </w:p>
        </w:tc>
        <w:tc>
          <w:tcPr>
            <w:tcW w:type="dxa" w:w="5669"/>
            <w:shd w:fill="FFFFFF" w:val="clear"/>
          </w:tcPr>
          <w:p>
            <w:r>
              <w:rPr>
                <w:sz w:val="15"/>
              </w:rPr>
              <w:t>⚠️ Croissance faible (3.7%) — activité quasi-stagnante. Risque de perte de compétitivité en termes réels.</w:t>
            </w:r>
          </w:p>
        </w:tc>
      </w:tr>
      <w:tr>
        <w:tc>
          <w:tcPr>
            <w:tcW w:type="dxa" w:w="2268"/>
            <w:shd w:fill="EEF2F7" w:val="clear"/>
          </w:tcPr>
          <w:p>
            <w:r>
              <w:rPr>
                <w:b/>
                <w:sz w:val="15"/>
              </w:rPr>
              <w:t>Autonomie financière</w:t>
            </w:r>
          </w:p>
        </w:tc>
        <w:tc>
          <w:tcPr>
            <w:tcW w:type="dxa" w:w="1984"/>
            <w:shd w:fill="C6EFCE" w:val="clear"/>
          </w:tcPr>
          <w:p>
            <w:r>
              <w:rPr>
                <w:b/>
                <w:color w:val="007800"/>
                <w:sz w:val="17"/>
              </w:rPr>
              <w:t>41.36%</w:t>
            </w:r>
          </w:p>
        </w:tc>
        <w:tc>
          <w:tcPr>
            <w:tcW w:type="dxa" w:w="5669"/>
            <w:shd w:fill="FFFFFF" w:val="clear"/>
          </w:tcPr>
          <w:p>
            <w:r>
              <w:rPr>
                <w:sz w:val="15"/>
              </w:rPr>
              <w:t>✅ Autonomie financière de 41.4%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17.88%</w:t>
            </w:r>
          </w:p>
        </w:tc>
        <w:tc>
          <w:tcPr>
            <w:tcW w:type="dxa" w:w="5669"/>
            <w:shd w:fill="FFFFFF" w:val="clear"/>
          </w:tcPr>
          <w:p>
            <w:r>
              <w:rPr>
                <w:sz w:val="15"/>
              </w:rPr>
              <w:t>✅ Gearing de 18%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170.53%</w:t>
            </w:r>
          </w:p>
        </w:tc>
        <w:tc>
          <w:tcPr>
            <w:tcW w:type="dxa" w:w="5669"/>
            <w:shd w:fill="FFFFFF" w:val="clear"/>
          </w:tcPr>
          <w:p>
            <w:r>
              <w:rPr>
                <w:sz w:val="15"/>
              </w:rPr>
              <w:t>✅ Solvabilité satisfaisante (171%)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132.84%</w:t>
            </w:r>
          </w:p>
        </w:tc>
        <w:tc>
          <w:tcPr>
            <w:tcW w:type="dxa" w:w="5669"/>
            <w:shd w:fill="FFFFFF" w:val="clear"/>
          </w:tcPr>
          <w:p>
            <w:r>
              <w:rPr>
                <w:sz w:val="15"/>
              </w:rPr>
              <w:t>✅ Liquidité générale de 132.84x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14.417 Mds FCFA</w:t>
            </w:r>
          </w:p>
        </w:tc>
        <w:tc>
          <w:tcPr>
            <w:tcW w:type="dxa" w:w="5669"/>
            <w:shd w:fill="FFFFFF" w:val="clear"/>
          </w:tcPr>
          <w:p>
            <w:r>
              <w:rPr>
                <w:sz w:val="15"/>
              </w:rPr>
              <w:t>✅ FCF positif de 14.417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47.66%</w:t>
            </w:r>
          </w:p>
        </w:tc>
        <w:tc>
          <w:tcPr>
            <w:tcW w:type="dxa" w:w="5669"/>
            <w:shd w:fill="FFFFFF" w:val="clear"/>
          </w:tcPr>
          <w:p>
            <w:r>
              <w:rPr>
                <w:sz w:val="15"/>
              </w:rPr>
              <w:t>✅ Coeff. d'exploitation de 47.7% — dans la norme UEMOA. Efficience satisfaisante.</w:t>
            </w:r>
          </w:p>
        </w:tc>
      </w:tr>
      <w:tr>
        <w:tc>
          <w:tcPr>
            <w:tcW w:type="dxa" w:w="2268"/>
            <w:shd w:fill="EEF2F7" w:val="clear"/>
          </w:tcPr>
          <w:p>
            <w:r>
              <w:rPr>
                <w:b/>
                <w:sz w:val="15"/>
              </w:rPr>
              <w:t>Marge opérationnelle</w:t>
            </w:r>
          </w:p>
        </w:tc>
        <w:tc>
          <w:tcPr>
            <w:tcW w:type="dxa" w:w="1984"/>
            <w:shd w:fill="FFEB9C" w:val="clear"/>
          </w:tcPr>
          <w:p>
            <w:r>
              <w:rPr>
                <w:b/>
                <w:color w:val="007800"/>
                <w:sz w:val="17"/>
              </w:rPr>
              <w:t>1.10%</w:t>
            </w:r>
          </w:p>
        </w:tc>
        <w:tc>
          <w:tcPr>
            <w:tcW w:type="dxa" w:w="5669"/>
            <w:shd w:fill="FFFFFF" w:val="clear"/>
          </w:tcPr>
          <w:p>
            <w:r>
              <w:rPr>
                <w:sz w:val="15"/>
              </w:rPr>
              <w:t>⚠️ Marge opérationnelle faible (1.1%) — l'exploitation laisse peu de bénéfice avant charges financières.</w:t>
            </w:r>
          </w:p>
        </w:tc>
      </w:tr>
    </w:tbl>
    <w:p/>
    <w:p>
      <w:pPr>
        <w:spacing w:before="160"/>
      </w:pPr>
      <w:r>
        <w:rPr>
          <w:b/>
          <w:color w:val="003366"/>
          <w:sz w:val="20"/>
        </w:rPr>
        <w:t xml:space="preserve">▶ SIVC — SIVC - ERIUM CI (Ex AIR LIQUIDECI) </w:t>
      </w:r>
      <w:r>
        <w:rPr>
          <w:i/>
          <w:color w:val="505050"/>
          <w:sz w:val="17"/>
        </w:rPr>
        <w:t>[🏦 Banque — Exercice 2024]</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11.52%</w:t>
            </w:r>
          </w:p>
        </w:tc>
        <w:tc>
          <w:tcPr>
            <w:tcW w:type="dxa" w:w="5669"/>
            <w:shd w:fill="FFFFFF" w:val="clear"/>
          </w:tcPr>
          <w:p>
            <w:r>
              <w:rPr>
                <w:sz w:val="15"/>
              </w:rPr>
              <w:t>⚠️ ROE de 11.5%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FFEB9C" w:val="clear"/>
          </w:tcPr>
          <w:p>
            <w:r>
              <w:rPr>
                <w:b/>
                <w:color w:val="007800"/>
                <w:sz w:val="17"/>
              </w:rPr>
              <w:t>4.06%</w:t>
            </w:r>
          </w:p>
        </w:tc>
        <w:tc>
          <w:tcPr>
            <w:tcW w:type="dxa" w:w="5669"/>
            <w:shd w:fill="FFFFFF" w:val="clear"/>
          </w:tcPr>
          <w:p>
            <w:r>
              <w:rPr>
                <w:sz w:val="15"/>
              </w:rPr>
              <w:t>⚠️ Marge nette de 4.1%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376.96 M FCFA</w:t>
            </w:r>
          </w:p>
        </w:tc>
        <w:tc>
          <w:tcPr>
            <w:tcW w:type="dxa" w:w="5669"/>
            <w:shd w:fill="FFFFFF" w:val="clear"/>
          </w:tcPr>
          <w:p>
            <w:r>
              <w:rPr>
                <w:sz w:val="15"/>
              </w:rPr>
              <w:t>✅ Résultat net positif de 376.96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9.05%</w:t>
            </w:r>
          </w:p>
        </w:tc>
        <w:tc>
          <w:tcPr>
            <w:tcW w:type="dxa" w:w="5669"/>
            <w:shd w:fill="FFFFFF" w:val="clear"/>
          </w:tcPr>
          <w:p>
            <w:r>
              <w:rPr>
                <w:sz w:val="15"/>
              </w:rPr>
              <w:t>✅ Croissance de 9.0%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23.34%</w:t>
            </w:r>
          </w:p>
        </w:tc>
        <w:tc>
          <w:tcPr>
            <w:tcW w:type="dxa" w:w="5669"/>
            <w:shd w:fill="FFFFFF" w:val="clear"/>
          </w:tcPr>
          <w:p>
            <w:r>
              <w:rPr>
                <w:sz w:val="15"/>
              </w:rPr>
              <w:t>✅ Autonomie financière correcte (23.3%)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80.09%</w:t>
            </w:r>
          </w:p>
        </w:tc>
        <w:tc>
          <w:tcPr>
            <w:tcW w:type="dxa" w:w="5669"/>
            <w:shd w:fill="FFFFFF" w:val="clear"/>
          </w:tcPr>
          <w:p>
            <w:r>
              <w:rPr>
                <w:sz w:val="15"/>
              </w:rPr>
              <w:t>✅ Gearing de 80%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130.44%</w:t>
            </w:r>
          </w:p>
        </w:tc>
        <w:tc>
          <w:tcPr>
            <w:tcW w:type="dxa" w:w="5669"/>
            <w:shd w:fill="FFFFFF" w:val="clear"/>
          </w:tcPr>
          <w:p>
            <w:r>
              <w:rPr>
                <w:sz w:val="15"/>
              </w:rPr>
              <w:t>✅ Solvabilité satisfaisante (130%)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61.93%</w:t>
            </w:r>
          </w:p>
        </w:tc>
        <w:tc>
          <w:tcPr>
            <w:tcW w:type="dxa" w:w="5669"/>
            <w:shd w:fill="FFFFFF" w:val="clear"/>
          </w:tcPr>
          <w:p>
            <w:r>
              <w:rPr>
                <w:sz w:val="15"/>
              </w:rPr>
              <w:t>❌ Liquidité insuffisante (61.93x)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595.87 M FCFA</w:t>
            </w:r>
          </w:p>
        </w:tc>
        <w:tc>
          <w:tcPr>
            <w:tcW w:type="dxa" w:w="5669"/>
            <w:shd w:fill="FFFFFF" w:val="clear"/>
          </w:tcPr>
          <w:p>
            <w:r>
              <w:rPr>
                <w:sz w:val="15"/>
              </w:rPr>
              <w:t>✅ FCF positif de 595.87 M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C7CE" w:val="clear"/>
          </w:tcPr>
          <w:p>
            <w:r>
              <w:rPr>
                <w:b/>
                <w:color w:val="007800"/>
                <w:sz w:val="17"/>
              </w:rPr>
              <w:t>95.83%</w:t>
            </w:r>
          </w:p>
        </w:tc>
        <w:tc>
          <w:tcPr>
            <w:tcW w:type="dxa" w:w="5669"/>
            <w:shd w:fill="FFFFFF" w:val="clear"/>
          </w:tcPr>
          <w:p>
            <w:r>
              <w:rPr>
                <w:sz w:val="15"/>
              </w:rPr>
              <w:t>❌ Coeff. d'exploitation de 95.8% — structure de coûts critique. La banque est peu viable à ce niveau.</w:t>
            </w:r>
          </w:p>
        </w:tc>
      </w:tr>
      <w:tr>
        <w:tc>
          <w:tcPr>
            <w:tcW w:type="dxa" w:w="2268"/>
            <w:shd w:fill="EEF2F7" w:val="clear"/>
          </w:tcPr>
          <w:p>
            <w:r>
              <w:rPr>
                <w:b/>
                <w:sz w:val="15"/>
              </w:rPr>
              <w:t>Marge opérationnelle</w:t>
            </w:r>
          </w:p>
        </w:tc>
        <w:tc>
          <w:tcPr>
            <w:tcW w:type="dxa" w:w="1984"/>
            <w:shd w:fill="FFEB9C" w:val="clear"/>
          </w:tcPr>
          <w:p>
            <w:r>
              <w:rPr>
                <w:b/>
                <w:color w:val="007800"/>
                <w:sz w:val="17"/>
              </w:rPr>
              <w:t>5.63%</w:t>
            </w:r>
          </w:p>
        </w:tc>
        <w:tc>
          <w:tcPr>
            <w:tcW w:type="dxa" w:w="5669"/>
            <w:shd w:fill="FFFFFF" w:val="clear"/>
          </w:tcPr>
          <w:p>
            <w:r>
              <w:rPr>
                <w:sz w:val="15"/>
              </w:rPr>
              <w:t>⚠️ Marge opérationnelle faible (5.6%) — l'exploitation laisse peu de bénéfice avant charges financières.</w:t>
            </w:r>
          </w:p>
        </w:tc>
      </w:tr>
    </w:tbl>
    <w:p/>
    <w:p>
      <w:pPr>
        <w:spacing w:before="160"/>
      </w:pPr>
      <w:r>
        <w:rPr>
          <w:b/>
          <w:color w:val="003366"/>
          <w:sz w:val="20"/>
        </w:rPr>
        <w:t xml:space="preserve">▶ STAC — STAC - SETAO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C7CE" w:val="clear"/>
          </w:tcPr>
          <w:p>
            <w:r>
              <w:rPr>
                <w:b/>
                <w:color w:val="B40000"/>
                <w:sz w:val="17"/>
              </w:rPr>
              <w:t>-27.07%</w:t>
            </w:r>
          </w:p>
        </w:tc>
        <w:tc>
          <w:tcPr>
            <w:tcW w:type="dxa" w:w="5669"/>
            <w:shd w:fill="FFFFFF" w:val="clear"/>
          </w:tcPr>
          <w:p>
            <w:r>
              <w:rPr>
                <w:sz w:val="15"/>
              </w:rPr>
              <w:t>❌ ROE négatif (-27.1%) — la société détruit de la valeur. Perte nette sur les fonds propres.</w:t>
            </w:r>
          </w:p>
        </w:tc>
      </w:tr>
      <w:tr>
        <w:tc>
          <w:tcPr>
            <w:tcW w:type="dxa" w:w="2268"/>
            <w:shd w:fill="EEF2F7" w:val="clear"/>
          </w:tcPr>
          <w:p>
            <w:r>
              <w:rPr>
                <w:b/>
                <w:sz w:val="15"/>
              </w:rPr>
              <w:t>ROA</w:t>
            </w:r>
          </w:p>
        </w:tc>
        <w:tc>
          <w:tcPr>
            <w:tcW w:type="dxa" w:w="1984"/>
            <w:shd w:fill="FFC7CE" w:val="clear"/>
          </w:tcPr>
          <w:p>
            <w:r>
              <w:rPr>
                <w:b/>
                <w:color w:val="B40000"/>
                <w:sz w:val="17"/>
              </w:rPr>
              <w:t>-1.77%</w:t>
            </w:r>
          </w:p>
        </w:tc>
        <w:tc>
          <w:tcPr>
            <w:tcW w:type="dxa" w:w="5669"/>
            <w:shd w:fill="FFFFFF" w:val="clear"/>
          </w:tcPr>
          <w:p>
            <w:r>
              <w:rPr>
                <w:sz w:val="15"/>
              </w:rPr>
              <w:t>❌ ROA négatif (-1.77%) — actifs non rentables.</w:t>
            </w:r>
          </w:p>
        </w:tc>
      </w:tr>
      <w:tr>
        <w:tc>
          <w:tcPr>
            <w:tcW w:type="dxa" w:w="2268"/>
            <w:shd w:fill="EEF2F7" w:val="clear"/>
          </w:tcPr>
          <w:p>
            <w:r>
              <w:rPr>
                <w:b/>
                <w:sz w:val="15"/>
              </w:rPr>
              <w:t>Marge nette</w:t>
            </w:r>
          </w:p>
        </w:tc>
        <w:tc>
          <w:tcPr>
            <w:tcW w:type="dxa" w:w="1984"/>
            <w:shd w:fill="FFC7CE" w:val="clear"/>
          </w:tcPr>
          <w:p>
            <w:r>
              <w:rPr>
                <w:b/>
                <w:color w:val="B40000"/>
                <w:sz w:val="17"/>
              </w:rPr>
              <w:t>-2.49%</w:t>
            </w:r>
          </w:p>
        </w:tc>
        <w:tc>
          <w:tcPr>
            <w:tcW w:type="dxa" w:w="5669"/>
            <w:shd w:fill="FFFFFF" w:val="clear"/>
          </w:tcPr>
          <w:p>
            <w:r>
              <w:rPr>
                <w:sz w:val="15"/>
              </w:rPr>
              <w:t>❌ Marge nette négative (-2.5%) — la société est déficitaire.</w:t>
            </w:r>
          </w:p>
        </w:tc>
      </w:tr>
      <w:tr>
        <w:tc>
          <w:tcPr>
            <w:tcW w:type="dxa" w:w="2268"/>
            <w:shd w:fill="EEF2F7" w:val="clear"/>
          </w:tcPr>
          <w:p>
            <w:r>
              <w:rPr>
                <w:b/>
                <w:sz w:val="15"/>
              </w:rPr>
              <w:t>Résultat net</w:t>
            </w:r>
          </w:p>
        </w:tc>
        <w:tc>
          <w:tcPr>
            <w:tcW w:type="dxa" w:w="1984"/>
            <w:shd w:fill="FFC7CE" w:val="clear"/>
          </w:tcPr>
          <w:p>
            <w:r>
              <w:rPr>
                <w:b/>
                <w:color w:val="B40000"/>
                <w:sz w:val="17"/>
              </w:rPr>
              <w:t>-96.56 M FCFA</w:t>
            </w:r>
          </w:p>
        </w:tc>
        <w:tc>
          <w:tcPr>
            <w:tcW w:type="dxa" w:w="5669"/>
            <w:shd w:fill="FFFFFF" w:val="clear"/>
          </w:tcPr>
          <w:p>
            <w:r>
              <w:rPr>
                <w:sz w:val="15"/>
              </w:rPr>
              <w:t>❌ Perte nette de 96.56 M FCFA — impact négatif sur les fonds propres et impossibilité de distribuer des dividendes.</w:t>
            </w:r>
          </w:p>
        </w:tc>
      </w:tr>
      <w:tr>
        <w:tc>
          <w:tcPr>
            <w:tcW w:type="dxa" w:w="2268"/>
            <w:shd w:fill="EEF2F7" w:val="clear"/>
          </w:tcPr>
          <w:p>
            <w:r>
              <w:rPr>
                <w:b/>
                <w:sz w:val="15"/>
              </w:rPr>
              <w:t>Taux croissance CA/PNB</w:t>
            </w:r>
          </w:p>
        </w:tc>
        <w:tc>
          <w:tcPr>
            <w:tcW w:type="dxa" w:w="1984"/>
            <w:shd w:fill="C6EFCE" w:val="clear"/>
          </w:tcPr>
          <w:p>
            <w:r>
              <w:rPr>
                <w:b/>
                <w:color w:val="007800"/>
                <w:sz w:val="17"/>
              </w:rPr>
              <w:t>116.26%</w:t>
            </w:r>
          </w:p>
        </w:tc>
        <w:tc>
          <w:tcPr>
            <w:tcW w:type="dxa" w:w="5669"/>
            <w:shd w:fill="FFFFFF" w:val="clear"/>
          </w:tcPr>
          <w:p>
            <w:r>
              <w:rPr>
                <w:sz w:val="15"/>
              </w:rPr>
              <w:t>✅ Croissance de 116.3%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6.55%</w:t>
            </w:r>
          </w:p>
        </w:tc>
        <w:tc>
          <w:tcPr>
            <w:tcW w:type="dxa" w:w="5669"/>
            <w:shd w:fill="FFFFFF" w:val="clear"/>
          </w:tcPr>
          <w:p>
            <w:r>
              <w:rPr>
                <w:sz w:val="15"/>
              </w:rPr>
              <w:t>❌ Autonomie très faible (6.6%)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93.45%</w:t>
            </w:r>
          </w:p>
        </w:tc>
        <w:tc>
          <w:tcPr>
            <w:tcW w:type="dxa" w:w="5669"/>
            <w:shd w:fill="FFFFFF" w:val="clear"/>
          </w:tcPr>
          <w:p>
            <w:r>
              <w:rPr>
                <w:sz w:val="15"/>
              </w:rPr>
              <w:t>✅ Gearing de 93%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107.01%</w:t>
            </w:r>
          </w:p>
        </w:tc>
        <w:tc>
          <w:tcPr>
            <w:tcW w:type="dxa" w:w="5669"/>
            <w:shd w:fill="FFFFFF" w:val="clear"/>
          </w:tcPr>
          <w:p>
            <w:r>
              <w:rPr>
                <w:sz w:val="15"/>
              </w:rPr>
              <w:t>⚠️ Solvabilité limite (107%)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108.64%</w:t>
            </w:r>
          </w:p>
        </w:tc>
        <w:tc>
          <w:tcPr>
            <w:tcW w:type="dxa" w:w="5669"/>
            <w:shd w:fill="FFFFFF" w:val="clear"/>
          </w:tcPr>
          <w:p>
            <w:r>
              <w:rPr>
                <w:sz w:val="15"/>
              </w:rPr>
              <w:t>⚠️ Liquidité générale limite (108.64x) — couverture juste suffisante.</w:t>
            </w:r>
          </w:p>
        </w:tc>
      </w:tr>
      <w:tr>
        <w:tc>
          <w:tcPr>
            <w:tcW w:type="dxa" w:w="2268"/>
            <w:shd w:fill="EEF2F7" w:val="clear"/>
          </w:tcPr>
          <w:p>
            <w:r>
              <w:rPr>
                <w:b/>
                <w:sz w:val="15"/>
              </w:rPr>
              <w:t>Marge opérationnelle</w:t>
            </w:r>
          </w:p>
        </w:tc>
        <w:tc>
          <w:tcPr>
            <w:tcW w:type="dxa" w:w="1984"/>
            <w:shd w:fill="FFC7CE" w:val="clear"/>
          </w:tcPr>
          <w:p>
            <w:r>
              <w:rPr>
                <w:b/>
                <w:color w:val="B40000"/>
                <w:sz w:val="17"/>
              </w:rPr>
              <w:t>-19.90%</w:t>
            </w:r>
          </w:p>
        </w:tc>
        <w:tc>
          <w:tcPr>
            <w:tcW w:type="dxa" w:w="5669"/>
            <w:shd w:fill="FFFFFF" w:val="clear"/>
          </w:tcPr>
          <w:p>
            <w:r>
              <w:rPr>
                <w:sz w:val="15"/>
              </w:rPr>
              <w:t>❌ Marge opérationnelle négative (-19.9%) — l'activité principale est déficitaire.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SDSC</w:t>
            </w:r>
          </w:p>
        </w:tc>
        <w:tc>
          <w:tcPr>
            <w:tcW w:type="dxa" w:w="1728"/>
            <w:shd w:fill="C6EFCE" w:val="clear"/>
          </w:tcPr>
          <w:p>
            <w:r>
              <w:rPr>
                <w:color w:val="006400"/>
                <w:sz w:val="16"/>
              </w:rPr>
              <w:t>27.08%</w:t>
            </w:r>
          </w:p>
        </w:tc>
        <w:tc>
          <w:tcPr>
            <w:tcW w:type="dxa" w:w="1728"/>
            <w:shd w:fill="FFC7CE" w:val="clear"/>
          </w:tcPr>
          <w:p>
            <w:r>
              <w:rPr>
                <w:b/>
                <w:color w:val="B40000"/>
                <w:sz w:val="16"/>
              </w:rPr>
              <w:t>STAC</w:t>
            </w:r>
          </w:p>
        </w:tc>
        <w:tc>
          <w:tcPr>
            <w:tcW w:type="dxa" w:w="1728"/>
            <w:shd w:fill="FFC7CE" w:val="clear"/>
          </w:tcPr>
          <w:p>
            <w:r>
              <w:rPr>
                <w:color w:val="B40000"/>
                <w:sz w:val="16"/>
              </w:rPr>
              <w:t>-27.07%</w:t>
            </w:r>
          </w:p>
        </w:tc>
      </w:tr>
      <w:tr>
        <w:tc>
          <w:tcPr>
            <w:tcW w:type="dxa" w:w="1728"/>
            <w:shd w:fill="EEF2F7" w:val="clear"/>
          </w:tcPr>
          <w:p>
            <w:r>
              <w:rPr>
                <w:b/>
                <w:sz w:val="16"/>
              </w:rPr>
              <w:t>Marge nette</w:t>
            </w:r>
          </w:p>
        </w:tc>
        <w:tc>
          <w:tcPr>
            <w:tcW w:type="dxa" w:w="1728"/>
            <w:shd w:fill="C6EFCE" w:val="clear"/>
          </w:tcPr>
          <w:p>
            <w:r>
              <w:rPr>
                <w:b/>
                <w:color w:val="006400"/>
                <w:sz w:val="16"/>
              </w:rPr>
              <w:t>SDSC</w:t>
            </w:r>
          </w:p>
        </w:tc>
        <w:tc>
          <w:tcPr>
            <w:tcW w:type="dxa" w:w="1728"/>
            <w:shd w:fill="C6EFCE" w:val="clear"/>
          </w:tcPr>
          <w:p>
            <w:r>
              <w:rPr>
                <w:color w:val="006400"/>
                <w:sz w:val="16"/>
              </w:rPr>
              <w:t>24.60%</w:t>
            </w:r>
          </w:p>
        </w:tc>
        <w:tc>
          <w:tcPr>
            <w:tcW w:type="dxa" w:w="1728"/>
            <w:shd w:fill="FFC7CE" w:val="clear"/>
          </w:tcPr>
          <w:p>
            <w:r>
              <w:rPr>
                <w:b/>
                <w:color w:val="B40000"/>
                <w:sz w:val="16"/>
              </w:rPr>
              <w:t>STAC</w:t>
            </w:r>
          </w:p>
        </w:tc>
        <w:tc>
          <w:tcPr>
            <w:tcW w:type="dxa" w:w="1728"/>
            <w:shd w:fill="FFC7CE" w:val="clear"/>
          </w:tcPr>
          <w:p>
            <w:r>
              <w:rPr>
                <w:color w:val="B40000"/>
                <w:sz w:val="16"/>
              </w:rPr>
              <w:t>-2.49%</w:t>
            </w:r>
          </w:p>
        </w:tc>
      </w:tr>
      <w:tr>
        <w:tc>
          <w:tcPr>
            <w:tcW w:type="dxa" w:w="1728"/>
            <w:shd w:fill="EEF2F7" w:val="clear"/>
          </w:tcPr>
          <w:p>
            <w:r>
              <w:rPr>
                <w:b/>
                <w:sz w:val="16"/>
              </w:rPr>
              <w:t>Croissance CA/PNB</w:t>
            </w:r>
          </w:p>
        </w:tc>
        <w:tc>
          <w:tcPr>
            <w:tcW w:type="dxa" w:w="1728"/>
            <w:shd w:fill="C6EFCE" w:val="clear"/>
          </w:tcPr>
          <w:p>
            <w:r>
              <w:rPr>
                <w:b/>
                <w:color w:val="006400"/>
                <w:sz w:val="16"/>
              </w:rPr>
              <w:t>STAC</w:t>
            </w:r>
          </w:p>
        </w:tc>
        <w:tc>
          <w:tcPr>
            <w:tcW w:type="dxa" w:w="1728"/>
            <w:shd w:fill="C6EFCE" w:val="clear"/>
          </w:tcPr>
          <w:p>
            <w:r>
              <w:rPr>
                <w:color w:val="006400"/>
                <w:sz w:val="16"/>
              </w:rPr>
              <w:t>116.26%</w:t>
            </w:r>
          </w:p>
        </w:tc>
        <w:tc>
          <w:tcPr>
            <w:tcW w:type="dxa" w:w="1728"/>
            <w:shd w:fill="FFC7CE" w:val="clear"/>
          </w:tcPr>
          <w:p>
            <w:r>
              <w:rPr>
                <w:b/>
                <w:color w:val="B40000"/>
                <w:sz w:val="16"/>
              </w:rPr>
              <w:t>SDSC</w:t>
            </w:r>
          </w:p>
        </w:tc>
        <w:tc>
          <w:tcPr>
            <w:tcW w:type="dxa" w:w="1728"/>
            <w:shd w:fill="FFC7CE" w:val="clear"/>
          </w:tcPr>
          <w:p>
            <w:r>
              <w:rPr>
                <w:color w:val="B40000"/>
                <w:sz w:val="16"/>
              </w:rPr>
              <w:t>3.65%</w:t>
            </w:r>
          </w:p>
        </w:tc>
      </w:tr>
      <w:tr>
        <w:tc>
          <w:tcPr>
            <w:tcW w:type="dxa" w:w="1728"/>
            <w:shd w:fill="EEF2F7" w:val="clear"/>
          </w:tcPr>
          <w:p>
            <w:r>
              <w:rPr>
                <w:b/>
                <w:sz w:val="16"/>
              </w:rPr>
              <w:t>Autonomie fin.</w:t>
            </w:r>
          </w:p>
        </w:tc>
        <w:tc>
          <w:tcPr>
            <w:tcW w:type="dxa" w:w="1728"/>
            <w:shd w:fill="C6EFCE" w:val="clear"/>
          </w:tcPr>
          <w:p>
            <w:r>
              <w:rPr>
                <w:b/>
                <w:color w:val="006400"/>
                <w:sz w:val="16"/>
              </w:rPr>
              <w:t>SDSC</w:t>
            </w:r>
          </w:p>
        </w:tc>
        <w:tc>
          <w:tcPr>
            <w:tcW w:type="dxa" w:w="1728"/>
            <w:shd w:fill="C6EFCE" w:val="clear"/>
          </w:tcPr>
          <w:p>
            <w:r>
              <w:rPr>
                <w:color w:val="006400"/>
                <w:sz w:val="16"/>
              </w:rPr>
              <w:t>41.36%</w:t>
            </w:r>
          </w:p>
        </w:tc>
        <w:tc>
          <w:tcPr>
            <w:tcW w:type="dxa" w:w="1728"/>
            <w:shd w:fill="FFC7CE" w:val="clear"/>
          </w:tcPr>
          <w:p>
            <w:r>
              <w:rPr>
                <w:b/>
                <w:color w:val="B40000"/>
                <w:sz w:val="16"/>
              </w:rPr>
              <w:t>STAC</w:t>
            </w:r>
          </w:p>
        </w:tc>
        <w:tc>
          <w:tcPr>
            <w:tcW w:type="dxa" w:w="1728"/>
            <w:shd w:fill="FFC7CE" w:val="clear"/>
          </w:tcPr>
          <w:p>
            <w:r>
              <w:rPr>
                <w:color w:val="B40000"/>
                <w:sz w:val="16"/>
              </w:rPr>
              <w:t>6.55%</w:t>
            </w:r>
          </w:p>
        </w:tc>
      </w:tr>
      <w:tr>
        <w:tc>
          <w:tcPr>
            <w:tcW w:type="dxa" w:w="1728"/>
            <w:shd w:fill="EEF2F7" w:val="clear"/>
          </w:tcPr>
          <w:p>
            <w:r>
              <w:rPr>
                <w:b/>
                <w:sz w:val="16"/>
              </w:rPr>
              <w:t>Liquidité gén.</w:t>
            </w:r>
          </w:p>
        </w:tc>
        <w:tc>
          <w:tcPr>
            <w:tcW w:type="dxa" w:w="1728"/>
            <w:shd w:fill="C6EFCE" w:val="clear"/>
          </w:tcPr>
          <w:p>
            <w:r>
              <w:rPr>
                <w:b/>
                <w:color w:val="006400"/>
                <w:sz w:val="16"/>
              </w:rPr>
              <w:t>CABC</w:t>
            </w:r>
          </w:p>
        </w:tc>
        <w:tc>
          <w:tcPr>
            <w:tcW w:type="dxa" w:w="1728"/>
            <w:shd w:fill="C6EFCE" w:val="clear"/>
          </w:tcPr>
          <w:p>
            <w:r>
              <w:rPr>
                <w:color w:val="006400"/>
                <w:sz w:val="16"/>
              </w:rPr>
              <w:t>242.60%</w:t>
            </w:r>
          </w:p>
        </w:tc>
        <w:tc>
          <w:tcPr>
            <w:tcW w:type="dxa" w:w="1728"/>
            <w:shd w:fill="FFC7CE" w:val="clear"/>
          </w:tcPr>
          <w:p>
            <w:r>
              <w:rPr>
                <w:b/>
                <w:color w:val="B40000"/>
                <w:sz w:val="16"/>
              </w:rPr>
              <w:t>SIVC</w:t>
            </w:r>
          </w:p>
        </w:tc>
        <w:tc>
          <w:tcPr>
            <w:tcW w:type="dxa" w:w="1728"/>
            <w:shd w:fill="FFC7CE" w:val="clear"/>
          </w:tcPr>
          <w:p>
            <w:r>
              <w:rPr>
                <w:color w:val="B40000"/>
                <w:sz w:val="16"/>
              </w:rPr>
              <w:t>61.93%</w:t>
            </w:r>
          </w:p>
        </w:tc>
      </w:tr>
      <w:tr>
        <w:tc>
          <w:tcPr>
            <w:tcW w:type="dxa" w:w="1728"/>
            <w:shd w:fill="EEF2F7" w:val="clear"/>
          </w:tcPr>
          <w:p>
            <w:r>
              <w:rPr>
                <w:b/>
                <w:sz w:val="16"/>
              </w:rPr>
              <w:t>FCF</w:t>
            </w:r>
          </w:p>
        </w:tc>
        <w:tc>
          <w:tcPr>
            <w:tcW w:type="dxa" w:w="1728"/>
            <w:shd w:fill="C6EFCE" w:val="clear"/>
          </w:tcPr>
          <w:p>
            <w:r>
              <w:rPr>
                <w:b/>
                <w:color w:val="006400"/>
                <w:sz w:val="16"/>
              </w:rPr>
              <w:t>SDSC</w:t>
            </w:r>
          </w:p>
        </w:tc>
        <w:tc>
          <w:tcPr>
            <w:tcW w:type="dxa" w:w="1728"/>
            <w:shd w:fill="C6EFCE" w:val="clear"/>
          </w:tcPr>
          <w:p>
            <w:r>
              <w:rPr>
                <w:color w:val="006400"/>
                <w:sz w:val="16"/>
              </w:rPr>
              <w:t>14.417 Mds FCFA</w:t>
            </w:r>
          </w:p>
        </w:tc>
        <w:tc>
          <w:tcPr>
            <w:tcW w:type="dxa" w:w="1728"/>
            <w:shd w:fill="FFC7CE" w:val="clear"/>
          </w:tcPr>
          <w:p>
            <w:r>
              <w:rPr>
                <w:b/>
                <w:color w:val="B40000"/>
                <w:sz w:val="16"/>
              </w:rPr>
              <w:t>CABC</w:t>
            </w:r>
          </w:p>
        </w:tc>
        <w:tc>
          <w:tcPr>
            <w:tcW w:type="dxa" w:w="1728"/>
            <w:shd w:fill="FFC7CE" w:val="clear"/>
          </w:tcPr>
          <w:p>
            <w:r>
              <w:rPr>
                <w:color w:val="B40000"/>
                <w:sz w:val="16"/>
              </w:rPr>
              <w:t>-982.71 M FCFA</w:t>
            </w:r>
          </w:p>
        </w:tc>
      </w:tr>
      <w:tr>
        <w:tc>
          <w:tcPr>
            <w:tcW w:type="dxa" w:w="1728"/>
            <w:shd w:fill="EEF2F7" w:val="clear"/>
          </w:tcPr>
          <w:p>
            <w:r>
              <w:rPr>
                <w:b/>
                <w:sz w:val="16"/>
              </w:rPr>
              <w:t>Coeff. exploit.</w:t>
            </w:r>
          </w:p>
        </w:tc>
        <w:tc>
          <w:tcPr>
            <w:tcW w:type="dxa" w:w="1728"/>
            <w:shd w:fill="C6EFCE" w:val="clear"/>
          </w:tcPr>
          <w:p>
            <w:r>
              <w:rPr>
                <w:b/>
                <w:color w:val="006400"/>
                <w:sz w:val="16"/>
              </w:rPr>
              <w:t>SDSC</w:t>
            </w:r>
          </w:p>
        </w:tc>
        <w:tc>
          <w:tcPr>
            <w:tcW w:type="dxa" w:w="1728"/>
            <w:shd w:fill="C6EFCE" w:val="clear"/>
          </w:tcPr>
          <w:p>
            <w:r>
              <w:rPr>
                <w:color w:val="006400"/>
                <w:sz w:val="16"/>
              </w:rPr>
              <w:t>47.66%</w:t>
            </w:r>
          </w:p>
        </w:tc>
        <w:tc>
          <w:tcPr>
            <w:tcW w:type="dxa" w:w="1728"/>
            <w:shd w:fill="FFC7CE" w:val="clear"/>
          </w:tcPr>
          <w:p>
            <w:r>
              <w:rPr>
                <w:b/>
                <w:color w:val="B40000"/>
                <w:sz w:val="16"/>
              </w:rPr>
              <w:t>FTSC</w:t>
            </w:r>
          </w:p>
        </w:tc>
        <w:tc>
          <w:tcPr>
            <w:tcW w:type="dxa" w:w="1728"/>
            <w:shd w:fill="FFC7CE" w:val="clear"/>
          </w:tcPr>
          <w:p>
            <w:r>
              <w:rPr>
                <w:color w:val="B40000"/>
                <w:sz w:val="16"/>
              </w:rPr>
              <w:t>116.59%</w:t>
            </w:r>
          </w:p>
        </w:tc>
      </w:tr>
    </w:tbl>
    <w:p/>
    <w:p>
      <w:r>
        <w:br w:type="page"/>
      </w:r>
    </w:p>
    <w:p>
      <w:pPr>
        <w:pStyle w:val="Heading2"/>
      </w:pPr>
      <w:r>
        <w:rPr>
          <w:color w:val="003366"/>
        </w:rPr>
        <w:t>📂 Secteur : SERVICES FINANCIERS</w:t>
      </w:r>
    </w:p>
    <w:p>
      <w:r>
        <w:rPr>
          <w:sz w:val="18"/>
        </w:rPr>
        <w:t>16 société(s) avec données financières sur 16 cotée(s) dans ce secteur. Exercice(s) analysé(s) : 2025, 2025, 2025, 2025, 2025, 2025, 2025, 2025, 2025, 2025, 2025, 2025, 2025,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2551"/>
            <w:shd w:fill="1F4E79" w:val="clear"/>
          </w:tcPr>
          <w:p>
            <w:r>
              <w:rPr>
                <w:b/>
                <w:color w:val="FFFFFF"/>
                <w:sz w:val="16"/>
              </w:rPr>
              <w:t>Indicateur</w:t>
            </w:r>
          </w:p>
        </w:tc>
        <w:tc>
          <w:tcPr>
            <w:tcW w:type="dxa" w:w="461"/>
            <w:shd w:fill="1F4E79" w:val="clear"/>
          </w:tcPr>
          <w:p>
            <w:r>
              <w:rPr>
                <w:b/>
                <w:color w:val="FFFFFF"/>
                <w:sz w:val="15"/>
              </w:rPr>
              <w:t>BICB (2025)</w:t>
            </w:r>
          </w:p>
        </w:tc>
        <w:tc>
          <w:tcPr>
            <w:tcW w:type="dxa" w:w="461"/>
            <w:shd w:fill="1F4E79" w:val="clear"/>
          </w:tcPr>
          <w:p>
            <w:r>
              <w:rPr>
                <w:b/>
                <w:color w:val="FFFFFF"/>
                <w:sz w:val="15"/>
              </w:rPr>
              <w:t>BICC (2025)</w:t>
            </w:r>
          </w:p>
        </w:tc>
        <w:tc>
          <w:tcPr>
            <w:tcW w:type="dxa" w:w="461"/>
            <w:shd w:fill="1F4E79" w:val="clear"/>
          </w:tcPr>
          <w:p>
            <w:r>
              <w:rPr>
                <w:b/>
                <w:color w:val="FFFFFF"/>
                <w:sz w:val="15"/>
              </w:rPr>
              <w:t>BOAB (2025)</w:t>
            </w:r>
          </w:p>
        </w:tc>
        <w:tc>
          <w:tcPr>
            <w:tcW w:type="dxa" w:w="461"/>
            <w:shd w:fill="1F4E79" w:val="clear"/>
          </w:tcPr>
          <w:p>
            <w:r>
              <w:rPr>
                <w:b/>
                <w:color w:val="FFFFFF"/>
                <w:sz w:val="15"/>
              </w:rPr>
              <w:t>BOABF (2025)</w:t>
            </w:r>
          </w:p>
        </w:tc>
        <w:tc>
          <w:tcPr>
            <w:tcW w:type="dxa" w:w="461"/>
            <w:shd w:fill="1F4E79" w:val="clear"/>
          </w:tcPr>
          <w:p>
            <w:r>
              <w:rPr>
                <w:b/>
                <w:color w:val="FFFFFF"/>
                <w:sz w:val="15"/>
              </w:rPr>
              <w:t>BOAC (2025)</w:t>
            </w:r>
          </w:p>
        </w:tc>
        <w:tc>
          <w:tcPr>
            <w:tcW w:type="dxa" w:w="461"/>
            <w:shd w:fill="1F4E79" w:val="clear"/>
          </w:tcPr>
          <w:p>
            <w:r>
              <w:rPr>
                <w:b/>
                <w:color w:val="FFFFFF"/>
                <w:sz w:val="15"/>
              </w:rPr>
              <w:t>BOAM (2025)</w:t>
            </w:r>
          </w:p>
        </w:tc>
        <w:tc>
          <w:tcPr>
            <w:tcW w:type="dxa" w:w="461"/>
            <w:shd w:fill="1F4E79" w:val="clear"/>
          </w:tcPr>
          <w:p>
            <w:r>
              <w:rPr>
                <w:b/>
                <w:color w:val="FFFFFF"/>
                <w:sz w:val="15"/>
              </w:rPr>
              <w:t>BOAN (2025)</w:t>
            </w:r>
          </w:p>
        </w:tc>
        <w:tc>
          <w:tcPr>
            <w:tcW w:type="dxa" w:w="461"/>
            <w:shd w:fill="1F4E79" w:val="clear"/>
          </w:tcPr>
          <w:p>
            <w:r>
              <w:rPr>
                <w:b/>
                <w:color w:val="FFFFFF"/>
                <w:sz w:val="15"/>
              </w:rPr>
              <w:t>BOAS (2025)</w:t>
            </w:r>
          </w:p>
        </w:tc>
        <w:tc>
          <w:tcPr>
            <w:tcW w:type="dxa" w:w="461"/>
            <w:shd w:fill="1F4E79" w:val="clear"/>
          </w:tcPr>
          <w:p>
            <w:r>
              <w:rPr>
                <w:b/>
                <w:color w:val="FFFFFF"/>
                <w:sz w:val="15"/>
              </w:rPr>
              <w:t>CBIBF (2025)</w:t>
            </w:r>
          </w:p>
        </w:tc>
        <w:tc>
          <w:tcPr>
            <w:tcW w:type="dxa" w:w="461"/>
            <w:shd w:fill="1F4E79" w:val="clear"/>
          </w:tcPr>
          <w:p>
            <w:r>
              <w:rPr>
                <w:b/>
                <w:color w:val="FFFFFF"/>
                <w:sz w:val="15"/>
              </w:rPr>
              <w:t>ECOC (2025)</w:t>
            </w:r>
          </w:p>
        </w:tc>
        <w:tc>
          <w:tcPr>
            <w:tcW w:type="dxa" w:w="461"/>
            <w:shd w:fill="1F4E79" w:val="clear"/>
          </w:tcPr>
          <w:p>
            <w:r>
              <w:rPr>
                <w:b/>
                <w:color w:val="FFFFFF"/>
                <w:sz w:val="15"/>
              </w:rPr>
              <w:t>ETIT (2025)</w:t>
            </w:r>
          </w:p>
        </w:tc>
        <w:tc>
          <w:tcPr>
            <w:tcW w:type="dxa" w:w="461"/>
            <w:shd w:fill="1F4E79" w:val="clear"/>
          </w:tcPr>
          <w:p>
            <w:r>
              <w:rPr>
                <w:b/>
                <w:color w:val="FFFFFF"/>
                <w:sz w:val="15"/>
              </w:rPr>
              <w:t>NSBC (2025)</w:t>
            </w:r>
          </w:p>
        </w:tc>
        <w:tc>
          <w:tcPr>
            <w:tcW w:type="dxa" w:w="461"/>
            <w:shd w:fill="1F4E79" w:val="clear"/>
          </w:tcPr>
          <w:p>
            <w:r>
              <w:rPr>
                <w:b/>
                <w:color w:val="FFFFFF"/>
                <w:sz w:val="15"/>
              </w:rPr>
              <w:t>ORGT (2025)</w:t>
            </w:r>
          </w:p>
        </w:tc>
        <w:tc>
          <w:tcPr>
            <w:tcW w:type="dxa" w:w="461"/>
            <w:shd w:fill="1F4E79" w:val="clear"/>
          </w:tcPr>
          <w:p>
            <w:r>
              <w:rPr>
                <w:b/>
                <w:color w:val="FFFFFF"/>
                <w:sz w:val="15"/>
              </w:rPr>
              <w:t>SAFC (2025)</w:t>
            </w:r>
          </w:p>
        </w:tc>
        <w:tc>
          <w:tcPr>
            <w:tcW w:type="dxa" w:w="461"/>
            <w:shd w:fill="1F4E79" w:val="clear"/>
          </w:tcPr>
          <w:p>
            <w:r>
              <w:rPr>
                <w:b/>
                <w:color w:val="FFFFFF"/>
                <w:sz w:val="15"/>
              </w:rPr>
              <w:t>SGBC (2025)</w:t>
            </w:r>
          </w:p>
        </w:tc>
        <w:tc>
          <w:tcPr>
            <w:tcW w:type="dxa" w:w="461"/>
            <w:shd w:fill="1F4E79" w:val="clear"/>
          </w:tcPr>
          <w:p>
            <w:r>
              <w:rPr>
                <w:b/>
                <w:color w:val="FFFFFF"/>
                <w:sz w:val="15"/>
              </w:rPr>
              <w:t>SIBC (2025)</w:t>
            </w:r>
          </w:p>
        </w:tc>
      </w:tr>
      <w:tr>
        <w:tc>
          <w:tcPr>
            <w:tcW w:type="dxa" w:w="2551"/>
            <w:shd w:fill="EEF2F7" w:val="clear"/>
          </w:tcPr>
          <w:p>
            <w:r>
              <w:rPr>
                <w:b/>
                <w:sz w:val="15"/>
              </w:rPr>
              <w:t>ROE</w:t>
            </w:r>
          </w:p>
        </w:tc>
        <w:tc>
          <w:tcPr>
            <w:tcW w:type="dxa" w:w="461"/>
            <w:shd w:fill="FFFFFF" w:val="clear"/>
          </w:tcPr>
          <w:p>
            <w:r>
              <w:rPr>
                <w:b/>
                <w:color w:val="000000"/>
                <w:sz w:val="16"/>
              </w:rPr>
              <w:t>26.82%</w:t>
            </w:r>
          </w:p>
        </w:tc>
        <w:tc>
          <w:tcPr>
            <w:tcW w:type="dxa" w:w="461"/>
            <w:shd w:fill="C6EFCE" w:val="clear"/>
          </w:tcPr>
          <w:p>
            <w:r>
              <w:rPr>
                <w:b/>
                <w:color w:val="006400"/>
                <w:sz w:val="16"/>
              </w:rPr>
              <w:t>30.29%</w:t>
            </w:r>
          </w:p>
        </w:tc>
        <w:tc>
          <w:tcPr>
            <w:tcW w:type="dxa" w:w="461"/>
            <w:shd w:fill="FFFFFF" w:val="clear"/>
          </w:tcPr>
          <w:p>
            <w:r>
              <w:rPr>
                <w:b/>
                <w:color w:val="000000"/>
                <w:sz w:val="16"/>
              </w:rPr>
              <w:t>17.11%</w:t>
            </w:r>
          </w:p>
        </w:tc>
        <w:tc>
          <w:tcPr>
            <w:tcW w:type="dxa" w:w="461"/>
            <w:shd w:fill="FFFFFF" w:val="clear"/>
          </w:tcPr>
          <w:p>
            <w:r>
              <w:rPr>
                <w:b/>
                <w:color w:val="000000"/>
                <w:sz w:val="16"/>
              </w:rPr>
              <w:t>15.22%</w:t>
            </w:r>
          </w:p>
        </w:tc>
        <w:tc>
          <w:tcPr>
            <w:tcW w:type="dxa" w:w="461"/>
            <w:shd w:fill="FFFFFF" w:val="clear"/>
          </w:tcPr>
          <w:p>
            <w:r>
              <w:rPr>
                <w:b/>
                <w:color w:val="000000"/>
                <w:sz w:val="16"/>
              </w:rPr>
              <w:t>27.91%</w:t>
            </w:r>
          </w:p>
        </w:tc>
        <w:tc>
          <w:tcPr>
            <w:tcW w:type="dxa" w:w="461"/>
            <w:shd w:fill="FFFFFF" w:val="clear"/>
          </w:tcPr>
          <w:p>
            <w:r>
              <w:rPr>
                <w:b/>
                <w:color w:val="000000"/>
                <w:sz w:val="16"/>
              </w:rPr>
              <w:t>22.24%</w:t>
            </w:r>
          </w:p>
        </w:tc>
        <w:tc>
          <w:tcPr>
            <w:tcW w:type="dxa" w:w="461"/>
            <w:shd w:fill="FFC7CE" w:val="clear"/>
          </w:tcPr>
          <w:p>
            <w:r>
              <w:rPr>
                <w:b/>
                <w:color w:val="B40000"/>
                <w:sz w:val="16"/>
              </w:rPr>
              <w:t>1.13%</w:t>
            </w:r>
          </w:p>
        </w:tc>
        <w:tc>
          <w:tcPr>
            <w:tcW w:type="dxa" w:w="461"/>
            <w:shd w:fill="FFFFFF" w:val="clear"/>
          </w:tcPr>
          <w:p>
            <w:r>
              <w:rPr>
                <w:b/>
                <w:color w:val="000000"/>
                <w:sz w:val="16"/>
              </w:rPr>
              <w:t>22.69%</w:t>
            </w:r>
          </w:p>
        </w:tc>
        <w:tc>
          <w:tcPr>
            <w:tcW w:type="dxa" w:w="461"/>
            <w:shd w:fill="F2F2F2" w:val="clear"/>
          </w:tcPr>
          <w:p>
            <w:r>
              <w:rPr>
                <w:b/>
                <w:sz w:val="16"/>
              </w:rPr>
              <w:t>N/D</w:t>
            </w:r>
          </w:p>
        </w:tc>
        <w:tc>
          <w:tcPr>
            <w:tcW w:type="dxa" w:w="461"/>
            <w:shd w:fill="FFFFFF" w:val="clear"/>
          </w:tcPr>
          <w:p>
            <w:r>
              <w:rPr>
                <w:b/>
                <w:color w:val="000000"/>
                <w:sz w:val="16"/>
              </w:rPr>
              <w:t>29.04%</w:t>
            </w:r>
          </w:p>
        </w:tc>
        <w:tc>
          <w:tcPr>
            <w:tcW w:type="dxa" w:w="461"/>
            <w:shd w:fill="FFFFFF" w:val="clear"/>
          </w:tcPr>
          <w:p>
            <w:r>
              <w:rPr>
                <w:b/>
                <w:color w:val="000000"/>
                <w:sz w:val="16"/>
              </w:rPr>
              <w:t>21.62%</w:t>
            </w:r>
          </w:p>
        </w:tc>
        <w:tc>
          <w:tcPr>
            <w:tcW w:type="dxa" w:w="461"/>
            <w:shd w:fill="FFFFFF" w:val="clear"/>
          </w:tcPr>
          <w:p>
            <w:r>
              <w:rPr>
                <w:b/>
                <w:color w:val="000000"/>
                <w:sz w:val="16"/>
              </w:rPr>
              <w:t>17.45%</w:t>
            </w:r>
          </w:p>
        </w:tc>
        <w:tc>
          <w:tcPr>
            <w:tcW w:type="dxa" w:w="461"/>
            <w:shd w:fill="FFFFFF" w:val="clear"/>
          </w:tcPr>
          <w:p>
            <w:r>
              <w:rPr>
                <w:b/>
                <w:color w:val="000000"/>
                <w:sz w:val="16"/>
              </w:rPr>
              <w:t>19.13%</w:t>
            </w:r>
          </w:p>
        </w:tc>
        <w:tc>
          <w:tcPr>
            <w:tcW w:type="dxa" w:w="461"/>
            <w:shd w:fill="FFFFFF" w:val="clear"/>
          </w:tcPr>
          <w:p>
            <w:r>
              <w:rPr>
                <w:b/>
                <w:color w:val="000000"/>
                <w:sz w:val="16"/>
              </w:rPr>
              <w:t>11.85%</w:t>
            </w:r>
          </w:p>
        </w:tc>
        <w:tc>
          <w:tcPr>
            <w:tcW w:type="dxa" w:w="461"/>
            <w:shd w:fill="FFFFFF" w:val="clear"/>
          </w:tcPr>
          <w:p>
            <w:r>
              <w:rPr>
                <w:b/>
                <w:color w:val="000000"/>
                <w:sz w:val="16"/>
              </w:rPr>
              <w:t>20.47%</w:t>
            </w:r>
          </w:p>
        </w:tc>
        <w:tc>
          <w:tcPr>
            <w:tcW w:type="dxa" w:w="461"/>
            <w:shd w:fill="FFFFFF" w:val="clear"/>
          </w:tcPr>
          <w:p>
            <w:r>
              <w:rPr>
                <w:b/>
                <w:color w:val="000000"/>
                <w:sz w:val="16"/>
              </w:rPr>
              <w:t>27.16%</w:t>
            </w:r>
          </w:p>
        </w:tc>
      </w:tr>
      <w:tr>
        <w:tc>
          <w:tcPr>
            <w:tcW w:type="dxa" w:w="2551"/>
            <w:shd w:fill="EEF2F7" w:val="clear"/>
          </w:tcPr>
          <w:p>
            <w:r>
              <w:rPr>
                <w:b/>
                <w:sz w:val="15"/>
              </w:rPr>
              <w:t>ROA</w:t>
            </w:r>
          </w:p>
        </w:tc>
        <w:tc>
          <w:tcPr>
            <w:tcW w:type="dxa" w:w="461"/>
            <w:shd w:fill="FFFFFF" w:val="clear"/>
          </w:tcPr>
          <w:p>
            <w:r>
              <w:rPr>
                <w:b/>
                <w:color w:val="000000"/>
                <w:sz w:val="16"/>
              </w:rPr>
              <w:t>1.96%</w:t>
            </w:r>
          </w:p>
        </w:tc>
        <w:tc>
          <w:tcPr>
            <w:tcW w:type="dxa" w:w="461"/>
            <w:shd w:fill="C6EFCE" w:val="clear"/>
          </w:tcPr>
          <w:p>
            <w:r>
              <w:rPr>
                <w:b/>
                <w:color w:val="006400"/>
                <w:sz w:val="16"/>
              </w:rPr>
              <w:t>3.24%</w:t>
            </w:r>
          </w:p>
        </w:tc>
        <w:tc>
          <w:tcPr>
            <w:tcW w:type="dxa" w:w="461"/>
            <w:shd w:fill="FFFFFF" w:val="clear"/>
          </w:tcPr>
          <w:p>
            <w:r>
              <w:rPr>
                <w:b/>
                <w:color w:val="000000"/>
                <w:sz w:val="16"/>
              </w:rPr>
              <w:t>2.08%</w:t>
            </w:r>
          </w:p>
        </w:tc>
        <w:tc>
          <w:tcPr>
            <w:tcW w:type="dxa" w:w="461"/>
            <w:shd w:fill="FFFFFF" w:val="clear"/>
          </w:tcPr>
          <w:p>
            <w:r>
              <w:rPr>
                <w:b/>
                <w:color w:val="000000"/>
                <w:sz w:val="16"/>
              </w:rPr>
              <w:t>1.68%</w:t>
            </w:r>
          </w:p>
        </w:tc>
        <w:tc>
          <w:tcPr>
            <w:tcW w:type="dxa" w:w="461"/>
            <w:shd w:fill="FFFFFF" w:val="clear"/>
          </w:tcPr>
          <w:p>
            <w:r>
              <w:rPr>
                <w:b/>
                <w:color w:val="000000"/>
                <w:sz w:val="16"/>
              </w:rPr>
              <w:t>3.22%</w:t>
            </w:r>
          </w:p>
        </w:tc>
        <w:tc>
          <w:tcPr>
            <w:tcW w:type="dxa" w:w="461"/>
            <w:shd w:fill="FFFFFF" w:val="clear"/>
          </w:tcPr>
          <w:p>
            <w:r>
              <w:rPr>
                <w:b/>
                <w:color w:val="000000"/>
                <w:sz w:val="16"/>
              </w:rPr>
              <w:t>1.87%</w:t>
            </w:r>
          </w:p>
        </w:tc>
        <w:tc>
          <w:tcPr>
            <w:tcW w:type="dxa" w:w="461"/>
            <w:shd w:fill="FFC7CE" w:val="clear"/>
          </w:tcPr>
          <w:p>
            <w:r>
              <w:rPr>
                <w:b/>
                <w:color w:val="B40000"/>
                <w:sz w:val="16"/>
              </w:rPr>
              <w:t>0.14%</w:t>
            </w:r>
          </w:p>
        </w:tc>
        <w:tc>
          <w:tcPr>
            <w:tcW w:type="dxa" w:w="461"/>
            <w:shd w:fill="FFFFFF" w:val="clear"/>
          </w:tcPr>
          <w:p>
            <w:r>
              <w:rPr>
                <w:b/>
                <w:color w:val="000000"/>
                <w:sz w:val="16"/>
              </w:rPr>
              <w:t>2.62%</w:t>
            </w:r>
          </w:p>
        </w:tc>
        <w:tc>
          <w:tcPr>
            <w:tcW w:type="dxa" w:w="461"/>
            <w:shd w:fill="FFFFFF" w:val="clear"/>
          </w:tcPr>
          <w:p>
            <w:r>
              <w:rPr>
                <w:b/>
                <w:color w:val="000000"/>
                <w:sz w:val="16"/>
              </w:rPr>
              <w:t>2.18%</w:t>
            </w:r>
          </w:p>
        </w:tc>
        <w:tc>
          <w:tcPr>
            <w:tcW w:type="dxa" w:w="461"/>
            <w:shd w:fill="FFFFFF" w:val="clear"/>
          </w:tcPr>
          <w:p>
            <w:r>
              <w:rPr>
                <w:b/>
                <w:color w:val="000000"/>
                <w:sz w:val="16"/>
              </w:rPr>
              <w:t>3.09%</w:t>
            </w:r>
          </w:p>
        </w:tc>
        <w:tc>
          <w:tcPr>
            <w:tcW w:type="dxa" w:w="461"/>
            <w:shd w:fill="FFFFFF" w:val="clear"/>
          </w:tcPr>
          <w:p>
            <w:r>
              <w:rPr>
                <w:b/>
                <w:color w:val="000000"/>
                <w:sz w:val="16"/>
              </w:rPr>
              <w:t>1.80%</w:t>
            </w:r>
          </w:p>
        </w:tc>
        <w:tc>
          <w:tcPr>
            <w:tcW w:type="dxa" w:w="461"/>
            <w:shd w:fill="FFFFFF" w:val="clear"/>
          </w:tcPr>
          <w:p>
            <w:r>
              <w:rPr>
                <w:b/>
                <w:color w:val="000000"/>
                <w:sz w:val="16"/>
              </w:rPr>
              <w:t>1.32%</w:t>
            </w:r>
          </w:p>
        </w:tc>
        <w:tc>
          <w:tcPr>
            <w:tcW w:type="dxa" w:w="461"/>
            <w:shd w:fill="FFFFFF" w:val="clear"/>
          </w:tcPr>
          <w:p>
            <w:r>
              <w:rPr>
                <w:b/>
                <w:color w:val="000000"/>
                <w:sz w:val="16"/>
              </w:rPr>
              <w:t>0.54%</w:t>
            </w:r>
          </w:p>
        </w:tc>
        <w:tc>
          <w:tcPr>
            <w:tcW w:type="dxa" w:w="461"/>
            <w:shd w:fill="FFFFFF" w:val="clear"/>
          </w:tcPr>
          <w:p>
            <w:r>
              <w:rPr>
                <w:b/>
                <w:color w:val="000000"/>
                <w:sz w:val="16"/>
              </w:rPr>
              <w:t>0.88%</w:t>
            </w:r>
          </w:p>
        </w:tc>
        <w:tc>
          <w:tcPr>
            <w:tcW w:type="dxa" w:w="461"/>
            <w:shd w:fill="FFFFFF" w:val="clear"/>
          </w:tcPr>
          <w:p>
            <w:r>
              <w:rPr>
                <w:b/>
                <w:color w:val="000000"/>
                <w:sz w:val="16"/>
              </w:rPr>
              <w:t>2.69%</w:t>
            </w:r>
          </w:p>
        </w:tc>
        <w:tc>
          <w:tcPr>
            <w:tcW w:type="dxa" w:w="461"/>
            <w:shd w:fill="FFFFFF" w:val="clear"/>
          </w:tcPr>
          <w:p>
            <w:r>
              <w:rPr>
                <w:b/>
                <w:color w:val="000000"/>
                <w:sz w:val="16"/>
              </w:rPr>
              <w:t>2.96%</w:t>
            </w:r>
          </w:p>
        </w:tc>
      </w:tr>
      <w:tr>
        <w:tc>
          <w:tcPr>
            <w:tcW w:type="dxa" w:w="2551"/>
            <w:shd w:fill="EEF2F7" w:val="clear"/>
          </w:tcPr>
          <w:p>
            <w:r>
              <w:rPr>
                <w:b/>
                <w:sz w:val="15"/>
              </w:rPr>
              <w:t>Marge nette</w:t>
            </w:r>
          </w:p>
        </w:tc>
        <w:tc>
          <w:tcPr>
            <w:tcW w:type="dxa" w:w="461"/>
            <w:shd w:fill="C6EFCE" w:val="clear"/>
          </w:tcPr>
          <w:p>
            <w:r>
              <w:rPr>
                <w:b/>
                <w:color w:val="006400"/>
                <w:sz w:val="16"/>
              </w:rPr>
              <w:t>68.62%</w:t>
            </w:r>
          </w:p>
        </w:tc>
        <w:tc>
          <w:tcPr>
            <w:tcW w:type="dxa" w:w="461"/>
            <w:shd w:fill="FFFFFF" w:val="clear"/>
          </w:tcPr>
          <w:p>
            <w:r>
              <w:rPr>
                <w:b/>
                <w:color w:val="000000"/>
                <w:sz w:val="16"/>
              </w:rPr>
              <w:t>45.90%</w:t>
            </w:r>
          </w:p>
        </w:tc>
        <w:tc>
          <w:tcPr>
            <w:tcW w:type="dxa" w:w="461"/>
            <w:shd w:fill="FFFFFF" w:val="clear"/>
          </w:tcPr>
          <w:p>
            <w:r>
              <w:rPr>
                <w:b/>
                <w:color w:val="000000"/>
                <w:sz w:val="16"/>
              </w:rPr>
              <w:t>39.22%</w:t>
            </w:r>
          </w:p>
        </w:tc>
        <w:tc>
          <w:tcPr>
            <w:tcW w:type="dxa" w:w="461"/>
            <w:shd w:fill="FFFFFF" w:val="clear"/>
          </w:tcPr>
          <w:p>
            <w:r>
              <w:rPr>
                <w:b/>
                <w:color w:val="000000"/>
                <w:sz w:val="16"/>
              </w:rPr>
              <w:t>33.30%</w:t>
            </w:r>
          </w:p>
        </w:tc>
        <w:tc>
          <w:tcPr>
            <w:tcW w:type="dxa" w:w="461"/>
            <w:shd w:fill="FFFFFF" w:val="clear"/>
          </w:tcPr>
          <w:p>
            <w:r>
              <w:rPr>
                <w:b/>
                <w:color w:val="000000"/>
                <w:sz w:val="16"/>
              </w:rPr>
              <w:t>48.32%</w:t>
            </w:r>
          </w:p>
        </w:tc>
        <w:tc>
          <w:tcPr>
            <w:tcW w:type="dxa" w:w="461"/>
            <w:shd w:fill="FFFFFF" w:val="clear"/>
          </w:tcPr>
          <w:p>
            <w:r>
              <w:rPr>
                <w:b/>
                <w:color w:val="000000"/>
                <w:sz w:val="16"/>
              </w:rPr>
              <w:t>29.16%</w:t>
            </w:r>
          </w:p>
        </w:tc>
        <w:tc>
          <w:tcPr>
            <w:tcW w:type="dxa" w:w="461"/>
            <w:shd w:fill="FFC7CE" w:val="clear"/>
          </w:tcPr>
          <w:p>
            <w:r>
              <w:rPr>
                <w:b/>
                <w:color w:val="B40000"/>
                <w:sz w:val="16"/>
              </w:rPr>
              <w:t>1.94%</w:t>
            </w:r>
          </w:p>
        </w:tc>
        <w:tc>
          <w:tcPr>
            <w:tcW w:type="dxa" w:w="461"/>
            <w:shd w:fill="FFFFFF" w:val="clear"/>
          </w:tcPr>
          <w:p>
            <w:r>
              <w:rPr>
                <w:b/>
                <w:color w:val="000000"/>
                <w:sz w:val="16"/>
              </w:rPr>
              <w:t>42.19%</w:t>
            </w:r>
          </w:p>
        </w:tc>
        <w:tc>
          <w:tcPr>
            <w:tcW w:type="dxa" w:w="461"/>
            <w:shd w:fill="FFFFFF" w:val="clear"/>
          </w:tcPr>
          <w:p>
            <w:r>
              <w:rPr>
                <w:b/>
                <w:color w:val="000000"/>
                <w:sz w:val="16"/>
              </w:rPr>
              <w:t>47.12%</w:t>
            </w:r>
          </w:p>
        </w:tc>
        <w:tc>
          <w:tcPr>
            <w:tcW w:type="dxa" w:w="461"/>
            <w:shd w:fill="FFFFFF" w:val="clear"/>
          </w:tcPr>
          <w:p>
            <w:r>
              <w:rPr>
                <w:b/>
                <w:color w:val="000000"/>
                <w:sz w:val="16"/>
              </w:rPr>
              <w:t>47.83%</w:t>
            </w:r>
          </w:p>
        </w:tc>
        <w:tc>
          <w:tcPr>
            <w:tcW w:type="dxa" w:w="461"/>
            <w:shd w:fill="FFFFFF" w:val="clear"/>
          </w:tcPr>
          <w:p>
            <w:r>
              <w:rPr>
                <w:b/>
                <w:color w:val="000000"/>
                <w:sz w:val="16"/>
              </w:rPr>
              <w:t>24.26%</w:t>
            </w:r>
          </w:p>
        </w:tc>
        <w:tc>
          <w:tcPr>
            <w:tcW w:type="dxa" w:w="461"/>
            <w:shd w:fill="FFFFFF" w:val="clear"/>
          </w:tcPr>
          <w:p>
            <w:r>
              <w:rPr>
                <w:b/>
                <w:color w:val="000000"/>
                <w:sz w:val="16"/>
              </w:rPr>
              <w:t>36.05%</w:t>
            </w:r>
          </w:p>
        </w:tc>
        <w:tc>
          <w:tcPr>
            <w:tcW w:type="dxa" w:w="461"/>
            <w:shd w:fill="FFFFFF" w:val="clear"/>
          </w:tcPr>
          <w:p>
            <w:r>
              <w:rPr>
                <w:b/>
                <w:color w:val="000000"/>
                <w:sz w:val="16"/>
              </w:rPr>
              <w:t>11.60%</w:t>
            </w:r>
          </w:p>
        </w:tc>
        <w:tc>
          <w:tcPr>
            <w:tcW w:type="dxa" w:w="461"/>
            <w:shd w:fill="FFFFFF" w:val="clear"/>
          </w:tcPr>
          <w:p>
            <w:r>
              <w:rPr>
                <w:b/>
                <w:color w:val="000000"/>
                <w:sz w:val="16"/>
              </w:rPr>
              <w:t>12.22%</w:t>
            </w:r>
          </w:p>
        </w:tc>
        <w:tc>
          <w:tcPr>
            <w:tcW w:type="dxa" w:w="461"/>
            <w:shd w:fill="FFFFFF" w:val="clear"/>
          </w:tcPr>
          <w:p>
            <w:r>
              <w:rPr>
                <w:b/>
                <w:color w:val="000000"/>
                <w:sz w:val="16"/>
              </w:rPr>
              <w:t>36.72%</w:t>
            </w:r>
          </w:p>
        </w:tc>
        <w:tc>
          <w:tcPr>
            <w:tcW w:type="dxa" w:w="461"/>
            <w:shd w:fill="FFFFFF" w:val="clear"/>
          </w:tcPr>
          <w:p>
            <w:r>
              <w:rPr>
                <w:b/>
                <w:color w:val="000000"/>
                <w:sz w:val="16"/>
              </w:rPr>
              <w:t>51.19%</w:t>
            </w:r>
          </w:p>
        </w:tc>
      </w:tr>
      <w:tr>
        <w:tc>
          <w:tcPr>
            <w:tcW w:type="dxa" w:w="2551"/>
            <w:shd w:fill="EEF2F7" w:val="clear"/>
          </w:tcPr>
          <w:p>
            <w:r>
              <w:rPr>
                <w:b/>
                <w:sz w:val="15"/>
              </w:rPr>
              <w:t>Résultat net</w:t>
            </w:r>
          </w:p>
        </w:tc>
        <w:tc>
          <w:tcPr>
            <w:tcW w:type="dxa" w:w="461"/>
            <w:shd w:fill="FFFFFF" w:val="clear"/>
          </w:tcPr>
          <w:p>
            <w:r>
              <w:rPr>
                <w:b/>
                <w:color w:val="000000"/>
                <w:sz w:val="16"/>
              </w:rPr>
              <w:t>36.237 Mds FCFA</w:t>
            </w:r>
          </w:p>
        </w:tc>
        <w:tc>
          <w:tcPr>
            <w:tcW w:type="dxa" w:w="461"/>
            <w:shd w:fill="FFFFFF" w:val="clear"/>
          </w:tcPr>
          <w:p>
            <w:r>
              <w:rPr>
                <w:b/>
                <w:color w:val="000000"/>
                <w:sz w:val="16"/>
              </w:rPr>
              <w:t>36.520 Mds FCFA</w:t>
            </w:r>
          </w:p>
        </w:tc>
        <w:tc>
          <w:tcPr>
            <w:tcW w:type="dxa" w:w="461"/>
            <w:shd w:fill="FFFFFF" w:val="clear"/>
          </w:tcPr>
          <w:p>
            <w:r>
              <w:rPr>
                <w:b/>
                <w:color w:val="000000"/>
                <w:sz w:val="16"/>
              </w:rPr>
              <w:t>20.107 Mds FCFA</w:t>
            </w:r>
          </w:p>
        </w:tc>
        <w:tc>
          <w:tcPr>
            <w:tcW w:type="dxa" w:w="461"/>
            <w:shd w:fill="FFFFFF" w:val="clear"/>
          </w:tcPr>
          <w:p>
            <w:r>
              <w:rPr>
                <w:b/>
                <w:color w:val="000000"/>
                <w:sz w:val="16"/>
              </w:rPr>
              <w:t>19.252 Mds FCFA</w:t>
            </w:r>
          </w:p>
        </w:tc>
        <w:tc>
          <w:tcPr>
            <w:tcW w:type="dxa" w:w="461"/>
            <w:shd w:fill="FFFFFF" w:val="clear"/>
          </w:tcPr>
          <w:p>
            <w:r>
              <w:rPr>
                <w:b/>
                <w:color w:val="000000"/>
                <w:sz w:val="16"/>
              </w:rPr>
              <w:t>35.540 Mds FCFA</w:t>
            </w:r>
          </w:p>
        </w:tc>
        <w:tc>
          <w:tcPr>
            <w:tcW w:type="dxa" w:w="461"/>
            <w:shd w:fill="FFFFFF" w:val="clear"/>
          </w:tcPr>
          <w:p>
            <w:r>
              <w:rPr>
                <w:b/>
                <w:color w:val="000000"/>
                <w:sz w:val="16"/>
              </w:rPr>
              <w:t>11.081 Mds FCFA</w:t>
            </w:r>
          </w:p>
        </w:tc>
        <w:tc>
          <w:tcPr>
            <w:tcW w:type="dxa" w:w="461"/>
            <w:shd w:fill="FFC7CE" w:val="clear"/>
          </w:tcPr>
          <w:p>
            <w:r>
              <w:rPr>
                <w:b/>
                <w:color w:val="B40000"/>
                <w:sz w:val="16"/>
              </w:rPr>
              <w:t>409.00 M FCFA</w:t>
            </w:r>
          </w:p>
        </w:tc>
        <w:tc>
          <w:tcPr>
            <w:tcW w:type="dxa" w:w="461"/>
            <w:shd w:fill="FFFFFF" w:val="clear"/>
          </w:tcPr>
          <w:p>
            <w:r>
              <w:rPr>
                <w:b/>
                <w:color w:val="000000"/>
                <w:sz w:val="16"/>
              </w:rPr>
              <w:t>21.905 Mds FCFA</w:t>
            </w:r>
          </w:p>
        </w:tc>
        <w:tc>
          <w:tcPr>
            <w:tcW w:type="dxa" w:w="461"/>
            <w:shd w:fill="FFFFFF" w:val="clear"/>
          </w:tcPr>
          <w:p>
            <w:r>
              <w:rPr>
                <w:b/>
                <w:color w:val="000000"/>
                <w:sz w:val="16"/>
              </w:rPr>
              <w:t>65.495 Mds FCFA</w:t>
            </w:r>
          </w:p>
        </w:tc>
        <w:tc>
          <w:tcPr>
            <w:tcW w:type="dxa" w:w="461"/>
            <w:shd w:fill="FFFFFF" w:val="clear"/>
          </w:tcPr>
          <w:p>
            <w:r>
              <w:rPr>
                <w:b/>
                <w:color w:val="000000"/>
                <w:sz w:val="16"/>
              </w:rPr>
              <w:t>63.482 Mds FCFA</w:t>
            </w:r>
          </w:p>
        </w:tc>
        <w:tc>
          <w:tcPr>
            <w:tcW w:type="dxa" w:w="461"/>
            <w:shd w:fill="C6EFCE" w:val="clear"/>
          </w:tcPr>
          <w:p>
            <w:r>
              <w:rPr>
                <w:b/>
                <w:color w:val="006400"/>
                <w:sz w:val="16"/>
              </w:rPr>
              <w:t>345.523 Mds FCFA</w:t>
            </w:r>
          </w:p>
        </w:tc>
        <w:tc>
          <w:tcPr>
            <w:tcW w:type="dxa" w:w="461"/>
            <w:shd w:fill="FFFFFF" w:val="clear"/>
          </w:tcPr>
          <w:p>
            <w:r>
              <w:rPr>
                <w:b/>
                <w:color w:val="000000"/>
                <w:sz w:val="16"/>
              </w:rPr>
              <w:t>40.712 Mds FCFA</w:t>
            </w:r>
          </w:p>
        </w:tc>
        <w:tc>
          <w:tcPr>
            <w:tcW w:type="dxa" w:w="461"/>
            <w:shd w:fill="FFFFFF" w:val="clear"/>
          </w:tcPr>
          <w:p>
            <w:r>
              <w:rPr>
                <w:b/>
                <w:color w:val="000000"/>
                <w:sz w:val="16"/>
              </w:rPr>
              <w:t>21.643 Mds FCFA</w:t>
            </w:r>
          </w:p>
        </w:tc>
        <w:tc>
          <w:tcPr>
            <w:tcW w:type="dxa" w:w="461"/>
            <w:shd w:fill="FFFFFF" w:val="clear"/>
          </w:tcPr>
          <w:p>
            <w:r>
              <w:rPr>
                <w:b/>
                <w:color w:val="000000"/>
                <w:sz w:val="16"/>
              </w:rPr>
              <w:t>701.00 M FCFA</w:t>
            </w:r>
          </w:p>
        </w:tc>
        <w:tc>
          <w:tcPr>
            <w:tcW w:type="dxa" w:w="461"/>
            <w:shd w:fill="FFFFFF" w:val="clear"/>
          </w:tcPr>
          <w:p>
            <w:r>
              <w:rPr>
                <w:b/>
                <w:color w:val="000000"/>
                <w:sz w:val="16"/>
              </w:rPr>
              <w:t>101.352 Mds FCFA</w:t>
            </w:r>
          </w:p>
        </w:tc>
        <w:tc>
          <w:tcPr>
            <w:tcW w:type="dxa" w:w="461"/>
            <w:shd w:fill="FFFFFF" w:val="clear"/>
          </w:tcPr>
          <w:p>
            <w:r>
              <w:rPr>
                <w:b/>
                <w:color w:val="000000"/>
                <w:sz w:val="16"/>
              </w:rPr>
              <w:t>55.623 Mds FCFA</w:t>
            </w:r>
          </w:p>
        </w:tc>
      </w:tr>
      <w:tr>
        <w:tc>
          <w:tcPr>
            <w:tcW w:type="dxa" w:w="2551"/>
            <w:shd w:fill="EEF2F7" w:val="clear"/>
          </w:tcPr>
          <w:p>
            <w:r>
              <w:rPr>
                <w:b/>
                <w:sz w:val="15"/>
              </w:rPr>
              <w:t>Taux croissance CA/PNB</w:t>
            </w:r>
          </w:p>
        </w:tc>
        <w:tc>
          <w:tcPr>
            <w:tcW w:type="dxa" w:w="461"/>
            <w:shd w:fill="FFFFFF" w:val="clear"/>
          </w:tcPr>
          <w:p>
            <w:r>
              <w:rPr>
                <w:b/>
                <w:color w:val="000000"/>
                <w:sz w:val="16"/>
              </w:rPr>
              <w:t>16.49%</w:t>
            </w:r>
          </w:p>
        </w:tc>
        <w:tc>
          <w:tcPr>
            <w:tcW w:type="dxa" w:w="461"/>
            <w:shd w:fill="FFFFFF" w:val="clear"/>
          </w:tcPr>
          <w:p>
            <w:r>
              <w:rPr>
                <w:b/>
                <w:color w:val="000000"/>
                <w:sz w:val="16"/>
              </w:rPr>
              <w:t>16.90%</w:t>
            </w:r>
          </w:p>
        </w:tc>
        <w:tc>
          <w:tcPr>
            <w:tcW w:type="dxa" w:w="461"/>
            <w:shd w:fill="FFFFFF" w:val="clear"/>
          </w:tcPr>
          <w:p>
            <w:r>
              <w:rPr>
                <w:b/>
                <w:color w:val="000000"/>
                <w:sz w:val="16"/>
              </w:rPr>
              <w:t>10.20%</w:t>
            </w:r>
          </w:p>
        </w:tc>
        <w:tc>
          <w:tcPr>
            <w:tcW w:type="dxa" w:w="461"/>
            <w:shd w:fill="FFFFFF" w:val="clear"/>
          </w:tcPr>
          <w:p>
            <w:r>
              <w:rPr>
                <w:b/>
                <w:color w:val="000000"/>
                <w:sz w:val="16"/>
              </w:rPr>
              <w:t>0.57%</w:t>
            </w:r>
          </w:p>
        </w:tc>
        <w:tc>
          <w:tcPr>
            <w:tcW w:type="dxa" w:w="461"/>
            <w:shd w:fill="FFFFFF" w:val="clear"/>
          </w:tcPr>
          <w:p>
            <w:r>
              <w:rPr>
                <w:b/>
                <w:color w:val="000000"/>
                <w:sz w:val="16"/>
              </w:rPr>
              <w:t>1.13%</w:t>
            </w:r>
          </w:p>
        </w:tc>
        <w:tc>
          <w:tcPr>
            <w:tcW w:type="dxa" w:w="461"/>
            <w:shd w:fill="FFFFFF" w:val="clear"/>
          </w:tcPr>
          <w:p>
            <w:r>
              <w:rPr>
                <w:b/>
                <w:color w:val="000000"/>
                <w:sz w:val="16"/>
              </w:rPr>
              <w:t>5.08%</w:t>
            </w:r>
          </w:p>
        </w:tc>
        <w:tc>
          <w:tcPr>
            <w:tcW w:type="dxa" w:w="461"/>
            <w:shd w:fill="FFFFFF" w:val="clear"/>
          </w:tcPr>
          <w:p>
            <w:r>
              <w:rPr>
                <w:b/>
                <w:color w:val="000000"/>
                <w:sz w:val="16"/>
              </w:rPr>
              <w:t>-1.19%</w:t>
            </w:r>
          </w:p>
        </w:tc>
        <w:tc>
          <w:tcPr>
            <w:tcW w:type="dxa" w:w="461"/>
            <w:shd w:fill="FFFFFF" w:val="clear"/>
          </w:tcPr>
          <w:p>
            <w:r>
              <w:rPr>
                <w:b/>
                <w:color w:val="000000"/>
                <w:sz w:val="16"/>
              </w:rPr>
              <w:t>4.55%</w:t>
            </w:r>
          </w:p>
        </w:tc>
        <w:tc>
          <w:tcPr>
            <w:tcW w:type="dxa" w:w="461"/>
            <w:shd w:fill="FFFFFF" w:val="clear"/>
          </w:tcPr>
          <w:p>
            <w:r>
              <w:rPr>
                <w:b/>
                <w:color w:val="000000"/>
                <w:sz w:val="16"/>
              </w:rPr>
              <w:t>6.11%</w:t>
            </w:r>
          </w:p>
        </w:tc>
        <w:tc>
          <w:tcPr>
            <w:tcW w:type="dxa" w:w="461"/>
            <w:shd w:fill="FFFFFF" w:val="clear"/>
          </w:tcPr>
          <w:p>
            <w:r>
              <w:rPr>
                <w:b/>
                <w:color w:val="000000"/>
                <w:sz w:val="16"/>
              </w:rPr>
              <w:t>8.51%</w:t>
            </w:r>
          </w:p>
        </w:tc>
        <w:tc>
          <w:tcPr>
            <w:tcW w:type="dxa" w:w="461"/>
            <w:shd w:fill="FFFFFF" w:val="clear"/>
          </w:tcPr>
          <w:p>
            <w:r>
              <w:rPr>
                <w:b/>
                <w:color w:val="000000"/>
                <w:sz w:val="16"/>
              </w:rPr>
              <w:t>12.45%</w:t>
            </w:r>
          </w:p>
        </w:tc>
        <w:tc>
          <w:tcPr>
            <w:tcW w:type="dxa" w:w="461"/>
            <w:shd w:fill="FFFFFF" w:val="clear"/>
          </w:tcPr>
          <w:p>
            <w:r>
              <w:rPr>
                <w:b/>
                <w:color w:val="000000"/>
                <w:sz w:val="16"/>
              </w:rPr>
              <w:t>15.45%</w:t>
            </w:r>
          </w:p>
        </w:tc>
        <w:tc>
          <w:tcPr>
            <w:tcW w:type="dxa" w:w="461"/>
            <w:shd w:fill="FFC7CE" w:val="clear"/>
          </w:tcPr>
          <w:p>
            <w:r>
              <w:rPr>
                <w:b/>
                <w:color w:val="B40000"/>
                <w:sz w:val="16"/>
              </w:rPr>
              <w:t>-4.52%</w:t>
            </w:r>
          </w:p>
        </w:tc>
        <w:tc>
          <w:tcPr>
            <w:tcW w:type="dxa" w:w="461"/>
            <w:shd w:fill="C6EFCE" w:val="clear"/>
          </w:tcPr>
          <w:p>
            <w:r>
              <w:rPr>
                <w:b/>
                <w:color w:val="006400"/>
                <w:sz w:val="16"/>
              </w:rPr>
              <w:t>44.10%</w:t>
            </w:r>
          </w:p>
        </w:tc>
        <w:tc>
          <w:tcPr>
            <w:tcW w:type="dxa" w:w="461"/>
            <w:shd w:fill="FFFFFF" w:val="clear"/>
          </w:tcPr>
          <w:p>
            <w:r>
              <w:rPr>
                <w:b/>
                <w:color w:val="000000"/>
                <w:sz w:val="16"/>
              </w:rPr>
              <w:t>4.88%</w:t>
            </w:r>
          </w:p>
        </w:tc>
        <w:tc>
          <w:tcPr>
            <w:tcW w:type="dxa" w:w="461"/>
            <w:shd w:fill="FFFFFF" w:val="clear"/>
          </w:tcPr>
          <w:p>
            <w:r>
              <w:rPr>
                <w:b/>
                <w:color w:val="000000"/>
                <w:sz w:val="16"/>
              </w:rPr>
              <w:t>5.74%</w:t>
            </w:r>
          </w:p>
        </w:tc>
      </w:tr>
      <w:tr>
        <w:tc>
          <w:tcPr>
            <w:tcW w:type="dxa" w:w="2551"/>
            <w:shd w:fill="EEF2F7" w:val="clear"/>
          </w:tcPr>
          <w:p>
            <w:r>
              <w:rPr>
                <w:b/>
                <w:sz w:val="15"/>
              </w:rPr>
              <w:t>Autonomie financière</w:t>
            </w:r>
          </w:p>
        </w:tc>
        <w:tc>
          <w:tcPr>
            <w:tcW w:type="dxa" w:w="461"/>
            <w:shd w:fill="FFFFFF" w:val="clear"/>
          </w:tcPr>
          <w:p>
            <w:r>
              <w:rPr>
                <w:b/>
                <w:color w:val="000000"/>
                <w:sz w:val="16"/>
              </w:rPr>
              <w:t>7.33%</w:t>
            </w:r>
          </w:p>
        </w:tc>
        <w:tc>
          <w:tcPr>
            <w:tcW w:type="dxa" w:w="461"/>
            <w:shd w:fill="FFFFFF" w:val="clear"/>
          </w:tcPr>
          <w:p>
            <w:r>
              <w:rPr>
                <w:b/>
                <w:color w:val="000000"/>
                <w:sz w:val="16"/>
              </w:rPr>
              <w:t>10.71%</w:t>
            </w:r>
          </w:p>
        </w:tc>
        <w:tc>
          <w:tcPr>
            <w:tcW w:type="dxa" w:w="461"/>
            <w:shd w:fill="FFFFFF" w:val="clear"/>
          </w:tcPr>
          <w:p>
            <w:r>
              <w:rPr>
                <w:b/>
                <w:color w:val="000000"/>
                <w:sz w:val="16"/>
              </w:rPr>
              <w:t>12.18%</w:t>
            </w:r>
          </w:p>
        </w:tc>
        <w:tc>
          <w:tcPr>
            <w:tcW w:type="dxa" w:w="461"/>
            <w:shd w:fill="FFFFFF" w:val="clear"/>
          </w:tcPr>
          <w:p>
            <w:r>
              <w:rPr>
                <w:b/>
                <w:color w:val="000000"/>
                <w:sz w:val="16"/>
              </w:rPr>
              <w:t>11.01%</w:t>
            </w:r>
          </w:p>
        </w:tc>
        <w:tc>
          <w:tcPr>
            <w:tcW w:type="dxa" w:w="461"/>
            <w:shd w:fill="FFFFFF" w:val="clear"/>
          </w:tcPr>
          <w:p>
            <w:r>
              <w:rPr>
                <w:b/>
                <w:color w:val="000000"/>
                <w:sz w:val="16"/>
              </w:rPr>
              <w:t>11.54%</w:t>
            </w:r>
          </w:p>
        </w:tc>
        <w:tc>
          <w:tcPr>
            <w:tcW w:type="dxa" w:w="461"/>
            <w:shd w:fill="FFFFFF" w:val="clear"/>
          </w:tcPr>
          <w:p>
            <w:r>
              <w:rPr>
                <w:b/>
                <w:color w:val="000000"/>
                <w:sz w:val="16"/>
              </w:rPr>
              <w:t>8.39%</w:t>
            </w:r>
          </w:p>
        </w:tc>
        <w:tc>
          <w:tcPr>
            <w:tcW w:type="dxa" w:w="461"/>
            <w:shd w:fill="FFFFFF" w:val="clear"/>
          </w:tcPr>
          <w:p>
            <w:r>
              <w:rPr>
                <w:b/>
                <w:color w:val="000000"/>
                <w:sz w:val="16"/>
              </w:rPr>
              <w:t>12.36%</w:t>
            </w:r>
          </w:p>
        </w:tc>
        <w:tc>
          <w:tcPr>
            <w:tcW w:type="dxa" w:w="461"/>
            <w:shd w:fill="FFFFFF" w:val="clear"/>
          </w:tcPr>
          <w:p>
            <w:r>
              <w:rPr>
                <w:b/>
                <w:color w:val="000000"/>
                <w:sz w:val="16"/>
              </w:rPr>
              <w:t>11.54%</w:t>
            </w:r>
          </w:p>
        </w:tc>
        <w:tc>
          <w:tcPr>
            <w:tcW w:type="dxa" w:w="461"/>
            <w:shd w:fill="F2F2F2" w:val="clear"/>
          </w:tcPr>
          <w:p>
            <w:r>
              <w:rPr>
                <w:b/>
                <w:sz w:val="16"/>
              </w:rPr>
              <w:t>N/D</w:t>
            </w:r>
          </w:p>
        </w:tc>
        <w:tc>
          <w:tcPr>
            <w:tcW w:type="dxa" w:w="461"/>
            <w:shd w:fill="FFFFFF" w:val="clear"/>
          </w:tcPr>
          <w:p>
            <w:r>
              <w:rPr>
                <w:b/>
                <w:color w:val="000000"/>
                <w:sz w:val="16"/>
              </w:rPr>
              <w:t>10.64%</w:t>
            </w:r>
          </w:p>
        </w:tc>
        <w:tc>
          <w:tcPr>
            <w:tcW w:type="dxa" w:w="461"/>
            <w:shd w:fill="FFFFFF" w:val="clear"/>
          </w:tcPr>
          <w:p>
            <w:r>
              <w:rPr>
                <w:b/>
                <w:color w:val="000000"/>
                <w:sz w:val="16"/>
              </w:rPr>
              <w:t>8.30%</w:t>
            </w:r>
          </w:p>
        </w:tc>
        <w:tc>
          <w:tcPr>
            <w:tcW w:type="dxa" w:w="461"/>
            <w:shd w:fill="FFFFFF" w:val="clear"/>
          </w:tcPr>
          <w:p>
            <w:r>
              <w:rPr>
                <w:b/>
                <w:color w:val="000000"/>
                <w:sz w:val="16"/>
              </w:rPr>
              <w:t>7.59%</w:t>
            </w:r>
          </w:p>
        </w:tc>
        <w:tc>
          <w:tcPr>
            <w:tcW w:type="dxa" w:w="461"/>
            <w:shd w:fill="FFC7CE" w:val="clear"/>
          </w:tcPr>
          <w:p>
            <w:r>
              <w:rPr>
                <w:b/>
                <w:color w:val="B40000"/>
                <w:sz w:val="16"/>
              </w:rPr>
              <w:t>2.82%</w:t>
            </w:r>
          </w:p>
        </w:tc>
        <w:tc>
          <w:tcPr>
            <w:tcW w:type="dxa" w:w="461"/>
            <w:shd w:fill="FFFFFF" w:val="clear"/>
          </w:tcPr>
          <w:p>
            <w:r>
              <w:rPr>
                <w:b/>
                <w:color w:val="000000"/>
                <w:sz w:val="16"/>
              </w:rPr>
              <w:t>7.44%</w:t>
            </w:r>
          </w:p>
        </w:tc>
        <w:tc>
          <w:tcPr>
            <w:tcW w:type="dxa" w:w="461"/>
            <w:shd w:fill="C6EFCE" w:val="clear"/>
          </w:tcPr>
          <w:p>
            <w:r>
              <w:rPr>
                <w:b/>
                <w:color w:val="006400"/>
                <w:sz w:val="16"/>
              </w:rPr>
              <w:t>13.14%</w:t>
            </w:r>
          </w:p>
        </w:tc>
        <w:tc>
          <w:tcPr>
            <w:tcW w:type="dxa" w:w="461"/>
            <w:shd w:fill="FFFFFF" w:val="clear"/>
          </w:tcPr>
          <w:p>
            <w:r>
              <w:rPr>
                <w:b/>
                <w:color w:val="000000"/>
                <w:sz w:val="16"/>
              </w:rPr>
              <w:t>10.88%</w:t>
            </w:r>
          </w:p>
        </w:tc>
      </w:tr>
      <w:tr>
        <w:tc>
          <w:tcPr>
            <w:tcW w:type="dxa" w:w="2551"/>
            <w:shd w:fill="EEF2F7" w:val="clear"/>
          </w:tcPr>
          <w:p>
            <w:r>
              <w:rPr>
                <w:b/>
                <w:sz w:val="15"/>
              </w:rPr>
              <w:t>Ratio endettement</w:t>
            </w:r>
          </w:p>
        </w:tc>
        <w:tc>
          <w:tcPr>
            <w:tcW w:type="dxa" w:w="461"/>
            <w:shd w:fill="FFFFFF" w:val="clear"/>
          </w:tcPr>
          <w:p>
            <w:r>
              <w:rPr>
                <w:b/>
                <w:color w:val="000000"/>
                <w:sz w:val="16"/>
              </w:rPr>
              <w:t>22.46%</w:t>
            </w:r>
          </w:p>
        </w:tc>
        <w:tc>
          <w:tcPr>
            <w:tcW w:type="dxa" w:w="461"/>
            <w:shd w:fill="C6EFCE" w:val="clear"/>
          </w:tcPr>
          <w:p>
            <w:r>
              <w:rPr>
                <w:b/>
                <w:color w:val="006400"/>
                <w:sz w:val="16"/>
              </w:rPr>
              <w:t>14.05%</w:t>
            </w:r>
          </w:p>
        </w:tc>
        <w:tc>
          <w:tcPr>
            <w:tcW w:type="dxa" w:w="461"/>
            <w:shd w:fill="FFFFFF" w:val="clear"/>
          </w:tcPr>
          <w:p>
            <w:r>
              <w:rPr>
                <w:b/>
                <w:color w:val="000000"/>
                <w:sz w:val="16"/>
              </w:rPr>
              <w:t>98.77%</w:t>
            </w:r>
          </w:p>
        </w:tc>
        <w:tc>
          <w:tcPr>
            <w:tcW w:type="dxa" w:w="461"/>
            <w:shd w:fill="FFFFFF" w:val="clear"/>
          </w:tcPr>
          <w:p>
            <w:r>
              <w:rPr>
                <w:b/>
                <w:color w:val="000000"/>
                <w:sz w:val="16"/>
              </w:rPr>
              <w:t>96.61%</w:t>
            </w:r>
          </w:p>
        </w:tc>
        <w:tc>
          <w:tcPr>
            <w:tcW w:type="dxa" w:w="461"/>
            <w:shd w:fill="F2F2F2" w:val="clear"/>
          </w:tcPr>
          <w:p>
            <w:r>
              <w:rPr>
                <w:b/>
                <w:sz w:val="16"/>
              </w:rPr>
              <w:t>N/D</w:t>
            </w:r>
          </w:p>
        </w:tc>
        <w:tc>
          <w:tcPr>
            <w:tcW w:type="dxa" w:w="461"/>
            <w:shd w:fill="FFFFFF" w:val="clear"/>
          </w:tcPr>
          <w:p>
            <w:r>
              <w:rPr>
                <w:b/>
                <w:color w:val="000000"/>
                <w:sz w:val="16"/>
              </w:rPr>
              <w:t>55.33%</w:t>
            </w:r>
          </w:p>
        </w:tc>
        <w:tc>
          <w:tcPr>
            <w:tcW w:type="dxa" w:w="461"/>
            <w:shd w:fill="FFFFFF" w:val="clear"/>
          </w:tcPr>
          <w:p>
            <w:r>
              <w:rPr>
                <w:b/>
                <w:color w:val="000000"/>
                <w:sz w:val="16"/>
              </w:rPr>
              <w:t>178.61%</w:t>
            </w:r>
          </w:p>
        </w:tc>
        <w:tc>
          <w:tcPr>
            <w:tcW w:type="dxa" w:w="461"/>
            <w:shd w:fill="FFFFFF" w:val="clear"/>
          </w:tcPr>
          <w:p>
            <w:r>
              <w:rPr>
                <w:b/>
                <w:color w:val="000000"/>
                <w:sz w:val="16"/>
              </w:rPr>
              <w:t>39.37%</w:t>
            </w:r>
          </w:p>
        </w:tc>
        <w:tc>
          <w:tcPr>
            <w:tcW w:type="dxa" w:w="461"/>
            <w:shd w:fill="F2F2F2" w:val="clear"/>
          </w:tcPr>
          <w:p>
            <w:r>
              <w:rPr>
                <w:b/>
                <w:sz w:val="16"/>
              </w:rPr>
              <w:t>N/D</w:t>
            </w:r>
          </w:p>
        </w:tc>
        <w:tc>
          <w:tcPr>
            <w:tcW w:type="dxa" w:w="461"/>
            <w:shd w:fill="FFFFFF" w:val="clear"/>
          </w:tcPr>
          <w:p>
            <w:r>
              <w:rPr>
                <w:b/>
                <w:color w:val="000000"/>
                <w:sz w:val="16"/>
              </w:rPr>
              <w:t>69.63%</w:t>
            </w:r>
          </w:p>
        </w:tc>
        <w:tc>
          <w:tcPr>
            <w:tcW w:type="dxa" w:w="461"/>
            <w:shd w:fill="FFFFFF" w:val="clear"/>
          </w:tcPr>
          <w:p>
            <w:r>
              <w:rPr>
                <w:b/>
                <w:color w:val="000000"/>
                <w:sz w:val="16"/>
              </w:rPr>
              <w:t>154.06%</w:t>
            </w:r>
          </w:p>
        </w:tc>
        <w:tc>
          <w:tcPr>
            <w:tcW w:type="dxa" w:w="461"/>
            <w:shd w:fill="FFFFFF" w:val="clear"/>
          </w:tcPr>
          <w:p>
            <w:r>
              <w:rPr>
                <w:b/>
                <w:color w:val="000000"/>
                <w:sz w:val="16"/>
              </w:rPr>
              <w:t>227.90%</w:t>
            </w:r>
          </w:p>
        </w:tc>
        <w:tc>
          <w:tcPr>
            <w:tcW w:type="dxa" w:w="461"/>
            <w:shd w:fill="FFFFFF" w:val="clear"/>
          </w:tcPr>
          <w:p>
            <w:r>
              <w:rPr>
                <w:b/>
                <w:color w:val="000000"/>
                <w:sz w:val="16"/>
              </w:rPr>
              <w:t>444.94%</w:t>
            </w:r>
          </w:p>
        </w:tc>
        <w:tc>
          <w:tcPr>
            <w:tcW w:type="dxa" w:w="461"/>
            <w:shd w:fill="FFC7CE" w:val="clear"/>
          </w:tcPr>
          <w:p>
            <w:r>
              <w:rPr>
                <w:b/>
                <w:color w:val="B40000"/>
                <w:sz w:val="16"/>
              </w:rPr>
              <w:t>856.36%</w:t>
            </w:r>
          </w:p>
        </w:tc>
        <w:tc>
          <w:tcPr>
            <w:tcW w:type="dxa" w:w="461"/>
            <w:shd w:fill="FFFFFF" w:val="clear"/>
          </w:tcPr>
          <w:p>
            <w:r>
              <w:rPr>
                <w:b/>
                <w:color w:val="000000"/>
                <w:sz w:val="16"/>
              </w:rPr>
              <w:t>86.86%</w:t>
            </w:r>
          </w:p>
        </w:tc>
        <w:tc>
          <w:tcPr>
            <w:tcW w:type="dxa" w:w="461"/>
            <w:shd w:fill="FFFFFF" w:val="clear"/>
          </w:tcPr>
          <w:p>
            <w:r>
              <w:rPr>
                <w:b/>
                <w:color w:val="000000"/>
                <w:sz w:val="16"/>
              </w:rPr>
              <w:t>50.92%</w:t>
            </w:r>
          </w:p>
        </w:tc>
      </w:tr>
      <w:tr>
        <w:tc>
          <w:tcPr>
            <w:tcW w:type="dxa" w:w="2551"/>
            <w:shd w:fill="EEF2F7" w:val="clear"/>
          </w:tcPr>
          <w:p>
            <w:r>
              <w:rPr>
                <w:b/>
                <w:sz w:val="15"/>
              </w:rPr>
              <w:t>Solvabilité générale</w:t>
            </w:r>
          </w:p>
        </w:tc>
        <w:tc>
          <w:tcPr>
            <w:tcW w:type="dxa" w:w="461"/>
            <w:shd w:fill="FFFFFF" w:val="clear"/>
          </w:tcPr>
          <w:p>
            <w:r>
              <w:rPr>
                <w:b/>
                <w:color w:val="000000"/>
                <w:sz w:val="16"/>
              </w:rPr>
              <w:t>107.90%</w:t>
            </w:r>
          </w:p>
        </w:tc>
        <w:tc>
          <w:tcPr>
            <w:tcW w:type="dxa" w:w="461"/>
            <w:shd w:fill="FFFFFF" w:val="clear"/>
          </w:tcPr>
          <w:p>
            <w:r>
              <w:rPr>
                <w:b/>
                <w:color w:val="000000"/>
                <w:sz w:val="16"/>
              </w:rPr>
              <w:t>111.99%</w:t>
            </w:r>
          </w:p>
        </w:tc>
        <w:tc>
          <w:tcPr>
            <w:tcW w:type="dxa" w:w="461"/>
            <w:shd w:fill="FFFFFF" w:val="clear"/>
          </w:tcPr>
          <w:p>
            <w:r>
              <w:rPr>
                <w:b/>
                <w:color w:val="000000"/>
                <w:sz w:val="16"/>
              </w:rPr>
              <w:t>113.87%</w:t>
            </w:r>
          </w:p>
        </w:tc>
        <w:tc>
          <w:tcPr>
            <w:tcW w:type="dxa" w:w="461"/>
            <w:shd w:fill="FFFFFF" w:val="clear"/>
          </w:tcPr>
          <w:p>
            <w:r>
              <w:rPr>
                <w:b/>
                <w:color w:val="000000"/>
                <w:sz w:val="16"/>
              </w:rPr>
              <w:t>112.38%</w:t>
            </w:r>
          </w:p>
        </w:tc>
        <w:tc>
          <w:tcPr>
            <w:tcW w:type="dxa" w:w="461"/>
            <w:shd w:fill="FFFFFF" w:val="clear"/>
          </w:tcPr>
          <w:p>
            <w:r>
              <w:rPr>
                <w:b/>
                <w:color w:val="000000"/>
                <w:sz w:val="16"/>
              </w:rPr>
              <w:t>113.05%</w:t>
            </w:r>
          </w:p>
        </w:tc>
        <w:tc>
          <w:tcPr>
            <w:tcW w:type="dxa" w:w="461"/>
            <w:shd w:fill="FFFFFF" w:val="clear"/>
          </w:tcPr>
          <w:p>
            <w:r>
              <w:rPr>
                <w:b/>
                <w:color w:val="000000"/>
                <w:sz w:val="16"/>
              </w:rPr>
              <w:t>109.16%</w:t>
            </w:r>
          </w:p>
        </w:tc>
        <w:tc>
          <w:tcPr>
            <w:tcW w:type="dxa" w:w="461"/>
            <w:shd w:fill="FFFFFF" w:val="clear"/>
          </w:tcPr>
          <w:p>
            <w:r>
              <w:rPr>
                <w:b/>
                <w:color w:val="000000"/>
                <w:sz w:val="16"/>
              </w:rPr>
              <w:t>114.10%</w:t>
            </w:r>
          </w:p>
        </w:tc>
        <w:tc>
          <w:tcPr>
            <w:tcW w:type="dxa" w:w="461"/>
            <w:shd w:fill="FFFFFF" w:val="clear"/>
          </w:tcPr>
          <w:p>
            <w:r>
              <w:rPr>
                <w:b/>
                <w:color w:val="000000"/>
                <w:sz w:val="16"/>
              </w:rPr>
              <w:t>113.05%</w:t>
            </w:r>
          </w:p>
        </w:tc>
        <w:tc>
          <w:tcPr>
            <w:tcW w:type="dxa" w:w="461"/>
            <w:shd w:fill="F2F2F2" w:val="clear"/>
          </w:tcPr>
          <w:p>
            <w:r>
              <w:rPr>
                <w:b/>
                <w:sz w:val="16"/>
              </w:rPr>
              <w:t>N/D</w:t>
            </w:r>
          </w:p>
        </w:tc>
        <w:tc>
          <w:tcPr>
            <w:tcW w:type="dxa" w:w="461"/>
            <w:shd w:fill="FFFFFF" w:val="clear"/>
          </w:tcPr>
          <w:p>
            <w:r>
              <w:rPr>
                <w:b/>
                <w:color w:val="000000"/>
                <w:sz w:val="16"/>
              </w:rPr>
              <w:t>111.91%</w:t>
            </w:r>
          </w:p>
        </w:tc>
        <w:tc>
          <w:tcPr>
            <w:tcW w:type="dxa" w:w="461"/>
            <w:shd w:fill="FFFFFF" w:val="clear"/>
          </w:tcPr>
          <w:p>
            <w:r>
              <w:rPr>
                <w:b/>
                <w:color w:val="000000"/>
                <w:sz w:val="16"/>
              </w:rPr>
              <w:t>109.05%</w:t>
            </w:r>
          </w:p>
        </w:tc>
        <w:tc>
          <w:tcPr>
            <w:tcW w:type="dxa" w:w="461"/>
            <w:shd w:fill="FFFFFF" w:val="clear"/>
          </w:tcPr>
          <w:p>
            <w:r>
              <w:rPr>
                <w:b/>
                <w:color w:val="000000"/>
                <w:sz w:val="16"/>
              </w:rPr>
              <w:t>108.22%</w:t>
            </w:r>
          </w:p>
        </w:tc>
        <w:tc>
          <w:tcPr>
            <w:tcW w:type="dxa" w:w="461"/>
            <w:shd w:fill="FFC7CE" w:val="clear"/>
          </w:tcPr>
          <w:p>
            <w:r>
              <w:rPr>
                <w:b/>
                <w:color w:val="B40000"/>
                <w:sz w:val="16"/>
              </w:rPr>
              <w:t>102.90%</w:t>
            </w:r>
          </w:p>
        </w:tc>
        <w:tc>
          <w:tcPr>
            <w:tcW w:type="dxa" w:w="461"/>
            <w:shd w:fill="FFFFFF" w:val="clear"/>
          </w:tcPr>
          <w:p>
            <w:r>
              <w:rPr>
                <w:b/>
                <w:color w:val="000000"/>
                <w:sz w:val="16"/>
              </w:rPr>
              <w:t>108.03%</w:t>
            </w:r>
          </w:p>
        </w:tc>
        <w:tc>
          <w:tcPr>
            <w:tcW w:type="dxa" w:w="461"/>
            <w:shd w:fill="C6EFCE" w:val="clear"/>
          </w:tcPr>
          <w:p>
            <w:r>
              <w:rPr>
                <w:b/>
                <w:color w:val="006400"/>
                <w:sz w:val="16"/>
              </w:rPr>
              <w:t>115.12%</w:t>
            </w:r>
          </w:p>
        </w:tc>
        <w:tc>
          <w:tcPr>
            <w:tcW w:type="dxa" w:w="461"/>
            <w:shd w:fill="FFFFFF" w:val="clear"/>
          </w:tcPr>
          <w:p>
            <w:r>
              <w:rPr>
                <w:b/>
                <w:color w:val="000000"/>
                <w:sz w:val="16"/>
              </w:rPr>
              <w:t>112.21%</w:t>
            </w:r>
          </w:p>
        </w:tc>
      </w:tr>
      <w:tr>
        <w:tc>
          <w:tcPr>
            <w:tcW w:type="dxa" w:w="2551"/>
            <w:shd w:fill="EEF2F7" w:val="clear"/>
          </w:tcPr>
          <w:p>
            <w:r>
              <w:rPr>
                <w:b/>
                <w:sz w:val="15"/>
              </w:rPr>
              <w:t>Liquidité générale</w:t>
            </w:r>
          </w:p>
        </w:tc>
        <w:tc>
          <w:tcPr>
            <w:tcW w:type="dxa" w:w="461"/>
            <w:shd w:fill="C6EFCE" w:val="clear"/>
          </w:tcPr>
          <w:p>
            <w:r>
              <w:rPr>
                <w:b/>
                <w:color w:val="006400"/>
                <w:sz w:val="16"/>
              </w:rPr>
              <w:t>5646.45%</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FFFF" w:val="clear"/>
          </w:tcPr>
          <w:p>
            <w:r>
              <w:rPr>
                <w:b/>
                <w:color w:val="000000"/>
                <w:sz w:val="16"/>
              </w:rPr>
              <w:t>3684.07%</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FC7CE" w:val="clear"/>
          </w:tcPr>
          <w:p>
            <w:r>
              <w:rPr>
                <w:b/>
                <w:color w:val="B40000"/>
                <w:sz w:val="16"/>
              </w:rPr>
              <w:t>537.55%</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Free Cash Flow</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c>
          <w:tcPr>
            <w:tcW w:type="dxa" w:w="461"/>
            <w:shd w:fill="C6EFCE" w:val="clear"/>
          </w:tcPr>
          <w:p>
            <w:r>
              <w:rPr>
                <w:b/>
                <w:color w:val="006400"/>
                <w:sz w:val="16"/>
              </w:rPr>
              <w:t>343.247 Mds FCFA</w:t>
            </w:r>
          </w:p>
        </w:tc>
        <w:tc>
          <w:tcPr>
            <w:tcW w:type="dxa" w:w="461"/>
            <w:shd w:fill="F2F2F2" w:val="clear"/>
          </w:tcPr>
          <w:p>
            <w:r>
              <w:rPr>
                <w:b/>
                <w:sz w:val="16"/>
              </w:rPr>
              <w:t>N/D</w:t>
            </w:r>
          </w:p>
        </w:tc>
        <w:tc>
          <w:tcPr>
            <w:tcW w:type="dxa" w:w="461"/>
            <w:shd w:fill="FFC7CE" w:val="clear"/>
          </w:tcPr>
          <w:p>
            <w:r>
              <w:rPr>
                <w:b/>
                <w:color w:val="B40000"/>
                <w:sz w:val="16"/>
              </w:rPr>
              <w:t>132.906 Mds FCFA</w:t>
            </w:r>
          </w:p>
        </w:tc>
        <w:tc>
          <w:tcPr>
            <w:tcW w:type="dxa" w:w="461"/>
            <w:shd w:fill="F2F2F2" w:val="clear"/>
          </w:tcPr>
          <w:p>
            <w:r>
              <w:rPr>
                <w:b/>
                <w:sz w:val="16"/>
              </w:rPr>
              <w:t>N/D</w:t>
            </w:r>
          </w:p>
        </w:tc>
        <w:tc>
          <w:tcPr>
            <w:tcW w:type="dxa" w:w="461"/>
            <w:shd w:fill="F2F2F2" w:val="clear"/>
          </w:tcPr>
          <w:p>
            <w:r>
              <w:rPr>
                <w:b/>
                <w:sz w:val="16"/>
              </w:rPr>
              <w:t>N/D</w:t>
            </w:r>
          </w:p>
        </w:tc>
        <w:tc>
          <w:tcPr>
            <w:tcW w:type="dxa" w:w="461"/>
            <w:shd w:fill="F2F2F2" w:val="clear"/>
          </w:tcPr>
          <w:p>
            <w:r>
              <w:rPr>
                <w:b/>
                <w:sz w:val="16"/>
              </w:rPr>
              <w:t>N/D</w:t>
            </w:r>
          </w:p>
        </w:tc>
      </w:tr>
      <w:tr>
        <w:tc>
          <w:tcPr>
            <w:tcW w:type="dxa" w:w="2551"/>
            <w:shd w:fill="EEF2F7" w:val="clear"/>
          </w:tcPr>
          <w:p>
            <w:r>
              <w:rPr>
                <w:b/>
                <w:sz w:val="15"/>
              </w:rPr>
              <w:t>Coeff. exploitation</w:t>
            </w:r>
          </w:p>
        </w:tc>
        <w:tc>
          <w:tcPr>
            <w:tcW w:type="dxa" w:w="461"/>
            <w:shd w:fill="FFFFFF" w:val="clear"/>
          </w:tcPr>
          <w:p>
            <w:r>
              <w:rPr>
                <w:b/>
                <w:color w:val="000000"/>
                <w:sz w:val="16"/>
              </w:rPr>
              <w:t>31.12%</w:t>
            </w:r>
          </w:p>
        </w:tc>
        <w:tc>
          <w:tcPr>
            <w:tcW w:type="dxa" w:w="461"/>
            <w:shd w:fill="FFFFFF" w:val="clear"/>
          </w:tcPr>
          <w:p>
            <w:r>
              <w:rPr>
                <w:b/>
                <w:color w:val="000000"/>
                <w:sz w:val="16"/>
              </w:rPr>
              <w:t>50.83%</w:t>
            </w:r>
          </w:p>
        </w:tc>
        <w:tc>
          <w:tcPr>
            <w:tcW w:type="dxa" w:w="461"/>
            <w:shd w:fill="FFFFFF" w:val="clear"/>
          </w:tcPr>
          <w:p>
            <w:r>
              <w:rPr>
                <w:b/>
                <w:color w:val="000000"/>
                <w:sz w:val="16"/>
              </w:rPr>
              <w:t>49.53%</w:t>
            </w:r>
          </w:p>
        </w:tc>
        <w:tc>
          <w:tcPr>
            <w:tcW w:type="dxa" w:w="461"/>
            <w:shd w:fill="FFFFFF" w:val="clear"/>
          </w:tcPr>
          <w:p>
            <w:r>
              <w:rPr>
                <w:b/>
                <w:color w:val="000000"/>
                <w:sz w:val="16"/>
              </w:rPr>
              <w:t>47.19%</w:t>
            </w:r>
          </w:p>
        </w:tc>
        <w:tc>
          <w:tcPr>
            <w:tcW w:type="dxa" w:w="461"/>
            <w:shd w:fill="FFFFFF" w:val="clear"/>
          </w:tcPr>
          <w:p>
            <w:r>
              <w:rPr>
                <w:b/>
                <w:color w:val="000000"/>
                <w:sz w:val="16"/>
              </w:rPr>
              <w:t>36.70%</w:t>
            </w:r>
          </w:p>
        </w:tc>
        <w:tc>
          <w:tcPr>
            <w:tcW w:type="dxa" w:w="461"/>
            <w:shd w:fill="FFFFFF" w:val="clear"/>
          </w:tcPr>
          <w:p>
            <w:r>
              <w:rPr>
                <w:b/>
                <w:color w:val="000000"/>
                <w:sz w:val="16"/>
              </w:rPr>
              <w:t>63.14%</w:t>
            </w:r>
          </w:p>
        </w:tc>
        <w:tc>
          <w:tcPr>
            <w:tcW w:type="dxa" w:w="461"/>
            <w:shd w:fill="FFFFFF" w:val="clear"/>
          </w:tcPr>
          <w:p>
            <w:r>
              <w:rPr>
                <w:b/>
                <w:color w:val="000000"/>
                <w:sz w:val="16"/>
              </w:rPr>
              <w:t>74.37%</w:t>
            </w:r>
          </w:p>
        </w:tc>
        <w:tc>
          <w:tcPr>
            <w:tcW w:type="dxa" w:w="461"/>
            <w:shd w:fill="FFFFFF" w:val="clear"/>
          </w:tcPr>
          <w:p>
            <w:r>
              <w:rPr>
                <w:b/>
                <w:color w:val="000000"/>
                <w:sz w:val="16"/>
              </w:rPr>
              <w:t>44.02%</w:t>
            </w:r>
          </w:p>
        </w:tc>
        <w:tc>
          <w:tcPr>
            <w:tcW w:type="dxa" w:w="461"/>
            <w:shd w:fill="FFFFFF" w:val="clear"/>
          </w:tcPr>
          <w:p>
            <w:r>
              <w:rPr>
                <w:b/>
                <w:color w:val="000000"/>
                <w:sz w:val="16"/>
              </w:rPr>
              <w:t>36.39%</w:t>
            </w:r>
          </w:p>
        </w:tc>
        <w:tc>
          <w:tcPr>
            <w:tcW w:type="dxa" w:w="461"/>
            <w:shd w:fill="FFFFFF" w:val="clear"/>
          </w:tcPr>
          <w:p>
            <w:r>
              <w:rPr>
                <w:b/>
                <w:color w:val="000000"/>
                <w:sz w:val="16"/>
              </w:rPr>
              <w:t>42.89%</w:t>
            </w:r>
          </w:p>
        </w:tc>
        <w:tc>
          <w:tcPr>
            <w:tcW w:type="dxa" w:w="461"/>
            <w:shd w:fill="C6EFCE" w:val="clear"/>
          </w:tcPr>
          <w:p>
            <w:r>
              <w:rPr>
                <w:b/>
                <w:color w:val="006400"/>
                <w:sz w:val="16"/>
              </w:rPr>
              <w:t>27.35%</w:t>
            </w:r>
          </w:p>
        </w:tc>
        <w:tc>
          <w:tcPr>
            <w:tcW w:type="dxa" w:w="461"/>
            <w:shd w:fill="FFFFFF" w:val="clear"/>
          </w:tcPr>
          <w:p>
            <w:r>
              <w:rPr>
                <w:b/>
                <w:color w:val="000000"/>
                <w:sz w:val="16"/>
              </w:rPr>
              <w:t>54.59%</w:t>
            </w:r>
          </w:p>
        </w:tc>
        <w:tc>
          <w:tcPr>
            <w:tcW w:type="dxa" w:w="461"/>
            <w:shd w:fill="FFFFFF" w:val="clear"/>
          </w:tcPr>
          <w:p>
            <w:r>
              <w:rPr>
                <w:b/>
                <w:color w:val="000000"/>
                <w:sz w:val="16"/>
              </w:rPr>
              <w:t>42.85%</w:t>
            </w:r>
          </w:p>
        </w:tc>
        <w:tc>
          <w:tcPr>
            <w:tcW w:type="dxa" w:w="461"/>
            <w:shd w:fill="FFC7CE" w:val="clear"/>
          </w:tcPr>
          <w:p>
            <w:r>
              <w:rPr>
                <w:b/>
                <w:color w:val="B40000"/>
                <w:sz w:val="16"/>
              </w:rPr>
              <w:t>77.63%</w:t>
            </w:r>
          </w:p>
        </w:tc>
        <w:tc>
          <w:tcPr>
            <w:tcW w:type="dxa" w:w="461"/>
            <w:shd w:fill="FFFFFF" w:val="clear"/>
          </w:tcPr>
          <w:p>
            <w:r>
              <w:rPr>
                <w:b/>
                <w:color w:val="000000"/>
                <w:sz w:val="16"/>
              </w:rPr>
              <w:t>38.75%</w:t>
            </w:r>
          </w:p>
        </w:tc>
        <w:tc>
          <w:tcPr>
            <w:tcW w:type="dxa" w:w="461"/>
            <w:shd w:fill="FFFFFF" w:val="clear"/>
          </w:tcPr>
          <w:p>
            <w:r>
              <w:rPr>
                <w:b/>
                <w:color w:val="000000"/>
                <w:sz w:val="16"/>
              </w:rPr>
              <w:t>38.59%</w:t>
            </w:r>
          </w:p>
        </w:tc>
      </w:tr>
      <w:tr>
        <w:tc>
          <w:tcPr>
            <w:tcW w:type="dxa" w:w="2551"/>
            <w:shd w:fill="EEF2F7" w:val="clear"/>
          </w:tcPr>
          <w:p>
            <w:r>
              <w:rPr>
                <w:b/>
                <w:sz w:val="15"/>
              </w:rPr>
              <w:t>Marge opérationnelle</w:t>
            </w:r>
          </w:p>
        </w:tc>
        <w:tc>
          <w:tcPr>
            <w:tcW w:type="dxa" w:w="461"/>
            <w:shd w:fill="C6EFCE" w:val="clear"/>
          </w:tcPr>
          <w:p>
            <w:r>
              <w:rPr>
                <w:b/>
                <w:color w:val="006400"/>
                <w:sz w:val="16"/>
              </w:rPr>
              <w:t>78.49%</w:t>
            </w:r>
          </w:p>
        </w:tc>
        <w:tc>
          <w:tcPr>
            <w:tcW w:type="dxa" w:w="461"/>
            <w:shd w:fill="FFFFFF" w:val="clear"/>
          </w:tcPr>
          <w:p>
            <w:r>
              <w:rPr>
                <w:b/>
                <w:color w:val="000000"/>
                <w:sz w:val="16"/>
              </w:rPr>
              <w:t>51.05%</w:t>
            </w:r>
          </w:p>
        </w:tc>
        <w:tc>
          <w:tcPr>
            <w:tcW w:type="dxa" w:w="461"/>
            <w:shd w:fill="FFFFFF" w:val="clear"/>
          </w:tcPr>
          <w:p>
            <w:r>
              <w:rPr>
                <w:b/>
                <w:color w:val="000000"/>
                <w:sz w:val="16"/>
              </w:rPr>
              <w:t>41.33%</w:t>
            </w:r>
          </w:p>
        </w:tc>
        <w:tc>
          <w:tcPr>
            <w:tcW w:type="dxa" w:w="461"/>
            <w:shd w:fill="FFFFFF" w:val="clear"/>
          </w:tcPr>
          <w:p>
            <w:r>
              <w:rPr>
                <w:b/>
                <w:color w:val="000000"/>
                <w:sz w:val="16"/>
              </w:rPr>
              <w:t>38.36%</w:t>
            </w:r>
          </w:p>
        </w:tc>
        <w:tc>
          <w:tcPr>
            <w:tcW w:type="dxa" w:w="461"/>
            <w:shd w:fill="FFFFFF" w:val="clear"/>
          </w:tcPr>
          <w:p>
            <w:r>
              <w:rPr>
                <w:b/>
                <w:color w:val="000000"/>
                <w:sz w:val="16"/>
              </w:rPr>
              <w:t>56.64%</w:t>
            </w:r>
          </w:p>
        </w:tc>
        <w:tc>
          <w:tcPr>
            <w:tcW w:type="dxa" w:w="461"/>
            <w:shd w:fill="FFFFFF" w:val="clear"/>
          </w:tcPr>
          <w:p>
            <w:r>
              <w:rPr>
                <w:b/>
                <w:color w:val="000000"/>
                <w:sz w:val="16"/>
              </w:rPr>
              <w:t>24.78%</w:t>
            </w:r>
          </w:p>
        </w:tc>
        <w:tc>
          <w:tcPr>
            <w:tcW w:type="dxa" w:w="461"/>
            <w:shd w:fill="FFC7CE" w:val="clear"/>
          </w:tcPr>
          <w:p>
            <w:r>
              <w:rPr>
                <w:b/>
                <w:color w:val="B40000"/>
                <w:sz w:val="16"/>
              </w:rPr>
              <w:t>5.31%</w:t>
            </w:r>
          </w:p>
        </w:tc>
        <w:tc>
          <w:tcPr>
            <w:tcW w:type="dxa" w:w="461"/>
            <w:shd w:fill="FFFFFF" w:val="clear"/>
          </w:tcPr>
          <w:p>
            <w:r>
              <w:rPr>
                <w:b/>
                <w:color w:val="000000"/>
                <w:sz w:val="16"/>
              </w:rPr>
              <w:t>47.61%</w:t>
            </w:r>
          </w:p>
        </w:tc>
        <w:tc>
          <w:tcPr>
            <w:tcW w:type="dxa" w:w="461"/>
            <w:shd w:fill="FFFFFF" w:val="clear"/>
          </w:tcPr>
          <w:p>
            <w:r>
              <w:rPr>
                <w:b/>
                <w:color w:val="000000"/>
                <w:sz w:val="16"/>
              </w:rPr>
              <w:t>51.77%</w:t>
            </w:r>
          </w:p>
        </w:tc>
        <w:tc>
          <w:tcPr>
            <w:tcW w:type="dxa" w:w="461"/>
            <w:shd w:fill="FFFFFF" w:val="clear"/>
          </w:tcPr>
          <w:p>
            <w:r>
              <w:rPr>
                <w:b/>
                <w:color w:val="000000"/>
                <w:sz w:val="16"/>
              </w:rPr>
              <w:t>55.75%</w:t>
            </w:r>
          </w:p>
        </w:tc>
        <w:tc>
          <w:tcPr>
            <w:tcW w:type="dxa" w:w="461"/>
            <w:shd w:fill="FFFFFF" w:val="clear"/>
          </w:tcPr>
          <w:p>
            <w:r>
              <w:rPr>
                <w:b/>
                <w:color w:val="000000"/>
                <w:sz w:val="16"/>
              </w:rPr>
              <w:t>32.69%</w:t>
            </w:r>
          </w:p>
        </w:tc>
        <w:tc>
          <w:tcPr>
            <w:tcW w:type="dxa" w:w="461"/>
            <w:shd w:fill="FFFFFF" w:val="clear"/>
          </w:tcPr>
          <w:p>
            <w:r>
              <w:rPr>
                <w:b/>
                <w:color w:val="000000"/>
                <w:sz w:val="16"/>
              </w:rPr>
              <w:t>37.87%</w:t>
            </w:r>
          </w:p>
        </w:tc>
        <w:tc>
          <w:tcPr>
            <w:tcW w:type="dxa" w:w="461"/>
            <w:shd w:fill="FFFFFF" w:val="clear"/>
          </w:tcPr>
          <w:p>
            <w:r>
              <w:rPr>
                <w:b/>
                <w:color w:val="000000"/>
                <w:sz w:val="16"/>
              </w:rPr>
              <w:t>15.63%</w:t>
            </w:r>
          </w:p>
        </w:tc>
        <w:tc>
          <w:tcPr>
            <w:tcW w:type="dxa" w:w="461"/>
            <w:shd w:fill="FFFFFF" w:val="clear"/>
          </w:tcPr>
          <w:p>
            <w:r>
              <w:rPr>
                <w:b/>
                <w:color w:val="000000"/>
                <w:sz w:val="16"/>
              </w:rPr>
              <w:t>15.80%</w:t>
            </w:r>
          </w:p>
        </w:tc>
        <w:tc>
          <w:tcPr>
            <w:tcW w:type="dxa" w:w="461"/>
            <w:shd w:fill="FFFFFF" w:val="clear"/>
          </w:tcPr>
          <w:p>
            <w:r>
              <w:rPr>
                <w:b/>
                <w:color w:val="000000"/>
                <w:sz w:val="16"/>
              </w:rPr>
              <w:t>44.28%</w:t>
            </w:r>
          </w:p>
        </w:tc>
        <w:tc>
          <w:tcPr>
            <w:tcW w:type="dxa" w:w="461"/>
            <w:shd w:fill="FFFFFF" w:val="clear"/>
          </w:tcPr>
          <w:p>
            <w:r>
              <w:rPr>
                <w:b/>
                <w:color w:val="000000"/>
                <w:sz w:val="16"/>
              </w:rPr>
              <w:t>58.06%</w:t>
            </w:r>
          </w:p>
        </w:tc>
      </w:tr>
    </w:tbl>
    <w:p/>
    <w:p>
      <w:pPr>
        <w:pStyle w:val="Heading3"/>
      </w:pPr>
      <w:r>
        <w:t>🔍 Analyse détaillée par société</w:t>
      </w:r>
    </w:p>
    <w:p>
      <w:pPr>
        <w:spacing w:before="160"/>
      </w:pPr>
      <w:r>
        <w:rPr>
          <w:b/>
          <w:color w:val="003366"/>
          <w:sz w:val="20"/>
        </w:rPr>
        <w:t xml:space="preserve">▶ BICB — BIIC BN - Banque internationale pour le commerce du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26.82%</w:t>
            </w:r>
          </w:p>
        </w:tc>
        <w:tc>
          <w:tcPr>
            <w:tcW w:type="dxa" w:w="5669"/>
            <w:shd w:fill="FFFFFF" w:val="clear"/>
          </w:tcPr>
          <w:p>
            <w:r>
              <w:rPr>
                <w:sz w:val="15"/>
              </w:rPr>
              <w:t>✅ ROE de 26.8%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1.96%</w:t>
            </w:r>
          </w:p>
        </w:tc>
        <w:tc>
          <w:tcPr>
            <w:tcW w:type="dxa" w:w="5669"/>
            <w:shd w:fill="FFFFFF" w:val="clear"/>
          </w:tcPr>
          <w:p>
            <w:r>
              <w:rPr>
                <w:sz w:val="15"/>
              </w:rPr>
              <w:t>✅ ROA de 1.96%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68.62%</w:t>
            </w:r>
          </w:p>
        </w:tc>
        <w:tc>
          <w:tcPr>
            <w:tcW w:type="dxa" w:w="5669"/>
            <w:shd w:fill="FFFFFF" w:val="clear"/>
          </w:tcPr>
          <w:p>
            <w:r>
              <w:rPr>
                <w:sz w:val="15"/>
              </w:rPr>
              <w:t>✅ Marge nette de 68.6%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36.237 Mds FCFA</w:t>
            </w:r>
          </w:p>
        </w:tc>
        <w:tc>
          <w:tcPr>
            <w:tcW w:type="dxa" w:w="5669"/>
            <w:shd w:fill="FFFFFF" w:val="clear"/>
          </w:tcPr>
          <w:p>
            <w:r>
              <w:rPr>
                <w:sz w:val="15"/>
              </w:rPr>
              <w:t>✅ Résultat net positif de 36.237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16.49%</w:t>
            </w:r>
          </w:p>
        </w:tc>
        <w:tc>
          <w:tcPr>
            <w:tcW w:type="dxa" w:w="5669"/>
            <w:shd w:fill="FFFFFF" w:val="clear"/>
          </w:tcPr>
          <w:p>
            <w:r>
              <w:rPr>
                <w:sz w:val="15"/>
              </w:rPr>
              <w:t>✅ Croissance de 16.5%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7.33%</w:t>
            </w:r>
          </w:p>
        </w:tc>
        <w:tc>
          <w:tcPr>
            <w:tcW w:type="dxa" w:w="5669"/>
            <w:shd w:fill="FFFFFF" w:val="clear"/>
          </w:tcPr>
          <w:p>
            <w:r>
              <w:rPr>
                <w:sz w:val="15"/>
              </w:rPr>
              <w:t>❌ Autonomie très faible (7.3%)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22.46%</w:t>
            </w:r>
          </w:p>
        </w:tc>
        <w:tc>
          <w:tcPr>
            <w:tcW w:type="dxa" w:w="5669"/>
            <w:shd w:fill="FFFFFF" w:val="clear"/>
          </w:tcPr>
          <w:p>
            <w:r>
              <w:rPr>
                <w:sz w:val="15"/>
              </w:rPr>
              <w:t>✅ Gearing de 22%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107.90%</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5646.45%</w:t>
            </w:r>
          </w:p>
        </w:tc>
        <w:tc>
          <w:tcPr>
            <w:tcW w:type="dxa" w:w="5669"/>
            <w:shd w:fill="FFFFFF" w:val="clear"/>
          </w:tcPr>
          <w:p>
            <w:r>
              <w:rPr>
                <w:sz w:val="15"/>
              </w:rPr>
              <w:t>✅ Liquidité générale de 5646x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31.12%</w:t>
            </w:r>
          </w:p>
        </w:tc>
        <w:tc>
          <w:tcPr>
            <w:tcW w:type="dxa" w:w="5669"/>
            <w:shd w:fill="FFFFFF" w:val="clear"/>
          </w:tcPr>
          <w:p>
            <w:r>
              <w:rPr>
                <w:sz w:val="15"/>
              </w:rPr>
              <w:t>✅ Coeff. d'exploitation de 31.1%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78.49%</w:t>
            </w:r>
          </w:p>
        </w:tc>
        <w:tc>
          <w:tcPr>
            <w:tcW w:type="dxa" w:w="5669"/>
            <w:shd w:fill="FFFFFF" w:val="clear"/>
          </w:tcPr>
          <w:p>
            <w:r>
              <w:rPr>
                <w:sz w:val="15"/>
              </w:rPr>
              <w:t>✅ Marge opérationnelle de 78.5% — excellente efficacité de l'exploitation principale.</w:t>
            </w:r>
          </w:p>
        </w:tc>
      </w:tr>
    </w:tbl>
    <w:p/>
    <w:p>
      <w:pPr>
        <w:spacing w:before="160"/>
      </w:pPr>
      <w:r>
        <w:rPr>
          <w:b/>
          <w:color w:val="003366"/>
          <w:sz w:val="20"/>
        </w:rPr>
        <w:t xml:space="preserve">▶ BICC — BICI CI - Banque internationale pour le commerce et l'industrie de la Côte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30.29%</w:t>
            </w:r>
          </w:p>
        </w:tc>
        <w:tc>
          <w:tcPr>
            <w:tcW w:type="dxa" w:w="5669"/>
            <w:shd w:fill="FFFFFF" w:val="clear"/>
          </w:tcPr>
          <w:p>
            <w:r>
              <w:rPr>
                <w:sz w:val="15"/>
              </w:rPr>
              <w:t>✅ ROE de 30.3%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3.24%</w:t>
            </w:r>
          </w:p>
        </w:tc>
        <w:tc>
          <w:tcPr>
            <w:tcW w:type="dxa" w:w="5669"/>
            <w:shd w:fill="FFFFFF" w:val="clear"/>
          </w:tcPr>
          <w:p>
            <w:r>
              <w:rPr>
                <w:sz w:val="15"/>
              </w:rPr>
              <w:t>✅ ROA de 3.24%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45.90%</w:t>
            </w:r>
          </w:p>
        </w:tc>
        <w:tc>
          <w:tcPr>
            <w:tcW w:type="dxa" w:w="5669"/>
            <w:shd w:fill="FFFFFF" w:val="clear"/>
          </w:tcPr>
          <w:p>
            <w:r>
              <w:rPr>
                <w:sz w:val="15"/>
              </w:rPr>
              <w:t>✅ Marge nette de 45.9%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36.520 Mds FCFA</w:t>
            </w:r>
          </w:p>
        </w:tc>
        <w:tc>
          <w:tcPr>
            <w:tcW w:type="dxa" w:w="5669"/>
            <w:shd w:fill="FFFFFF" w:val="clear"/>
          </w:tcPr>
          <w:p>
            <w:r>
              <w:rPr>
                <w:sz w:val="15"/>
              </w:rPr>
              <w:t>✅ Résultat net positif de 36.520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16.90%</w:t>
            </w:r>
          </w:p>
        </w:tc>
        <w:tc>
          <w:tcPr>
            <w:tcW w:type="dxa" w:w="5669"/>
            <w:shd w:fill="FFFFFF" w:val="clear"/>
          </w:tcPr>
          <w:p>
            <w:r>
              <w:rPr>
                <w:sz w:val="15"/>
              </w:rPr>
              <w:t>✅ Croissance de 16.9%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EB9C" w:val="clear"/>
          </w:tcPr>
          <w:p>
            <w:r>
              <w:rPr>
                <w:b/>
                <w:color w:val="007800"/>
                <w:sz w:val="17"/>
              </w:rPr>
              <w:t>10.71%</w:t>
            </w:r>
          </w:p>
        </w:tc>
        <w:tc>
          <w:tcPr>
            <w:tcW w:type="dxa" w:w="5669"/>
            <w:shd w:fill="FFFFFF" w:val="clear"/>
          </w:tcPr>
          <w:p>
            <w:r>
              <w:rPr>
                <w:sz w:val="15"/>
              </w:rPr>
              <w:t>⚠️ Autonomie limitée (10.7%)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14.05%</w:t>
            </w:r>
          </w:p>
        </w:tc>
        <w:tc>
          <w:tcPr>
            <w:tcW w:type="dxa" w:w="5669"/>
            <w:shd w:fill="FFFFFF" w:val="clear"/>
          </w:tcPr>
          <w:p>
            <w:r>
              <w:rPr>
                <w:sz w:val="15"/>
              </w:rPr>
              <w:t>✅ Gearing de 14%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111.99%</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50.83%</w:t>
            </w:r>
          </w:p>
        </w:tc>
        <w:tc>
          <w:tcPr>
            <w:tcW w:type="dxa" w:w="5669"/>
            <w:shd w:fill="FFFFFF" w:val="clear"/>
          </w:tcPr>
          <w:p>
            <w:r>
              <w:rPr>
                <w:sz w:val="15"/>
              </w:rPr>
              <w:t>✅ Coeff. d'exploitation de 50.8%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51.05%</w:t>
            </w:r>
          </w:p>
        </w:tc>
        <w:tc>
          <w:tcPr>
            <w:tcW w:type="dxa" w:w="5669"/>
            <w:shd w:fill="FFFFFF" w:val="clear"/>
          </w:tcPr>
          <w:p>
            <w:r>
              <w:rPr>
                <w:sz w:val="15"/>
              </w:rPr>
              <w:t>✅ Marge opérationnelle de 51.1% — excellente efficacité de l'exploitation principale.</w:t>
            </w:r>
          </w:p>
        </w:tc>
      </w:tr>
    </w:tbl>
    <w:p/>
    <w:p>
      <w:pPr>
        <w:spacing w:before="160"/>
      </w:pPr>
      <w:r>
        <w:rPr>
          <w:b/>
          <w:color w:val="003366"/>
          <w:sz w:val="20"/>
        </w:rPr>
        <w:t xml:space="preserve">▶ BOAB — BANK OF AFRICA BENIN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17.11%</w:t>
            </w:r>
          </w:p>
        </w:tc>
        <w:tc>
          <w:tcPr>
            <w:tcW w:type="dxa" w:w="5669"/>
            <w:shd w:fill="FFFFFF" w:val="clear"/>
          </w:tcPr>
          <w:p>
            <w:r>
              <w:rPr>
                <w:sz w:val="15"/>
              </w:rPr>
              <w:t>✅ ROE de 17.1%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2.08%</w:t>
            </w:r>
          </w:p>
        </w:tc>
        <w:tc>
          <w:tcPr>
            <w:tcW w:type="dxa" w:w="5669"/>
            <w:shd w:fill="FFFFFF" w:val="clear"/>
          </w:tcPr>
          <w:p>
            <w:r>
              <w:rPr>
                <w:sz w:val="15"/>
              </w:rPr>
              <w:t>✅ ROA de 2.08%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39.22%</w:t>
            </w:r>
          </w:p>
        </w:tc>
        <w:tc>
          <w:tcPr>
            <w:tcW w:type="dxa" w:w="5669"/>
            <w:shd w:fill="FFFFFF" w:val="clear"/>
          </w:tcPr>
          <w:p>
            <w:r>
              <w:rPr>
                <w:sz w:val="15"/>
              </w:rPr>
              <w:t>✅ Marge nette de 39.2%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20.107 Mds FCFA</w:t>
            </w:r>
          </w:p>
        </w:tc>
        <w:tc>
          <w:tcPr>
            <w:tcW w:type="dxa" w:w="5669"/>
            <w:shd w:fill="FFFFFF" w:val="clear"/>
          </w:tcPr>
          <w:p>
            <w:r>
              <w:rPr>
                <w:sz w:val="15"/>
              </w:rPr>
              <w:t>✅ Résultat net positif de 20.107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10.20%</w:t>
            </w:r>
          </w:p>
        </w:tc>
        <w:tc>
          <w:tcPr>
            <w:tcW w:type="dxa" w:w="5669"/>
            <w:shd w:fill="FFFFFF" w:val="clear"/>
          </w:tcPr>
          <w:p>
            <w:r>
              <w:rPr>
                <w:sz w:val="15"/>
              </w:rPr>
              <w:t>✅ Croissance de 10.2%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12.18%</w:t>
            </w:r>
          </w:p>
        </w:tc>
        <w:tc>
          <w:tcPr>
            <w:tcW w:type="dxa" w:w="5669"/>
            <w:shd w:fill="FFFFFF" w:val="clear"/>
          </w:tcPr>
          <w:p>
            <w:r>
              <w:rPr>
                <w:sz w:val="15"/>
              </w:rPr>
              <w:t>⚠️ Autonomie limitée (12.2%)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98.77%</w:t>
            </w:r>
          </w:p>
        </w:tc>
        <w:tc>
          <w:tcPr>
            <w:tcW w:type="dxa" w:w="5669"/>
            <w:shd w:fill="FFFFFF" w:val="clear"/>
          </w:tcPr>
          <w:p>
            <w:r>
              <w:rPr>
                <w:sz w:val="15"/>
              </w:rPr>
              <w:t>✅ Gearing de 99%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113.87%</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49.53%</w:t>
            </w:r>
          </w:p>
        </w:tc>
        <w:tc>
          <w:tcPr>
            <w:tcW w:type="dxa" w:w="5669"/>
            <w:shd w:fill="FFFFFF" w:val="clear"/>
          </w:tcPr>
          <w:p>
            <w:r>
              <w:rPr>
                <w:sz w:val="15"/>
              </w:rPr>
              <w:t>✅ Coeff. d'exploitation de 49.5%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41.33%</w:t>
            </w:r>
          </w:p>
        </w:tc>
        <w:tc>
          <w:tcPr>
            <w:tcW w:type="dxa" w:w="5669"/>
            <w:shd w:fill="FFFFFF" w:val="clear"/>
          </w:tcPr>
          <w:p>
            <w:r>
              <w:rPr>
                <w:sz w:val="15"/>
              </w:rPr>
              <w:t>✅ Marge opérationnelle de 41.3% — excellente efficacité de l'exploitation principale.</w:t>
            </w:r>
          </w:p>
        </w:tc>
      </w:tr>
    </w:tbl>
    <w:p/>
    <w:p>
      <w:pPr>
        <w:spacing w:before="160"/>
      </w:pPr>
      <w:r>
        <w:rPr>
          <w:b/>
          <w:color w:val="003366"/>
          <w:sz w:val="20"/>
        </w:rPr>
        <w:t xml:space="preserve">▶ BOABF — BANK OF AFRICA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15.22%</w:t>
            </w:r>
          </w:p>
        </w:tc>
        <w:tc>
          <w:tcPr>
            <w:tcW w:type="dxa" w:w="5669"/>
            <w:shd w:fill="FFFFFF" w:val="clear"/>
          </w:tcPr>
          <w:p>
            <w:r>
              <w:rPr>
                <w:sz w:val="15"/>
              </w:rPr>
              <w:t>✅ ROE de 15.2%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1.68%</w:t>
            </w:r>
          </w:p>
        </w:tc>
        <w:tc>
          <w:tcPr>
            <w:tcW w:type="dxa" w:w="5669"/>
            <w:shd w:fill="FFFFFF" w:val="clear"/>
          </w:tcPr>
          <w:p>
            <w:r>
              <w:rPr>
                <w:sz w:val="15"/>
              </w:rPr>
              <w:t>✅ ROA de 1.68%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33.30%</w:t>
            </w:r>
          </w:p>
        </w:tc>
        <w:tc>
          <w:tcPr>
            <w:tcW w:type="dxa" w:w="5669"/>
            <w:shd w:fill="FFFFFF" w:val="clear"/>
          </w:tcPr>
          <w:p>
            <w:r>
              <w:rPr>
                <w:sz w:val="15"/>
              </w:rPr>
              <w:t>✅ Marge nette de 33.3%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19.252 Mds FCFA</w:t>
            </w:r>
          </w:p>
        </w:tc>
        <w:tc>
          <w:tcPr>
            <w:tcW w:type="dxa" w:w="5669"/>
            <w:shd w:fill="FFFFFF" w:val="clear"/>
          </w:tcPr>
          <w:p>
            <w:r>
              <w:rPr>
                <w:sz w:val="15"/>
              </w:rPr>
              <w:t>✅ Résultat net positif de 19.252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0.57%</w:t>
            </w:r>
          </w:p>
        </w:tc>
        <w:tc>
          <w:tcPr>
            <w:tcW w:type="dxa" w:w="5669"/>
            <w:shd w:fill="FFFFFF" w:val="clear"/>
          </w:tcPr>
          <w:p>
            <w:r>
              <w:rPr>
                <w:sz w:val="15"/>
              </w:rPr>
              <w:t>⚠️ Croissance faible (0.6%)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11.01%</w:t>
            </w:r>
          </w:p>
        </w:tc>
        <w:tc>
          <w:tcPr>
            <w:tcW w:type="dxa" w:w="5669"/>
            <w:shd w:fill="FFFFFF" w:val="clear"/>
          </w:tcPr>
          <w:p>
            <w:r>
              <w:rPr>
                <w:sz w:val="15"/>
              </w:rPr>
              <w:t>⚠️ Autonomie limitée (11.0%)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96.61%</w:t>
            </w:r>
          </w:p>
        </w:tc>
        <w:tc>
          <w:tcPr>
            <w:tcW w:type="dxa" w:w="5669"/>
            <w:shd w:fill="FFFFFF" w:val="clear"/>
          </w:tcPr>
          <w:p>
            <w:r>
              <w:rPr>
                <w:sz w:val="15"/>
              </w:rPr>
              <w:t>✅ Gearing de 97%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112.38%</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47.19%</w:t>
            </w:r>
          </w:p>
        </w:tc>
        <w:tc>
          <w:tcPr>
            <w:tcW w:type="dxa" w:w="5669"/>
            <w:shd w:fill="FFFFFF" w:val="clear"/>
          </w:tcPr>
          <w:p>
            <w:r>
              <w:rPr>
                <w:sz w:val="15"/>
              </w:rPr>
              <w:t>✅ Coeff. d'exploitation de 47.2%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38.36%</w:t>
            </w:r>
          </w:p>
        </w:tc>
        <w:tc>
          <w:tcPr>
            <w:tcW w:type="dxa" w:w="5669"/>
            <w:shd w:fill="FFFFFF" w:val="clear"/>
          </w:tcPr>
          <w:p>
            <w:r>
              <w:rPr>
                <w:sz w:val="15"/>
              </w:rPr>
              <w:t>✅ Marge opérationnelle de 38.4% — excellente efficacité de l'exploitation principale.</w:t>
            </w:r>
          </w:p>
        </w:tc>
      </w:tr>
    </w:tbl>
    <w:p/>
    <w:p>
      <w:pPr>
        <w:spacing w:before="160"/>
      </w:pPr>
      <w:r>
        <w:rPr>
          <w:b/>
          <w:color w:val="003366"/>
          <w:sz w:val="20"/>
        </w:rPr>
        <w:t xml:space="preserve">▶ BOAC — BANK OF AFRICA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27.91%</w:t>
            </w:r>
          </w:p>
        </w:tc>
        <w:tc>
          <w:tcPr>
            <w:tcW w:type="dxa" w:w="5669"/>
            <w:shd w:fill="FFFFFF" w:val="clear"/>
          </w:tcPr>
          <w:p>
            <w:r>
              <w:rPr>
                <w:sz w:val="15"/>
              </w:rPr>
              <w:t>✅ ROE de 27.9%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3.22%</w:t>
            </w:r>
          </w:p>
        </w:tc>
        <w:tc>
          <w:tcPr>
            <w:tcW w:type="dxa" w:w="5669"/>
            <w:shd w:fill="FFFFFF" w:val="clear"/>
          </w:tcPr>
          <w:p>
            <w:r>
              <w:rPr>
                <w:sz w:val="15"/>
              </w:rPr>
              <w:t>✅ ROA de 3.22%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48.32%</w:t>
            </w:r>
          </w:p>
        </w:tc>
        <w:tc>
          <w:tcPr>
            <w:tcW w:type="dxa" w:w="5669"/>
            <w:shd w:fill="FFFFFF" w:val="clear"/>
          </w:tcPr>
          <w:p>
            <w:r>
              <w:rPr>
                <w:sz w:val="15"/>
              </w:rPr>
              <w:t>✅ Marge nette de 48.3%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35.540 Mds FCFA</w:t>
            </w:r>
          </w:p>
        </w:tc>
        <w:tc>
          <w:tcPr>
            <w:tcW w:type="dxa" w:w="5669"/>
            <w:shd w:fill="FFFFFF" w:val="clear"/>
          </w:tcPr>
          <w:p>
            <w:r>
              <w:rPr>
                <w:sz w:val="15"/>
              </w:rPr>
              <w:t>✅ Résultat net positif de 35.540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1.13%</w:t>
            </w:r>
          </w:p>
        </w:tc>
        <w:tc>
          <w:tcPr>
            <w:tcW w:type="dxa" w:w="5669"/>
            <w:shd w:fill="FFFFFF" w:val="clear"/>
          </w:tcPr>
          <w:p>
            <w:r>
              <w:rPr>
                <w:sz w:val="15"/>
              </w:rPr>
              <w:t>⚠️ Croissance faible (1.1%)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3684.07%</w:t>
            </w:r>
          </w:p>
        </w:tc>
        <w:tc>
          <w:tcPr>
            <w:tcW w:type="dxa" w:w="5669"/>
            <w:shd w:fill="FFFFFF" w:val="clear"/>
          </w:tcPr>
          <w:p>
            <w:r>
              <w:rPr>
                <w:sz w:val="15"/>
              </w:rPr>
              <w:t>✅ Liquidité générale de 3684x — actif circulant deux fois supérieur aux dettes CT. Trésorerie très confortable.</w:t>
            </w:r>
          </w:p>
        </w:tc>
      </w:tr>
      <w:tr>
        <w:tc>
          <w:tcPr>
            <w:tcW w:type="dxa" w:w="2268"/>
            <w:shd w:fill="EEF2F7" w:val="clear"/>
          </w:tcPr>
          <w:p>
            <w:r>
              <w:rPr>
                <w:b/>
                <w:sz w:val="15"/>
              </w:rPr>
              <w:t>Coeff. exploitation</w:t>
            </w:r>
          </w:p>
        </w:tc>
        <w:tc>
          <w:tcPr>
            <w:tcW w:type="dxa" w:w="1984"/>
            <w:shd w:fill="C6EFCE" w:val="clear"/>
          </w:tcPr>
          <w:p>
            <w:r>
              <w:rPr>
                <w:b/>
                <w:color w:val="007800"/>
                <w:sz w:val="17"/>
              </w:rPr>
              <w:t>36.70%</w:t>
            </w:r>
          </w:p>
        </w:tc>
        <w:tc>
          <w:tcPr>
            <w:tcW w:type="dxa" w:w="5669"/>
            <w:shd w:fill="FFFFFF" w:val="clear"/>
          </w:tcPr>
          <w:p>
            <w:r>
              <w:rPr>
                <w:sz w:val="15"/>
              </w:rPr>
              <w:t>✅ Coeff. d'exploitation de 36.7%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56.64%</w:t>
            </w:r>
          </w:p>
        </w:tc>
        <w:tc>
          <w:tcPr>
            <w:tcW w:type="dxa" w:w="5669"/>
            <w:shd w:fill="FFFFFF" w:val="clear"/>
          </w:tcPr>
          <w:p>
            <w:r>
              <w:rPr>
                <w:sz w:val="15"/>
              </w:rPr>
              <w:t>✅ Marge opérationnelle de 56.6% — excellente efficacité de l'exploitation principale.</w:t>
            </w:r>
          </w:p>
        </w:tc>
      </w:tr>
    </w:tbl>
    <w:p/>
    <w:p>
      <w:pPr>
        <w:spacing w:before="160"/>
      </w:pPr>
      <w:r>
        <w:rPr>
          <w:b/>
          <w:color w:val="003366"/>
          <w:sz w:val="20"/>
        </w:rPr>
        <w:t xml:space="preserve">▶ BOAM — BANK OF AFRICA MALI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22.24%</w:t>
            </w:r>
          </w:p>
        </w:tc>
        <w:tc>
          <w:tcPr>
            <w:tcW w:type="dxa" w:w="5669"/>
            <w:shd w:fill="FFFFFF" w:val="clear"/>
          </w:tcPr>
          <w:p>
            <w:r>
              <w:rPr>
                <w:sz w:val="15"/>
              </w:rPr>
              <w:t>✅ ROE de 22.2%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1.87%</w:t>
            </w:r>
          </w:p>
        </w:tc>
        <w:tc>
          <w:tcPr>
            <w:tcW w:type="dxa" w:w="5669"/>
            <w:shd w:fill="FFFFFF" w:val="clear"/>
          </w:tcPr>
          <w:p>
            <w:r>
              <w:rPr>
                <w:sz w:val="15"/>
              </w:rPr>
              <w:t>✅ ROA de 1.87%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29.16%</w:t>
            </w:r>
          </w:p>
        </w:tc>
        <w:tc>
          <w:tcPr>
            <w:tcW w:type="dxa" w:w="5669"/>
            <w:shd w:fill="FFFFFF" w:val="clear"/>
          </w:tcPr>
          <w:p>
            <w:r>
              <w:rPr>
                <w:sz w:val="15"/>
              </w:rPr>
              <w:t>✅ Marge nette de 29.2%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11.081 Mds FCFA</w:t>
            </w:r>
          </w:p>
        </w:tc>
        <w:tc>
          <w:tcPr>
            <w:tcW w:type="dxa" w:w="5669"/>
            <w:shd w:fill="FFFFFF" w:val="clear"/>
          </w:tcPr>
          <w:p>
            <w:r>
              <w:rPr>
                <w:sz w:val="15"/>
              </w:rPr>
              <w:t>✅ Résultat net positif de 11.081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5.08%</w:t>
            </w:r>
          </w:p>
        </w:tc>
        <w:tc>
          <w:tcPr>
            <w:tcW w:type="dxa" w:w="5669"/>
            <w:shd w:fill="FFFFFF" w:val="clear"/>
          </w:tcPr>
          <w:p>
            <w:r>
              <w:rPr>
                <w:sz w:val="15"/>
              </w:rPr>
              <w:t>✅ Croissance de 5.1%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8.39%</w:t>
            </w:r>
          </w:p>
        </w:tc>
        <w:tc>
          <w:tcPr>
            <w:tcW w:type="dxa" w:w="5669"/>
            <w:shd w:fill="FFFFFF" w:val="clear"/>
          </w:tcPr>
          <w:p>
            <w:r>
              <w:rPr>
                <w:sz w:val="15"/>
              </w:rPr>
              <w:t>❌ Autonomie très faible (8.4%)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55.33%</w:t>
            </w:r>
          </w:p>
        </w:tc>
        <w:tc>
          <w:tcPr>
            <w:tcW w:type="dxa" w:w="5669"/>
            <w:shd w:fill="FFFFFF" w:val="clear"/>
          </w:tcPr>
          <w:p>
            <w:r>
              <w:rPr>
                <w:sz w:val="15"/>
              </w:rPr>
              <w:t>✅ Gearing de 55%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109.16%</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63.14%</w:t>
            </w:r>
          </w:p>
        </w:tc>
        <w:tc>
          <w:tcPr>
            <w:tcW w:type="dxa" w:w="5669"/>
            <w:shd w:fill="FFFFFF" w:val="clear"/>
          </w:tcPr>
          <w:p>
            <w:r>
              <w:rPr>
                <w:sz w:val="15"/>
              </w:rPr>
              <w:t>⚠️ Coeff. d'exploitation de 63.1%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24.78%</w:t>
            </w:r>
          </w:p>
        </w:tc>
        <w:tc>
          <w:tcPr>
            <w:tcW w:type="dxa" w:w="5669"/>
            <w:shd w:fill="FFFFFF" w:val="clear"/>
          </w:tcPr>
          <w:p>
            <w:r>
              <w:rPr>
                <w:sz w:val="15"/>
              </w:rPr>
              <w:t>✅ Marge opérationnelle de 24.8% — excellente efficacité de l'exploitation principale.</w:t>
            </w:r>
          </w:p>
        </w:tc>
      </w:tr>
    </w:tbl>
    <w:p/>
    <w:p>
      <w:pPr>
        <w:spacing w:before="160"/>
      </w:pPr>
      <w:r>
        <w:rPr>
          <w:b/>
          <w:color w:val="003366"/>
          <w:sz w:val="20"/>
        </w:rPr>
        <w:t xml:space="preserve">▶ BOAN — BANK OF AFRICA NIGER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1.13%</w:t>
            </w:r>
          </w:p>
        </w:tc>
        <w:tc>
          <w:tcPr>
            <w:tcW w:type="dxa" w:w="5669"/>
            <w:shd w:fill="FFFFFF" w:val="clear"/>
          </w:tcPr>
          <w:p>
            <w:r>
              <w:rPr>
                <w:sz w:val="15"/>
              </w:rPr>
              <w:t>⚠️ ROE de 1.1% — très faible rentabilité. Risque de dépréciation de la valeur actionnariale.</w:t>
            </w:r>
          </w:p>
        </w:tc>
      </w:tr>
      <w:tr>
        <w:tc>
          <w:tcPr>
            <w:tcW w:type="dxa" w:w="2268"/>
            <w:shd w:fill="EEF2F7" w:val="clear"/>
          </w:tcPr>
          <w:p>
            <w:r>
              <w:rPr>
                <w:b/>
                <w:sz w:val="15"/>
              </w:rPr>
              <w:t>ROA</w:t>
            </w:r>
          </w:p>
        </w:tc>
        <w:tc>
          <w:tcPr>
            <w:tcW w:type="dxa" w:w="1984"/>
            <w:shd w:fill="FFEB9C" w:val="clear"/>
          </w:tcPr>
          <w:p>
            <w:r>
              <w:rPr>
                <w:b/>
                <w:color w:val="007800"/>
                <w:sz w:val="17"/>
              </w:rPr>
              <w:t>0.14%</w:t>
            </w:r>
          </w:p>
        </w:tc>
        <w:tc>
          <w:tcPr>
            <w:tcW w:type="dxa" w:w="5669"/>
            <w:shd w:fill="FFFFFF" w:val="clear"/>
          </w:tcPr>
          <w:p>
            <w:r>
              <w:rPr>
                <w:sz w:val="15"/>
              </w:rPr>
              <w:t>⚠️ ROA de 0.14%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1.94%</w:t>
            </w:r>
          </w:p>
        </w:tc>
        <w:tc>
          <w:tcPr>
            <w:tcW w:type="dxa" w:w="5669"/>
            <w:shd w:fill="FFFFFF" w:val="clear"/>
          </w:tcPr>
          <w:p>
            <w:r>
              <w:rPr>
                <w:sz w:val="15"/>
              </w:rPr>
              <w:t>⚠️ Marge nette de 1.9%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409.00 M FCFA</w:t>
            </w:r>
          </w:p>
        </w:tc>
        <w:tc>
          <w:tcPr>
            <w:tcW w:type="dxa" w:w="5669"/>
            <w:shd w:fill="FFFFFF" w:val="clear"/>
          </w:tcPr>
          <w:p>
            <w:r>
              <w:rPr>
                <w:sz w:val="15"/>
              </w:rPr>
              <w:t>✅ Résultat net positif de 409.00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-1.19%</w:t>
            </w:r>
          </w:p>
        </w:tc>
        <w:tc>
          <w:tcPr>
            <w:tcW w:type="dxa" w:w="5669"/>
            <w:shd w:fill="FFFFFF" w:val="clear"/>
          </w:tcPr>
          <w:p>
            <w:r>
              <w:rPr>
                <w:sz w:val="15"/>
              </w:rPr>
              <w:t>⚠️ Légère baisse (-1.2%) — contraction modérée du revenu principal.</w:t>
            </w:r>
          </w:p>
        </w:tc>
      </w:tr>
      <w:tr>
        <w:tc>
          <w:tcPr>
            <w:tcW w:type="dxa" w:w="2268"/>
            <w:shd w:fill="EEF2F7" w:val="clear"/>
          </w:tcPr>
          <w:p>
            <w:r>
              <w:rPr>
                <w:b/>
                <w:sz w:val="15"/>
              </w:rPr>
              <w:t>Autonomie financière</w:t>
            </w:r>
          </w:p>
        </w:tc>
        <w:tc>
          <w:tcPr>
            <w:tcW w:type="dxa" w:w="1984"/>
            <w:shd w:fill="FFEB9C" w:val="clear"/>
          </w:tcPr>
          <w:p>
            <w:r>
              <w:rPr>
                <w:b/>
                <w:color w:val="007800"/>
                <w:sz w:val="17"/>
              </w:rPr>
              <w:t>12.36%</w:t>
            </w:r>
          </w:p>
        </w:tc>
        <w:tc>
          <w:tcPr>
            <w:tcW w:type="dxa" w:w="5669"/>
            <w:shd w:fill="FFFFFF" w:val="clear"/>
          </w:tcPr>
          <w:p>
            <w:r>
              <w:rPr>
                <w:sz w:val="15"/>
              </w:rPr>
              <w:t>⚠️ Autonomie limitée (12.4%)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178.61%</w:t>
            </w:r>
          </w:p>
        </w:tc>
        <w:tc>
          <w:tcPr>
            <w:tcW w:type="dxa" w:w="5669"/>
            <w:shd w:fill="FFFFFF" w:val="clear"/>
          </w:tcPr>
          <w:p>
            <w:r>
              <w:rPr>
                <w:sz w:val="15"/>
              </w:rPr>
              <w:t>⚠️ Gearing de 179%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114.10%</w:t>
            </w:r>
          </w:p>
        </w:tc>
        <w:tc>
          <w:tcPr>
            <w:tcW w:type="dxa" w:w="5669"/>
            <w:shd w:fill="FFFFFF" w:val="clear"/>
          </w:tcPr>
          <w:p>
            <w:r>
              <w:rPr>
                <w:sz w:val="15"/>
              </w:rPr>
              <w:t>⚠️ Solvabilité limite (114%) — marge de sécurité faible pour les créanciers.</w:t>
            </w:r>
          </w:p>
        </w:tc>
      </w:tr>
      <w:tr>
        <w:tc>
          <w:tcPr>
            <w:tcW w:type="dxa" w:w="2268"/>
            <w:shd w:fill="EEF2F7" w:val="clear"/>
          </w:tcPr>
          <w:p>
            <w:r>
              <w:rPr>
                <w:b/>
                <w:sz w:val="15"/>
              </w:rPr>
              <w:t>Coeff. exploitation</w:t>
            </w:r>
          </w:p>
        </w:tc>
        <w:tc>
          <w:tcPr>
            <w:tcW w:type="dxa" w:w="1984"/>
            <w:shd w:fill="FFEB9C" w:val="clear"/>
          </w:tcPr>
          <w:p>
            <w:r>
              <w:rPr>
                <w:b/>
                <w:color w:val="007800"/>
                <w:sz w:val="17"/>
              </w:rPr>
              <w:t>74.37%</w:t>
            </w:r>
          </w:p>
        </w:tc>
        <w:tc>
          <w:tcPr>
            <w:tcW w:type="dxa" w:w="5669"/>
            <w:shd w:fill="FFFFFF" w:val="clear"/>
          </w:tcPr>
          <w:p>
            <w:r>
              <w:rPr>
                <w:sz w:val="15"/>
              </w:rPr>
              <w:t>⚠️ Coeff. d'exploitation de 74.4% — charges absorbant trop du PNB. Marge de progression nécessaire.</w:t>
            </w:r>
          </w:p>
        </w:tc>
      </w:tr>
      <w:tr>
        <w:tc>
          <w:tcPr>
            <w:tcW w:type="dxa" w:w="2268"/>
            <w:shd w:fill="EEF2F7" w:val="clear"/>
          </w:tcPr>
          <w:p>
            <w:r>
              <w:rPr>
                <w:b/>
                <w:sz w:val="15"/>
              </w:rPr>
              <w:t>Marge opérationnelle</w:t>
            </w:r>
          </w:p>
        </w:tc>
        <w:tc>
          <w:tcPr>
            <w:tcW w:type="dxa" w:w="1984"/>
            <w:shd w:fill="FFEB9C" w:val="clear"/>
          </w:tcPr>
          <w:p>
            <w:r>
              <w:rPr>
                <w:b/>
                <w:color w:val="007800"/>
                <w:sz w:val="17"/>
              </w:rPr>
              <w:t>5.31%</w:t>
            </w:r>
          </w:p>
        </w:tc>
        <w:tc>
          <w:tcPr>
            <w:tcW w:type="dxa" w:w="5669"/>
            <w:shd w:fill="FFFFFF" w:val="clear"/>
          </w:tcPr>
          <w:p>
            <w:r>
              <w:rPr>
                <w:sz w:val="15"/>
              </w:rPr>
              <w:t>⚠️ Marge opérationnelle faible (5.3%) — l'exploitation laisse peu de bénéfice avant charges financières.</w:t>
            </w:r>
          </w:p>
        </w:tc>
      </w:tr>
    </w:tbl>
    <w:p/>
    <w:p>
      <w:pPr>
        <w:spacing w:before="160"/>
      </w:pPr>
      <w:r>
        <w:rPr>
          <w:b/>
          <w:color w:val="003366"/>
          <w:sz w:val="20"/>
        </w:rPr>
        <w:t xml:space="preserve">▶ BOAS — BANK OF AFRICA SENEGAL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22.69%</w:t>
            </w:r>
          </w:p>
        </w:tc>
        <w:tc>
          <w:tcPr>
            <w:tcW w:type="dxa" w:w="5669"/>
            <w:shd w:fill="FFFFFF" w:val="clear"/>
          </w:tcPr>
          <w:p>
            <w:r>
              <w:rPr>
                <w:sz w:val="15"/>
              </w:rPr>
              <w:t>✅ ROE de 22.7%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2.62%</w:t>
            </w:r>
          </w:p>
        </w:tc>
        <w:tc>
          <w:tcPr>
            <w:tcW w:type="dxa" w:w="5669"/>
            <w:shd w:fill="FFFFFF" w:val="clear"/>
          </w:tcPr>
          <w:p>
            <w:r>
              <w:rPr>
                <w:sz w:val="15"/>
              </w:rPr>
              <w:t>✅ ROA de 2.62%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42.19%</w:t>
            </w:r>
          </w:p>
        </w:tc>
        <w:tc>
          <w:tcPr>
            <w:tcW w:type="dxa" w:w="5669"/>
            <w:shd w:fill="FFFFFF" w:val="clear"/>
          </w:tcPr>
          <w:p>
            <w:r>
              <w:rPr>
                <w:sz w:val="15"/>
              </w:rPr>
              <w:t>✅ Marge nette de 42.2%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21.905 Mds FCFA</w:t>
            </w:r>
          </w:p>
        </w:tc>
        <w:tc>
          <w:tcPr>
            <w:tcW w:type="dxa" w:w="5669"/>
            <w:shd w:fill="FFFFFF" w:val="clear"/>
          </w:tcPr>
          <w:p>
            <w:r>
              <w:rPr>
                <w:sz w:val="15"/>
              </w:rPr>
              <w:t>✅ Résultat net positif de 21.905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4.55%</w:t>
            </w:r>
          </w:p>
        </w:tc>
        <w:tc>
          <w:tcPr>
            <w:tcW w:type="dxa" w:w="5669"/>
            <w:shd w:fill="FFFFFF" w:val="clear"/>
          </w:tcPr>
          <w:p>
            <w:r>
              <w:rPr>
                <w:sz w:val="15"/>
              </w:rPr>
              <w:t>⚠️ Croissance faible (4.6%)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11.54%</w:t>
            </w:r>
          </w:p>
        </w:tc>
        <w:tc>
          <w:tcPr>
            <w:tcW w:type="dxa" w:w="5669"/>
            <w:shd w:fill="FFFFFF" w:val="clear"/>
          </w:tcPr>
          <w:p>
            <w:r>
              <w:rPr>
                <w:sz w:val="15"/>
              </w:rPr>
              <w:t>⚠️ Autonomie limitée (11.5%)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39.37%</w:t>
            </w:r>
          </w:p>
        </w:tc>
        <w:tc>
          <w:tcPr>
            <w:tcW w:type="dxa" w:w="5669"/>
            <w:shd w:fill="FFFFFF" w:val="clear"/>
          </w:tcPr>
          <w:p>
            <w:r>
              <w:rPr>
                <w:sz w:val="15"/>
              </w:rPr>
              <w:t>✅ Gearing de 39%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FFEB9C" w:val="clear"/>
          </w:tcPr>
          <w:p>
            <w:r>
              <w:rPr>
                <w:b/>
                <w:color w:val="007800"/>
                <w:sz w:val="17"/>
              </w:rPr>
              <w:t>113.05%</w:t>
            </w:r>
          </w:p>
        </w:tc>
        <w:tc>
          <w:tcPr>
            <w:tcW w:type="dxa" w:w="5669"/>
            <w:shd w:fill="FFFFFF" w:val="clear"/>
          </w:tcPr>
          <w:p>
            <w:r>
              <w:rPr>
                <w:sz w:val="15"/>
              </w:rPr>
              <w:t>⚠️ Solvabilité limite (113%)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44.02%</w:t>
            </w:r>
          </w:p>
        </w:tc>
        <w:tc>
          <w:tcPr>
            <w:tcW w:type="dxa" w:w="5669"/>
            <w:shd w:fill="FFFFFF" w:val="clear"/>
          </w:tcPr>
          <w:p>
            <w:r>
              <w:rPr>
                <w:sz w:val="15"/>
              </w:rPr>
              <w:t>✅ Coeff. d'exploitation de 44.0%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47.61%</w:t>
            </w:r>
          </w:p>
        </w:tc>
        <w:tc>
          <w:tcPr>
            <w:tcW w:type="dxa" w:w="5669"/>
            <w:shd w:fill="FFFFFF" w:val="clear"/>
          </w:tcPr>
          <w:p>
            <w:r>
              <w:rPr>
                <w:sz w:val="15"/>
              </w:rPr>
              <w:t>✅ Marge opérationnelle de 47.6% — excellente efficacité de l'exploitation principale.</w:t>
            </w:r>
          </w:p>
        </w:tc>
      </w:tr>
    </w:tbl>
    <w:p/>
    <w:p>
      <w:pPr>
        <w:spacing w:before="160"/>
      </w:pPr>
      <w:r>
        <w:rPr>
          <w:b/>
          <w:color w:val="003366"/>
          <w:sz w:val="20"/>
        </w:rPr>
        <w:t xml:space="preserve">▶ CBIBF — CBIBF - CORIS BANK INTERNATIONAL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ROA</w:t>
            </w:r>
          </w:p>
        </w:tc>
        <w:tc>
          <w:tcPr>
            <w:tcW w:type="dxa" w:w="1984"/>
            <w:shd w:fill="C6EFCE" w:val="clear"/>
          </w:tcPr>
          <w:p>
            <w:r>
              <w:rPr>
                <w:b/>
                <w:color w:val="007800"/>
                <w:sz w:val="17"/>
              </w:rPr>
              <w:t>2.18%</w:t>
            </w:r>
          </w:p>
        </w:tc>
        <w:tc>
          <w:tcPr>
            <w:tcW w:type="dxa" w:w="5669"/>
            <w:shd w:fill="FFFFFF" w:val="clear"/>
          </w:tcPr>
          <w:p>
            <w:r>
              <w:rPr>
                <w:sz w:val="15"/>
              </w:rPr>
              <w:t>✅ ROA de 2.18%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47.12%</w:t>
            </w:r>
          </w:p>
        </w:tc>
        <w:tc>
          <w:tcPr>
            <w:tcW w:type="dxa" w:w="5669"/>
            <w:shd w:fill="FFFFFF" w:val="clear"/>
          </w:tcPr>
          <w:p>
            <w:r>
              <w:rPr>
                <w:sz w:val="15"/>
              </w:rPr>
              <w:t>✅ Marge nette de 47.1%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65.495 Mds FCFA</w:t>
            </w:r>
          </w:p>
        </w:tc>
        <w:tc>
          <w:tcPr>
            <w:tcW w:type="dxa" w:w="5669"/>
            <w:shd w:fill="FFFFFF" w:val="clear"/>
          </w:tcPr>
          <w:p>
            <w:r>
              <w:rPr>
                <w:sz w:val="15"/>
              </w:rPr>
              <w:t>✅ Résultat net positif de 65.495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6.11%</w:t>
            </w:r>
          </w:p>
        </w:tc>
        <w:tc>
          <w:tcPr>
            <w:tcW w:type="dxa" w:w="5669"/>
            <w:shd w:fill="FFFFFF" w:val="clear"/>
          </w:tcPr>
          <w:p>
            <w:r>
              <w:rPr>
                <w:sz w:val="15"/>
              </w:rPr>
              <w:t>✅ Croissance de 6.1% — dynamisme commercial solide, supérieur à l'inflation régionale.</w:t>
            </w:r>
          </w:p>
        </w:tc>
      </w:tr>
      <w:tr>
        <w:tc>
          <w:tcPr>
            <w:tcW w:type="dxa" w:w="2268"/>
            <w:shd w:fill="EEF2F7" w:val="clear"/>
          </w:tcPr>
          <w:p>
            <w:r>
              <w:rPr>
                <w:b/>
                <w:sz w:val="15"/>
              </w:rPr>
              <w:t>Coeff. exploitation</w:t>
            </w:r>
          </w:p>
        </w:tc>
        <w:tc>
          <w:tcPr>
            <w:tcW w:type="dxa" w:w="1984"/>
            <w:shd w:fill="C6EFCE" w:val="clear"/>
          </w:tcPr>
          <w:p>
            <w:r>
              <w:rPr>
                <w:b/>
                <w:color w:val="007800"/>
                <w:sz w:val="17"/>
              </w:rPr>
              <w:t>36.39%</w:t>
            </w:r>
          </w:p>
        </w:tc>
        <w:tc>
          <w:tcPr>
            <w:tcW w:type="dxa" w:w="5669"/>
            <w:shd w:fill="FFFFFF" w:val="clear"/>
          </w:tcPr>
          <w:p>
            <w:r>
              <w:rPr>
                <w:sz w:val="15"/>
              </w:rPr>
              <w:t>✅ Coeff. d'exploitation de 36.4%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51.77%</w:t>
            </w:r>
          </w:p>
        </w:tc>
        <w:tc>
          <w:tcPr>
            <w:tcW w:type="dxa" w:w="5669"/>
            <w:shd w:fill="FFFFFF" w:val="clear"/>
          </w:tcPr>
          <w:p>
            <w:r>
              <w:rPr>
                <w:sz w:val="15"/>
              </w:rPr>
              <w:t>✅ Marge opérationnelle de 51.8% — excellente efficacité de l'exploitation principale.</w:t>
            </w:r>
          </w:p>
        </w:tc>
      </w:tr>
    </w:tbl>
    <w:p/>
    <w:p>
      <w:pPr>
        <w:spacing w:before="160"/>
      </w:pPr>
      <w:r>
        <w:rPr>
          <w:b/>
          <w:color w:val="003366"/>
          <w:sz w:val="20"/>
        </w:rPr>
        <w:t xml:space="preserve">▶ ECOC — ECOC - ECOBANK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29.04%</w:t>
            </w:r>
          </w:p>
        </w:tc>
        <w:tc>
          <w:tcPr>
            <w:tcW w:type="dxa" w:w="5669"/>
            <w:shd w:fill="FFFFFF" w:val="clear"/>
          </w:tcPr>
          <w:p>
            <w:r>
              <w:rPr>
                <w:sz w:val="15"/>
              </w:rPr>
              <w:t>✅ ROE de 29.0%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3.09%</w:t>
            </w:r>
          </w:p>
        </w:tc>
        <w:tc>
          <w:tcPr>
            <w:tcW w:type="dxa" w:w="5669"/>
            <w:shd w:fill="FFFFFF" w:val="clear"/>
          </w:tcPr>
          <w:p>
            <w:r>
              <w:rPr>
                <w:sz w:val="15"/>
              </w:rPr>
              <w:t>✅ ROA de 3.09%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47.83%</w:t>
            </w:r>
          </w:p>
        </w:tc>
        <w:tc>
          <w:tcPr>
            <w:tcW w:type="dxa" w:w="5669"/>
            <w:shd w:fill="FFFFFF" w:val="clear"/>
          </w:tcPr>
          <w:p>
            <w:r>
              <w:rPr>
                <w:sz w:val="15"/>
              </w:rPr>
              <w:t>✅ Marge nette de 47.8%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63.482 Mds FCFA</w:t>
            </w:r>
          </w:p>
        </w:tc>
        <w:tc>
          <w:tcPr>
            <w:tcW w:type="dxa" w:w="5669"/>
            <w:shd w:fill="FFFFFF" w:val="clear"/>
          </w:tcPr>
          <w:p>
            <w:r>
              <w:rPr>
                <w:sz w:val="15"/>
              </w:rPr>
              <w:t>✅ Résultat net positif de 63.482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8.51%</w:t>
            </w:r>
          </w:p>
        </w:tc>
        <w:tc>
          <w:tcPr>
            <w:tcW w:type="dxa" w:w="5669"/>
            <w:shd w:fill="FFFFFF" w:val="clear"/>
          </w:tcPr>
          <w:p>
            <w:r>
              <w:rPr>
                <w:sz w:val="15"/>
              </w:rPr>
              <w:t>✅ Croissance de 8.5%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10.64%</w:t>
            </w:r>
          </w:p>
        </w:tc>
        <w:tc>
          <w:tcPr>
            <w:tcW w:type="dxa" w:w="5669"/>
            <w:shd w:fill="FFFFFF" w:val="clear"/>
          </w:tcPr>
          <w:p>
            <w:r>
              <w:rPr>
                <w:sz w:val="15"/>
              </w:rPr>
              <w:t>⚠️ Autonomie limitée (10.6%)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69.63%</w:t>
            </w:r>
          </w:p>
        </w:tc>
        <w:tc>
          <w:tcPr>
            <w:tcW w:type="dxa" w:w="5669"/>
            <w:shd w:fill="FFFFFF" w:val="clear"/>
          </w:tcPr>
          <w:p>
            <w:r>
              <w:rPr>
                <w:sz w:val="15"/>
              </w:rPr>
              <w:t>✅ Gearing de 70%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111.91%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42.89%</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55.75%</w:t>
            </w:r>
          </w:p>
        </w:tc>
        <w:tc>
          <w:tcPr>
            <w:tcW w:type="dxa" w:w="5669"/>
            <w:shd w:fill="FFFFFF" w:val="clear"/>
          </w:tcPr>
          <w:p>
            <w:r>
              <w:rPr>
                <w:sz w:val="15"/>
              </w:rPr>
              <w:t>✅ Marge opérationnelle de 55.8% — excellente efficacité de l'exploitation principale.</w:t>
            </w:r>
          </w:p>
        </w:tc>
      </w:tr>
    </w:tbl>
    <w:p/>
    <w:p>
      <w:pPr>
        <w:spacing w:before="160"/>
      </w:pPr>
      <w:r>
        <w:rPr>
          <w:b/>
          <w:color w:val="003366"/>
          <w:sz w:val="20"/>
        </w:rPr>
        <w:t xml:space="preserve">▶ ETIT — ETIT - Ecobank Transnational Incorporated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21.62%</w:t>
            </w:r>
          </w:p>
        </w:tc>
        <w:tc>
          <w:tcPr>
            <w:tcW w:type="dxa" w:w="5669"/>
            <w:shd w:fill="FFFFFF" w:val="clear"/>
          </w:tcPr>
          <w:p>
            <w:r>
              <w:rPr>
                <w:sz w:val="15"/>
              </w:rPr>
              <w:t>✅ ROE de 21.6%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1.80%</w:t>
            </w:r>
          </w:p>
        </w:tc>
        <w:tc>
          <w:tcPr>
            <w:tcW w:type="dxa" w:w="5669"/>
            <w:shd w:fill="FFFFFF" w:val="clear"/>
          </w:tcPr>
          <w:p>
            <w:r>
              <w:rPr>
                <w:sz w:val="15"/>
              </w:rPr>
              <w:t>✅ ROA de 1.80%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24.26%</w:t>
            </w:r>
          </w:p>
        </w:tc>
        <w:tc>
          <w:tcPr>
            <w:tcW w:type="dxa" w:w="5669"/>
            <w:shd w:fill="FFFFFF" w:val="clear"/>
          </w:tcPr>
          <w:p>
            <w:r>
              <w:rPr>
                <w:sz w:val="15"/>
              </w:rPr>
              <w:t>✅ Marge nette de 24.3%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345.523 Mds FCFA</w:t>
            </w:r>
          </w:p>
        </w:tc>
        <w:tc>
          <w:tcPr>
            <w:tcW w:type="dxa" w:w="5669"/>
            <w:shd w:fill="FFFFFF" w:val="clear"/>
          </w:tcPr>
          <w:p>
            <w:r>
              <w:rPr>
                <w:sz w:val="15"/>
              </w:rPr>
              <w:t>✅ Résultat net positif de 345.523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12.45%</w:t>
            </w:r>
          </w:p>
        </w:tc>
        <w:tc>
          <w:tcPr>
            <w:tcW w:type="dxa" w:w="5669"/>
            <w:shd w:fill="FFFFFF" w:val="clear"/>
          </w:tcPr>
          <w:p>
            <w:r>
              <w:rPr>
                <w:sz w:val="15"/>
              </w:rPr>
              <w:t>✅ Croissance de 12.5%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8.30%</w:t>
            </w:r>
          </w:p>
        </w:tc>
        <w:tc>
          <w:tcPr>
            <w:tcW w:type="dxa" w:w="5669"/>
            <w:shd w:fill="FFFFFF" w:val="clear"/>
          </w:tcPr>
          <w:p>
            <w:r>
              <w:rPr>
                <w:sz w:val="15"/>
              </w:rPr>
              <w:t>❌ Autonomie très faible (8.3%)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154.06%</w:t>
            </w:r>
          </w:p>
        </w:tc>
        <w:tc>
          <w:tcPr>
            <w:tcW w:type="dxa" w:w="5669"/>
            <w:shd w:fill="FFFFFF" w:val="clear"/>
          </w:tcPr>
          <w:p>
            <w:r>
              <w:rPr>
                <w:sz w:val="15"/>
              </w:rPr>
              <w:t>⚠️ Gearing de 154%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109.05%</w:t>
            </w:r>
          </w:p>
        </w:tc>
        <w:tc>
          <w:tcPr>
            <w:tcW w:type="dxa" w:w="5669"/>
            <w:shd w:fill="FFFFFF" w:val="clear"/>
          </w:tcPr>
          <w:p>
            <w:r>
              <w:rPr>
                <w:sz w:val="15"/>
              </w:rPr>
              <w:t>⚠️ Solvabilité limite (109%)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343.247 Mds FCFA</w:t>
            </w:r>
          </w:p>
        </w:tc>
        <w:tc>
          <w:tcPr>
            <w:tcW w:type="dxa" w:w="5669"/>
            <w:shd w:fill="FFFFFF" w:val="clear"/>
          </w:tcPr>
          <w:p>
            <w:r>
              <w:rPr>
                <w:sz w:val="15"/>
              </w:rPr>
              <w:t>✅ FCF positif de 343.247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27.35%</w:t>
            </w:r>
          </w:p>
        </w:tc>
        <w:tc>
          <w:tcPr>
            <w:tcW w:type="dxa" w:w="5669"/>
            <w:shd w:fill="FFFFFF" w:val="clear"/>
          </w:tcPr>
          <w:p>
            <w:r>
              <w:rPr>
                <w:sz w:val="15"/>
              </w:rPr>
              <w:t>✅ Coeff. d'exploitation de 27.3%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32.69%</w:t>
            </w:r>
          </w:p>
        </w:tc>
        <w:tc>
          <w:tcPr>
            <w:tcW w:type="dxa" w:w="5669"/>
            <w:shd w:fill="FFFFFF" w:val="clear"/>
          </w:tcPr>
          <w:p>
            <w:r>
              <w:rPr>
                <w:sz w:val="15"/>
              </w:rPr>
              <w:t>✅ Marge opérationnelle de 32.7% — excellente efficacité de l'exploitation principale.</w:t>
            </w:r>
          </w:p>
        </w:tc>
      </w:tr>
    </w:tbl>
    <w:p/>
    <w:p>
      <w:pPr>
        <w:spacing w:before="160"/>
      </w:pPr>
      <w:r>
        <w:rPr>
          <w:b/>
          <w:color w:val="003366"/>
          <w:sz w:val="20"/>
        </w:rPr>
        <w:t xml:space="preserve">▶ NSBC — NSBC - NSIA BANQUE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17.45%</w:t>
            </w:r>
          </w:p>
        </w:tc>
        <w:tc>
          <w:tcPr>
            <w:tcW w:type="dxa" w:w="5669"/>
            <w:shd w:fill="FFFFFF" w:val="clear"/>
          </w:tcPr>
          <w:p>
            <w:r>
              <w:rPr>
                <w:sz w:val="15"/>
              </w:rPr>
              <w:t>✅ ROE de 17.5% — rentabilité satisfaisante, rémunère correctement les capitaux propres.</w:t>
            </w:r>
          </w:p>
        </w:tc>
      </w:tr>
      <w:tr>
        <w:tc>
          <w:tcPr>
            <w:tcW w:type="dxa" w:w="2268"/>
            <w:shd w:fill="EEF2F7" w:val="clear"/>
          </w:tcPr>
          <w:p>
            <w:r>
              <w:rPr>
                <w:b/>
                <w:sz w:val="15"/>
              </w:rPr>
              <w:t>ROA</w:t>
            </w:r>
          </w:p>
        </w:tc>
        <w:tc>
          <w:tcPr>
            <w:tcW w:type="dxa" w:w="1984"/>
            <w:shd w:fill="C6EFCE" w:val="clear"/>
          </w:tcPr>
          <w:p>
            <w:r>
              <w:rPr>
                <w:b/>
                <w:color w:val="007800"/>
                <w:sz w:val="17"/>
              </w:rPr>
              <w:t>1.32%</w:t>
            </w:r>
          </w:p>
        </w:tc>
        <w:tc>
          <w:tcPr>
            <w:tcW w:type="dxa" w:w="5669"/>
            <w:shd w:fill="FFFFFF" w:val="clear"/>
          </w:tcPr>
          <w:p>
            <w:r>
              <w:rPr>
                <w:sz w:val="15"/>
              </w:rPr>
              <w:t>✅ ROA de 1.32% — bonne utilisation des actifs (seuil banque UEMOA ≈ 1%).</w:t>
            </w:r>
          </w:p>
        </w:tc>
      </w:tr>
      <w:tr>
        <w:tc>
          <w:tcPr>
            <w:tcW w:type="dxa" w:w="2268"/>
            <w:shd w:fill="EEF2F7" w:val="clear"/>
          </w:tcPr>
          <w:p>
            <w:r>
              <w:rPr>
                <w:b/>
                <w:sz w:val="15"/>
              </w:rPr>
              <w:t>Marge nette</w:t>
            </w:r>
          </w:p>
        </w:tc>
        <w:tc>
          <w:tcPr>
            <w:tcW w:type="dxa" w:w="1984"/>
            <w:shd w:fill="C6EFCE" w:val="clear"/>
          </w:tcPr>
          <w:p>
            <w:r>
              <w:rPr>
                <w:b/>
                <w:color w:val="007800"/>
                <w:sz w:val="17"/>
              </w:rPr>
              <w:t>36.05%</w:t>
            </w:r>
          </w:p>
        </w:tc>
        <w:tc>
          <w:tcPr>
            <w:tcW w:type="dxa" w:w="5669"/>
            <w:shd w:fill="FFFFFF" w:val="clear"/>
          </w:tcPr>
          <w:p>
            <w:r>
              <w:rPr>
                <w:sz w:val="15"/>
              </w:rPr>
              <w:t>✅ Marge nette de 36.1%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40.712 Mds FCFA</w:t>
            </w:r>
          </w:p>
        </w:tc>
        <w:tc>
          <w:tcPr>
            <w:tcW w:type="dxa" w:w="5669"/>
            <w:shd w:fill="FFFFFF" w:val="clear"/>
          </w:tcPr>
          <w:p>
            <w:r>
              <w:rPr>
                <w:sz w:val="15"/>
              </w:rPr>
              <w:t>✅ Résultat net positif de 40.712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15.45%</w:t>
            </w:r>
          </w:p>
        </w:tc>
        <w:tc>
          <w:tcPr>
            <w:tcW w:type="dxa" w:w="5669"/>
            <w:shd w:fill="FFFFFF" w:val="clear"/>
          </w:tcPr>
          <w:p>
            <w:r>
              <w:rPr>
                <w:sz w:val="15"/>
              </w:rPr>
              <w:t>✅ Croissance de 15.4%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7.59%</w:t>
            </w:r>
          </w:p>
        </w:tc>
        <w:tc>
          <w:tcPr>
            <w:tcW w:type="dxa" w:w="5669"/>
            <w:shd w:fill="FFFFFF" w:val="clear"/>
          </w:tcPr>
          <w:p>
            <w:r>
              <w:rPr>
                <w:sz w:val="15"/>
              </w:rPr>
              <w:t>❌ Autonomie très faible (7.6%) — quasi-totalité des actifs financée par des dettes. Fragilité structurelle.</w:t>
            </w:r>
          </w:p>
        </w:tc>
      </w:tr>
      <w:tr>
        <w:tc>
          <w:tcPr>
            <w:tcW w:type="dxa" w:w="2268"/>
            <w:shd w:fill="EEF2F7" w:val="clear"/>
          </w:tcPr>
          <w:p>
            <w:r>
              <w:rPr>
                <w:b/>
                <w:sz w:val="15"/>
              </w:rPr>
              <w:t>Ratio endettement</w:t>
            </w:r>
          </w:p>
        </w:tc>
        <w:tc>
          <w:tcPr>
            <w:tcW w:type="dxa" w:w="1984"/>
            <w:shd w:fill="FFEB9C" w:val="clear"/>
          </w:tcPr>
          <w:p>
            <w:r>
              <w:rPr>
                <w:b/>
                <w:color w:val="007800"/>
                <w:sz w:val="17"/>
              </w:rPr>
              <w:t>227.90%</w:t>
            </w:r>
          </w:p>
        </w:tc>
        <w:tc>
          <w:tcPr>
            <w:tcW w:type="dxa" w:w="5669"/>
            <w:shd w:fill="FFFFFF" w:val="clear"/>
          </w:tcPr>
          <w:p>
            <w:r>
              <w:rPr>
                <w:sz w:val="15"/>
              </w:rPr>
              <w:t>⚠️ Gearing de 228%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FFEB9C" w:val="clear"/>
          </w:tcPr>
          <w:p>
            <w:r>
              <w:rPr>
                <w:b/>
                <w:color w:val="007800"/>
                <w:sz w:val="17"/>
              </w:rPr>
              <w:t>108.22%</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54.59%</w:t>
            </w:r>
          </w:p>
        </w:tc>
        <w:tc>
          <w:tcPr>
            <w:tcW w:type="dxa" w:w="5669"/>
            <w:shd w:fill="FFFFFF" w:val="clear"/>
          </w:tcPr>
          <w:p>
            <w:r>
              <w:rPr>
                <w:sz w:val="15"/>
              </w:rPr>
              <w:t>✅ Coeff. d'exploitation de 54.6%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37.87%</w:t>
            </w:r>
          </w:p>
        </w:tc>
        <w:tc>
          <w:tcPr>
            <w:tcW w:type="dxa" w:w="5669"/>
            <w:shd w:fill="FFFFFF" w:val="clear"/>
          </w:tcPr>
          <w:p>
            <w:r>
              <w:rPr>
                <w:sz w:val="15"/>
              </w:rPr>
              <w:t>✅ Marge opérationnelle de 37.9% — excellente efficacité de l'exploitation principale.</w:t>
            </w:r>
          </w:p>
        </w:tc>
      </w:tr>
    </w:tbl>
    <w:p/>
    <w:p>
      <w:pPr>
        <w:spacing w:before="160"/>
      </w:pPr>
      <w:r>
        <w:rPr>
          <w:b/>
          <w:color w:val="003366"/>
          <w:sz w:val="20"/>
        </w:rPr>
        <w:t xml:space="preserve">▶ ORGT — ORGT - ORAGROUP TOGO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19.13%</w:t>
            </w:r>
          </w:p>
        </w:tc>
        <w:tc>
          <w:tcPr>
            <w:tcW w:type="dxa" w:w="5669"/>
            <w:shd w:fill="FFFFFF" w:val="clear"/>
          </w:tcPr>
          <w:p>
            <w:r>
              <w:rPr>
                <w:sz w:val="15"/>
              </w:rPr>
              <w:t>✅ ROE de 19.1% — rentabilité satisfaisante, rémunère correctement les capitaux propres.</w:t>
            </w:r>
          </w:p>
        </w:tc>
      </w:tr>
      <w:tr>
        <w:tc>
          <w:tcPr>
            <w:tcW w:type="dxa" w:w="2268"/>
            <w:shd w:fill="EEF2F7" w:val="clear"/>
          </w:tcPr>
          <w:p>
            <w:r>
              <w:rPr>
                <w:b/>
                <w:sz w:val="15"/>
              </w:rPr>
              <w:t>ROA</w:t>
            </w:r>
          </w:p>
        </w:tc>
        <w:tc>
          <w:tcPr>
            <w:tcW w:type="dxa" w:w="1984"/>
            <w:shd w:fill="FFEB9C" w:val="clear"/>
          </w:tcPr>
          <w:p>
            <w:r>
              <w:rPr>
                <w:b/>
                <w:color w:val="007800"/>
                <w:sz w:val="17"/>
              </w:rPr>
              <w:t>0.54%</w:t>
            </w:r>
          </w:p>
        </w:tc>
        <w:tc>
          <w:tcPr>
            <w:tcW w:type="dxa" w:w="5669"/>
            <w:shd w:fill="FFFFFF" w:val="clear"/>
          </w:tcPr>
          <w:p>
            <w:r>
              <w:rPr>
                <w:sz w:val="15"/>
              </w:rPr>
              <w:t>⚠️ ROA de 0.54%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11.60%</w:t>
            </w:r>
          </w:p>
        </w:tc>
        <w:tc>
          <w:tcPr>
            <w:tcW w:type="dxa" w:w="5669"/>
            <w:shd w:fill="FFFFFF" w:val="clear"/>
          </w:tcPr>
          <w:p>
            <w:r>
              <w:rPr>
                <w:sz w:val="15"/>
              </w:rPr>
              <w:t>✅ Marge nette de 11.6%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21.643 Mds FCFA</w:t>
            </w:r>
          </w:p>
        </w:tc>
        <w:tc>
          <w:tcPr>
            <w:tcW w:type="dxa" w:w="5669"/>
            <w:shd w:fill="FFFFFF" w:val="clear"/>
          </w:tcPr>
          <w:p>
            <w:r>
              <w:rPr>
                <w:sz w:val="15"/>
              </w:rPr>
              <w:t>✅ Résultat net positif de 21.643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B40000"/>
                <w:sz w:val="17"/>
              </w:rPr>
              <w:t>-4.52%</w:t>
            </w:r>
          </w:p>
        </w:tc>
        <w:tc>
          <w:tcPr>
            <w:tcW w:type="dxa" w:w="5669"/>
            <w:shd w:fill="FFFFFF" w:val="clear"/>
          </w:tcPr>
          <w:p>
            <w:r>
              <w:rPr>
                <w:sz w:val="15"/>
              </w:rPr>
              <w:t>⚠️ Légère baisse (-4.5%) — contraction modérée du revenu principal.</w:t>
            </w:r>
          </w:p>
        </w:tc>
      </w:tr>
      <w:tr>
        <w:tc>
          <w:tcPr>
            <w:tcW w:type="dxa" w:w="2268"/>
            <w:shd w:fill="EEF2F7" w:val="clear"/>
          </w:tcPr>
          <w:p>
            <w:r>
              <w:rPr>
                <w:b/>
                <w:sz w:val="15"/>
              </w:rPr>
              <w:t>Autonomie financière</w:t>
            </w:r>
          </w:p>
        </w:tc>
        <w:tc>
          <w:tcPr>
            <w:tcW w:type="dxa" w:w="1984"/>
            <w:shd w:fill="FFC7CE" w:val="clear"/>
          </w:tcPr>
          <w:p>
            <w:r>
              <w:rPr>
                <w:b/>
                <w:color w:val="007800"/>
                <w:sz w:val="17"/>
              </w:rPr>
              <w:t>2.82%</w:t>
            </w:r>
          </w:p>
        </w:tc>
        <w:tc>
          <w:tcPr>
            <w:tcW w:type="dxa" w:w="5669"/>
            <w:shd w:fill="FFFFFF" w:val="clear"/>
          </w:tcPr>
          <w:p>
            <w:r>
              <w:rPr>
                <w:sz w:val="15"/>
              </w:rPr>
              <w:t>❌ Autonomie très faible (2.8%)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444.94%</w:t>
            </w:r>
          </w:p>
        </w:tc>
        <w:tc>
          <w:tcPr>
            <w:tcW w:type="dxa" w:w="5669"/>
            <w:shd w:fill="FFFFFF" w:val="clear"/>
          </w:tcPr>
          <w:p>
            <w:r>
              <w:rPr>
                <w:sz w:val="15"/>
              </w:rPr>
              <w:t>❌ Gearing de 445%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102.90%</w:t>
            </w:r>
          </w:p>
        </w:tc>
        <w:tc>
          <w:tcPr>
            <w:tcW w:type="dxa" w:w="5669"/>
            <w:shd w:fill="FFFFFF" w:val="clear"/>
          </w:tcPr>
          <w:p>
            <w:r>
              <w:rPr>
                <w:sz w:val="15"/>
              </w:rPr>
              <w:t>⚠️ Solvabilité limite (103%) — marge de sécurité faible pour les créanciers.</w:t>
            </w:r>
          </w:p>
        </w:tc>
      </w:tr>
      <w:tr>
        <w:tc>
          <w:tcPr>
            <w:tcW w:type="dxa" w:w="2268"/>
            <w:shd w:fill="EEF2F7" w:val="clear"/>
          </w:tcPr>
          <w:p>
            <w:r>
              <w:rPr>
                <w:b/>
                <w:sz w:val="15"/>
              </w:rPr>
              <w:t>Free Cash Flow</w:t>
            </w:r>
          </w:p>
        </w:tc>
        <w:tc>
          <w:tcPr>
            <w:tcW w:type="dxa" w:w="1984"/>
            <w:shd w:fill="C6EFCE" w:val="clear"/>
          </w:tcPr>
          <w:p>
            <w:r>
              <w:rPr>
                <w:b/>
                <w:color w:val="007800"/>
                <w:sz w:val="17"/>
              </w:rPr>
              <w:t>132.906 Mds FCFA</w:t>
            </w:r>
          </w:p>
        </w:tc>
        <w:tc>
          <w:tcPr>
            <w:tcW w:type="dxa" w:w="5669"/>
            <w:shd w:fill="FFFFFF" w:val="clear"/>
          </w:tcPr>
          <w:p>
            <w:r>
              <w:rPr>
                <w:sz w:val="15"/>
              </w:rPr>
              <w:t>✅ FCF positif de 132.906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42.85%</w:t>
            </w:r>
          </w:p>
        </w:tc>
        <w:tc>
          <w:tcPr>
            <w:tcW w:type="dxa" w:w="5669"/>
            <w:shd w:fill="FFFFFF" w:val="clear"/>
          </w:tcPr>
          <w:p>
            <w:r>
              <w:rPr>
                <w:sz w:val="15"/>
              </w:rPr>
              <w:t>✅ Coeff. d'exploitation de 42.9%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15.63%</w:t>
            </w:r>
          </w:p>
        </w:tc>
        <w:tc>
          <w:tcPr>
            <w:tcW w:type="dxa" w:w="5669"/>
            <w:shd w:fill="FFFFFF" w:val="clear"/>
          </w:tcPr>
          <w:p>
            <w:r>
              <w:rPr>
                <w:sz w:val="15"/>
              </w:rPr>
              <w:t>✅ Marge opérationnelle correcte (15.6%).</w:t>
            </w:r>
          </w:p>
        </w:tc>
      </w:tr>
    </w:tbl>
    <w:p/>
    <w:p>
      <w:pPr>
        <w:spacing w:before="160"/>
      </w:pPr>
      <w:r>
        <w:rPr>
          <w:b/>
          <w:color w:val="003366"/>
          <w:sz w:val="20"/>
        </w:rPr>
        <w:t xml:space="preserve">▶ SAFC — SAFCA CI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FFEB9C" w:val="clear"/>
          </w:tcPr>
          <w:p>
            <w:r>
              <w:rPr>
                <w:b/>
                <w:color w:val="007800"/>
                <w:sz w:val="17"/>
              </w:rPr>
              <w:t>11.85%</w:t>
            </w:r>
          </w:p>
        </w:tc>
        <w:tc>
          <w:tcPr>
            <w:tcW w:type="dxa" w:w="5669"/>
            <w:shd w:fill="FFFFFF" w:val="clear"/>
          </w:tcPr>
          <w:p>
            <w:r>
              <w:rPr>
                <w:sz w:val="15"/>
              </w:rPr>
              <w:t>⚠️ ROE de 11.8% — rentabilité modeste, inférieure au coût du capital. Les actionnaires ne sont pas pleinement rémunérés.</w:t>
            </w:r>
          </w:p>
        </w:tc>
      </w:tr>
      <w:tr>
        <w:tc>
          <w:tcPr>
            <w:tcW w:type="dxa" w:w="2268"/>
            <w:shd w:fill="EEF2F7" w:val="clear"/>
          </w:tcPr>
          <w:p>
            <w:r>
              <w:rPr>
                <w:b/>
                <w:sz w:val="15"/>
              </w:rPr>
              <w:t>ROA</w:t>
            </w:r>
          </w:p>
        </w:tc>
        <w:tc>
          <w:tcPr>
            <w:tcW w:type="dxa" w:w="1984"/>
            <w:shd w:fill="FFEB9C" w:val="clear"/>
          </w:tcPr>
          <w:p>
            <w:r>
              <w:rPr>
                <w:b/>
                <w:color w:val="007800"/>
                <w:sz w:val="17"/>
              </w:rPr>
              <w:t>0.88%</w:t>
            </w:r>
          </w:p>
        </w:tc>
        <w:tc>
          <w:tcPr>
            <w:tcW w:type="dxa" w:w="5669"/>
            <w:shd w:fill="FFFFFF" w:val="clear"/>
          </w:tcPr>
          <w:p>
            <w:r>
              <w:rPr>
                <w:sz w:val="15"/>
              </w:rPr>
              <w:t>⚠️ ROA de 0.88% — en dessous du seuil sectoriel (seuil banque UEMOA ≈ 1%). Les actifs ne génèrent pas assez de résultat.</w:t>
            </w:r>
          </w:p>
        </w:tc>
      </w:tr>
      <w:tr>
        <w:tc>
          <w:tcPr>
            <w:tcW w:type="dxa" w:w="2268"/>
            <w:shd w:fill="EEF2F7" w:val="clear"/>
          </w:tcPr>
          <w:p>
            <w:r>
              <w:rPr>
                <w:b/>
                <w:sz w:val="15"/>
              </w:rPr>
              <w:t>Marge nette</w:t>
            </w:r>
          </w:p>
        </w:tc>
        <w:tc>
          <w:tcPr>
            <w:tcW w:type="dxa" w:w="1984"/>
            <w:shd w:fill="C6EFCE" w:val="clear"/>
          </w:tcPr>
          <w:p>
            <w:r>
              <w:rPr>
                <w:b/>
                <w:color w:val="007800"/>
                <w:sz w:val="17"/>
              </w:rPr>
              <w:t>12.22%</w:t>
            </w:r>
          </w:p>
        </w:tc>
        <w:tc>
          <w:tcPr>
            <w:tcW w:type="dxa" w:w="5669"/>
            <w:shd w:fill="FFFFFF" w:val="clear"/>
          </w:tcPr>
          <w:p>
            <w:r>
              <w:rPr>
                <w:sz w:val="15"/>
              </w:rPr>
              <w:t>✅ Marge nette de 12.2%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701.00 M FCFA</w:t>
            </w:r>
          </w:p>
        </w:tc>
        <w:tc>
          <w:tcPr>
            <w:tcW w:type="dxa" w:w="5669"/>
            <w:shd w:fill="FFFFFF" w:val="clear"/>
          </w:tcPr>
          <w:p>
            <w:r>
              <w:rPr>
                <w:sz w:val="15"/>
              </w:rPr>
              <w:t>✅ Résultat net positif de 701.00 M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44.10%</w:t>
            </w:r>
          </w:p>
        </w:tc>
        <w:tc>
          <w:tcPr>
            <w:tcW w:type="dxa" w:w="5669"/>
            <w:shd w:fill="FFFFFF" w:val="clear"/>
          </w:tcPr>
          <w:p>
            <w:r>
              <w:rPr>
                <w:sz w:val="15"/>
              </w:rPr>
              <w:t>✅ Croissance de 44.1% — forte expansion, bien au-dessus du PIB UEMOA (≈6%). Gain de parts de marché ou hausse de volume significative.</w:t>
            </w:r>
          </w:p>
        </w:tc>
      </w:tr>
      <w:tr>
        <w:tc>
          <w:tcPr>
            <w:tcW w:type="dxa" w:w="2268"/>
            <w:shd w:fill="EEF2F7" w:val="clear"/>
          </w:tcPr>
          <w:p>
            <w:r>
              <w:rPr>
                <w:b/>
                <w:sz w:val="15"/>
              </w:rPr>
              <w:t>Autonomie financière</w:t>
            </w:r>
          </w:p>
        </w:tc>
        <w:tc>
          <w:tcPr>
            <w:tcW w:type="dxa" w:w="1984"/>
            <w:shd w:fill="FFC7CE" w:val="clear"/>
          </w:tcPr>
          <w:p>
            <w:r>
              <w:rPr>
                <w:b/>
                <w:color w:val="007800"/>
                <w:sz w:val="17"/>
              </w:rPr>
              <w:t>7.44%</w:t>
            </w:r>
          </w:p>
        </w:tc>
        <w:tc>
          <w:tcPr>
            <w:tcW w:type="dxa" w:w="5669"/>
            <w:shd w:fill="FFFFFF" w:val="clear"/>
          </w:tcPr>
          <w:p>
            <w:r>
              <w:rPr>
                <w:sz w:val="15"/>
              </w:rPr>
              <w:t>❌ Autonomie très faible (7.4%)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856.36%</w:t>
            </w:r>
          </w:p>
        </w:tc>
        <w:tc>
          <w:tcPr>
            <w:tcW w:type="dxa" w:w="5669"/>
            <w:shd w:fill="FFFFFF" w:val="clear"/>
          </w:tcPr>
          <w:p>
            <w:r>
              <w:rPr>
                <w:sz w:val="15"/>
              </w:rPr>
              <w:t>❌ Gearing de 856%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108.03%</w:t>
            </w:r>
          </w:p>
        </w:tc>
        <w:tc>
          <w:tcPr>
            <w:tcW w:type="dxa" w:w="5669"/>
            <w:shd w:fill="FFFFFF" w:val="clear"/>
          </w:tcPr>
          <w:p>
            <w:r>
              <w:rPr>
                <w:sz w:val="15"/>
              </w:rPr>
              <w:t>⚠️ Solvabilité limite (108%) — marge de sécurité faible pour les créanciers.</w:t>
            </w:r>
          </w:p>
        </w:tc>
      </w:tr>
      <w:tr>
        <w:tc>
          <w:tcPr>
            <w:tcW w:type="dxa" w:w="2268"/>
            <w:shd w:fill="EEF2F7" w:val="clear"/>
          </w:tcPr>
          <w:p>
            <w:r>
              <w:rPr>
                <w:b/>
                <w:sz w:val="15"/>
              </w:rPr>
              <w:t>Liquidité générale</w:t>
            </w:r>
          </w:p>
        </w:tc>
        <w:tc>
          <w:tcPr>
            <w:tcW w:type="dxa" w:w="1984"/>
            <w:shd w:fill="C6EFCE" w:val="clear"/>
          </w:tcPr>
          <w:p>
            <w:r>
              <w:rPr>
                <w:b/>
                <w:color w:val="007800"/>
                <w:sz w:val="17"/>
              </w:rPr>
              <w:t>537.55%</w:t>
            </w:r>
          </w:p>
        </w:tc>
        <w:tc>
          <w:tcPr>
            <w:tcW w:type="dxa" w:w="5669"/>
            <w:shd w:fill="FFFFFF" w:val="clear"/>
          </w:tcPr>
          <w:p>
            <w:r>
              <w:rPr>
                <w:sz w:val="15"/>
              </w:rPr>
              <w:t>✅ Liquidité générale de 538x — actif circulant deux fois supérieur aux dettes CT. Trésorerie très confortable.</w:t>
            </w:r>
          </w:p>
        </w:tc>
      </w:tr>
      <w:tr>
        <w:tc>
          <w:tcPr>
            <w:tcW w:type="dxa" w:w="2268"/>
            <w:shd w:fill="EEF2F7" w:val="clear"/>
          </w:tcPr>
          <w:p>
            <w:r>
              <w:rPr>
                <w:b/>
                <w:sz w:val="15"/>
              </w:rPr>
              <w:t>Coeff. exploitation</w:t>
            </w:r>
          </w:p>
        </w:tc>
        <w:tc>
          <w:tcPr>
            <w:tcW w:type="dxa" w:w="1984"/>
            <w:shd w:fill="FFC7CE" w:val="clear"/>
          </w:tcPr>
          <w:p>
            <w:r>
              <w:rPr>
                <w:b/>
                <w:color w:val="007800"/>
                <w:sz w:val="17"/>
              </w:rPr>
              <w:t>77.63%</w:t>
            </w:r>
          </w:p>
        </w:tc>
        <w:tc>
          <w:tcPr>
            <w:tcW w:type="dxa" w:w="5669"/>
            <w:shd w:fill="FFFFFF" w:val="clear"/>
          </w:tcPr>
          <w:p>
            <w:r>
              <w:rPr>
                <w:sz w:val="15"/>
              </w:rPr>
              <w:t>❌ Coeff. d'exploitation de 77.6% — structure de coûts critique. La banque est peu viable à ce niveau.</w:t>
            </w:r>
          </w:p>
        </w:tc>
      </w:tr>
      <w:tr>
        <w:tc>
          <w:tcPr>
            <w:tcW w:type="dxa" w:w="2268"/>
            <w:shd w:fill="EEF2F7" w:val="clear"/>
          </w:tcPr>
          <w:p>
            <w:r>
              <w:rPr>
                <w:b/>
                <w:sz w:val="15"/>
              </w:rPr>
              <w:t>Marge opérationnelle</w:t>
            </w:r>
          </w:p>
        </w:tc>
        <w:tc>
          <w:tcPr>
            <w:tcW w:type="dxa" w:w="1984"/>
            <w:shd w:fill="C6EFCE" w:val="clear"/>
          </w:tcPr>
          <w:p>
            <w:r>
              <w:rPr>
                <w:b/>
                <w:color w:val="007800"/>
                <w:sz w:val="17"/>
              </w:rPr>
              <w:t>15.80%</w:t>
            </w:r>
          </w:p>
        </w:tc>
        <w:tc>
          <w:tcPr>
            <w:tcW w:type="dxa" w:w="5669"/>
            <w:shd w:fill="FFFFFF" w:val="clear"/>
          </w:tcPr>
          <w:p>
            <w:r>
              <w:rPr>
                <w:sz w:val="15"/>
              </w:rPr>
              <w:t>✅ Marge opérationnelle correcte (15.8%).</w:t>
            </w:r>
          </w:p>
        </w:tc>
      </w:tr>
    </w:tbl>
    <w:p/>
    <w:p>
      <w:pPr>
        <w:spacing w:before="160"/>
      </w:pPr>
      <w:r>
        <w:rPr>
          <w:b/>
          <w:color w:val="003366"/>
          <w:sz w:val="20"/>
        </w:rPr>
        <w:t xml:space="preserve">▶ SGBC — SGBC - SOCIETE GENERALE COTE D'IVOIRE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20.47%</w:t>
            </w:r>
          </w:p>
        </w:tc>
        <w:tc>
          <w:tcPr>
            <w:tcW w:type="dxa" w:w="5669"/>
            <w:shd w:fill="FFFFFF" w:val="clear"/>
          </w:tcPr>
          <w:p>
            <w:r>
              <w:rPr>
                <w:sz w:val="15"/>
              </w:rPr>
              <w:t>✅ ROE de 20.5%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2.69%</w:t>
            </w:r>
          </w:p>
        </w:tc>
        <w:tc>
          <w:tcPr>
            <w:tcW w:type="dxa" w:w="5669"/>
            <w:shd w:fill="FFFFFF" w:val="clear"/>
          </w:tcPr>
          <w:p>
            <w:r>
              <w:rPr>
                <w:sz w:val="15"/>
              </w:rPr>
              <w:t>✅ ROA de 2.69%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36.72%</w:t>
            </w:r>
          </w:p>
        </w:tc>
        <w:tc>
          <w:tcPr>
            <w:tcW w:type="dxa" w:w="5669"/>
            <w:shd w:fill="FFFFFF" w:val="clear"/>
          </w:tcPr>
          <w:p>
            <w:r>
              <w:rPr>
                <w:sz w:val="15"/>
              </w:rPr>
              <w:t>✅ Marge nette de 36.7%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101.352 Mds FCFA</w:t>
            </w:r>
          </w:p>
        </w:tc>
        <w:tc>
          <w:tcPr>
            <w:tcW w:type="dxa" w:w="5669"/>
            <w:shd w:fill="FFFFFF" w:val="clear"/>
          </w:tcPr>
          <w:p>
            <w:r>
              <w:rPr>
                <w:sz w:val="15"/>
              </w:rPr>
              <w:t>✅ Résultat net positif de 101.352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4.88%</w:t>
            </w:r>
          </w:p>
        </w:tc>
        <w:tc>
          <w:tcPr>
            <w:tcW w:type="dxa" w:w="5669"/>
            <w:shd w:fill="FFFFFF" w:val="clear"/>
          </w:tcPr>
          <w:p>
            <w:r>
              <w:rPr>
                <w:sz w:val="15"/>
              </w:rPr>
              <w:t>⚠️ Croissance faible (4.9%)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13.14%</w:t>
            </w:r>
          </w:p>
        </w:tc>
        <w:tc>
          <w:tcPr>
            <w:tcW w:type="dxa" w:w="5669"/>
            <w:shd w:fill="FFFFFF" w:val="clear"/>
          </w:tcPr>
          <w:p>
            <w:r>
              <w:rPr>
                <w:sz w:val="15"/>
              </w:rPr>
              <w:t>⚠️ Autonomie limitée (13.1%)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86.86%</w:t>
            </w:r>
          </w:p>
        </w:tc>
        <w:tc>
          <w:tcPr>
            <w:tcW w:type="dxa" w:w="5669"/>
            <w:shd w:fill="FFFFFF" w:val="clear"/>
          </w:tcPr>
          <w:p>
            <w:r>
              <w:rPr>
                <w:sz w:val="15"/>
              </w:rPr>
              <w:t>✅ Gearing de 87%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115.12%</w:t>
            </w:r>
          </w:p>
        </w:tc>
        <w:tc>
          <w:tcPr>
            <w:tcW w:type="dxa" w:w="5669"/>
            <w:shd w:fill="FFFFFF" w:val="clear"/>
          </w:tcPr>
          <w:p>
            <w:r>
              <w:rPr>
                <w:sz w:val="15"/>
              </w:rPr>
              <w:t>⚠️ Solvabilité limite (115%)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38.75%</w:t>
            </w:r>
          </w:p>
        </w:tc>
        <w:tc>
          <w:tcPr>
            <w:tcW w:type="dxa" w:w="5669"/>
            <w:shd w:fill="FFFFFF" w:val="clear"/>
          </w:tcPr>
          <w:p>
            <w:r>
              <w:rPr>
                <w:sz w:val="15"/>
              </w:rPr>
              <w:t>✅ Coeff. d'exploitation de 38.8%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44.28%</w:t>
            </w:r>
          </w:p>
        </w:tc>
        <w:tc>
          <w:tcPr>
            <w:tcW w:type="dxa" w:w="5669"/>
            <w:shd w:fill="FFFFFF" w:val="clear"/>
          </w:tcPr>
          <w:p>
            <w:r>
              <w:rPr>
                <w:sz w:val="15"/>
              </w:rPr>
              <w:t>✅ Marge opérationnelle de 44.3% — excellente efficacité de l'exploitation principale.</w:t>
            </w:r>
          </w:p>
        </w:tc>
      </w:tr>
    </w:tbl>
    <w:p/>
    <w:p>
      <w:pPr>
        <w:spacing w:before="160"/>
      </w:pPr>
      <w:r>
        <w:rPr>
          <w:b/>
          <w:color w:val="003366"/>
          <w:sz w:val="20"/>
        </w:rPr>
        <w:t xml:space="preserve">▶ SIBC — SIBC - SOCIETE IVOIRIENNE DE BANQUE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27.16%</w:t>
            </w:r>
          </w:p>
        </w:tc>
        <w:tc>
          <w:tcPr>
            <w:tcW w:type="dxa" w:w="5669"/>
            <w:shd w:fill="FFFFFF" w:val="clear"/>
          </w:tcPr>
          <w:p>
            <w:r>
              <w:rPr>
                <w:sz w:val="15"/>
              </w:rPr>
              <w:t>✅ ROE de 27.2%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2.96%</w:t>
            </w:r>
          </w:p>
        </w:tc>
        <w:tc>
          <w:tcPr>
            <w:tcW w:type="dxa" w:w="5669"/>
            <w:shd w:fill="FFFFFF" w:val="clear"/>
          </w:tcPr>
          <w:p>
            <w:r>
              <w:rPr>
                <w:sz w:val="15"/>
              </w:rPr>
              <w:t>✅ ROA de 2.96%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51.19%</w:t>
            </w:r>
          </w:p>
        </w:tc>
        <w:tc>
          <w:tcPr>
            <w:tcW w:type="dxa" w:w="5669"/>
            <w:shd w:fill="FFFFFF" w:val="clear"/>
          </w:tcPr>
          <w:p>
            <w:r>
              <w:rPr>
                <w:sz w:val="15"/>
              </w:rPr>
              <w:t>✅ Marge nette de 51.2%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55.623 Mds FCFA</w:t>
            </w:r>
          </w:p>
        </w:tc>
        <w:tc>
          <w:tcPr>
            <w:tcW w:type="dxa" w:w="5669"/>
            <w:shd w:fill="FFFFFF" w:val="clear"/>
          </w:tcPr>
          <w:p>
            <w:r>
              <w:rPr>
                <w:sz w:val="15"/>
              </w:rPr>
              <w:t>✅ Résultat net positif de 55.623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5.74%</w:t>
            </w:r>
          </w:p>
        </w:tc>
        <w:tc>
          <w:tcPr>
            <w:tcW w:type="dxa" w:w="5669"/>
            <w:shd w:fill="FFFFFF" w:val="clear"/>
          </w:tcPr>
          <w:p>
            <w:r>
              <w:rPr>
                <w:sz w:val="15"/>
              </w:rPr>
              <w:t>✅ Croissance de 5.7% — dynamisme commercial solide, supérieur à l'inflation régionale.</w:t>
            </w:r>
          </w:p>
        </w:tc>
      </w:tr>
      <w:tr>
        <w:tc>
          <w:tcPr>
            <w:tcW w:type="dxa" w:w="2268"/>
            <w:shd w:fill="EEF2F7" w:val="clear"/>
          </w:tcPr>
          <w:p>
            <w:r>
              <w:rPr>
                <w:b/>
                <w:sz w:val="15"/>
              </w:rPr>
              <w:t>Autonomie financière</w:t>
            </w:r>
          </w:p>
        </w:tc>
        <w:tc>
          <w:tcPr>
            <w:tcW w:type="dxa" w:w="1984"/>
            <w:shd w:fill="FFEB9C" w:val="clear"/>
          </w:tcPr>
          <w:p>
            <w:r>
              <w:rPr>
                <w:b/>
                <w:color w:val="007800"/>
                <w:sz w:val="17"/>
              </w:rPr>
              <w:t>10.88%</w:t>
            </w:r>
          </w:p>
        </w:tc>
        <w:tc>
          <w:tcPr>
            <w:tcW w:type="dxa" w:w="5669"/>
            <w:shd w:fill="FFFFFF" w:val="clear"/>
          </w:tcPr>
          <w:p>
            <w:r>
              <w:rPr>
                <w:sz w:val="15"/>
              </w:rPr>
              <w:t>⚠️ Autonomie limitée (10.9%)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C6EFCE" w:val="clear"/>
          </w:tcPr>
          <w:p>
            <w:r>
              <w:rPr>
                <w:b/>
                <w:color w:val="007800"/>
                <w:sz w:val="17"/>
              </w:rPr>
              <w:t>50.92%</w:t>
            </w:r>
          </w:p>
        </w:tc>
        <w:tc>
          <w:tcPr>
            <w:tcW w:type="dxa" w:w="5669"/>
            <w:shd w:fill="FFFFFF" w:val="clear"/>
          </w:tcPr>
          <w:p>
            <w:r>
              <w:rPr>
                <w:sz w:val="15"/>
              </w:rPr>
              <w:t>✅ Gearing de 51%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112.21%</w:t>
            </w:r>
          </w:p>
        </w:tc>
        <w:tc>
          <w:tcPr>
            <w:tcW w:type="dxa" w:w="5669"/>
            <w:shd w:fill="FFFFFF" w:val="clear"/>
          </w:tcPr>
          <w:p>
            <w:r>
              <w:rPr>
                <w:sz w:val="15"/>
              </w:rPr>
              <w:t>⚠️ Solvabilité limite (112%) — marge de sécurité faible pour les créanciers.</w:t>
            </w:r>
          </w:p>
        </w:tc>
      </w:tr>
      <w:tr>
        <w:tc>
          <w:tcPr>
            <w:tcW w:type="dxa" w:w="2268"/>
            <w:shd w:fill="EEF2F7" w:val="clear"/>
          </w:tcPr>
          <w:p>
            <w:r>
              <w:rPr>
                <w:b/>
                <w:sz w:val="15"/>
              </w:rPr>
              <w:t>Coeff. exploitation</w:t>
            </w:r>
          </w:p>
        </w:tc>
        <w:tc>
          <w:tcPr>
            <w:tcW w:type="dxa" w:w="1984"/>
            <w:shd w:fill="C6EFCE" w:val="clear"/>
          </w:tcPr>
          <w:p>
            <w:r>
              <w:rPr>
                <w:b/>
                <w:color w:val="007800"/>
                <w:sz w:val="17"/>
              </w:rPr>
              <w:t>38.59%</w:t>
            </w:r>
          </w:p>
        </w:tc>
        <w:tc>
          <w:tcPr>
            <w:tcW w:type="dxa" w:w="5669"/>
            <w:shd w:fill="FFFFFF" w:val="clear"/>
          </w:tcPr>
          <w:p>
            <w:r>
              <w:rPr>
                <w:sz w:val="15"/>
              </w:rPr>
              <w:t>✅ Coeff. d'exploitation de 38.6% — banque très efficiente. Moins de 45 centimes de charges par FCFA de PNB. Excellence opérationnelle.</w:t>
            </w:r>
          </w:p>
        </w:tc>
      </w:tr>
      <w:tr>
        <w:tc>
          <w:tcPr>
            <w:tcW w:type="dxa" w:w="2268"/>
            <w:shd w:fill="EEF2F7" w:val="clear"/>
          </w:tcPr>
          <w:p>
            <w:r>
              <w:rPr>
                <w:b/>
                <w:sz w:val="15"/>
              </w:rPr>
              <w:t>Marge opérationnelle</w:t>
            </w:r>
          </w:p>
        </w:tc>
        <w:tc>
          <w:tcPr>
            <w:tcW w:type="dxa" w:w="1984"/>
            <w:shd w:fill="C6EFCE" w:val="clear"/>
          </w:tcPr>
          <w:p>
            <w:r>
              <w:rPr>
                <w:b/>
                <w:color w:val="007800"/>
                <w:sz w:val="17"/>
              </w:rPr>
              <w:t>58.06%</w:t>
            </w:r>
          </w:p>
        </w:tc>
        <w:tc>
          <w:tcPr>
            <w:tcW w:type="dxa" w:w="5669"/>
            <w:shd w:fill="FFFFFF" w:val="clear"/>
          </w:tcPr>
          <w:p>
            <w:r>
              <w:rPr>
                <w:sz w:val="15"/>
              </w:rPr>
              <w:t>✅ Marge opérationnelle de 58.1%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BICC</w:t>
            </w:r>
          </w:p>
        </w:tc>
        <w:tc>
          <w:tcPr>
            <w:tcW w:type="dxa" w:w="1728"/>
            <w:shd w:fill="C6EFCE" w:val="clear"/>
          </w:tcPr>
          <w:p>
            <w:r>
              <w:rPr>
                <w:color w:val="006400"/>
                <w:sz w:val="16"/>
              </w:rPr>
              <w:t>30.29%</w:t>
            </w:r>
          </w:p>
        </w:tc>
        <w:tc>
          <w:tcPr>
            <w:tcW w:type="dxa" w:w="1728"/>
            <w:shd w:fill="FFC7CE" w:val="clear"/>
          </w:tcPr>
          <w:p>
            <w:r>
              <w:rPr>
                <w:b/>
                <w:color w:val="B40000"/>
                <w:sz w:val="16"/>
              </w:rPr>
              <w:t>BOAN</w:t>
            </w:r>
          </w:p>
        </w:tc>
        <w:tc>
          <w:tcPr>
            <w:tcW w:type="dxa" w:w="1728"/>
            <w:shd w:fill="FFC7CE" w:val="clear"/>
          </w:tcPr>
          <w:p>
            <w:r>
              <w:rPr>
                <w:color w:val="B40000"/>
                <w:sz w:val="16"/>
              </w:rPr>
              <w:t>1.13%</w:t>
            </w:r>
          </w:p>
        </w:tc>
      </w:tr>
      <w:tr>
        <w:tc>
          <w:tcPr>
            <w:tcW w:type="dxa" w:w="1728"/>
            <w:shd w:fill="EEF2F7" w:val="clear"/>
          </w:tcPr>
          <w:p>
            <w:r>
              <w:rPr>
                <w:b/>
                <w:sz w:val="16"/>
              </w:rPr>
              <w:t>Marge nette</w:t>
            </w:r>
          </w:p>
        </w:tc>
        <w:tc>
          <w:tcPr>
            <w:tcW w:type="dxa" w:w="1728"/>
            <w:shd w:fill="C6EFCE" w:val="clear"/>
          </w:tcPr>
          <w:p>
            <w:r>
              <w:rPr>
                <w:b/>
                <w:color w:val="006400"/>
                <w:sz w:val="16"/>
              </w:rPr>
              <w:t>BICB</w:t>
            </w:r>
          </w:p>
        </w:tc>
        <w:tc>
          <w:tcPr>
            <w:tcW w:type="dxa" w:w="1728"/>
            <w:shd w:fill="C6EFCE" w:val="clear"/>
          </w:tcPr>
          <w:p>
            <w:r>
              <w:rPr>
                <w:color w:val="006400"/>
                <w:sz w:val="16"/>
              </w:rPr>
              <w:t>68.62%</w:t>
            </w:r>
          </w:p>
        </w:tc>
        <w:tc>
          <w:tcPr>
            <w:tcW w:type="dxa" w:w="1728"/>
            <w:shd w:fill="FFC7CE" w:val="clear"/>
          </w:tcPr>
          <w:p>
            <w:r>
              <w:rPr>
                <w:b/>
                <w:color w:val="B40000"/>
                <w:sz w:val="16"/>
              </w:rPr>
              <w:t>BOAN</w:t>
            </w:r>
          </w:p>
        </w:tc>
        <w:tc>
          <w:tcPr>
            <w:tcW w:type="dxa" w:w="1728"/>
            <w:shd w:fill="FFC7CE" w:val="clear"/>
          </w:tcPr>
          <w:p>
            <w:r>
              <w:rPr>
                <w:color w:val="B40000"/>
                <w:sz w:val="16"/>
              </w:rPr>
              <w:t>1.94%</w:t>
            </w:r>
          </w:p>
        </w:tc>
      </w:tr>
      <w:tr>
        <w:tc>
          <w:tcPr>
            <w:tcW w:type="dxa" w:w="1728"/>
            <w:shd w:fill="EEF2F7" w:val="clear"/>
          </w:tcPr>
          <w:p>
            <w:r>
              <w:rPr>
                <w:b/>
                <w:sz w:val="16"/>
              </w:rPr>
              <w:t>Croissance CA/PNB</w:t>
            </w:r>
          </w:p>
        </w:tc>
        <w:tc>
          <w:tcPr>
            <w:tcW w:type="dxa" w:w="1728"/>
            <w:shd w:fill="C6EFCE" w:val="clear"/>
          </w:tcPr>
          <w:p>
            <w:r>
              <w:rPr>
                <w:b/>
                <w:color w:val="006400"/>
                <w:sz w:val="16"/>
              </w:rPr>
              <w:t>SAFC</w:t>
            </w:r>
          </w:p>
        </w:tc>
        <w:tc>
          <w:tcPr>
            <w:tcW w:type="dxa" w:w="1728"/>
            <w:shd w:fill="C6EFCE" w:val="clear"/>
          </w:tcPr>
          <w:p>
            <w:r>
              <w:rPr>
                <w:color w:val="006400"/>
                <w:sz w:val="16"/>
              </w:rPr>
              <w:t>44.10%</w:t>
            </w:r>
          </w:p>
        </w:tc>
        <w:tc>
          <w:tcPr>
            <w:tcW w:type="dxa" w:w="1728"/>
            <w:shd w:fill="FFC7CE" w:val="clear"/>
          </w:tcPr>
          <w:p>
            <w:r>
              <w:rPr>
                <w:b/>
                <w:color w:val="B40000"/>
                <w:sz w:val="16"/>
              </w:rPr>
              <w:t>ORGT</w:t>
            </w:r>
          </w:p>
        </w:tc>
        <w:tc>
          <w:tcPr>
            <w:tcW w:type="dxa" w:w="1728"/>
            <w:shd w:fill="FFC7CE" w:val="clear"/>
          </w:tcPr>
          <w:p>
            <w:r>
              <w:rPr>
                <w:color w:val="B40000"/>
                <w:sz w:val="16"/>
              </w:rPr>
              <w:t>-4.52%</w:t>
            </w:r>
          </w:p>
        </w:tc>
      </w:tr>
      <w:tr>
        <w:tc>
          <w:tcPr>
            <w:tcW w:type="dxa" w:w="1728"/>
            <w:shd w:fill="EEF2F7" w:val="clear"/>
          </w:tcPr>
          <w:p>
            <w:r>
              <w:rPr>
                <w:b/>
                <w:sz w:val="16"/>
              </w:rPr>
              <w:t>Autonomie fin.</w:t>
            </w:r>
          </w:p>
        </w:tc>
        <w:tc>
          <w:tcPr>
            <w:tcW w:type="dxa" w:w="1728"/>
            <w:shd w:fill="C6EFCE" w:val="clear"/>
          </w:tcPr>
          <w:p>
            <w:r>
              <w:rPr>
                <w:b/>
                <w:color w:val="006400"/>
                <w:sz w:val="16"/>
              </w:rPr>
              <w:t>SGBC</w:t>
            </w:r>
          </w:p>
        </w:tc>
        <w:tc>
          <w:tcPr>
            <w:tcW w:type="dxa" w:w="1728"/>
            <w:shd w:fill="C6EFCE" w:val="clear"/>
          </w:tcPr>
          <w:p>
            <w:r>
              <w:rPr>
                <w:color w:val="006400"/>
                <w:sz w:val="16"/>
              </w:rPr>
              <w:t>13.14%</w:t>
            </w:r>
          </w:p>
        </w:tc>
        <w:tc>
          <w:tcPr>
            <w:tcW w:type="dxa" w:w="1728"/>
            <w:shd w:fill="FFC7CE" w:val="clear"/>
          </w:tcPr>
          <w:p>
            <w:r>
              <w:rPr>
                <w:b/>
                <w:color w:val="B40000"/>
                <w:sz w:val="16"/>
              </w:rPr>
              <w:t>ORGT</w:t>
            </w:r>
          </w:p>
        </w:tc>
        <w:tc>
          <w:tcPr>
            <w:tcW w:type="dxa" w:w="1728"/>
            <w:shd w:fill="FFC7CE" w:val="clear"/>
          </w:tcPr>
          <w:p>
            <w:r>
              <w:rPr>
                <w:color w:val="B40000"/>
                <w:sz w:val="16"/>
              </w:rPr>
              <w:t>2.82%</w:t>
            </w:r>
          </w:p>
        </w:tc>
      </w:tr>
      <w:tr>
        <w:tc>
          <w:tcPr>
            <w:tcW w:type="dxa" w:w="1728"/>
            <w:shd w:fill="EEF2F7" w:val="clear"/>
          </w:tcPr>
          <w:p>
            <w:r>
              <w:rPr>
                <w:b/>
                <w:sz w:val="16"/>
              </w:rPr>
              <w:t>Liquidité gén.</w:t>
            </w:r>
          </w:p>
        </w:tc>
        <w:tc>
          <w:tcPr>
            <w:tcW w:type="dxa" w:w="1728"/>
            <w:shd w:fill="C6EFCE" w:val="clear"/>
          </w:tcPr>
          <w:p>
            <w:r>
              <w:rPr>
                <w:b/>
                <w:color w:val="006400"/>
                <w:sz w:val="16"/>
              </w:rPr>
              <w:t>BICB</w:t>
            </w:r>
          </w:p>
        </w:tc>
        <w:tc>
          <w:tcPr>
            <w:tcW w:type="dxa" w:w="1728"/>
            <w:shd w:fill="C6EFCE" w:val="clear"/>
          </w:tcPr>
          <w:p>
            <w:r>
              <w:rPr>
                <w:color w:val="006400"/>
                <w:sz w:val="16"/>
              </w:rPr>
              <w:t>5646.45%</w:t>
            </w:r>
          </w:p>
        </w:tc>
        <w:tc>
          <w:tcPr>
            <w:tcW w:type="dxa" w:w="1728"/>
            <w:shd w:fill="FFC7CE" w:val="clear"/>
          </w:tcPr>
          <w:p>
            <w:r>
              <w:rPr>
                <w:b/>
                <w:color w:val="B40000"/>
                <w:sz w:val="16"/>
              </w:rPr>
              <w:t>SAFC</w:t>
            </w:r>
          </w:p>
        </w:tc>
        <w:tc>
          <w:tcPr>
            <w:tcW w:type="dxa" w:w="1728"/>
            <w:shd w:fill="FFC7CE" w:val="clear"/>
          </w:tcPr>
          <w:p>
            <w:r>
              <w:rPr>
                <w:color w:val="B40000"/>
                <w:sz w:val="16"/>
              </w:rPr>
              <w:t>537.55%</w:t>
            </w:r>
          </w:p>
        </w:tc>
      </w:tr>
      <w:tr>
        <w:tc>
          <w:tcPr>
            <w:tcW w:type="dxa" w:w="1728"/>
            <w:shd w:fill="EEF2F7" w:val="clear"/>
          </w:tcPr>
          <w:p>
            <w:r>
              <w:rPr>
                <w:b/>
                <w:sz w:val="16"/>
              </w:rPr>
              <w:t>FCF</w:t>
            </w:r>
          </w:p>
        </w:tc>
        <w:tc>
          <w:tcPr>
            <w:tcW w:type="dxa" w:w="1728"/>
            <w:shd w:fill="C6EFCE" w:val="clear"/>
          </w:tcPr>
          <w:p>
            <w:r>
              <w:rPr>
                <w:b/>
                <w:color w:val="006400"/>
                <w:sz w:val="16"/>
              </w:rPr>
              <w:t>ETIT</w:t>
            </w:r>
          </w:p>
        </w:tc>
        <w:tc>
          <w:tcPr>
            <w:tcW w:type="dxa" w:w="1728"/>
            <w:shd w:fill="C6EFCE" w:val="clear"/>
          </w:tcPr>
          <w:p>
            <w:r>
              <w:rPr>
                <w:color w:val="006400"/>
                <w:sz w:val="16"/>
              </w:rPr>
              <w:t>343.247 Mds FCFA</w:t>
            </w:r>
          </w:p>
        </w:tc>
        <w:tc>
          <w:tcPr>
            <w:tcW w:type="dxa" w:w="1728"/>
            <w:shd w:fill="FFC7CE" w:val="clear"/>
          </w:tcPr>
          <w:p>
            <w:r>
              <w:rPr>
                <w:b/>
                <w:color w:val="B40000"/>
                <w:sz w:val="16"/>
              </w:rPr>
              <w:t>ORGT</w:t>
            </w:r>
          </w:p>
        </w:tc>
        <w:tc>
          <w:tcPr>
            <w:tcW w:type="dxa" w:w="1728"/>
            <w:shd w:fill="FFC7CE" w:val="clear"/>
          </w:tcPr>
          <w:p>
            <w:r>
              <w:rPr>
                <w:color w:val="B40000"/>
                <w:sz w:val="16"/>
              </w:rPr>
              <w:t>132.906 Mds FCFA</w:t>
            </w:r>
          </w:p>
        </w:tc>
      </w:tr>
      <w:tr>
        <w:tc>
          <w:tcPr>
            <w:tcW w:type="dxa" w:w="1728"/>
            <w:shd w:fill="EEF2F7" w:val="clear"/>
          </w:tcPr>
          <w:p>
            <w:r>
              <w:rPr>
                <w:b/>
                <w:sz w:val="16"/>
              </w:rPr>
              <w:t>Coeff. exploit.</w:t>
            </w:r>
          </w:p>
        </w:tc>
        <w:tc>
          <w:tcPr>
            <w:tcW w:type="dxa" w:w="1728"/>
            <w:shd w:fill="C6EFCE" w:val="clear"/>
          </w:tcPr>
          <w:p>
            <w:r>
              <w:rPr>
                <w:b/>
                <w:color w:val="006400"/>
                <w:sz w:val="16"/>
              </w:rPr>
              <w:t>ETIT</w:t>
            </w:r>
          </w:p>
        </w:tc>
        <w:tc>
          <w:tcPr>
            <w:tcW w:type="dxa" w:w="1728"/>
            <w:shd w:fill="C6EFCE" w:val="clear"/>
          </w:tcPr>
          <w:p>
            <w:r>
              <w:rPr>
                <w:color w:val="006400"/>
                <w:sz w:val="16"/>
              </w:rPr>
              <w:t>27.35%</w:t>
            </w:r>
          </w:p>
        </w:tc>
        <w:tc>
          <w:tcPr>
            <w:tcW w:type="dxa" w:w="1728"/>
            <w:shd w:fill="FFC7CE" w:val="clear"/>
          </w:tcPr>
          <w:p>
            <w:r>
              <w:rPr>
                <w:b/>
                <w:color w:val="B40000"/>
                <w:sz w:val="16"/>
              </w:rPr>
              <w:t>SAFC</w:t>
            </w:r>
          </w:p>
        </w:tc>
        <w:tc>
          <w:tcPr>
            <w:tcW w:type="dxa" w:w="1728"/>
            <w:shd w:fill="FFC7CE" w:val="clear"/>
          </w:tcPr>
          <w:p>
            <w:r>
              <w:rPr>
                <w:color w:val="B40000"/>
                <w:sz w:val="16"/>
              </w:rPr>
              <w:t>77.63%</w:t>
            </w:r>
          </w:p>
        </w:tc>
      </w:tr>
    </w:tbl>
    <w:p/>
    <w:p>
      <w:r>
        <w:br w:type="page"/>
      </w:r>
    </w:p>
    <w:p>
      <w:pPr>
        <w:pStyle w:val="Heading2"/>
      </w:pPr>
      <w:r>
        <w:rPr>
          <w:color w:val="003366"/>
        </w:rPr>
        <w:t>📂 Secteur : SERVICES PUBLICS</w:t>
      </w:r>
    </w:p>
    <w:p>
      <w:r>
        <w:rPr>
          <w:sz w:val="18"/>
        </w:rPr>
        <w:t>2 société(s) avec données financières sur 2 cotée(s) dans ce secteur. Exercice(s) analysé(s) :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880"/>
        <w:gridCol w:w="2880"/>
        <w:gridCol w:w="2880"/>
      </w:tblGrid>
      <w:tr>
        <w:tc>
          <w:tcPr>
            <w:tcW w:type="dxa" w:w="2551"/>
            <w:shd w:fill="1F4E79" w:val="clear"/>
          </w:tcPr>
          <w:p>
            <w:r>
              <w:rPr>
                <w:b/>
                <w:color w:val="FFFFFF"/>
                <w:sz w:val="16"/>
              </w:rPr>
              <w:t>Indicateur</w:t>
            </w:r>
          </w:p>
        </w:tc>
        <w:tc>
          <w:tcPr>
            <w:tcW w:type="dxa" w:w="3685"/>
            <w:shd w:fill="1F4E79" w:val="clear"/>
          </w:tcPr>
          <w:p>
            <w:r>
              <w:rPr>
                <w:b/>
                <w:color w:val="FFFFFF"/>
                <w:sz w:val="15"/>
              </w:rPr>
              <w:t>CIEC (2025)</w:t>
            </w:r>
          </w:p>
        </w:tc>
        <w:tc>
          <w:tcPr>
            <w:tcW w:type="dxa" w:w="3685"/>
            <w:shd w:fill="1F4E79" w:val="clear"/>
          </w:tcPr>
          <w:p>
            <w:r>
              <w:rPr>
                <w:b/>
                <w:color w:val="FFFFFF"/>
                <w:sz w:val="15"/>
              </w:rPr>
              <w:t>SDCC (2025)</w:t>
            </w:r>
          </w:p>
        </w:tc>
      </w:tr>
      <w:tr>
        <w:tc>
          <w:tcPr>
            <w:tcW w:type="dxa" w:w="2551"/>
            <w:shd w:fill="EEF2F7" w:val="clear"/>
          </w:tcPr>
          <w:p>
            <w:r>
              <w:rPr>
                <w:b/>
                <w:sz w:val="15"/>
              </w:rPr>
              <w:t>ROE</w:t>
            </w:r>
          </w:p>
        </w:tc>
        <w:tc>
          <w:tcPr>
            <w:tcW w:type="dxa" w:w="3685"/>
            <w:shd w:fill="C6EFCE" w:val="clear"/>
          </w:tcPr>
          <w:p>
            <w:r>
              <w:rPr>
                <w:b/>
                <w:color w:val="006400"/>
                <w:sz w:val="16"/>
              </w:rPr>
              <w:t>36.50%</w:t>
            </w:r>
          </w:p>
        </w:tc>
        <w:tc>
          <w:tcPr>
            <w:tcW w:type="dxa" w:w="3685"/>
            <w:shd w:fill="FFC7CE" w:val="clear"/>
          </w:tcPr>
          <w:p>
            <w:r>
              <w:rPr>
                <w:b/>
                <w:color w:val="B40000"/>
                <w:sz w:val="16"/>
              </w:rPr>
              <w:t>23.65%</w:t>
            </w:r>
          </w:p>
        </w:tc>
      </w:tr>
      <w:tr>
        <w:tc>
          <w:tcPr>
            <w:tcW w:type="dxa" w:w="2551"/>
            <w:shd w:fill="EEF2F7" w:val="clear"/>
          </w:tcPr>
          <w:p>
            <w:r>
              <w:rPr>
                <w:b/>
                <w:sz w:val="15"/>
              </w:rPr>
              <w:t>ROA</w:t>
            </w:r>
          </w:p>
        </w:tc>
        <w:tc>
          <w:tcPr>
            <w:tcW w:type="dxa" w:w="3685"/>
            <w:shd w:fill="FFC7CE" w:val="clear"/>
          </w:tcPr>
          <w:p>
            <w:r>
              <w:rPr>
                <w:b/>
                <w:color w:val="B40000"/>
                <w:sz w:val="16"/>
              </w:rPr>
              <w:t>0.65%</w:t>
            </w:r>
          </w:p>
        </w:tc>
        <w:tc>
          <w:tcPr>
            <w:tcW w:type="dxa" w:w="3685"/>
            <w:shd w:fill="C6EFCE" w:val="clear"/>
          </w:tcPr>
          <w:p>
            <w:r>
              <w:rPr>
                <w:b/>
                <w:color w:val="006400"/>
                <w:sz w:val="16"/>
              </w:rPr>
              <w:t>0.99%</w:t>
            </w:r>
          </w:p>
        </w:tc>
      </w:tr>
      <w:tr>
        <w:tc>
          <w:tcPr>
            <w:tcW w:type="dxa" w:w="2551"/>
            <w:shd w:fill="EEF2F7" w:val="clear"/>
          </w:tcPr>
          <w:p>
            <w:r>
              <w:rPr>
                <w:b/>
                <w:sz w:val="15"/>
              </w:rPr>
              <w:t>Marge nette</w:t>
            </w:r>
          </w:p>
        </w:tc>
        <w:tc>
          <w:tcPr>
            <w:tcW w:type="dxa" w:w="3685"/>
            <w:shd w:fill="C6EFCE" w:val="clear"/>
          </w:tcPr>
          <w:p>
            <w:r>
              <w:rPr>
                <w:b/>
                <w:color w:val="006400"/>
                <w:sz w:val="16"/>
              </w:rPr>
              <w:t>4.34%</w:t>
            </w:r>
          </w:p>
        </w:tc>
        <w:tc>
          <w:tcPr>
            <w:tcW w:type="dxa" w:w="3685"/>
            <w:shd w:fill="FFC7CE" w:val="clear"/>
          </w:tcPr>
          <w:p>
            <w:r>
              <w:rPr>
                <w:b/>
                <w:color w:val="B40000"/>
                <w:sz w:val="16"/>
              </w:rPr>
              <w:t>2.46%</w:t>
            </w:r>
          </w:p>
        </w:tc>
      </w:tr>
      <w:tr>
        <w:tc>
          <w:tcPr>
            <w:tcW w:type="dxa" w:w="2551"/>
            <w:shd w:fill="EEF2F7" w:val="clear"/>
          </w:tcPr>
          <w:p>
            <w:r>
              <w:rPr>
                <w:b/>
                <w:sz w:val="15"/>
              </w:rPr>
              <w:t>Résultat net</w:t>
            </w:r>
          </w:p>
        </w:tc>
        <w:tc>
          <w:tcPr>
            <w:tcW w:type="dxa" w:w="3685"/>
            <w:shd w:fill="C6EFCE" w:val="clear"/>
          </w:tcPr>
          <w:p>
            <w:r>
              <w:rPr>
                <w:b/>
                <w:color w:val="006400"/>
                <w:sz w:val="16"/>
              </w:rPr>
              <w:t>13.127 Mds FCFA</w:t>
            </w:r>
          </w:p>
        </w:tc>
        <w:tc>
          <w:tcPr>
            <w:tcW w:type="dxa" w:w="3685"/>
            <w:shd w:fill="FFC7CE" w:val="clear"/>
          </w:tcPr>
          <w:p>
            <w:r>
              <w:rPr>
                <w:b/>
                <w:color w:val="B40000"/>
                <w:sz w:val="16"/>
              </w:rPr>
              <w:t>4.663 Mds FCFA</w:t>
            </w:r>
          </w:p>
        </w:tc>
      </w:tr>
      <w:tr>
        <w:tc>
          <w:tcPr>
            <w:tcW w:type="dxa" w:w="2551"/>
            <w:shd w:fill="EEF2F7" w:val="clear"/>
          </w:tcPr>
          <w:p>
            <w:r>
              <w:rPr>
                <w:b/>
                <w:sz w:val="15"/>
              </w:rPr>
              <w:t>Taux croissance CA/PNB</w:t>
            </w:r>
          </w:p>
        </w:tc>
        <w:tc>
          <w:tcPr>
            <w:tcW w:type="dxa" w:w="3685"/>
            <w:shd w:fill="C6EFCE" w:val="clear"/>
          </w:tcPr>
          <w:p>
            <w:r>
              <w:rPr>
                <w:b/>
                <w:color w:val="006400"/>
                <w:sz w:val="16"/>
              </w:rPr>
              <w:t>14.82%</w:t>
            </w:r>
          </w:p>
        </w:tc>
        <w:tc>
          <w:tcPr>
            <w:tcW w:type="dxa" w:w="3685"/>
            <w:shd w:fill="FFC7CE" w:val="clear"/>
          </w:tcPr>
          <w:p>
            <w:r>
              <w:rPr>
                <w:b/>
                <w:color w:val="B40000"/>
                <w:sz w:val="16"/>
              </w:rPr>
              <w:t>9.98%</w:t>
            </w:r>
          </w:p>
        </w:tc>
      </w:tr>
      <w:tr>
        <w:tc>
          <w:tcPr>
            <w:tcW w:type="dxa" w:w="2551"/>
            <w:shd w:fill="EEF2F7" w:val="clear"/>
          </w:tcPr>
          <w:p>
            <w:r>
              <w:rPr>
                <w:b/>
                <w:sz w:val="15"/>
              </w:rPr>
              <w:t>Autonomie financière</w:t>
            </w:r>
          </w:p>
        </w:tc>
        <w:tc>
          <w:tcPr>
            <w:tcW w:type="dxa" w:w="3685"/>
            <w:shd w:fill="FFC7CE" w:val="clear"/>
          </w:tcPr>
          <w:p>
            <w:r>
              <w:rPr>
                <w:b/>
                <w:color w:val="B40000"/>
                <w:sz w:val="16"/>
              </w:rPr>
              <w:t>1.78%</w:t>
            </w:r>
          </w:p>
        </w:tc>
        <w:tc>
          <w:tcPr>
            <w:tcW w:type="dxa" w:w="3685"/>
            <w:shd w:fill="C6EFCE" w:val="clear"/>
          </w:tcPr>
          <w:p>
            <w:r>
              <w:rPr>
                <w:b/>
                <w:color w:val="006400"/>
                <w:sz w:val="16"/>
              </w:rPr>
              <w:t>4.17%</w:t>
            </w:r>
          </w:p>
        </w:tc>
      </w:tr>
      <w:tr>
        <w:tc>
          <w:tcPr>
            <w:tcW w:type="dxa" w:w="2551"/>
            <w:shd w:fill="EEF2F7" w:val="clear"/>
          </w:tcPr>
          <w:p>
            <w:r>
              <w:rPr>
                <w:b/>
                <w:sz w:val="15"/>
              </w:rPr>
              <w:t>Ratio endettement</w:t>
            </w:r>
          </w:p>
        </w:tc>
        <w:tc>
          <w:tcPr>
            <w:tcW w:type="dxa" w:w="3685"/>
            <w:shd w:fill="FFC7CE" w:val="clear"/>
          </w:tcPr>
          <w:p>
            <w:r>
              <w:rPr>
                <w:b/>
                <w:color w:val="B40000"/>
                <w:sz w:val="16"/>
              </w:rPr>
              <w:t>612.94%</w:t>
            </w:r>
          </w:p>
        </w:tc>
        <w:tc>
          <w:tcPr>
            <w:tcW w:type="dxa" w:w="3685"/>
            <w:shd w:fill="C6EFCE" w:val="clear"/>
          </w:tcPr>
          <w:p>
            <w:r>
              <w:rPr>
                <w:b/>
                <w:color w:val="006400"/>
                <w:sz w:val="16"/>
              </w:rPr>
              <w:t>95.83%</w:t>
            </w:r>
          </w:p>
        </w:tc>
      </w:tr>
      <w:tr>
        <w:tc>
          <w:tcPr>
            <w:tcW w:type="dxa" w:w="2551"/>
            <w:shd w:fill="EEF2F7" w:val="clear"/>
          </w:tcPr>
          <w:p>
            <w:r>
              <w:rPr>
                <w:b/>
                <w:sz w:val="15"/>
              </w:rPr>
              <w:t>Solvabilité générale</w:t>
            </w:r>
          </w:p>
        </w:tc>
        <w:tc>
          <w:tcPr>
            <w:tcW w:type="dxa" w:w="3685"/>
            <w:shd w:fill="FFC7CE" w:val="clear"/>
          </w:tcPr>
          <w:p>
            <w:r>
              <w:rPr>
                <w:b/>
                <w:color w:val="B40000"/>
                <w:sz w:val="16"/>
              </w:rPr>
              <w:t>101.81%</w:t>
            </w:r>
          </w:p>
        </w:tc>
        <w:tc>
          <w:tcPr>
            <w:tcW w:type="dxa" w:w="3685"/>
            <w:shd w:fill="C6EFCE" w:val="clear"/>
          </w:tcPr>
          <w:p>
            <w:r>
              <w:rPr>
                <w:b/>
                <w:color w:val="006400"/>
                <w:sz w:val="16"/>
              </w:rPr>
              <w:t>104.35%</w:t>
            </w:r>
          </w:p>
        </w:tc>
      </w:tr>
      <w:tr>
        <w:tc>
          <w:tcPr>
            <w:tcW w:type="dxa" w:w="2551"/>
            <w:shd w:fill="EEF2F7" w:val="clear"/>
          </w:tcPr>
          <w:p>
            <w:r>
              <w:rPr>
                <w:b/>
                <w:sz w:val="15"/>
              </w:rPr>
              <w:t>Liquidité générale</w:t>
            </w:r>
          </w:p>
        </w:tc>
        <w:tc>
          <w:tcPr>
            <w:tcW w:type="dxa" w:w="3685"/>
            <w:shd w:fill="FFC7CE" w:val="clear"/>
          </w:tcPr>
          <w:p>
            <w:r>
              <w:rPr>
                <w:b/>
                <w:color w:val="B40000"/>
                <w:sz w:val="16"/>
              </w:rPr>
              <w:t>96.95%</w:t>
            </w:r>
          </w:p>
        </w:tc>
        <w:tc>
          <w:tcPr>
            <w:tcW w:type="dxa" w:w="3685"/>
            <w:shd w:fill="C6EFCE" w:val="clear"/>
          </w:tcPr>
          <w:p>
            <w:r>
              <w:rPr>
                <w:b/>
                <w:color w:val="006400"/>
                <w:sz w:val="16"/>
              </w:rPr>
              <w:t>111.32%</w:t>
            </w:r>
          </w:p>
        </w:tc>
      </w:tr>
      <w:tr>
        <w:tc>
          <w:tcPr>
            <w:tcW w:type="dxa" w:w="2551"/>
            <w:shd w:fill="EEF2F7" w:val="clear"/>
          </w:tcPr>
          <w:p>
            <w:r>
              <w:rPr>
                <w:b/>
                <w:sz w:val="15"/>
              </w:rPr>
              <w:t>Free Cash Flow</w:t>
            </w:r>
          </w:p>
        </w:tc>
        <w:tc>
          <w:tcPr>
            <w:tcW w:type="dxa" w:w="3685"/>
            <w:shd w:fill="C6EFCE" w:val="clear"/>
          </w:tcPr>
          <w:p>
            <w:r>
              <w:rPr>
                <w:b/>
                <w:color w:val="006400"/>
                <w:sz w:val="16"/>
              </w:rPr>
              <w:t>20.167 Mds FCFA</w:t>
            </w:r>
          </w:p>
        </w:tc>
        <w:tc>
          <w:tcPr>
            <w:tcW w:type="dxa" w:w="3685"/>
            <w:shd w:fill="FFC7CE" w:val="clear"/>
          </w:tcPr>
          <w:p>
            <w:r>
              <w:rPr>
                <w:b/>
                <w:color w:val="B40000"/>
                <w:sz w:val="16"/>
              </w:rPr>
              <w:t>-38.504 Mds FCFA</w:t>
            </w:r>
          </w:p>
        </w:tc>
      </w:tr>
      <w:tr>
        <w:tc>
          <w:tcPr>
            <w:tcW w:type="dxa" w:w="2551"/>
            <w:shd w:fill="EEF2F7" w:val="clear"/>
          </w:tcPr>
          <w:p>
            <w:r>
              <w:rPr>
                <w:b/>
                <w:sz w:val="15"/>
              </w:rPr>
              <w:t>Marge opérationnelle</w:t>
            </w:r>
          </w:p>
        </w:tc>
        <w:tc>
          <w:tcPr>
            <w:tcW w:type="dxa" w:w="3685"/>
            <w:shd w:fill="C6EFCE" w:val="clear"/>
          </w:tcPr>
          <w:p>
            <w:r>
              <w:rPr>
                <w:b/>
                <w:color w:val="006400"/>
                <w:sz w:val="16"/>
              </w:rPr>
              <w:t>7.40%</w:t>
            </w:r>
          </w:p>
        </w:tc>
        <w:tc>
          <w:tcPr>
            <w:tcW w:type="dxa" w:w="3685"/>
            <w:shd w:fill="FFC7CE" w:val="clear"/>
          </w:tcPr>
          <w:p>
            <w:r>
              <w:rPr>
                <w:b/>
                <w:color w:val="B40000"/>
                <w:sz w:val="16"/>
              </w:rPr>
              <w:t>4.81%</w:t>
            </w:r>
          </w:p>
        </w:tc>
      </w:tr>
      <w:tr>
        <w:tc>
          <w:tcPr>
            <w:tcW w:type="dxa" w:w="2551"/>
            <w:shd w:fill="EEF2F7" w:val="clear"/>
          </w:tcPr>
          <w:p>
            <w:r>
              <w:rPr>
                <w:b/>
                <w:sz w:val="15"/>
              </w:rPr>
              <w:t>Délai clients</w:t>
            </w:r>
          </w:p>
        </w:tc>
        <w:tc>
          <w:tcPr>
            <w:tcW w:type="dxa" w:w="3685"/>
            <w:shd w:fill="C6EFCE" w:val="clear"/>
          </w:tcPr>
          <w:p>
            <w:r>
              <w:rPr>
                <w:b/>
                <w:color w:val="006400"/>
                <w:sz w:val="16"/>
              </w:rPr>
              <w:t>164.0 j</w:t>
            </w:r>
          </w:p>
        </w:tc>
        <w:tc>
          <w:tcPr>
            <w:tcW w:type="dxa" w:w="3685"/>
            <w:shd w:fill="FFC7CE" w:val="clear"/>
          </w:tcPr>
          <w:p>
            <w:r>
              <w:rPr>
                <w:b/>
                <w:color w:val="B40000"/>
                <w:sz w:val="16"/>
              </w:rPr>
              <w:t>749.3 j</w:t>
            </w:r>
          </w:p>
        </w:tc>
      </w:tr>
      <w:tr>
        <w:tc>
          <w:tcPr>
            <w:tcW w:type="dxa" w:w="2551"/>
            <w:shd w:fill="EEF2F7" w:val="clear"/>
          </w:tcPr>
          <w:p>
            <w:r>
              <w:rPr>
                <w:b/>
                <w:sz w:val="15"/>
              </w:rPr>
              <w:t>Durée stockage</w:t>
            </w:r>
          </w:p>
        </w:tc>
        <w:tc>
          <w:tcPr>
            <w:tcW w:type="dxa" w:w="3685"/>
            <w:shd w:fill="FFC7CE" w:val="clear"/>
          </w:tcPr>
          <w:p>
            <w:r>
              <w:rPr>
                <w:b/>
                <w:color w:val="B40000"/>
                <w:sz w:val="16"/>
              </w:rPr>
              <w:t>174.9 j</w:t>
            </w:r>
          </w:p>
        </w:tc>
        <w:tc>
          <w:tcPr>
            <w:tcW w:type="dxa" w:w="3685"/>
            <w:shd w:fill="C6EFCE" w:val="clear"/>
          </w:tcPr>
          <w:p>
            <w:r>
              <w:rPr>
                <w:b/>
                <w:color w:val="006400"/>
                <w:sz w:val="16"/>
              </w:rPr>
              <w:t>59.9 j</w:t>
            </w:r>
          </w:p>
        </w:tc>
      </w:tr>
    </w:tbl>
    <w:p/>
    <w:p>
      <w:pPr>
        <w:pStyle w:val="Heading3"/>
      </w:pPr>
      <w:r>
        <w:t>🔍 Analyse détaillée par société</w:t>
      </w:r>
    </w:p>
    <w:p>
      <w:pPr>
        <w:spacing w:before="160"/>
      </w:pPr>
      <w:r>
        <w:rPr>
          <w:b/>
          <w:color w:val="003366"/>
          <w:sz w:val="20"/>
        </w:rPr>
        <w:t xml:space="preserve">▶ CIEC — CIEC - Compagnie Ivoirienne d'Electricité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36.50%</w:t>
            </w:r>
          </w:p>
        </w:tc>
        <w:tc>
          <w:tcPr>
            <w:tcW w:type="dxa" w:w="5669"/>
            <w:shd w:fill="FFFFFF" w:val="clear"/>
          </w:tcPr>
          <w:p>
            <w:r>
              <w:rPr>
                <w:sz w:val="15"/>
              </w:rPr>
              <w:t>✅ ROE de 36.5%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0.65%</w:t>
            </w:r>
          </w:p>
        </w:tc>
        <w:tc>
          <w:tcPr>
            <w:tcW w:type="dxa" w:w="5669"/>
            <w:shd w:fill="FFFFFF" w:val="clear"/>
          </w:tcPr>
          <w:p>
            <w:r>
              <w:rPr>
                <w:sz w:val="15"/>
              </w:rPr>
              <w:t>⚠️ ROA de 0.65%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4.34%</w:t>
            </w:r>
          </w:p>
        </w:tc>
        <w:tc>
          <w:tcPr>
            <w:tcW w:type="dxa" w:w="5669"/>
            <w:shd w:fill="FFFFFF" w:val="clear"/>
          </w:tcPr>
          <w:p>
            <w:r>
              <w:rPr>
                <w:sz w:val="15"/>
              </w:rPr>
              <w:t>⚠️ Marge nette de 4.3%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13.127 Mds FCFA</w:t>
            </w:r>
          </w:p>
        </w:tc>
        <w:tc>
          <w:tcPr>
            <w:tcW w:type="dxa" w:w="5669"/>
            <w:shd w:fill="FFFFFF" w:val="clear"/>
          </w:tcPr>
          <w:p>
            <w:r>
              <w:rPr>
                <w:sz w:val="15"/>
              </w:rPr>
              <w:t>✅ Résultat net positif de 13.127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14.82%</w:t>
            </w:r>
          </w:p>
        </w:tc>
        <w:tc>
          <w:tcPr>
            <w:tcW w:type="dxa" w:w="5669"/>
            <w:shd w:fill="FFFFFF" w:val="clear"/>
          </w:tcPr>
          <w:p>
            <w:r>
              <w:rPr>
                <w:sz w:val="15"/>
              </w:rPr>
              <w:t>✅ Croissance de 14.8%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1.78%</w:t>
            </w:r>
          </w:p>
        </w:tc>
        <w:tc>
          <w:tcPr>
            <w:tcW w:type="dxa" w:w="5669"/>
            <w:shd w:fill="FFFFFF" w:val="clear"/>
          </w:tcPr>
          <w:p>
            <w:r>
              <w:rPr>
                <w:sz w:val="15"/>
              </w:rPr>
              <w:t>❌ Autonomie très faible (1.8%) — quasi-totalité des actifs financée par des dettes. Fragilité structurelle.</w:t>
            </w:r>
          </w:p>
        </w:tc>
      </w:tr>
      <w:tr>
        <w:tc>
          <w:tcPr>
            <w:tcW w:type="dxa" w:w="2268"/>
            <w:shd w:fill="EEF2F7" w:val="clear"/>
          </w:tcPr>
          <w:p>
            <w:r>
              <w:rPr>
                <w:b/>
                <w:sz w:val="15"/>
              </w:rPr>
              <w:t>Ratio endettement</w:t>
            </w:r>
          </w:p>
        </w:tc>
        <w:tc>
          <w:tcPr>
            <w:tcW w:type="dxa" w:w="1984"/>
            <w:shd w:fill="FFC7CE" w:val="clear"/>
          </w:tcPr>
          <w:p>
            <w:r>
              <w:rPr>
                <w:b/>
                <w:color w:val="007800"/>
                <w:sz w:val="17"/>
              </w:rPr>
              <w:t>612.94%</w:t>
            </w:r>
          </w:p>
        </w:tc>
        <w:tc>
          <w:tcPr>
            <w:tcW w:type="dxa" w:w="5669"/>
            <w:shd w:fill="FFFFFF" w:val="clear"/>
          </w:tcPr>
          <w:p>
            <w:r>
              <w:rPr>
                <w:sz w:val="15"/>
              </w:rPr>
              <w:t>❌ Gearing de 613% — sur-endettement critique. Risque de défaillance financière si les revenus baissent.</w:t>
            </w:r>
          </w:p>
        </w:tc>
      </w:tr>
      <w:tr>
        <w:tc>
          <w:tcPr>
            <w:tcW w:type="dxa" w:w="2268"/>
            <w:shd w:fill="EEF2F7" w:val="clear"/>
          </w:tcPr>
          <w:p>
            <w:r>
              <w:rPr>
                <w:b/>
                <w:sz w:val="15"/>
              </w:rPr>
              <w:t>Solvabilité générale</w:t>
            </w:r>
          </w:p>
        </w:tc>
        <w:tc>
          <w:tcPr>
            <w:tcW w:type="dxa" w:w="1984"/>
            <w:shd w:fill="FFEB9C" w:val="clear"/>
          </w:tcPr>
          <w:p>
            <w:r>
              <w:rPr>
                <w:b/>
                <w:color w:val="007800"/>
                <w:sz w:val="17"/>
              </w:rPr>
              <w:t>101.81%</w:t>
            </w:r>
          </w:p>
        </w:tc>
        <w:tc>
          <w:tcPr>
            <w:tcW w:type="dxa" w:w="5669"/>
            <w:shd w:fill="FFFFFF" w:val="clear"/>
          </w:tcPr>
          <w:p>
            <w:r>
              <w:rPr>
                <w:sz w:val="15"/>
              </w:rPr>
              <w:t>⚠️ Solvabilité limite (102%) — marge de sécurité faible pour les créanciers.</w:t>
            </w:r>
          </w:p>
        </w:tc>
      </w:tr>
      <w:tr>
        <w:tc>
          <w:tcPr>
            <w:tcW w:type="dxa" w:w="2268"/>
            <w:shd w:fill="EEF2F7" w:val="clear"/>
          </w:tcPr>
          <w:p>
            <w:r>
              <w:rPr>
                <w:b/>
                <w:sz w:val="15"/>
              </w:rPr>
              <w:t>Liquidité générale</w:t>
            </w:r>
          </w:p>
        </w:tc>
        <w:tc>
          <w:tcPr>
            <w:tcW w:type="dxa" w:w="1984"/>
            <w:shd w:fill="FFC7CE" w:val="clear"/>
          </w:tcPr>
          <w:p>
            <w:r>
              <w:rPr>
                <w:b/>
                <w:color w:val="007800"/>
                <w:sz w:val="17"/>
              </w:rPr>
              <w:t>96.95%</w:t>
            </w:r>
          </w:p>
        </w:tc>
        <w:tc>
          <w:tcPr>
            <w:tcW w:type="dxa" w:w="5669"/>
            <w:shd w:fill="FFFFFF" w:val="clear"/>
          </w:tcPr>
          <w:p>
            <w:r>
              <w:rPr>
                <w:sz w:val="15"/>
              </w:rPr>
              <w:t>❌ Liquidité insuffisante (96.95x)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20.167 Mds FCFA</w:t>
            </w:r>
          </w:p>
        </w:tc>
        <w:tc>
          <w:tcPr>
            <w:tcW w:type="dxa" w:w="5669"/>
            <w:shd w:fill="FFFFFF" w:val="clear"/>
          </w:tcPr>
          <w:p>
            <w:r>
              <w:rPr>
                <w:sz w:val="15"/>
              </w:rPr>
              <w:t>✅ FCF positif de 20.167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FFEB9C" w:val="clear"/>
          </w:tcPr>
          <w:p>
            <w:r>
              <w:rPr>
                <w:b/>
                <w:color w:val="007800"/>
                <w:sz w:val="17"/>
              </w:rPr>
              <w:t>7.40%</w:t>
            </w:r>
          </w:p>
        </w:tc>
        <w:tc>
          <w:tcPr>
            <w:tcW w:type="dxa" w:w="5669"/>
            <w:shd w:fill="FFFFFF" w:val="clear"/>
          </w:tcPr>
          <w:p>
            <w:r>
              <w:rPr>
                <w:sz w:val="15"/>
              </w:rPr>
              <w:t>⚠️ Marge opérationnelle faible (7.4%)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164.0 j</w:t>
            </w:r>
          </w:p>
        </w:tc>
        <w:tc>
          <w:tcPr>
            <w:tcW w:type="dxa" w:w="5669"/>
            <w:shd w:fill="FFFFFF" w:val="clear"/>
          </w:tcPr>
          <w:p>
            <w:r>
              <w:rPr>
                <w:sz w:val="15"/>
              </w:rPr>
              <w:t>❌ Délai critique de 164 jours — process de recouvrement à revoir. Immobilisation de capital excessive.</w:t>
            </w:r>
          </w:p>
        </w:tc>
      </w:tr>
      <w:tr>
        <w:tc>
          <w:tcPr>
            <w:tcW w:type="dxa" w:w="2268"/>
            <w:shd w:fill="EEF2F7" w:val="clear"/>
          </w:tcPr>
          <w:p>
            <w:r>
              <w:rPr>
                <w:b/>
                <w:sz w:val="15"/>
              </w:rPr>
              <w:t>Durée stockage</w:t>
            </w:r>
          </w:p>
        </w:tc>
        <w:tc>
          <w:tcPr>
            <w:tcW w:type="dxa" w:w="1984"/>
            <w:shd w:fill="FFC7CE" w:val="clear"/>
          </w:tcPr>
          <w:p>
            <w:r>
              <w:rPr>
                <w:b/>
                <w:color w:val="007800"/>
                <w:sz w:val="17"/>
              </w:rPr>
              <w:t>174.9 j</w:t>
            </w:r>
          </w:p>
        </w:tc>
        <w:tc>
          <w:tcPr>
            <w:tcW w:type="dxa" w:w="5669"/>
            <w:shd w:fill="FFFFFF" w:val="clear"/>
          </w:tcPr>
          <w:p>
            <w:r>
              <w:rPr>
                <w:sz w:val="15"/>
              </w:rPr>
              <w:t>❌ Stock quasi-bloqué (175 jours) — capital fortement immobilisé, risque d'obsolescence élevé.</w:t>
            </w:r>
          </w:p>
        </w:tc>
      </w:tr>
    </w:tbl>
    <w:p/>
    <w:p>
      <w:pPr>
        <w:spacing w:before="160"/>
      </w:pPr>
      <w:r>
        <w:rPr>
          <w:b/>
          <w:color w:val="003366"/>
          <w:sz w:val="20"/>
        </w:rPr>
        <w:t xml:space="preserve">▶ SDCC — SDCC - Société de Distribution d'Eau de Côte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23.65%</w:t>
            </w:r>
          </w:p>
        </w:tc>
        <w:tc>
          <w:tcPr>
            <w:tcW w:type="dxa" w:w="5669"/>
            <w:shd w:fill="FFFFFF" w:val="clear"/>
          </w:tcPr>
          <w:p>
            <w:r>
              <w:rPr>
                <w:sz w:val="15"/>
              </w:rPr>
              <w:t>✅ ROE de 23.6%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FFEB9C" w:val="clear"/>
          </w:tcPr>
          <w:p>
            <w:r>
              <w:rPr>
                <w:b/>
                <w:color w:val="007800"/>
                <w:sz w:val="17"/>
              </w:rPr>
              <w:t>0.99%</w:t>
            </w:r>
          </w:p>
        </w:tc>
        <w:tc>
          <w:tcPr>
            <w:tcW w:type="dxa" w:w="5669"/>
            <w:shd w:fill="FFFFFF" w:val="clear"/>
          </w:tcPr>
          <w:p>
            <w:r>
              <w:rPr>
                <w:sz w:val="15"/>
              </w:rPr>
              <w:t>⚠️ ROA de 0.99% — en dessous du seuil sectoriel (seuil entreprise ≈ 5%). Les actifs ne génèrent pas assez de résultat.</w:t>
            </w:r>
          </w:p>
        </w:tc>
      </w:tr>
      <w:tr>
        <w:tc>
          <w:tcPr>
            <w:tcW w:type="dxa" w:w="2268"/>
            <w:shd w:fill="EEF2F7" w:val="clear"/>
          </w:tcPr>
          <w:p>
            <w:r>
              <w:rPr>
                <w:b/>
                <w:sz w:val="15"/>
              </w:rPr>
              <w:t>Marge nette</w:t>
            </w:r>
          </w:p>
        </w:tc>
        <w:tc>
          <w:tcPr>
            <w:tcW w:type="dxa" w:w="1984"/>
            <w:shd w:fill="FFEB9C" w:val="clear"/>
          </w:tcPr>
          <w:p>
            <w:r>
              <w:rPr>
                <w:b/>
                <w:color w:val="007800"/>
                <w:sz w:val="17"/>
              </w:rPr>
              <w:t>2.46%</w:t>
            </w:r>
          </w:p>
        </w:tc>
        <w:tc>
          <w:tcPr>
            <w:tcW w:type="dxa" w:w="5669"/>
            <w:shd w:fill="FFFFFF" w:val="clear"/>
          </w:tcPr>
          <w:p>
            <w:r>
              <w:rPr>
                <w:sz w:val="15"/>
              </w:rPr>
              <w:t>⚠️ Marge nette de 2.5% — marge très fine, vulnérable aux chocs de coûts ou de revenus.</w:t>
            </w:r>
          </w:p>
        </w:tc>
      </w:tr>
      <w:tr>
        <w:tc>
          <w:tcPr>
            <w:tcW w:type="dxa" w:w="2268"/>
            <w:shd w:fill="EEF2F7" w:val="clear"/>
          </w:tcPr>
          <w:p>
            <w:r>
              <w:rPr>
                <w:b/>
                <w:sz w:val="15"/>
              </w:rPr>
              <w:t>Résultat net</w:t>
            </w:r>
          </w:p>
        </w:tc>
        <w:tc>
          <w:tcPr>
            <w:tcW w:type="dxa" w:w="1984"/>
            <w:shd w:fill="C6EFCE" w:val="clear"/>
          </w:tcPr>
          <w:p>
            <w:r>
              <w:rPr>
                <w:b/>
                <w:color w:val="007800"/>
                <w:sz w:val="17"/>
              </w:rPr>
              <w:t>4.663 Mds FCFA</w:t>
            </w:r>
          </w:p>
        </w:tc>
        <w:tc>
          <w:tcPr>
            <w:tcW w:type="dxa" w:w="5669"/>
            <w:shd w:fill="FFFFFF" w:val="clear"/>
          </w:tcPr>
          <w:p>
            <w:r>
              <w:rPr>
                <w:sz w:val="15"/>
              </w:rPr>
              <w:t>✅ Résultat net positif de 4.663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9.98%</w:t>
            </w:r>
          </w:p>
        </w:tc>
        <w:tc>
          <w:tcPr>
            <w:tcW w:type="dxa" w:w="5669"/>
            <w:shd w:fill="FFFFFF" w:val="clear"/>
          </w:tcPr>
          <w:p>
            <w:r>
              <w:rPr>
                <w:sz w:val="15"/>
              </w:rPr>
              <w:t>✅ Croissance de 10.0% — dynamisme commercial solide, supérieur à l'inflation régionale.</w:t>
            </w:r>
          </w:p>
        </w:tc>
      </w:tr>
      <w:tr>
        <w:tc>
          <w:tcPr>
            <w:tcW w:type="dxa" w:w="2268"/>
            <w:shd w:fill="EEF2F7" w:val="clear"/>
          </w:tcPr>
          <w:p>
            <w:r>
              <w:rPr>
                <w:b/>
                <w:sz w:val="15"/>
              </w:rPr>
              <w:t>Autonomie financière</w:t>
            </w:r>
          </w:p>
        </w:tc>
        <w:tc>
          <w:tcPr>
            <w:tcW w:type="dxa" w:w="1984"/>
            <w:shd w:fill="FFC7CE" w:val="clear"/>
          </w:tcPr>
          <w:p>
            <w:r>
              <w:rPr>
                <w:b/>
                <w:color w:val="007800"/>
                <w:sz w:val="17"/>
              </w:rPr>
              <w:t>4.17%</w:t>
            </w:r>
          </w:p>
        </w:tc>
        <w:tc>
          <w:tcPr>
            <w:tcW w:type="dxa" w:w="5669"/>
            <w:shd w:fill="FFFFFF" w:val="clear"/>
          </w:tcPr>
          <w:p>
            <w:r>
              <w:rPr>
                <w:sz w:val="15"/>
              </w:rPr>
              <w:t>❌ Autonomie très faible (4.2%) — quasi-totalité des actifs financée par des dettes. Fragilité structurelle.</w:t>
            </w:r>
          </w:p>
        </w:tc>
      </w:tr>
      <w:tr>
        <w:tc>
          <w:tcPr>
            <w:tcW w:type="dxa" w:w="2268"/>
            <w:shd w:fill="EEF2F7" w:val="clear"/>
          </w:tcPr>
          <w:p>
            <w:r>
              <w:rPr>
                <w:b/>
                <w:sz w:val="15"/>
              </w:rPr>
              <w:t>Ratio endettement</w:t>
            </w:r>
          </w:p>
        </w:tc>
        <w:tc>
          <w:tcPr>
            <w:tcW w:type="dxa" w:w="1984"/>
            <w:shd w:fill="C6EFCE" w:val="clear"/>
          </w:tcPr>
          <w:p>
            <w:r>
              <w:rPr>
                <w:b/>
                <w:color w:val="007800"/>
                <w:sz w:val="17"/>
              </w:rPr>
              <w:t>95.83%</w:t>
            </w:r>
          </w:p>
        </w:tc>
        <w:tc>
          <w:tcPr>
            <w:tcW w:type="dxa" w:w="5669"/>
            <w:shd w:fill="FFFFFF" w:val="clear"/>
          </w:tcPr>
          <w:p>
            <w:r>
              <w:rPr>
                <w:sz w:val="15"/>
              </w:rPr>
              <w:t>✅ Gearing de 96% — levier raisonnable, standard pour le secteur.</w:t>
            </w:r>
          </w:p>
        </w:tc>
      </w:tr>
      <w:tr>
        <w:tc>
          <w:tcPr>
            <w:tcW w:type="dxa" w:w="2268"/>
            <w:shd w:fill="EEF2F7" w:val="clear"/>
          </w:tcPr>
          <w:p>
            <w:r>
              <w:rPr>
                <w:b/>
                <w:sz w:val="15"/>
              </w:rPr>
              <w:t>Solvabilité générale</w:t>
            </w:r>
          </w:p>
        </w:tc>
        <w:tc>
          <w:tcPr>
            <w:tcW w:type="dxa" w:w="1984"/>
            <w:shd w:fill="FFEB9C" w:val="clear"/>
          </w:tcPr>
          <w:p>
            <w:r>
              <w:rPr>
                <w:b/>
                <w:color w:val="007800"/>
                <w:sz w:val="17"/>
              </w:rPr>
              <w:t>104.35%</w:t>
            </w:r>
          </w:p>
        </w:tc>
        <w:tc>
          <w:tcPr>
            <w:tcW w:type="dxa" w:w="5669"/>
            <w:shd w:fill="FFFFFF" w:val="clear"/>
          </w:tcPr>
          <w:p>
            <w:r>
              <w:rPr>
                <w:sz w:val="15"/>
              </w:rPr>
              <w:t>⚠️ Solvabilité limite (104%) — marge de sécurité faible pour les créanciers.</w:t>
            </w:r>
          </w:p>
        </w:tc>
      </w:tr>
      <w:tr>
        <w:tc>
          <w:tcPr>
            <w:tcW w:type="dxa" w:w="2268"/>
            <w:shd w:fill="EEF2F7" w:val="clear"/>
          </w:tcPr>
          <w:p>
            <w:r>
              <w:rPr>
                <w:b/>
                <w:sz w:val="15"/>
              </w:rPr>
              <w:t>Liquidité générale</w:t>
            </w:r>
          </w:p>
        </w:tc>
        <w:tc>
          <w:tcPr>
            <w:tcW w:type="dxa" w:w="1984"/>
            <w:shd w:fill="FFEB9C" w:val="clear"/>
          </w:tcPr>
          <w:p>
            <w:r>
              <w:rPr>
                <w:b/>
                <w:color w:val="007800"/>
                <w:sz w:val="17"/>
              </w:rPr>
              <w:t>111.32%</w:t>
            </w:r>
          </w:p>
        </w:tc>
        <w:tc>
          <w:tcPr>
            <w:tcW w:type="dxa" w:w="5669"/>
            <w:shd w:fill="FFFFFF" w:val="clear"/>
          </w:tcPr>
          <w:p>
            <w:r>
              <w:rPr>
                <w:sz w:val="15"/>
              </w:rPr>
              <w:t>⚠️ Liquidité générale limite (111.32x) — couverture juste suffisante.</w:t>
            </w:r>
          </w:p>
        </w:tc>
      </w:tr>
      <w:tr>
        <w:tc>
          <w:tcPr>
            <w:tcW w:type="dxa" w:w="2268"/>
            <w:shd w:fill="EEF2F7" w:val="clear"/>
          </w:tcPr>
          <w:p>
            <w:r>
              <w:rPr>
                <w:b/>
                <w:sz w:val="15"/>
              </w:rPr>
              <w:t>Free Cash Flow</w:t>
            </w:r>
          </w:p>
        </w:tc>
        <w:tc>
          <w:tcPr>
            <w:tcW w:type="dxa" w:w="1984"/>
            <w:shd w:fill="FFC7CE" w:val="clear"/>
          </w:tcPr>
          <w:p>
            <w:r>
              <w:rPr>
                <w:b/>
                <w:color w:val="B40000"/>
                <w:sz w:val="17"/>
              </w:rPr>
              <w:t>-38.504 Mds FCFA</w:t>
            </w:r>
          </w:p>
        </w:tc>
        <w:tc>
          <w:tcPr>
            <w:tcW w:type="dxa" w:w="5669"/>
            <w:shd w:fill="FFFFFF" w:val="clear"/>
          </w:tcPr>
          <w:p>
            <w:r>
              <w:rPr>
                <w:sz w:val="15"/>
              </w:rPr>
              <w:t>❌ FCF négatif significatif (-38.504 Mds FCFA) — la société consomme de la trésorerie. Risque si la situation perdure.</w:t>
            </w:r>
          </w:p>
        </w:tc>
      </w:tr>
      <w:tr>
        <w:tc>
          <w:tcPr>
            <w:tcW w:type="dxa" w:w="2268"/>
            <w:shd w:fill="EEF2F7" w:val="clear"/>
          </w:tcPr>
          <w:p>
            <w:r>
              <w:rPr>
                <w:b/>
                <w:sz w:val="15"/>
              </w:rPr>
              <w:t>Marge opérationnelle</w:t>
            </w:r>
          </w:p>
        </w:tc>
        <w:tc>
          <w:tcPr>
            <w:tcW w:type="dxa" w:w="1984"/>
            <w:shd w:fill="FFEB9C" w:val="clear"/>
          </w:tcPr>
          <w:p>
            <w:r>
              <w:rPr>
                <w:b/>
                <w:color w:val="007800"/>
                <w:sz w:val="17"/>
              </w:rPr>
              <w:t>4.81%</w:t>
            </w:r>
          </w:p>
        </w:tc>
        <w:tc>
          <w:tcPr>
            <w:tcW w:type="dxa" w:w="5669"/>
            <w:shd w:fill="FFFFFF" w:val="clear"/>
          </w:tcPr>
          <w:p>
            <w:r>
              <w:rPr>
                <w:sz w:val="15"/>
              </w:rPr>
              <w:t>⚠️ Marge opérationnelle faible (4.8%) — l'exploitation laisse peu de bénéfice avant charges financières.</w:t>
            </w:r>
          </w:p>
        </w:tc>
      </w:tr>
      <w:tr>
        <w:tc>
          <w:tcPr>
            <w:tcW w:type="dxa" w:w="2268"/>
            <w:shd w:fill="EEF2F7" w:val="clear"/>
          </w:tcPr>
          <w:p>
            <w:r>
              <w:rPr>
                <w:b/>
                <w:sz w:val="15"/>
              </w:rPr>
              <w:t>Délai clients</w:t>
            </w:r>
          </w:p>
        </w:tc>
        <w:tc>
          <w:tcPr>
            <w:tcW w:type="dxa" w:w="1984"/>
            <w:shd w:fill="FFC7CE" w:val="clear"/>
          </w:tcPr>
          <w:p>
            <w:r>
              <w:rPr>
                <w:b/>
                <w:color w:val="007800"/>
                <w:sz w:val="17"/>
              </w:rPr>
              <w:t>749.3 j</w:t>
            </w:r>
          </w:p>
        </w:tc>
        <w:tc>
          <w:tcPr>
            <w:tcW w:type="dxa" w:w="5669"/>
            <w:shd w:fill="FFFFFF" w:val="clear"/>
          </w:tcPr>
          <w:p>
            <w:r>
              <w:rPr>
                <w:sz w:val="15"/>
              </w:rPr>
              <w:t>❌ Délai critique de 749 jours — process de recouvrement à revoir. Immobilisation de capital excessive.</w:t>
            </w:r>
          </w:p>
        </w:tc>
      </w:tr>
      <w:tr>
        <w:tc>
          <w:tcPr>
            <w:tcW w:type="dxa" w:w="2268"/>
            <w:shd w:fill="EEF2F7" w:val="clear"/>
          </w:tcPr>
          <w:p>
            <w:r>
              <w:rPr>
                <w:b/>
                <w:sz w:val="15"/>
              </w:rPr>
              <w:t>Durée stockage</w:t>
            </w:r>
          </w:p>
        </w:tc>
        <w:tc>
          <w:tcPr>
            <w:tcW w:type="dxa" w:w="1984"/>
            <w:shd w:fill="C6EFCE" w:val="clear"/>
          </w:tcPr>
          <w:p>
            <w:r>
              <w:rPr>
                <w:b/>
                <w:color w:val="007800"/>
                <w:sz w:val="17"/>
              </w:rPr>
              <w:t>59.9 j</w:t>
            </w:r>
          </w:p>
        </w:tc>
        <w:tc>
          <w:tcPr>
            <w:tcW w:type="dxa" w:w="5669"/>
            <w:shd w:fill="FFFFFF" w:val="clear"/>
          </w:tcPr>
          <w:p>
            <w:r>
              <w:rPr>
                <w:sz w:val="15"/>
              </w:rPr>
              <w:t>✅ Durée de stockage standard (60 jours).</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CIEC</w:t>
            </w:r>
          </w:p>
        </w:tc>
        <w:tc>
          <w:tcPr>
            <w:tcW w:type="dxa" w:w="1728"/>
            <w:shd w:fill="C6EFCE" w:val="clear"/>
          </w:tcPr>
          <w:p>
            <w:r>
              <w:rPr>
                <w:color w:val="006400"/>
                <w:sz w:val="16"/>
              </w:rPr>
              <w:t>36.50%</w:t>
            </w:r>
          </w:p>
        </w:tc>
        <w:tc>
          <w:tcPr>
            <w:tcW w:type="dxa" w:w="1728"/>
            <w:shd w:fill="FFC7CE" w:val="clear"/>
          </w:tcPr>
          <w:p>
            <w:r>
              <w:rPr>
                <w:b/>
                <w:color w:val="B40000"/>
                <w:sz w:val="16"/>
              </w:rPr>
              <w:t>SDCC</w:t>
            </w:r>
          </w:p>
        </w:tc>
        <w:tc>
          <w:tcPr>
            <w:tcW w:type="dxa" w:w="1728"/>
            <w:shd w:fill="FFC7CE" w:val="clear"/>
          </w:tcPr>
          <w:p>
            <w:r>
              <w:rPr>
                <w:color w:val="B40000"/>
                <w:sz w:val="16"/>
              </w:rPr>
              <w:t>23.65%</w:t>
            </w:r>
          </w:p>
        </w:tc>
      </w:tr>
      <w:tr>
        <w:tc>
          <w:tcPr>
            <w:tcW w:type="dxa" w:w="1728"/>
            <w:shd w:fill="EEF2F7" w:val="clear"/>
          </w:tcPr>
          <w:p>
            <w:r>
              <w:rPr>
                <w:b/>
                <w:sz w:val="16"/>
              </w:rPr>
              <w:t>Marge nette</w:t>
            </w:r>
          </w:p>
        </w:tc>
        <w:tc>
          <w:tcPr>
            <w:tcW w:type="dxa" w:w="1728"/>
            <w:shd w:fill="C6EFCE" w:val="clear"/>
          </w:tcPr>
          <w:p>
            <w:r>
              <w:rPr>
                <w:b/>
                <w:color w:val="006400"/>
                <w:sz w:val="16"/>
              </w:rPr>
              <w:t>CIEC</w:t>
            </w:r>
          </w:p>
        </w:tc>
        <w:tc>
          <w:tcPr>
            <w:tcW w:type="dxa" w:w="1728"/>
            <w:shd w:fill="C6EFCE" w:val="clear"/>
          </w:tcPr>
          <w:p>
            <w:r>
              <w:rPr>
                <w:color w:val="006400"/>
                <w:sz w:val="16"/>
              </w:rPr>
              <w:t>4.34%</w:t>
            </w:r>
          </w:p>
        </w:tc>
        <w:tc>
          <w:tcPr>
            <w:tcW w:type="dxa" w:w="1728"/>
            <w:shd w:fill="FFC7CE" w:val="clear"/>
          </w:tcPr>
          <w:p>
            <w:r>
              <w:rPr>
                <w:b/>
                <w:color w:val="B40000"/>
                <w:sz w:val="16"/>
              </w:rPr>
              <w:t>SDCC</w:t>
            </w:r>
          </w:p>
        </w:tc>
        <w:tc>
          <w:tcPr>
            <w:tcW w:type="dxa" w:w="1728"/>
            <w:shd w:fill="FFC7CE" w:val="clear"/>
          </w:tcPr>
          <w:p>
            <w:r>
              <w:rPr>
                <w:color w:val="B40000"/>
                <w:sz w:val="16"/>
              </w:rPr>
              <w:t>2.46%</w:t>
            </w:r>
          </w:p>
        </w:tc>
      </w:tr>
      <w:tr>
        <w:tc>
          <w:tcPr>
            <w:tcW w:type="dxa" w:w="1728"/>
            <w:shd w:fill="EEF2F7" w:val="clear"/>
          </w:tcPr>
          <w:p>
            <w:r>
              <w:rPr>
                <w:b/>
                <w:sz w:val="16"/>
              </w:rPr>
              <w:t>Croissance CA/PNB</w:t>
            </w:r>
          </w:p>
        </w:tc>
        <w:tc>
          <w:tcPr>
            <w:tcW w:type="dxa" w:w="1728"/>
            <w:shd w:fill="C6EFCE" w:val="clear"/>
          </w:tcPr>
          <w:p>
            <w:r>
              <w:rPr>
                <w:b/>
                <w:color w:val="006400"/>
                <w:sz w:val="16"/>
              </w:rPr>
              <w:t>CIEC</w:t>
            </w:r>
          </w:p>
        </w:tc>
        <w:tc>
          <w:tcPr>
            <w:tcW w:type="dxa" w:w="1728"/>
            <w:shd w:fill="C6EFCE" w:val="clear"/>
          </w:tcPr>
          <w:p>
            <w:r>
              <w:rPr>
                <w:color w:val="006400"/>
                <w:sz w:val="16"/>
              </w:rPr>
              <w:t>14.82%</w:t>
            </w:r>
          </w:p>
        </w:tc>
        <w:tc>
          <w:tcPr>
            <w:tcW w:type="dxa" w:w="1728"/>
            <w:shd w:fill="FFC7CE" w:val="clear"/>
          </w:tcPr>
          <w:p>
            <w:r>
              <w:rPr>
                <w:b/>
                <w:color w:val="B40000"/>
                <w:sz w:val="16"/>
              </w:rPr>
              <w:t>SDCC</w:t>
            </w:r>
          </w:p>
        </w:tc>
        <w:tc>
          <w:tcPr>
            <w:tcW w:type="dxa" w:w="1728"/>
            <w:shd w:fill="FFC7CE" w:val="clear"/>
          </w:tcPr>
          <w:p>
            <w:r>
              <w:rPr>
                <w:color w:val="B40000"/>
                <w:sz w:val="16"/>
              </w:rPr>
              <w:t>9.98%</w:t>
            </w:r>
          </w:p>
        </w:tc>
      </w:tr>
      <w:tr>
        <w:tc>
          <w:tcPr>
            <w:tcW w:type="dxa" w:w="1728"/>
            <w:shd w:fill="EEF2F7" w:val="clear"/>
          </w:tcPr>
          <w:p>
            <w:r>
              <w:rPr>
                <w:b/>
                <w:sz w:val="16"/>
              </w:rPr>
              <w:t>Autonomie fin.</w:t>
            </w:r>
          </w:p>
        </w:tc>
        <w:tc>
          <w:tcPr>
            <w:tcW w:type="dxa" w:w="1728"/>
            <w:shd w:fill="C6EFCE" w:val="clear"/>
          </w:tcPr>
          <w:p>
            <w:r>
              <w:rPr>
                <w:b/>
                <w:color w:val="006400"/>
                <w:sz w:val="16"/>
              </w:rPr>
              <w:t>SDCC</w:t>
            </w:r>
          </w:p>
        </w:tc>
        <w:tc>
          <w:tcPr>
            <w:tcW w:type="dxa" w:w="1728"/>
            <w:shd w:fill="C6EFCE" w:val="clear"/>
          </w:tcPr>
          <w:p>
            <w:r>
              <w:rPr>
                <w:color w:val="006400"/>
                <w:sz w:val="16"/>
              </w:rPr>
              <w:t>4.17%</w:t>
            </w:r>
          </w:p>
        </w:tc>
        <w:tc>
          <w:tcPr>
            <w:tcW w:type="dxa" w:w="1728"/>
            <w:shd w:fill="FFC7CE" w:val="clear"/>
          </w:tcPr>
          <w:p>
            <w:r>
              <w:rPr>
                <w:b/>
                <w:color w:val="B40000"/>
                <w:sz w:val="16"/>
              </w:rPr>
              <w:t>CIEC</w:t>
            </w:r>
          </w:p>
        </w:tc>
        <w:tc>
          <w:tcPr>
            <w:tcW w:type="dxa" w:w="1728"/>
            <w:shd w:fill="FFC7CE" w:val="clear"/>
          </w:tcPr>
          <w:p>
            <w:r>
              <w:rPr>
                <w:color w:val="B40000"/>
                <w:sz w:val="16"/>
              </w:rPr>
              <w:t>1.78%</w:t>
            </w:r>
          </w:p>
        </w:tc>
      </w:tr>
      <w:tr>
        <w:tc>
          <w:tcPr>
            <w:tcW w:type="dxa" w:w="1728"/>
            <w:shd w:fill="EEF2F7" w:val="clear"/>
          </w:tcPr>
          <w:p>
            <w:r>
              <w:rPr>
                <w:b/>
                <w:sz w:val="16"/>
              </w:rPr>
              <w:t>Liquidité gén.</w:t>
            </w:r>
          </w:p>
        </w:tc>
        <w:tc>
          <w:tcPr>
            <w:tcW w:type="dxa" w:w="1728"/>
            <w:shd w:fill="C6EFCE" w:val="clear"/>
          </w:tcPr>
          <w:p>
            <w:r>
              <w:rPr>
                <w:b/>
                <w:color w:val="006400"/>
                <w:sz w:val="16"/>
              </w:rPr>
              <w:t>SDCC</w:t>
            </w:r>
          </w:p>
        </w:tc>
        <w:tc>
          <w:tcPr>
            <w:tcW w:type="dxa" w:w="1728"/>
            <w:shd w:fill="C6EFCE" w:val="clear"/>
          </w:tcPr>
          <w:p>
            <w:r>
              <w:rPr>
                <w:color w:val="006400"/>
                <w:sz w:val="16"/>
              </w:rPr>
              <w:t>111.32%</w:t>
            </w:r>
          </w:p>
        </w:tc>
        <w:tc>
          <w:tcPr>
            <w:tcW w:type="dxa" w:w="1728"/>
            <w:shd w:fill="FFC7CE" w:val="clear"/>
          </w:tcPr>
          <w:p>
            <w:r>
              <w:rPr>
                <w:b/>
                <w:color w:val="B40000"/>
                <w:sz w:val="16"/>
              </w:rPr>
              <w:t>CIEC</w:t>
            </w:r>
          </w:p>
        </w:tc>
        <w:tc>
          <w:tcPr>
            <w:tcW w:type="dxa" w:w="1728"/>
            <w:shd w:fill="FFC7CE" w:val="clear"/>
          </w:tcPr>
          <w:p>
            <w:r>
              <w:rPr>
                <w:color w:val="B40000"/>
                <w:sz w:val="16"/>
              </w:rPr>
              <w:t>96.95%</w:t>
            </w:r>
          </w:p>
        </w:tc>
      </w:tr>
      <w:tr>
        <w:tc>
          <w:tcPr>
            <w:tcW w:type="dxa" w:w="1728"/>
            <w:shd w:fill="EEF2F7" w:val="clear"/>
          </w:tcPr>
          <w:p>
            <w:r>
              <w:rPr>
                <w:b/>
                <w:sz w:val="16"/>
              </w:rPr>
              <w:t>FCF</w:t>
            </w:r>
          </w:p>
        </w:tc>
        <w:tc>
          <w:tcPr>
            <w:tcW w:type="dxa" w:w="1728"/>
            <w:shd w:fill="C6EFCE" w:val="clear"/>
          </w:tcPr>
          <w:p>
            <w:r>
              <w:rPr>
                <w:b/>
                <w:color w:val="006400"/>
                <w:sz w:val="16"/>
              </w:rPr>
              <w:t>CIEC</w:t>
            </w:r>
          </w:p>
        </w:tc>
        <w:tc>
          <w:tcPr>
            <w:tcW w:type="dxa" w:w="1728"/>
            <w:shd w:fill="C6EFCE" w:val="clear"/>
          </w:tcPr>
          <w:p>
            <w:r>
              <w:rPr>
                <w:color w:val="006400"/>
                <w:sz w:val="16"/>
              </w:rPr>
              <w:t>20.167 Mds FCFA</w:t>
            </w:r>
          </w:p>
        </w:tc>
        <w:tc>
          <w:tcPr>
            <w:tcW w:type="dxa" w:w="1728"/>
            <w:shd w:fill="FFC7CE" w:val="clear"/>
          </w:tcPr>
          <w:p>
            <w:r>
              <w:rPr>
                <w:b/>
                <w:color w:val="B40000"/>
                <w:sz w:val="16"/>
              </w:rPr>
              <w:t>SDCC</w:t>
            </w:r>
          </w:p>
        </w:tc>
        <w:tc>
          <w:tcPr>
            <w:tcW w:type="dxa" w:w="1728"/>
            <w:shd w:fill="FFC7CE" w:val="clear"/>
          </w:tcPr>
          <w:p>
            <w:r>
              <w:rPr>
                <w:color w:val="B40000"/>
                <w:sz w:val="16"/>
              </w:rPr>
              <w:t>-38.504 Mds FCFA</w:t>
            </w:r>
          </w:p>
        </w:tc>
      </w:tr>
    </w:tbl>
    <w:p/>
    <w:p>
      <w:r>
        <w:br w:type="page"/>
      </w:r>
    </w:p>
    <w:p>
      <w:pPr>
        <w:pStyle w:val="Heading2"/>
      </w:pPr>
      <w:r>
        <w:rPr>
          <w:color w:val="003366"/>
        </w:rPr>
        <w:t>📂 Secteur : TELECOMMUNICATIONS</w:t>
      </w:r>
    </w:p>
    <w:p>
      <w:r>
        <w:rPr>
          <w:sz w:val="18"/>
        </w:rPr>
        <w:t>3 société(s) avec données financières sur 3 cotée(s) dans ce secteur. Exercice(s) analysé(s) : 2025, 2025, 2025.</w:t>
      </w:r>
    </w:p>
    <w:p/>
    <w:p>
      <w:pPr>
        <w:pStyle w:val="Heading3"/>
      </w:pPr>
      <w:r>
        <w:t>📊 Tableau comparatif des indicateurs clés</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6"/>
              </w:rPr>
              <w:t>Indicateur</w:t>
            </w:r>
          </w:p>
        </w:tc>
        <w:tc>
          <w:tcPr>
            <w:tcW w:type="dxa" w:w="2457"/>
            <w:shd w:fill="1F4E79" w:val="clear"/>
          </w:tcPr>
          <w:p>
            <w:r>
              <w:rPr>
                <w:b/>
                <w:color w:val="FFFFFF"/>
                <w:sz w:val="15"/>
              </w:rPr>
              <w:t>ONTBF (2025)</w:t>
            </w:r>
          </w:p>
        </w:tc>
        <w:tc>
          <w:tcPr>
            <w:tcW w:type="dxa" w:w="2457"/>
            <w:shd w:fill="1F4E79" w:val="clear"/>
          </w:tcPr>
          <w:p>
            <w:r>
              <w:rPr>
                <w:b/>
                <w:color w:val="FFFFFF"/>
                <w:sz w:val="15"/>
              </w:rPr>
              <w:t>ORAC (2025)</w:t>
            </w:r>
          </w:p>
        </w:tc>
        <w:tc>
          <w:tcPr>
            <w:tcW w:type="dxa" w:w="2457"/>
            <w:shd w:fill="1F4E79" w:val="clear"/>
          </w:tcPr>
          <w:p>
            <w:r>
              <w:rPr>
                <w:b/>
                <w:color w:val="FFFFFF"/>
                <w:sz w:val="15"/>
              </w:rPr>
              <w:t>SNTS (2025)</w:t>
            </w:r>
          </w:p>
        </w:tc>
      </w:tr>
      <w:tr>
        <w:tc>
          <w:tcPr>
            <w:tcW w:type="dxa" w:w="2551"/>
            <w:shd w:fill="EEF2F7" w:val="clear"/>
          </w:tcPr>
          <w:p>
            <w:r>
              <w:rPr>
                <w:b/>
                <w:sz w:val="15"/>
              </w:rPr>
              <w:t>ROE</w:t>
            </w:r>
          </w:p>
        </w:tc>
        <w:tc>
          <w:tcPr>
            <w:tcW w:type="dxa" w:w="2457"/>
            <w:shd w:fill="FFFFFF" w:val="clear"/>
          </w:tcPr>
          <w:p>
            <w:r>
              <w:rPr>
                <w:b/>
                <w:color w:val="000000"/>
                <w:sz w:val="16"/>
              </w:rPr>
              <w:t>27.61%</w:t>
            </w:r>
          </w:p>
        </w:tc>
        <w:tc>
          <w:tcPr>
            <w:tcW w:type="dxa" w:w="2457"/>
            <w:shd w:fill="FFC7CE" w:val="clear"/>
          </w:tcPr>
          <w:p>
            <w:r>
              <w:rPr>
                <w:b/>
                <w:color w:val="B40000"/>
                <w:sz w:val="16"/>
              </w:rPr>
              <w:t>23.71%</w:t>
            </w:r>
          </w:p>
        </w:tc>
        <w:tc>
          <w:tcPr>
            <w:tcW w:type="dxa" w:w="2457"/>
            <w:shd w:fill="C6EFCE" w:val="clear"/>
          </w:tcPr>
          <w:p>
            <w:r>
              <w:rPr>
                <w:b/>
                <w:color w:val="006400"/>
                <w:sz w:val="16"/>
              </w:rPr>
              <w:t>29.56%</w:t>
            </w:r>
          </w:p>
        </w:tc>
      </w:tr>
      <w:tr>
        <w:tc>
          <w:tcPr>
            <w:tcW w:type="dxa" w:w="2551"/>
            <w:shd w:fill="EEF2F7" w:val="clear"/>
          </w:tcPr>
          <w:p>
            <w:r>
              <w:rPr>
                <w:b/>
                <w:sz w:val="15"/>
              </w:rPr>
              <w:t>ROA</w:t>
            </w:r>
          </w:p>
        </w:tc>
        <w:tc>
          <w:tcPr>
            <w:tcW w:type="dxa" w:w="2457"/>
            <w:shd w:fill="FFC7CE" w:val="clear"/>
          </w:tcPr>
          <w:p>
            <w:r>
              <w:rPr>
                <w:b/>
                <w:color w:val="B40000"/>
                <w:sz w:val="16"/>
              </w:rPr>
              <w:t>4.89%</w:t>
            </w:r>
          </w:p>
        </w:tc>
        <w:tc>
          <w:tcPr>
            <w:tcW w:type="dxa" w:w="2457"/>
            <w:shd w:fill="FFFFFF" w:val="clear"/>
          </w:tcPr>
          <w:p>
            <w:r>
              <w:rPr>
                <w:b/>
                <w:color w:val="000000"/>
                <w:sz w:val="16"/>
              </w:rPr>
              <w:t>6.57%</w:t>
            </w:r>
          </w:p>
        </w:tc>
        <w:tc>
          <w:tcPr>
            <w:tcW w:type="dxa" w:w="2457"/>
            <w:shd w:fill="C6EFCE" w:val="clear"/>
          </w:tcPr>
          <w:p>
            <w:r>
              <w:rPr>
                <w:b/>
                <w:color w:val="006400"/>
                <w:sz w:val="16"/>
              </w:rPr>
              <w:t>12.65%</w:t>
            </w:r>
          </w:p>
        </w:tc>
      </w:tr>
      <w:tr>
        <w:tc>
          <w:tcPr>
            <w:tcW w:type="dxa" w:w="2551"/>
            <w:shd w:fill="EEF2F7" w:val="clear"/>
          </w:tcPr>
          <w:p>
            <w:r>
              <w:rPr>
                <w:b/>
                <w:sz w:val="15"/>
              </w:rPr>
              <w:t>Marge nette</w:t>
            </w:r>
          </w:p>
        </w:tc>
        <w:tc>
          <w:tcPr>
            <w:tcW w:type="dxa" w:w="2457"/>
            <w:shd w:fill="FFC7CE" w:val="clear"/>
          </w:tcPr>
          <w:p>
            <w:r>
              <w:rPr>
                <w:b/>
                <w:color w:val="B40000"/>
                <w:sz w:val="16"/>
              </w:rPr>
              <w:t>10.87%</w:t>
            </w:r>
          </w:p>
        </w:tc>
        <w:tc>
          <w:tcPr>
            <w:tcW w:type="dxa" w:w="2457"/>
            <w:shd w:fill="FFFFFF" w:val="clear"/>
          </w:tcPr>
          <w:p>
            <w:r>
              <w:rPr>
                <w:b/>
                <w:color w:val="000000"/>
                <w:sz w:val="16"/>
              </w:rPr>
              <w:t>14.02%</w:t>
            </w:r>
          </w:p>
        </w:tc>
        <w:tc>
          <w:tcPr>
            <w:tcW w:type="dxa" w:w="2457"/>
            <w:shd w:fill="C6EFCE" w:val="clear"/>
          </w:tcPr>
          <w:p>
            <w:r>
              <w:rPr>
                <w:b/>
                <w:color w:val="006400"/>
                <w:sz w:val="16"/>
              </w:rPr>
              <w:t>21.51%</w:t>
            </w:r>
          </w:p>
        </w:tc>
      </w:tr>
      <w:tr>
        <w:tc>
          <w:tcPr>
            <w:tcW w:type="dxa" w:w="2551"/>
            <w:shd w:fill="EEF2F7" w:val="clear"/>
          </w:tcPr>
          <w:p>
            <w:r>
              <w:rPr>
                <w:b/>
                <w:sz w:val="15"/>
              </w:rPr>
              <w:t>Résultat net</w:t>
            </w:r>
          </w:p>
        </w:tc>
        <w:tc>
          <w:tcPr>
            <w:tcW w:type="dxa" w:w="2457"/>
            <w:shd w:fill="FFC7CE" w:val="clear"/>
          </w:tcPr>
          <w:p>
            <w:r>
              <w:rPr>
                <w:b/>
                <w:color w:val="B40000"/>
                <w:sz w:val="16"/>
              </w:rPr>
              <w:t>15.887 Mds FCFA</w:t>
            </w:r>
          </w:p>
        </w:tc>
        <w:tc>
          <w:tcPr>
            <w:tcW w:type="dxa" w:w="2457"/>
            <w:shd w:fill="FFFFFF" w:val="clear"/>
          </w:tcPr>
          <w:p>
            <w:r>
              <w:rPr>
                <w:b/>
                <w:color w:val="000000"/>
                <w:sz w:val="16"/>
              </w:rPr>
              <w:t>167.800 Mds FCFA</w:t>
            </w:r>
          </w:p>
        </w:tc>
        <w:tc>
          <w:tcPr>
            <w:tcW w:type="dxa" w:w="2457"/>
            <w:shd w:fill="C6EFCE" w:val="clear"/>
          </w:tcPr>
          <w:p>
            <w:r>
              <w:rPr>
                <w:b/>
                <w:color w:val="006400"/>
                <w:sz w:val="16"/>
              </w:rPr>
              <w:t>413.588 Mds FCFA</w:t>
            </w:r>
          </w:p>
        </w:tc>
      </w:tr>
      <w:tr>
        <w:tc>
          <w:tcPr>
            <w:tcW w:type="dxa" w:w="2551"/>
            <w:shd w:fill="EEF2F7" w:val="clear"/>
          </w:tcPr>
          <w:p>
            <w:r>
              <w:rPr>
                <w:b/>
                <w:sz w:val="15"/>
              </w:rPr>
              <w:t>Taux croissance CA/PNB</w:t>
            </w:r>
          </w:p>
        </w:tc>
        <w:tc>
          <w:tcPr>
            <w:tcW w:type="dxa" w:w="2457"/>
            <w:shd w:fill="FFC7CE" w:val="clear"/>
          </w:tcPr>
          <w:p>
            <w:r>
              <w:rPr>
                <w:b/>
                <w:color w:val="B40000"/>
                <w:sz w:val="16"/>
              </w:rPr>
              <w:t>3.06%</w:t>
            </w:r>
          </w:p>
        </w:tc>
        <w:tc>
          <w:tcPr>
            <w:tcW w:type="dxa" w:w="2457"/>
            <w:shd w:fill="C6EFCE" w:val="clear"/>
          </w:tcPr>
          <w:p>
            <w:r>
              <w:rPr>
                <w:b/>
                <w:color w:val="006400"/>
                <w:sz w:val="16"/>
              </w:rPr>
              <w:t>10.42%</w:t>
            </w:r>
          </w:p>
        </w:tc>
        <w:tc>
          <w:tcPr>
            <w:tcW w:type="dxa" w:w="2457"/>
            <w:shd w:fill="FFFFFF" w:val="clear"/>
          </w:tcPr>
          <w:p>
            <w:r>
              <w:rPr>
                <w:b/>
                <w:color w:val="000000"/>
                <w:sz w:val="16"/>
              </w:rPr>
              <w:t>8.26%</w:t>
            </w:r>
          </w:p>
        </w:tc>
      </w:tr>
      <w:tr>
        <w:tc>
          <w:tcPr>
            <w:tcW w:type="dxa" w:w="2551"/>
            <w:shd w:fill="EEF2F7" w:val="clear"/>
          </w:tcPr>
          <w:p>
            <w:r>
              <w:rPr>
                <w:b/>
                <w:sz w:val="15"/>
              </w:rPr>
              <w:t>Autonomie financière</w:t>
            </w:r>
          </w:p>
        </w:tc>
        <w:tc>
          <w:tcPr>
            <w:tcW w:type="dxa" w:w="2457"/>
            <w:shd w:fill="FFC7CE" w:val="clear"/>
          </w:tcPr>
          <w:p>
            <w:r>
              <w:rPr>
                <w:b/>
                <w:color w:val="B40000"/>
                <w:sz w:val="16"/>
              </w:rPr>
              <w:t>17.71%</w:t>
            </w:r>
          </w:p>
        </w:tc>
        <w:tc>
          <w:tcPr>
            <w:tcW w:type="dxa" w:w="2457"/>
            <w:shd w:fill="FFFFFF" w:val="clear"/>
          </w:tcPr>
          <w:p>
            <w:r>
              <w:rPr>
                <w:b/>
                <w:color w:val="000000"/>
                <w:sz w:val="16"/>
              </w:rPr>
              <w:t>27.71%</w:t>
            </w:r>
          </w:p>
        </w:tc>
        <w:tc>
          <w:tcPr>
            <w:tcW w:type="dxa" w:w="2457"/>
            <w:shd w:fill="C6EFCE" w:val="clear"/>
          </w:tcPr>
          <w:p>
            <w:r>
              <w:rPr>
                <w:b/>
                <w:color w:val="006400"/>
                <w:sz w:val="16"/>
              </w:rPr>
              <w:t>42.79%</w:t>
            </w:r>
          </w:p>
        </w:tc>
      </w:tr>
      <w:tr>
        <w:tc>
          <w:tcPr>
            <w:tcW w:type="dxa" w:w="2551"/>
            <w:shd w:fill="EEF2F7" w:val="clear"/>
          </w:tcPr>
          <w:p>
            <w:r>
              <w:rPr>
                <w:b/>
                <w:sz w:val="15"/>
              </w:rPr>
              <w:t>Ratio endettement</w:t>
            </w:r>
          </w:p>
        </w:tc>
        <w:tc>
          <w:tcPr>
            <w:tcW w:type="dxa" w:w="2457"/>
            <w:shd w:fill="FFC7CE" w:val="clear"/>
          </w:tcPr>
          <w:p>
            <w:r>
              <w:rPr>
                <w:b/>
                <w:color w:val="B40000"/>
                <w:sz w:val="16"/>
              </w:rPr>
              <w:t>186.99%</w:t>
            </w:r>
          </w:p>
        </w:tc>
        <w:tc>
          <w:tcPr>
            <w:tcW w:type="dxa" w:w="2457"/>
            <w:shd w:fill="C6EFCE" w:val="clear"/>
          </w:tcPr>
          <w:p>
            <w:r>
              <w:rPr>
                <w:b/>
                <w:color w:val="006400"/>
                <w:sz w:val="16"/>
              </w:rPr>
              <w:t>47.46%</w:t>
            </w:r>
          </w:p>
        </w:tc>
        <w:tc>
          <w:tcPr>
            <w:tcW w:type="dxa" w:w="2457"/>
            <w:shd w:fill="FFFFFF" w:val="clear"/>
          </w:tcPr>
          <w:p>
            <w:r>
              <w:rPr>
                <w:b/>
                <w:color w:val="000000"/>
                <w:sz w:val="16"/>
              </w:rPr>
              <w:t>57.21%</w:t>
            </w:r>
          </w:p>
        </w:tc>
      </w:tr>
      <w:tr>
        <w:tc>
          <w:tcPr>
            <w:tcW w:type="dxa" w:w="2551"/>
            <w:shd w:fill="EEF2F7" w:val="clear"/>
          </w:tcPr>
          <w:p>
            <w:r>
              <w:rPr>
                <w:b/>
                <w:sz w:val="15"/>
              </w:rPr>
              <w:t>Solvabilité générale</w:t>
            </w:r>
          </w:p>
        </w:tc>
        <w:tc>
          <w:tcPr>
            <w:tcW w:type="dxa" w:w="2457"/>
            <w:shd w:fill="FFC7CE" w:val="clear"/>
          </w:tcPr>
          <w:p>
            <w:r>
              <w:rPr>
                <w:b/>
                <w:color w:val="B40000"/>
                <w:sz w:val="16"/>
              </w:rPr>
              <w:t>121.52%</w:t>
            </w:r>
          </w:p>
        </w:tc>
        <w:tc>
          <w:tcPr>
            <w:tcW w:type="dxa" w:w="2457"/>
            <w:shd w:fill="FFFFFF" w:val="clear"/>
          </w:tcPr>
          <w:p>
            <w:r>
              <w:rPr>
                <w:b/>
                <w:color w:val="000000"/>
                <w:sz w:val="16"/>
              </w:rPr>
              <w:t>138.34%</w:t>
            </w:r>
          </w:p>
        </w:tc>
        <w:tc>
          <w:tcPr>
            <w:tcW w:type="dxa" w:w="2457"/>
            <w:shd w:fill="C6EFCE" w:val="clear"/>
          </w:tcPr>
          <w:p>
            <w:r>
              <w:rPr>
                <w:b/>
                <w:color w:val="006400"/>
                <w:sz w:val="16"/>
              </w:rPr>
              <w:t>174.79%</w:t>
            </w:r>
          </w:p>
        </w:tc>
      </w:tr>
      <w:tr>
        <w:tc>
          <w:tcPr>
            <w:tcW w:type="dxa" w:w="2551"/>
            <w:shd w:fill="EEF2F7" w:val="clear"/>
          </w:tcPr>
          <w:p>
            <w:r>
              <w:rPr>
                <w:b/>
                <w:sz w:val="15"/>
              </w:rPr>
              <w:t>Liquidité générale</w:t>
            </w:r>
          </w:p>
        </w:tc>
        <w:tc>
          <w:tcPr>
            <w:tcW w:type="dxa" w:w="2457"/>
            <w:shd w:fill="FFC7CE" w:val="clear"/>
          </w:tcPr>
          <w:p>
            <w:r>
              <w:rPr>
                <w:b/>
                <w:color w:val="B40000"/>
                <w:sz w:val="16"/>
              </w:rPr>
              <w:t>36.36%</w:t>
            </w:r>
          </w:p>
        </w:tc>
        <w:tc>
          <w:tcPr>
            <w:tcW w:type="dxa" w:w="2457"/>
            <w:shd w:fill="FFFFFF" w:val="clear"/>
          </w:tcPr>
          <w:p>
            <w:r>
              <w:rPr>
                <w:b/>
                <w:color w:val="000000"/>
                <w:sz w:val="16"/>
              </w:rPr>
              <w:t>101.83%</w:t>
            </w:r>
          </w:p>
        </w:tc>
        <w:tc>
          <w:tcPr>
            <w:tcW w:type="dxa" w:w="2457"/>
            <w:shd w:fill="C6EFCE" w:val="clear"/>
          </w:tcPr>
          <w:p>
            <w:r>
              <w:rPr>
                <w:b/>
                <w:color w:val="006400"/>
                <w:sz w:val="16"/>
              </w:rPr>
              <w:t>139.07%</w:t>
            </w:r>
          </w:p>
        </w:tc>
      </w:tr>
      <w:tr>
        <w:tc>
          <w:tcPr>
            <w:tcW w:type="dxa" w:w="2551"/>
            <w:shd w:fill="EEF2F7" w:val="clear"/>
          </w:tcPr>
          <w:p>
            <w:r>
              <w:rPr>
                <w:b/>
                <w:sz w:val="15"/>
              </w:rPr>
              <w:t>Free Cash Flow</w:t>
            </w:r>
          </w:p>
        </w:tc>
        <w:tc>
          <w:tcPr>
            <w:tcW w:type="dxa" w:w="2457"/>
            <w:shd w:fill="FFC7CE" w:val="clear"/>
          </w:tcPr>
          <w:p>
            <w:r>
              <w:rPr>
                <w:b/>
                <w:color w:val="B40000"/>
                <w:sz w:val="16"/>
              </w:rPr>
              <w:t>1.556 Mds FCFA</w:t>
            </w:r>
          </w:p>
        </w:tc>
        <w:tc>
          <w:tcPr>
            <w:tcW w:type="dxa" w:w="2457"/>
            <w:shd w:fill="FFFFFF" w:val="clear"/>
          </w:tcPr>
          <w:p>
            <w:r>
              <w:rPr>
                <w:b/>
                <w:color w:val="000000"/>
                <w:sz w:val="16"/>
              </w:rPr>
              <w:t>156.200 Mds FCFA</w:t>
            </w:r>
          </w:p>
        </w:tc>
        <w:tc>
          <w:tcPr>
            <w:tcW w:type="dxa" w:w="2457"/>
            <w:shd w:fill="C6EFCE" w:val="clear"/>
          </w:tcPr>
          <w:p>
            <w:r>
              <w:rPr>
                <w:b/>
                <w:color w:val="006400"/>
                <w:sz w:val="16"/>
              </w:rPr>
              <w:t>408.087 Mds FCFA</w:t>
            </w:r>
          </w:p>
        </w:tc>
      </w:tr>
      <w:tr>
        <w:tc>
          <w:tcPr>
            <w:tcW w:type="dxa" w:w="2551"/>
            <w:shd w:fill="EEF2F7" w:val="clear"/>
          </w:tcPr>
          <w:p>
            <w:r>
              <w:rPr>
                <w:b/>
                <w:sz w:val="15"/>
              </w:rPr>
              <w:t>Coeff. exploitation</w:t>
            </w:r>
          </w:p>
        </w:tc>
        <w:tc>
          <w:tcPr>
            <w:tcW w:type="dxa" w:w="2457"/>
            <w:shd w:fill="FFC7CE" w:val="clear"/>
          </w:tcPr>
          <w:p>
            <w:r>
              <w:rPr>
                <w:b/>
                <w:color w:val="B40000"/>
                <w:sz w:val="16"/>
              </w:rPr>
              <w:t>67.07%</w:t>
            </w:r>
          </w:p>
        </w:tc>
        <w:tc>
          <w:tcPr>
            <w:tcW w:type="dxa" w:w="2457"/>
            <w:shd w:fill="C6EFCE" w:val="clear"/>
          </w:tcPr>
          <w:p>
            <w:r>
              <w:rPr>
                <w:b/>
                <w:color w:val="006400"/>
                <w:sz w:val="16"/>
              </w:rPr>
              <w:t>46.66%</w:t>
            </w:r>
          </w:p>
        </w:tc>
        <w:tc>
          <w:tcPr>
            <w:tcW w:type="dxa" w:w="2457"/>
            <w:shd w:fill="F2F2F2" w:val="clear"/>
          </w:tcPr>
          <w:p>
            <w:r>
              <w:rPr>
                <w:b/>
                <w:sz w:val="16"/>
              </w:rPr>
              <w:t>N/D</w:t>
            </w:r>
          </w:p>
        </w:tc>
      </w:tr>
      <w:tr>
        <w:tc>
          <w:tcPr>
            <w:tcW w:type="dxa" w:w="2551"/>
            <w:shd w:fill="EEF2F7" w:val="clear"/>
          </w:tcPr>
          <w:p>
            <w:r>
              <w:rPr>
                <w:b/>
                <w:sz w:val="15"/>
              </w:rPr>
              <w:t>Marge opérationnelle</w:t>
            </w:r>
          </w:p>
        </w:tc>
        <w:tc>
          <w:tcPr>
            <w:tcW w:type="dxa" w:w="2457"/>
            <w:shd w:fill="FFC7CE" w:val="clear"/>
          </w:tcPr>
          <w:p>
            <w:r>
              <w:rPr>
                <w:b/>
                <w:color w:val="B40000"/>
                <w:sz w:val="16"/>
              </w:rPr>
              <w:t>17.56%</w:t>
            </w:r>
          </w:p>
        </w:tc>
        <w:tc>
          <w:tcPr>
            <w:tcW w:type="dxa" w:w="2457"/>
            <w:shd w:fill="FFFFFF" w:val="clear"/>
          </w:tcPr>
          <w:p>
            <w:r>
              <w:rPr>
                <w:b/>
                <w:color w:val="000000"/>
                <w:sz w:val="16"/>
              </w:rPr>
              <w:t>23.99%</w:t>
            </w:r>
          </w:p>
        </w:tc>
        <w:tc>
          <w:tcPr>
            <w:tcW w:type="dxa" w:w="2457"/>
            <w:shd w:fill="C6EFCE" w:val="clear"/>
          </w:tcPr>
          <w:p>
            <w:r>
              <w:rPr>
                <w:b/>
                <w:color w:val="006400"/>
                <w:sz w:val="16"/>
              </w:rPr>
              <w:t>34.83%</w:t>
            </w:r>
          </w:p>
        </w:tc>
      </w:tr>
    </w:tbl>
    <w:p/>
    <w:p>
      <w:pPr>
        <w:pStyle w:val="Heading3"/>
      </w:pPr>
      <w:r>
        <w:t>🔍 Analyse détaillée par société</w:t>
      </w:r>
    </w:p>
    <w:p>
      <w:pPr>
        <w:spacing w:before="160"/>
      </w:pPr>
      <w:r>
        <w:rPr>
          <w:b/>
          <w:color w:val="003366"/>
          <w:sz w:val="20"/>
        </w:rPr>
        <w:t xml:space="preserve">▶ ONTBF — ONTBF - ONATEL BURKINA FASO </w:t>
      </w:r>
      <w:r>
        <w:rPr>
          <w:i/>
          <w:color w:val="505050"/>
          <w:sz w:val="17"/>
        </w:rPr>
        <w:t>[🏦 Banque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27.61%</w:t>
            </w:r>
          </w:p>
        </w:tc>
        <w:tc>
          <w:tcPr>
            <w:tcW w:type="dxa" w:w="5669"/>
            <w:shd w:fill="FFFFFF" w:val="clear"/>
          </w:tcPr>
          <w:p>
            <w:r>
              <w:rPr>
                <w:sz w:val="15"/>
              </w:rPr>
              <w:t>✅ ROE de 27.6%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4.89%</w:t>
            </w:r>
          </w:p>
        </w:tc>
        <w:tc>
          <w:tcPr>
            <w:tcW w:type="dxa" w:w="5669"/>
            <w:shd w:fill="FFFFFF" w:val="clear"/>
          </w:tcPr>
          <w:p>
            <w:r>
              <w:rPr>
                <w:sz w:val="15"/>
              </w:rPr>
              <w:t>✅ ROA de 4.89% — très bonne utilisation des actifs (seuil banque UEMOA ≈ 1%).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10.87%</w:t>
            </w:r>
          </w:p>
        </w:tc>
        <w:tc>
          <w:tcPr>
            <w:tcW w:type="dxa" w:w="5669"/>
            <w:shd w:fill="FFFFFF" w:val="clear"/>
          </w:tcPr>
          <w:p>
            <w:r>
              <w:rPr>
                <w:sz w:val="15"/>
              </w:rPr>
              <w:t>✅ Marge nette de 10.9%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15.887 Mds FCFA</w:t>
            </w:r>
          </w:p>
        </w:tc>
        <w:tc>
          <w:tcPr>
            <w:tcW w:type="dxa" w:w="5669"/>
            <w:shd w:fill="FFFFFF" w:val="clear"/>
          </w:tcPr>
          <w:p>
            <w:r>
              <w:rPr>
                <w:sz w:val="15"/>
              </w:rPr>
              <w:t>✅ Résultat net positif de 15.887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FFEB9C" w:val="clear"/>
          </w:tcPr>
          <w:p>
            <w:r>
              <w:rPr>
                <w:b/>
                <w:color w:val="007800"/>
                <w:sz w:val="17"/>
              </w:rPr>
              <w:t>3.06%</w:t>
            </w:r>
          </w:p>
        </w:tc>
        <w:tc>
          <w:tcPr>
            <w:tcW w:type="dxa" w:w="5669"/>
            <w:shd w:fill="FFFFFF" w:val="clear"/>
          </w:tcPr>
          <w:p>
            <w:r>
              <w:rPr>
                <w:sz w:val="15"/>
              </w:rPr>
              <w:t>⚠️ Croissance faible (3.1%) — activité quasi-stagnante. Risque de perte de compétitivité en termes réels.</w:t>
            </w:r>
          </w:p>
        </w:tc>
      </w:tr>
      <w:tr>
        <w:tc>
          <w:tcPr>
            <w:tcW w:type="dxa" w:w="2268"/>
            <w:shd w:fill="EEF2F7" w:val="clear"/>
          </w:tcPr>
          <w:p>
            <w:r>
              <w:rPr>
                <w:b/>
                <w:sz w:val="15"/>
              </w:rPr>
              <w:t>Autonomie financière</w:t>
            </w:r>
          </w:p>
        </w:tc>
        <w:tc>
          <w:tcPr>
            <w:tcW w:type="dxa" w:w="1984"/>
            <w:shd w:fill="FFEB9C" w:val="clear"/>
          </w:tcPr>
          <w:p>
            <w:r>
              <w:rPr>
                <w:b/>
                <w:color w:val="007800"/>
                <w:sz w:val="17"/>
              </w:rPr>
              <w:t>17.71%</w:t>
            </w:r>
          </w:p>
        </w:tc>
        <w:tc>
          <w:tcPr>
            <w:tcW w:type="dxa" w:w="5669"/>
            <w:shd w:fill="FFFFFF" w:val="clear"/>
          </w:tcPr>
          <w:p>
            <w:r>
              <w:rPr>
                <w:sz w:val="15"/>
              </w:rPr>
              <w:t>⚠️ Autonomie limitée (17.7%) — dépendance significative aux financeurs externes. Risque accru en cas de resserrement du crédit.</w:t>
            </w:r>
          </w:p>
        </w:tc>
      </w:tr>
      <w:tr>
        <w:tc>
          <w:tcPr>
            <w:tcW w:type="dxa" w:w="2268"/>
            <w:shd w:fill="EEF2F7" w:val="clear"/>
          </w:tcPr>
          <w:p>
            <w:r>
              <w:rPr>
                <w:b/>
                <w:sz w:val="15"/>
              </w:rPr>
              <w:t>Ratio endettement</w:t>
            </w:r>
          </w:p>
        </w:tc>
        <w:tc>
          <w:tcPr>
            <w:tcW w:type="dxa" w:w="1984"/>
            <w:shd w:fill="FFEB9C" w:val="clear"/>
          </w:tcPr>
          <w:p>
            <w:r>
              <w:rPr>
                <w:b/>
                <w:color w:val="007800"/>
                <w:sz w:val="17"/>
              </w:rPr>
              <w:t>186.99%</w:t>
            </w:r>
          </w:p>
        </w:tc>
        <w:tc>
          <w:tcPr>
            <w:tcW w:type="dxa" w:w="5669"/>
            <w:shd w:fill="FFFFFF" w:val="clear"/>
          </w:tcPr>
          <w:p>
            <w:r>
              <w:rPr>
                <w:sz w:val="15"/>
              </w:rPr>
              <w:t>⚠️ Gearing de 187% — levier élevé, la dette dépasse les fonds propres. Sensibilité aux variations de taux.</w:t>
            </w:r>
          </w:p>
        </w:tc>
      </w:tr>
      <w:tr>
        <w:tc>
          <w:tcPr>
            <w:tcW w:type="dxa" w:w="2268"/>
            <w:shd w:fill="EEF2F7" w:val="clear"/>
          </w:tcPr>
          <w:p>
            <w:r>
              <w:rPr>
                <w:b/>
                <w:sz w:val="15"/>
              </w:rPr>
              <w:t>Solvabilité générale</w:t>
            </w:r>
          </w:p>
        </w:tc>
        <w:tc>
          <w:tcPr>
            <w:tcW w:type="dxa" w:w="1984"/>
            <w:shd w:fill="C6EFCE" w:val="clear"/>
          </w:tcPr>
          <w:p>
            <w:r>
              <w:rPr>
                <w:b/>
                <w:color w:val="007800"/>
                <w:sz w:val="17"/>
              </w:rPr>
              <w:t>121.52%</w:t>
            </w:r>
          </w:p>
        </w:tc>
        <w:tc>
          <w:tcPr>
            <w:tcW w:type="dxa" w:w="5669"/>
            <w:shd w:fill="FFFFFF" w:val="clear"/>
          </w:tcPr>
          <w:p>
            <w:r>
              <w:rPr>
                <w:sz w:val="15"/>
              </w:rPr>
              <w:t>✅ Solvabilité satisfaisante (122%) — les actifs couvrent bien les dettes.</w:t>
            </w:r>
          </w:p>
        </w:tc>
      </w:tr>
      <w:tr>
        <w:tc>
          <w:tcPr>
            <w:tcW w:type="dxa" w:w="2268"/>
            <w:shd w:fill="EEF2F7" w:val="clear"/>
          </w:tcPr>
          <w:p>
            <w:r>
              <w:rPr>
                <w:b/>
                <w:sz w:val="15"/>
              </w:rPr>
              <w:t>Liquidité générale</w:t>
            </w:r>
          </w:p>
        </w:tc>
        <w:tc>
          <w:tcPr>
            <w:tcW w:type="dxa" w:w="1984"/>
            <w:shd w:fill="FFC7CE" w:val="clear"/>
          </w:tcPr>
          <w:p>
            <w:r>
              <w:rPr>
                <w:b/>
                <w:color w:val="007800"/>
                <w:sz w:val="17"/>
              </w:rPr>
              <w:t>36.36%</w:t>
            </w:r>
          </w:p>
        </w:tc>
        <w:tc>
          <w:tcPr>
            <w:tcW w:type="dxa" w:w="5669"/>
            <w:shd w:fill="FFFFFF" w:val="clear"/>
          </w:tcPr>
          <w:p>
            <w:r>
              <w:rPr>
                <w:sz w:val="15"/>
              </w:rPr>
              <w:t>❌ Liquidité insuffisante (36.36x) — actif circulant ne couvre pas les dettes CT. Risque de défaut de paiement.</w:t>
            </w:r>
          </w:p>
        </w:tc>
      </w:tr>
      <w:tr>
        <w:tc>
          <w:tcPr>
            <w:tcW w:type="dxa" w:w="2268"/>
            <w:shd w:fill="EEF2F7" w:val="clear"/>
          </w:tcPr>
          <w:p>
            <w:r>
              <w:rPr>
                <w:b/>
                <w:sz w:val="15"/>
              </w:rPr>
              <w:t>Free Cash Flow</w:t>
            </w:r>
          </w:p>
        </w:tc>
        <w:tc>
          <w:tcPr>
            <w:tcW w:type="dxa" w:w="1984"/>
            <w:shd w:fill="C6EFCE" w:val="clear"/>
          </w:tcPr>
          <w:p>
            <w:r>
              <w:rPr>
                <w:b/>
                <w:color w:val="007800"/>
                <w:sz w:val="17"/>
              </w:rPr>
              <w:t>1.556 Mds FCFA</w:t>
            </w:r>
          </w:p>
        </w:tc>
        <w:tc>
          <w:tcPr>
            <w:tcW w:type="dxa" w:w="5669"/>
            <w:shd w:fill="FFFFFF" w:val="clear"/>
          </w:tcPr>
          <w:p>
            <w:r>
              <w:rPr>
                <w:sz w:val="15"/>
              </w:rPr>
              <w:t>✅ FCF positif de 1.556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FFEB9C" w:val="clear"/>
          </w:tcPr>
          <w:p>
            <w:r>
              <w:rPr>
                <w:b/>
                <w:color w:val="007800"/>
                <w:sz w:val="17"/>
              </w:rPr>
              <w:t>67.07%</w:t>
            </w:r>
          </w:p>
        </w:tc>
        <w:tc>
          <w:tcPr>
            <w:tcW w:type="dxa" w:w="5669"/>
            <w:shd w:fill="FFFFFF" w:val="clear"/>
          </w:tcPr>
          <w:p>
            <w:r>
              <w:rPr>
                <w:sz w:val="15"/>
              </w:rPr>
              <w:t>⚠️ Coeff. d'exploitation de 67.1% — charges absorbant trop du PNB. Marge de progression nécessaire.</w:t>
            </w:r>
          </w:p>
        </w:tc>
      </w:tr>
      <w:tr>
        <w:tc>
          <w:tcPr>
            <w:tcW w:type="dxa" w:w="2268"/>
            <w:shd w:fill="EEF2F7" w:val="clear"/>
          </w:tcPr>
          <w:p>
            <w:r>
              <w:rPr>
                <w:b/>
                <w:sz w:val="15"/>
              </w:rPr>
              <w:t>Marge opérationnelle</w:t>
            </w:r>
          </w:p>
        </w:tc>
        <w:tc>
          <w:tcPr>
            <w:tcW w:type="dxa" w:w="1984"/>
            <w:shd w:fill="C6EFCE" w:val="clear"/>
          </w:tcPr>
          <w:p>
            <w:r>
              <w:rPr>
                <w:b/>
                <w:color w:val="007800"/>
                <w:sz w:val="17"/>
              </w:rPr>
              <w:t>17.56%</w:t>
            </w:r>
          </w:p>
        </w:tc>
        <w:tc>
          <w:tcPr>
            <w:tcW w:type="dxa" w:w="5669"/>
            <w:shd w:fill="FFFFFF" w:val="clear"/>
          </w:tcPr>
          <w:p>
            <w:r>
              <w:rPr>
                <w:sz w:val="15"/>
              </w:rPr>
              <w:t>✅ Marge opérationnelle correcte (17.6%).</w:t>
            </w:r>
          </w:p>
        </w:tc>
      </w:tr>
    </w:tbl>
    <w:p/>
    <w:p>
      <w:pPr>
        <w:spacing w:before="160"/>
      </w:pPr>
      <w:r>
        <w:rPr>
          <w:b/>
          <w:color w:val="003366"/>
          <w:sz w:val="20"/>
        </w:rPr>
        <w:t xml:space="preserve">▶ ORAC — ORAC - ORANGE COTE D'IVOIRE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23.71%</w:t>
            </w:r>
          </w:p>
        </w:tc>
        <w:tc>
          <w:tcPr>
            <w:tcW w:type="dxa" w:w="5669"/>
            <w:shd w:fill="FFFFFF" w:val="clear"/>
          </w:tcPr>
          <w:p>
            <w:r>
              <w:rPr>
                <w:sz w:val="15"/>
              </w:rPr>
              <w:t>✅ ROE de 23.7%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6.57%</w:t>
            </w:r>
          </w:p>
        </w:tc>
        <w:tc>
          <w:tcPr>
            <w:tcW w:type="dxa" w:w="5669"/>
            <w:shd w:fill="FFFFFF" w:val="clear"/>
          </w:tcPr>
          <w:p>
            <w:r>
              <w:rPr>
                <w:sz w:val="15"/>
              </w:rPr>
              <w:t>✅ ROA de 6.57% — bonne utilisation des actifs (seuil entreprise ≈ 5%).</w:t>
            </w:r>
          </w:p>
        </w:tc>
      </w:tr>
      <w:tr>
        <w:tc>
          <w:tcPr>
            <w:tcW w:type="dxa" w:w="2268"/>
            <w:shd w:fill="EEF2F7" w:val="clear"/>
          </w:tcPr>
          <w:p>
            <w:r>
              <w:rPr>
                <w:b/>
                <w:sz w:val="15"/>
              </w:rPr>
              <w:t>Marge nette</w:t>
            </w:r>
          </w:p>
        </w:tc>
        <w:tc>
          <w:tcPr>
            <w:tcW w:type="dxa" w:w="1984"/>
            <w:shd w:fill="C6EFCE" w:val="clear"/>
          </w:tcPr>
          <w:p>
            <w:r>
              <w:rPr>
                <w:b/>
                <w:color w:val="007800"/>
                <w:sz w:val="17"/>
              </w:rPr>
              <w:t>14.02%</w:t>
            </w:r>
          </w:p>
        </w:tc>
        <w:tc>
          <w:tcPr>
            <w:tcW w:type="dxa" w:w="5669"/>
            <w:shd w:fill="FFFFFF" w:val="clear"/>
          </w:tcPr>
          <w:p>
            <w:r>
              <w:rPr>
                <w:sz w:val="15"/>
              </w:rPr>
              <w:t>✅ Marge nette de 14.0% — profitabilité satisfaisante.</w:t>
            </w:r>
          </w:p>
        </w:tc>
      </w:tr>
      <w:tr>
        <w:tc>
          <w:tcPr>
            <w:tcW w:type="dxa" w:w="2268"/>
            <w:shd w:fill="EEF2F7" w:val="clear"/>
          </w:tcPr>
          <w:p>
            <w:r>
              <w:rPr>
                <w:b/>
                <w:sz w:val="15"/>
              </w:rPr>
              <w:t>Résultat net</w:t>
            </w:r>
          </w:p>
        </w:tc>
        <w:tc>
          <w:tcPr>
            <w:tcW w:type="dxa" w:w="1984"/>
            <w:shd w:fill="C6EFCE" w:val="clear"/>
          </w:tcPr>
          <w:p>
            <w:r>
              <w:rPr>
                <w:b/>
                <w:color w:val="007800"/>
                <w:sz w:val="17"/>
              </w:rPr>
              <w:t>167.800 Mds FCFA</w:t>
            </w:r>
          </w:p>
        </w:tc>
        <w:tc>
          <w:tcPr>
            <w:tcW w:type="dxa" w:w="5669"/>
            <w:shd w:fill="FFFFFF" w:val="clear"/>
          </w:tcPr>
          <w:p>
            <w:r>
              <w:rPr>
                <w:sz w:val="15"/>
              </w:rPr>
              <w:t>✅ Résultat net positif de 167.800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10.42%</w:t>
            </w:r>
          </w:p>
        </w:tc>
        <w:tc>
          <w:tcPr>
            <w:tcW w:type="dxa" w:w="5669"/>
            <w:shd w:fill="FFFFFF" w:val="clear"/>
          </w:tcPr>
          <w:p>
            <w:r>
              <w:rPr>
                <w:sz w:val="15"/>
              </w:rPr>
              <w:t>✅ Croissance de 10.4%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27.71%</w:t>
            </w:r>
          </w:p>
        </w:tc>
        <w:tc>
          <w:tcPr>
            <w:tcW w:type="dxa" w:w="5669"/>
            <w:shd w:fill="FFFFFF" w:val="clear"/>
          </w:tcPr>
          <w:p>
            <w:r>
              <w:rPr>
                <w:sz w:val="15"/>
              </w:rPr>
              <w:t>✅ Autonomie financière correcte (27.7%) — équilibre sain entre fonds propres et dettes.</w:t>
            </w:r>
          </w:p>
        </w:tc>
      </w:tr>
      <w:tr>
        <w:tc>
          <w:tcPr>
            <w:tcW w:type="dxa" w:w="2268"/>
            <w:shd w:fill="EEF2F7" w:val="clear"/>
          </w:tcPr>
          <w:p>
            <w:r>
              <w:rPr>
                <w:b/>
                <w:sz w:val="15"/>
              </w:rPr>
              <w:t>Ratio endettement</w:t>
            </w:r>
          </w:p>
        </w:tc>
        <w:tc>
          <w:tcPr>
            <w:tcW w:type="dxa" w:w="1984"/>
            <w:shd w:fill="C6EFCE" w:val="clear"/>
          </w:tcPr>
          <w:p>
            <w:r>
              <w:rPr>
                <w:b/>
                <w:color w:val="007800"/>
                <w:sz w:val="17"/>
              </w:rPr>
              <w:t>47.46%</w:t>
            </w:r>
          </w:p>
        </w:tc>
        <w:tc>
          <w:tcPr>
            <w:tcW w:type="dxa" w:w="5669"/>
            <w:shd w:fill="FFFFFF" w:val="clear"/>
          </w:tcPr>
          <w:p>
            <w:r>
              <w:rPr>
                <w:sz w:val="15"/>
              </w:rPr>
              <w:t>✅ Gearing de 47% — endettement très modéré par rapport aux fonds propres. Capacité d'emprunt préservée.</w:t>
            </w:r>
          </w:p>
        </w:tc>
      </w:tr>
      <w:tr>
        <w:tc>
          <w:tcPr>
            <w:tcW w:type="dxa" w:w="2268"/>
            <w:shd w:fill="EEF2F7" w:val="clear"/>
          </w:tcPr>
          <w:p>
            <w:r>
              <w:rPr>
                <w:b/>
                <w:sz w:val="15"/>
              </w:rPr>
              <w:t>Solvabilité générale</w:t>
            </w:r>
          </w:p>
        </w:tc>
        <w:tc>
          <w:tcPr>
            <w:tcW w:type="dxa" w:w="1984"/>
            <w:shd w:fill="C6EFCE" w:val="clear"/>
          </w:tcPr>
          <w:p>
            <w:r>
              <w:rPr>
                <w:b/>
                <w:color w:val="007800"/>
                <w:sz w:val="17"/>
              </w:rPr>
              <w:t>138.34%</w:t>
            </w:r>
          </w:p>
        </w:tc>
        <w:tc>
          <w:tcPr>
            <w:tcW w:type="dxa" w:w="5669"/>
            <w:shd w:fill="FFFFFF" w:val="clear"/>
          </w:tcPr>
          <w:p>
            <w:r>
              <w:rPr>
                <w:sz w:val="15"/>
              </w:rPr>
              <w:t>✅ Solvabilité satisfaisante (138%) — les actifs couvrent bien les dettes.</w:t>
            </w:r>
          </w:p>
        </w:tc>
      </w:tr>
      <w:tr>
        <w:tc>
          <w:tcPr>
            <w:tcW w:type="dxa" w:w="2268"/>
            <w:shd w:fill="EEF2F7" w:val="clear"/>
          </w:tcPr>
          <w:p>
            <w:r>
              <w:rPr>
                <w:b/>
                <w:sz w:val="15"/>
              </w:rPr>
              <w:t>Liquidité générale</w:t>
            </w:r>
          </w:p>
        </w:tc>
        <w:tc>
          <w:tcPr>
            <w:tcW w:type="dxa" w:w="1984"/>
            <w:shd w:fill="FFEB9C" w:val="clear"/>
          </w:tcPr>
          <w:p>
            <w:r>
              <w:rPr>
                <w:b/>
                <w:color w:val="007800"/>
                <w:sz w:val="17"/>
              </w:rPr>
              <w:t>101.83%</w:t>
            </w:r>
          </w:p>
        </w:tc>
        <w:tc>
          <w:tcPr>
            <w:tcW w:type="dxa" w:w="5669"/>
            <w:shd w:fill="FFFFFF" w:val="clear"/>
          </w:tcPr>
          <w:p>
            <w:r>
              <w:rPr>
                <w:sz w:val="15"/>
              </w:rPr>
              <w:t>⚠️ Liquidité générale limite (101.83x) — couverture juste suffisante.</w:t>
            </w:r>
          </w:p>
        </w:tc>
      </w:tr>
      <w:tr>
        <w:tc>
          <w:tcPr>
            <w:tcW w:type="dxa" w:w="2268"/>
            <w:shd w:fill="EEF2F7" w:val="clear"/>
          </w:tcPr>
          <w:p>
            <w:r>
              <w:rPr>
                <w:b/>
                <w:sz w:val="15"/>
              </w:rPr>
              <w:t>Free Cash Flow</w:t>
            </w:r>
          </w:p>
        </w:tc>
        <w:tc>
          <w:tcPr>
            <w:tcW w:type="dxa" w:w="1984"/>
            <w:shd w:fill="C6EFCE" w:val="clear"/>
          </w:tcPr>
          <w:p>
            <w:r>
              <w:rPr>
                <w:b/>
                <w:color w:val="007800"/>
                <w:sz w:val="17"/>
              </w:rPr>
              <w:t>156.200 Mds FCFA</w:t>
            </w:r>
          </w:p>
        </w:tc>
        <w:tc>
          <w:tcPr>
            <w:tcW w:type="dxa" w:w="5669"/>
            <w:shd w:fill="FFFFFF" w:val="clear"/>
          </w:tcPr>
          <w:p>
            <w:r>
              <w:rPr>
                <w:sz w:val="15"/>
              </w:rPr>
              <w:t>✅ FCF positif de 156.200 Mds FCFA — la société génère du cash après investissements. Peut rembourser la dette, verser des dividendes ou investir davantage.</w:t>
            </w:r>
          </w:p>
        </w:tc>
      </w:tr>
      <w:tr>
        <w:tc>
          <w:tcPr>
            <w:tcW w:type="dxa" w:w="2268"/>
            <w:shd w:fill="EEF2F7" w:val="clear"/>
          </w:tcPr>
          <w:p>
            <w:r>
              <w:rPr>
                <w:b/>
                <w:sz w:val="15"/>
              </w:rPr>
              <w:t>Coeff. exploitation</w:t>
            </w:r>
          </w:p>
        </w:tc>
        <w:tc>
          <w:tcPr>
            <w:tcW w:type="dxa" w:w="1984"/>
            <w:shd w:fill="C6EFCE" w:val="clear"/>
          </w:tcPr>
          <w:p>
            <w:r>
              <w:rPr>
                <w:b/>
                <w:color w:val="007800"/>
                <w:sz w:val="17"/>
              </w:rPr>
              <w:t>46.66%</w:t>
            </w:r>
          </w:p>
        </w:tc>
        <w:tc>
          <w:tcPr>
            <w:tcW w:type="dxa" w:w="5669"/>
            <w:shd w:fill="FFFFFF" w:val="clear"/>
          </w:tcPr>
          <w:p>
            <w:r>
              <w:rPr>
                <w:sz w:val="15"/>
              </w:rPr>
              <w:t>✅ Coeff. d'exploitation de 46.7% — dans la norme UEMOA. Efficience satisfaisante.</w:t>
            </w:r>
          </w:p>
        </w:tc>
      </w:tr>
      <w:tr>
        <w:tc>
          <w:tcPr>
            <w:tcW w:type="dxa" w:w="2268"/>
            <w:shd w:fill="EEF2F7" w:val="clear"/>
          </w:tcPr>
          <w:p>
            <w:r>
              <w:rPr>
                <w:b/>
                <w:sz w:val="15"/>
              </w:rPr>
              <w:t>Marge opérationnelle</w:t>
            </w:r>
          </w:p>
        </w:tc>
        <w:tc>
          <w:tcPr>
            <w:tcW w:type="dxa" w:w="1984"/>
            <w:shd w:fill="C6EFCE" w:val="clear"/>
          </w:tcPr>
          <w:p>
            <w:r>
              <w:rPr>
                <w:b/>
                <w:color w:val="007800"/>
                <w:sz w:val="17"/>
              </w:rPr>
              <w:t>23.99%</w:t>
            </w:r>
          </w:p>
        </w:tc>
        <w:tc>
          <w:tcPr>
            <w:tcW w:type="dxa" w:w="5669"/>
            <w:shd w:fill="FFFFFF" w:val="clear"/>
          </w:tcPr>
          <w:p>
            <w:r>
              <w:rPr>
                <w:sz w:val="15"/>
              </w:rPr>
              <w:t>✅ Marge opérationnelle de 24.0% — excellente efficacité de l'exploitation principale.</w:t>
            </w:r>
          </w:p>
        </w:tc>
      </w:tr>
    </w:tbl>
    <w:p/>
    <w:p>
      <w:pPr>
        <w:spacing w:before="160"/>
      </w:pPr>
      <w:r>
        <w:rPr>
          <w:b/>
          <w:color w:val="003366"/>
          <w:sz w:val="20"/>
        </w:rPr>
        <w:t xml:space="preserve">▶ SNTS — SNTS - SONATEL SN </w:t>
      </w:r>
      <w:r>
        <w:rPr>
          <w:i/>
          <w:color w:val="505050"/>
          <w:sz w:val="17"/>
        </w:rPr>
        <w:t>[🏢 Entreprise — Exercice 2025]</w:t>
      </w:r>
    </w:p>
    <w:tbl>
      <w:tblPr>
        <w:tblStyle w:val="TableGrid"/>
        <w:tblW w:type="auto" w:w="0"/>
        <w:tblLook w:firstColumn="1" w:firstRow="1" w:lastColumn="0" w:lastRow="0" w:noHBand="0" w:noVBand="1" w:val="04A0"/>
      </w:tblPr>
      <w:tblGrid>
        <w:gridCol w:w="2880"/>
        <w:gridCol w:w="2880"/>
        <w:gridCol w:w="2880"/>
      </w:tblGrid>
      <w:tr>
        <w:tc>
          <w:tcPr>
            <w:tcW w:type="dxa" w:w="2268"/>
            <w:shd w:fill="2F5496" w:val="clear"/>
          </w:tcPr>
          <w:p>
            <w:r>
              <w:rPr>
                <w:b/>
                <w:color w:val="FFFFFF"/>
                <w:sz w:val="16"/>
              </w:rPr>
              <w:t>Indicateur</w:t>
            </w:r>
          </w:p>
        </w:tc>
        <w:tc>
          <w:tcPr>
            <w:tcW w:type="dxa" w:w="1984"/>
            <w:shd w:fill="2F5496" w:val="clear"/>
          </w:tcPr>
          <w:p>
            <w:r>
              <w:rPr>
                <w:b/>
                <w:color w:val="FFFFFF"/>
                <w:sz w:val="16"/>
              </w:rPr>
              <w:t>Valeur</w:t>
            </w:r>
          </w:p>
        </w:tc>
        <w:tc>
          <w:tcPr>
            <w:tcW w:type="dxa" w:w="5669"/>
            <w:shd w:fill="2F5496" w:val="clear"/>
          </w:tcPr>
          <w:p>
            <w:r>
              <w:rPr>
                <w:b/>
                <w:color w:val="FFFFFF"/>
                <w:sz w:val="16"/>
              </w:rPr>
              <w:t>Interprétation détaillée</w:t>
            </w:r>
          </w:p>
        </w:tc>
      </w:tr>
      <w:tr>
        <w:tc>
          <w:tcPr>
            <w:tcW w:type="dxa" w:w="2268"/>
            <w:shd w:fill="EEF2F7" w:val="clear"/>
          </w:tcPr>
          <w:p>
            <w:r>
              <w:rPr>
                <w:b/>
                <w:sz w:val="15"/>
              </w:rPr>
              <w:t>ROE</w:t>
            </w:r>
          </w:p>
        </w:tc>
        <w:tc>
          <w:tcPr>
            <w:tcW w:type="dxa" w:w="1984"/>
            <w:shd w:fill="C6EFCE" w:val="clear"/>
          </w:tcPr>
          <w:p>
            <w:r>
              <w:rPr>
                <w:b/>
                <w:color w:val="007800"/>
                <w:sz w:val="17"/>
              </w:rPr>
              <w:t>29.56%</w:t>
            </w:r>
          </w:p>
        </w:tc>
        <w:tc>
          <w:tcPr>
            <w:tcW w:type="dxa" w:w="5669"/>
            <w:shd w:fill="FFFFFF" w:val="clear"/>
          </w:tcPr>
          <w:p>
            <w:r>
              <w:rPr>
                <w:sz w:val="15"/>
              </w:rPr>
              <w:t>✅ ROE de 29.6% — excellente rentabilité pour les actionnaires, bien au-dessus du coût du capital UEMOA (≈10-12%). Création de valeur forte.</w:t>
            </w:r>
          </w:p>
        </w:tc>
      </w:tr>
      <w:tr>
        <w:tc>
          <w:tcPr>
            <w:tcW w:type="dxa" w:w="2268"/>
            <w:shd w:fill="EEF2F7" w:val="clear"/>
          </w:tcPr>
          <w:p>
            <w:r>
              <w:rPr>
                <w:b/>
                <w:sz w:val="15"/>
              </w:rPr>
              <w:t>ROA</w:t>
            </w:r>
          </w:p>
        </w:tc>
        <w:tc>
          <w:tcPr>
            <w:tcW w:type="dxa" w:w="1984"/>
            <w:shd w:fill="C6EFCE" w:val="clear"/>
          </w:tcPr>
          <w:p>
            <w:r>
              <w:rPr>
                <w:b/>
                <w:color w:val="007800"/>
                <w:sz w:val="17"/>
              </w:rPr>
              <w:t>12.65%</w:t>
            </w:r>
          </w:p>
        </w:tc>
        <w:tc>
          <w:tcPr>
            <w:tcW w:type="dxa" w:w="5669"/>
            <w:shd w:fill="FFFFFF" w:val="clear"/>
          </w:tcPr>
          <w:p>
            <w:r>
              <w:rPr>
                <w:sz w:val="15"/>
              </w:rPr>
              <w:t>✅ ROA de 12.65% — très bonne utilisation des actifs (seuil entreprise ≈ 5%). Efficacité opérationnelle supérieure à la moyenne sectorielle.</w:t>
            </w:r>
          </w:p>
        </w:tc>
      </w:tr>
      <w:tr>
        <w:tc>
          <w:tcPr>
            <w:tcW w:type="dxa" w:w="2268"/>
            <w:shd w:fill="EEF2F7" w:val="clear"/>
          </w:tcPr>
          <w:p>
            <w:r>
              <w:rPr>
                <w:b/>
                <w:sz w:val="15"/>
              </w:rPr>
              <w:t>Marge nette</w:t>
            </w:r>
          </w:p>
        </w:tc>
        <w:tc>
          <w:tcPr>
            <w:tcW w:type="dxa" w:w="1984"/>
            <w:shd w:fill="C6EFCE" w:val="clear"/>
          </w:tcPr>
          <w:p>
            <w:r>
              <w:rPr>
                <w:b/>
                <w:color w:val="007800"/>
                <w:sz w:val="17"/>
              </w:rPr>
              <w:t>21.51%</w:t>
            </w:r>
          </w:p>
        </w:tc>
        <w:tc>
          <w:tcPr>
            <w:tcW w:type="dxa" w:w="5669"/>
            <w:shd w:fill="FFFFFF" w:val="clear"/>
          </w:tcPr>
          <w:p>
            <w:r>
              <w:rPr>
                <w:sz w:val="15"/>
              </w:rPr>
              <w:t>✅ Marge nette de 21.5% — excellente profitabilité finale. La société conserve plus de 15 centimes par FCFA de revenu après toutes les charges.</w:t>
            </w:r>
          </w:p>
        </w:tc>
      </w:tr>
      <w:tr>
        <w:tc>
          <w:tcPr>
            <w:tcW w:type="dxa" w:w="2268"/>
            <w:shd w:fill="EEF2F7" w:val="clear"/>
          </w:tcPr>
          <w:p>
            <w:r>
              <w:rPr>
                <w:b/>
                <w:sz w:val="15"/>
              </w:rPr>
              <w:t>Résultat net</w:t>
            </w:r>
          </w:p>
        </w:tc>
        <w:tc>
          <w:tcPr>
            <w:tcW w:type="dxa" w:w="1984"/>
            <w:shd w:fill="C6EFCE" w:val="clear"/>
          </w:tcPr>
          <w:p>
            <w:r>
              <w:rPr>
                <w:b/>
                <w:color w:val="007800"/>
                <w:sz w:val="17"/>
              </w:rPr>
              <w:t>413.588 Mds FCFA</w:t>
            </w:r>
          </w:p>
        </w:tc>
        <w:tc>
          <w:tcPr>
            <w:tcW w:type="dxa" w:w="5669"/>
            <w:shd w:fill="FFFFFF" w:val="clear"/>
          </w:tcPr>
          <w:p>
            <w:r>
              <w:rPr>
                <w:sz w:val="15"/>
              </w:rPr>
              <w:t>✅ Résultat net positif de 413.588 Mds FCFA — société bénéficiaire, capacité à distribuer des dividendes et à renforcer ses fonds propres.</w:t>
            </w:r>
          </w:p>
        </w:tc>
      </w:tr>
      <w:tr>
        <w:tc>
          <w:tcPr>
            <w:tcW w:type="dxa" w:w="2268"/>
            <w:shd w:fill="EEF2F7" w:val="clear"/>
          </w:tcPr>
          <w:p>
            <w:r>
              <w:rPr>
                <w:b/>
                <w:sz w:val="15"/>
              </w:rPr>
              <w:t>Taux croissance CA/PNB</w:t>
            </w:r>
          </w:p>
        </w:tc>
        <w:tc>
          <w:tcPr>
            <w:tcW w:type="dxa" w:w="1984"/>
            <w:shd w:fill="C6EFCE" w:val="clear"/>
          </w:tcPr>
          <w:p>
            <w:r>
              <w:rPr>
                <w:b/>
                <w:color w:val="007800"/>
                <w:sz w:val="17"/>
              </w:rPr>
              <w:t>8.26%</w:t>
            </w:r>
          </w:p>
        </w:tc>
        <w:tc>
          <w:tcPr>
            <w:tcW w:type="dxa" w:w="5669"/>
            <w:shd w:fill="FFFFFF" w:val="clear"/>
          </w:tcPr>
          <w:p>
            <w:r>
              <w:rPr>
                <w:sz w:val="15"/>
              </w:rPr>
              <w:t>✅ Croissance de 8.3% — dynamisme commercial solide, supérieur à l'inflation régionale.</w:t>
            </w:r>
          </w:p>
        </w:tc>
      </w:tr>
      <w:tr>
        <w:tc>
          <w:tcPr>
            <w:tcW w:type="dxa" w:w="2268"/>
            <w:shd w:fill="EEF2F7" w:val="clear"/>
          </w:tcPr>
          <w:p>
            <w:r>
              <w:rPr>
                <w:b/>
                <w:sz w:val="15"/>
              </w:rPr>
              <w:t>Autonomie financière</w:t>
            </w:r>
          </w:p>
        </w:tc>
        <w:tc>
          <w:tcPr>
            <w:tcW w:type="dxa" w:w="1984"/>
            <w:shd w:fill="C6EFCE" w:val="clear"/>
          </w:tcPr>
          <w:p>
            <w:r>
              <w:rPr>
                <w:b/>
                <w:color w:val="007800"/>
                <w:sz w:val="17"/>
              </w:rPr>
              <w:t>42.79%</w:t>
            </w:r>
          </w:p>
        </w:tc>
        <w:tc>
          <w:tcPr>
            <w:tcW w:type="dxa" w:w="5669"/>
            <w:shd w:fill="FFFFFF" w:val="clear"/>
          </w:tcPr>
          <w:p>
            <w:r>
              <w:rPr>
                <w:sz w:val="15"/>
              </w:rPr>
              <w:t>✅ Autonomie financière de 42.8% — société très peu dépendante des créanciers. Capacité élevée à absorber les chocs.</w:t>
            </w:r>
          </w:p>
        </w:tc>
      </w:tr>
      <w:tr>
        <w:tc>
          <w:tcPr>
            <w:tcW w:type="dxa" w:w="2268"/>
            <w:shd w:fill="EEF2F7" w:val="clear"/>
          </w:tcPr>
          <w:p>
            <w:r>
              <w:rPr>
                <w:b/>
                <w:sz w:val="15"/>
              </w:rPr>
              <w:t>Ratio endettement</w:t>
            </w:r>
          </w:p>
        </w:tc>
        <w:tc>
          <w:tcPr>
            <w:tcW w:type="dxa" w:w="1984"/>
            <w:shd w:fill="C6EFCE" w:val="clear"/>
          </w:tcPr>
          <w:p>
            <w:r>
              <w:rPr>
                <w:b/>
                <w:color w:val="007800"/>
                <w:sz w:val="17"/>
              </w:rPr>
              <w:t>57.21%</w:t>
            </w:r>
          </w:p>
        </w:tc>
        <w:tc>
          <w:tcPr>
            <w:tcW w:type="dxa" w:w="5669"/>
            <w:shd w:fill="FFFFFF" w:val="clear"/>
          </w:tcPr>
          <w:p>
            <w:r>
              <w:rPr>
                <w:sz w:val="15"/>
              </w:rPr>
              <w:t>✅ Gearing de 57% — levier raisonnable, standard pour le secteur.</w:t>
            </w:r>
          </w:p>
        </w:tc>
      </w:tr>
      <w:tr>
        <w:tc>
          <w:tcPr>
            <w:tcW w:type="dxa" w:w="2268"/>
            <w:shd w:fill="EEF2F7" w:val="clear"/>
          </w:tcPr>
          <w:p>
            <w:r>
              <w:rPr>
                <w:b/>
                <w:sz w:val="15"/>
              </w:rPr>
              <w:t>Solvabilité générale</w:t>
            </w:r>
          </w:p>
        </w:tc>
        <w:tc>
          <w:tcPr>
            <w:tcW w:type="dxa" w:w="1984"/>
            <w:shd w:fill="C6EFCE" w:val="clear"/>
          </w:tcPr>
          <w:p>
            <w:r>
              <w:rPr>
                <w:b/>
                <w:color w:val="007800"/>
                <w:sz w:val="17"/>
              </w:rPr>
              <w:t>174.79%</w:t>
            </w:r>
          </w:p>
        </w:tc>
        <w:tc>
          <w:tcPr>
            <w:tcW w:type="dxa" w:w="5669"/>
            <w:shd w:fill="FFFFFF" w:val="clear"/>
          </w:tcPr>
          <w:p>
            <w:r>
              <w:rPr>
                <w:sz w:val="15"/>
              </w:rPr>
              <w:t>✅ Solvabilité satisfaisante (175%) — les actifs couvrent bien les dettes.</w:t>
            </w:r>
          </w:p>
        </w:tc>
      </w:tr>
      <w:tr>
        <w:tc>
          <w:tcPr>
            <w:tcW w:type="dxa" w:w="2268"/>
            <w:shd w:fill="EEF2F7" w:val="clear"/>
          </w:tcPr>
          <w:p>
            <w:r>
              <w:rPr>
                <w:b/>
                <w:sz w:val="15"/>
              </w:rPr>
              <w:t>Liquidité générale</w:t>
            </w:r>
          </w:p>
        </w:tc>
        <w:tc>
          <w:tcPr>
            <w:tcW w:type="dxa" w:w="1984"/>
            <w:shd w:fill="C6EFCE" w:val="clear"/>
          </w:tcPr>
          <w:p>
            <w:r>
              <w:rPr>
                <w:b/>
                <w:color w:val="007800"/>
                <w:sz w:val="17"/>
              </w:rPr>
              <w:t>139.07%</w:t>
            </w:r>
          </w:p>
        </w:tc>
        <w:tc>
          <w:tcPr>
            <w:tcW w:type="dxa" w:w="5669"/>
            <w:shd w:fill="FFFFFF" w:val="clear"/>
          </w:tcPr>
          <w:p>
            <w:r>
              <w:rPr>
                <w:sz w:val="15"/>
              </w:rPr>
              <w:t>✅ Liquidité générale de 139.07x — bonne capacité à honorer les obligations CT.</w:t>
            </w:r>
          </w:p>
        </w:tc>
      </w:tr>
      <w:tr>
        <w:tc>
          <w:tcPr>
            <w:tcW w:type="dxa" w:w="2268"/>
            <w:shd w:fill="EEF2F7" w:val="clear"/>
          </w:tcPr>
          <w:p>
            <w:r>
              <w:rPr>
                <w:b/>
                <w:sz w:val="15"/>
              </w:rPr>
              <w:t>Free Cash Flow</w:t>
            </w:r>
          </w:p>
        </w:tc>
        <w:tc>
          <w:tcPr>
            <w:tcW w:type="dxa" w:w="1984"/>
            <w:shd w:fill="C6EFCE" w:val="clear"/>
          </w:tcPr>
          <w:p>
            <w:r>
              <w:rPr>
                <w:b/>
                <w:color w:val="007800"/>
                <w:sz w:val="17"/>
              </w:rPr>
              <w:t>408.087 Mds FCFA</w:t>
            </w:r>
          </w:p>
        </w:tc>
        <w:tc>
          <w:tcPr>
            <w:tcW w:type="dxa" w:w="5669"/>
            <w:shd w:fill="FFFFFF" w:val="clear"/>
          </w:tcPr>
          <w:p>
            <w:r>
              <w:rPr>
                <w:sz w:val="15"/>
              </w:rPr>
              <w:t>✅ FCF positif de 408.087 Mds FCFA — la société génère du cash après investissements. Peut rembourser la dette, verser des dividendes ou investir davantage.</w:t>
            </w:r>
          </w:p>
        </w:tc>
      </w:tr>
      <w:tr>
        <w:tc>
          <w:tcPr>
            <w:tcW w:type="dxa" w:w="2268"/>
            <w:shd w:fill="EEF2F7" w:val="clear"/>
          </w:tcPr>
          <w:p>
            <w:r>
              <w:rPr>
                <w:b/>
                <w:sz w:val="15"/>
              </w:rPr>
              <w:t>Marge opérationnelle</w:t>
            </w:r>
          </w:p>
        </w:tc>
        <w:tc>
          <w:tcPr>
            <w:tcW w:type="dxa" w:w="1984"/>
            <w:shd w:fill="C6EFCE" w:val="clear"/>
          </w:tcPr>
          <w:p>
            <w:r>
              <w:rPr>
                <w:b/>
                <w:color w:val="007800"/>
                <w:sz w:val="17"/>
              </w:rPr>
              <w:t>34.83%</w:t>
            </w:r>
          </w:p>
        </w:tc>
        <w:tc>
          <w:tcPr>
            <w:tcW w:type="dxa" w:w="5669"/>
            <w:shd w:fill="FFFFFF" w:val="clear"/>
          </w:tcPr>
          <w:p>
            <w:r>
              <w:rPr>
                <w:sz w:val="15"/>
              </w:rPr>
              <w:t>✅ Marge opérationnelle de 34.8% — excellente efficacité de l'exploitation principale.</w:t>
            </w:r>
          </w:p>
        </w:tc>
      </w:tr>
    </w:tbl>
    <w:p/>
    <w:p>
      <w:pPr>
        <w:pStyle w:val="Heading3"/>
      </w:pPr>
      <w:r>
        <w:t>🏆 Synthèse sectorielle — Points forts et points faibles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val="clear"/>
          </w:tcPr>
          <w:p>
            <w:r>
              <w:rPr>
                <w:b/>
                <w:color w:val="FFFFFF"/>
                <w:sz w:val="16"/>
              </w:rPr>
              <w:t>Indicateur</w:t>
            </w:r>
          </w:p>
        </w:tc>
        <w:tc>
          <w:tcPr>
            <w:tcW w:type="dxa" w:w="1728"/>
            <w:shd w:fill="375623" w:val="clear"/>
          </w:tcPr>
          <w:p>
            <w:r>
              <w:rPr>
                <w:b/>
                <w:color w:val="FFFFFF"/>
                <w:sz w:val="16"/>
              </w:rPr>
              <w:t>🥇 Meilleure</w:t>
            </w:r>
          </w:p>
        </w:tc>
        <w:tc>
          <w:tcPr>
            <w:tcW w:type="dxa" w:w="1728"/>
            <w:shd w:fill="1F4E79" w:val="clear"/>
          </w:tcPr>
          <w:p>
            <w:r>
              <w:rPr>
                <w:b/>
                <w:color w:val="FFFFFF"/>
                <w:sz w:val="16"/>
              </w:rPr>
              <w:t>Valeur</w:t>
            </w:r>
          </w:p>
        </w:tc>
        <w:tc>
          <w:tcPr>
            <w:tcW w:type="dxa" w:w="1728"/>
            <w:shd w:fill="843C0C" w:val="clear"/>
          </w:tcPr>
          <w:p>
            <w:r>
              <w:rPr>
                <w:b/>
                <w:color w:val="FFFFFF"/>
                <w:sz w:val="16"/>
              </w:rPr>
              <w:t>🔻 À surveiller</w:t>
            </w:r>
          </w:p>
        </w:tc>
        <w:tc>
          <w:tcPr>
            <w:tcW w:type="dxa" w:w="1728"/>
            <w:shd w:fill="1F4E79" w:val="clear"/>
          </w:tcPr>
          <w:p>
            <w:r>
              <w:rPr>
                <w:b/>
                <w:color w:val="FFFFFF"/>
                <w:sz w:val="16"/>
              </w:rPr>
              <w:t>Valeur</w:t>
            </w:r>
          </w:p>
        </w:tc>
      </w:tr>
      <w:tr>
        <w:tc>
          <w:tcPr>
            <w:tcW w:type="dxa" w:w="1728"/>
            <w:shd w:fill="EEF2F7" w:val="clear"/>
          </w:tcPr>
          <w:p>
            <w:r>
              <w:rPr>
                <w:b/>
                <w:sz w:val="16"/>
              </w:rPr>
              <w:t>ROE</w:t>
            </w:r>
          </w:p>
        </w:tc>
        <w:tc>
          <w:tcPr>
            <w:tcW w:type="dxa" w:w="1728"/>
            <w:shd w:fill="C6EFCE" w:val="clear"/>
          </w:tcPr>
          <w:p>
            <w:r>
              <w:rPr>
                <w:b/>
                <w:color w:val="006400"/>
                <w:sz w:val="16"/>
              </w:rPr>
              <w:t>SNTS</w:t>
            </w:r>
          </w:p>
        </w:tc>
        <w:tc>
          <w:tcPr>
            <w:tcW w:type="dxa" w:w="1728"/>
            <w:shd w:fill="C6EFCE" w:val="clear"/>
          </w:tcPr>
          <w:p>
            <w:r>
              <w:rPr>
                <w:color w:val="006400"/>
                <w:sz w:val="16"/>
              </w:rPr>
              <w:t>29.56%</w:t>
            </w:r>
          </w:p>
        </w:tc>
        <w:tc>
          <w:tcPr>
            <w:tcW w:type="dxa" w:w="1728"/>
            <w:shd w:fill="FFC7CE" w:val="clear"/>
          </w:tcPr>
          <w:p>
            <w:r>
              <w:rPr>
                <w:b/>
                <w:color w:val="B40000"/>
                <w:sz w:val="16"/>
              </w:rPr>
              <w:t>ORAC</w:t>
            </w:r>
          </w:p>
        </w:tc>
        <w:tc>
          <w:tcPr>
            <w:tcW w:type="dxa" w:w="1728"/>
            <w:shd w:fill="FFC7CE" w:val="clear"/>
          </w:tcPr>
          <w:p>
            <w:r>
              <w:rPr>
                <w:color w:val="B40000"/>
                <w:sz w:val="16"/>
              </w:rPr>
              <w:t>23.71%</w:t>
            </w:r>
          </w:p>
        </w:tc>
      </w:tr>
      <w:tr>
        <w:tc>
          <w:tcPr>
            <w:tcW w:type="dxa" w:w="1728"/>
            <w:shd w:fill="EEF2F7" w:val="clear"/>
          </w:tcPr>
          <w:p>
            <w:r>
              <w:rPr>
                <w:b/>
                <w:sz w:val="16"/>
              </w:rPr>
              <w:t>Marge nette</w:t>
            </w:r>
          </w:p>
        </w:tc>
        <w:tc>
          <w:tcPr>
            <w:tcW w:type="dxa" w:w="1728"/>
            <w:shd w:fill="C6EFCE" w:val="clear"/>
          </w:tcPr>
          <w:p>
            <w:r>
              <w:rPr>
                <w:b/>
                <w:color w:val="006400"/>
                <w:sz w:val="16"/>
              </w:rPr>
              <w:t>SNTS</w:t>
            </w:r>
          </w:p>
        </w:tc>
        <w:tc>
          <w:tcPr>
            <w:tcW w:type="dxa" w:w="1728"/>
            <w:shd w:fill="C6EFCE" w:val="clear"/>
          </w:tcPr>
          <w:p>
            <w:r>
              <w:rPr>
                <w:color w:val="006400"/>
                <w:sz w:val="16"/>
              </w:rPr>
              <w:t>21.51%</w:t>
            </w:r>
          </w:p>
        </w:tc>
        <w:tc>
          <w:tcPr>
            <w:tcW w:type="dxa" w:w="1728"/>
            <w:shd w:fill="FFC7CE" w:val="clear"/>
          </w:tcPr>
          <w:p>
            <w:r>
              <w:rPr>
                <w:b/>
                <w:color w:val="B40000"/>
                <w:sz w:val="16"/>
              </w:rPr>
              <w:t>ONTBF</w:t>
            </w:r>
          </w:p>
        </w:tc>
        <w:tc>
          <w:tcPr>
            <w:tcW w:type="dxa" w:w="1728"/>
            <w:shd w:fill="FFC7CE" w:val="clear"/>
          </w:tcPr>
          <w:p>
            <w:r>
              <w:rPr>
                <w:color w:val="B40000"/>
                <w:sz w:val="16"/>
              </w:rPr>
              <w:t>10.87%</w:t>
            </w:r>
          </w:p>
        </w:tc>
      </w:tr>
      <w:tr>
        <w:tc>
          <w:tcPr>
            <w:tcW w:type="dxa" w:w="1728"/>
            <w:shd w:fill="EEF2F7" w:val="clear"/>
          </w:tcPr>
          <w:p>
            <w:r>
              <w:rPr>
                <w:b/>
                <w:sz w:val="16"/>
              </w:rPr>
              <w:t>Croissance CA/PNB</w:t>
            </w:r>
          </w:p>
        </w:tc>
        <w:tc>
          <w:tcPr>
            <w:tcW w:type="dxa" w:w="1728"/>
            <w:shd w:fill="C6EFCE" w:val="clear"/>
          </w:tcPr>
          <w:p>
            <w:r>
              <w:rPr>
                <w:b/>
                <w:color w:val="006400"/>
                <w:sz w:val="16"/>
              </w:rPr>
              <w:t>ORAC</w:t>
            </w:r>
          </w:p>
        </w:tc>
        <w:tc>
          <w:tcPr>
            <w:tcW w:type="dxa" w:w="1728"/>
            <w:shd w:fill="C6EFCE" w:val="clear"/>
          </w:tcPr>
          <w:p>
            <w:r>
              <w:rPr>
                <w:color w:val="006400"/>
                <w:sz w:val="16"/>
              </w:rPr>
              <w:t>10.42%</w:t>
            </w:r>
          </w:p>
        </w:tc>
        <w:tc>
          <w:tcPr>
            <w:tcW w:type="dxa" w:w="1728"/>
            <w:shd w:fill="FFC7CE" w:val="clear"/>
          </w:tcPr>
          <w:p>
            <w:r>
              <w:rPr>
                <w:b/>
                <w:color w:val="B40000"/>
                <w:sz w:val="16"/>
              </w:rPr>
              <w:t>ONTBF</w:t>
            </w:r>
          </w:p>
        </w:tc>
        <w:tc>
          <w:tcPr>
            <w:tcW w:type="dxa" w:w="1728"/>
            <w:shd w:fill="FFC7CE" w:val="clear"/>
          </w:tcPr>
          <w:p>
            <w:r>
              <w:rPr>
                <w:color w:val="B40000"/>
                <w:sz w:val="16"/>
              </w:rPr>
              <w:t>3.06%</w:t>
            </w:r>
          </w:p>
        </w:tc>
      </w:tr>
      <w:tr>
        <w:tc>
          <w:tcPr>
            <w:tcW w:type="dxa" w:w="1728"/>
            <w:shd w:fill="EEF2F7" w:val="clear"/>
          </w:tcPr>
          <w:p>
            <w:r>
              <w:rPr>
                <w:b/>
                <w:sz w:val="16"/>
              </w:rPr>
              <w:t>Autonomie fin.</w:t>
            </w:r>
          </w:p>
        </w:tc>
        <w:tc>
          <w:tcPr>
            <w:tcW w:type="dxa" w:w="1728"/>
            <w:shd w:fill="C6EFCE" w:val="clear"/>
          </w:tcPr>
          <w:p>
            <w:r>
              <w:rPr>
                <w:b/>
                <w:color w:val="006400"/>
                <w:sz w:val="16"/>
              </w:rPr>
              <w:t>SNTS</w:t>
            </w:r>
          </w:p>
        </w:tc>
        <w:tc>
          <w:tcPr>
            <w:tcW w:type="dxa" w:w="1728"/>
            <w:shd w:fill="C6EFCE" w:val="clear"/>
          </w:tcPr>
          <w:p>
            <w:r>
              <w:rPr>
                <w:color w:val="006400"/>
                <w:sz w:val="16"/>
              </w:rPr>
              <w:t>42.79%</w:t>
            </w:r>
          </w:p>
        </w:tc>
        <w:tc>
          <w:tcPr>
            <w:tcW w:type="dxa" w:w="1728"/>
            <w:shd w:fill="FFC7CE" w:val="clear"/>
          </w:tcPr>
          <w:p>
            <w:r>
              <w:rPr>
                <w:b/>
                <w:color w:val="B40000"/>
                <w:sz w:val="16"/>
              </w:rPr>
              <w:t>ONTBF</w:t>
            </w:r>
          </w:p>
        </w:tc>
        <w:tc>
          <w:tcPr>
            <w:tcW w:type="dxa" w:w="1728"/>
            <w:shd w:fill="FFC7CE" w:val="clear"/>
          </w:tcPr>
          <w:p>
            <w:r>
              <w:rPr>
                <w:color w:val="B40000"/>
                <w:sz w:val="16"/>
              </w:rPr>
              <w:t>17.71%</w:t>
            </w:r>
          </w:p>
        </w:tc>
      </w:tr>
      <w:tr>
        <w:tc>
          <w:tcPr>
            <w:tcW w:type="dxa" w:w="1728"/>
            <w:shd w:fill="EEF2F7" w:val="clear"/>
          </w:tcPr>
          <w:p>
            <w:r>
              <w:rPr>
                <w:b/>
                <w:sz w:val="16"/>
              </w:rPr>
              <w:t>Liquidité gén.</w:t>
            </w:r>
          </w:p>
        </w:tc>
        <w:tc>
          <w:tcPr>
            <w:tcW w:type="dxa" w:w="1728"/>
            <w:shd w:fill="C6EFCE" w:val="clear"/>
          </w:tcPr>
          <w:p>
            <w:r>
              <w:rPr>
                <w:b/>
                <w:color w:val="006400"/>
                <w:sz w:val="16"/>
              </w:rPr>
              <w:t>SNTS</w:t>
            </w:r>
          </w:p>
        </w:tc>
        <w:tc>
          <w:tcPr>
            <w:tcW w:type="dxa" w:w="1728"/>
            <w:shd w:fill="C6EFCE" w:val="clear"/>
          </w:tcPr>
          <w:p>
            <w:r>
              <w:rPr>
                <w:color w:val="006400"/>
                <w:sz w:val="16"/>
              </w:rPr>
              <w:t>139.07%</w:t>
            </w:r>
          </w:p>
        </w:tc>
        <w:tc>
          <w:tcPr>
            <w:tcW w:type="dxa" w:w="1728"/>
            <w:shd w:fill="FFC7CE" w:val="clear"/>
          </w:tcPr>
          <w:p>
            <w:r>
              <w:rPr>
                <w:b/>
                <w:color w:val="B40000"/>
                <w:sz w:val="16"/>
              </w:rPr>
              <w:t>ONTBF</w:t>
            </w:r>
          </w:p>
        </w:tc>
        <w:tc>
          <w:tcPr>
            <w:tcW w:type="dxa" w:w="1728"/>
            <w:shd w:fill="FFC7CE" w:val="clear"/>
          </w:tcPr>
          <w:p>
            <w:r>
              <w:rPr>
                <w:color w:val="B40000"/>
                <w:sz w:val="16"/>
              </w:rPr>
              <w:t>36.36%</w:t>
            </w:r>
          </w:p>
        </w:tc>
      </w:tr>
      <w:tr>
        <w:tc>
          <w:tcPr>
            <w:tcW w:type="dxa" w:w="1728"/>
            <w:shd w:fill="EEF2F7" w:val="clear"/>
          </w:tcPr>
          <w:p>
            <w:r>
              <w:rPr>
                <w:b/>
                <w:sz w:val="16"/>
              </w:rPr>
              <w:t>FCF</w:t>
            </w:r>
          </w:p>
        </w:tc>
        <w:tc>
          <w:tcPr>
            <w:tcW w:type="dxa" w:w="1728"/>
            <w:shd w:fill="C6EFCE" w:val="clear"/>
          </w:tcPr>
          <w:p>
            <w:r>
              <w:rPr>
                <w:b/>
                <w:color w:val="006400"/>
                <w:sz w:val="16"/>
              </w:rPr>
              <w:t>SNTS</w:t>
            </w:r>
          </w:p>
        </w:tc>
        <w:tc>
          <w:tcPr>
            <w:tcW w:type="dxa" w:w="1728"/>
            <w:shd w:fill="C6EFCE" w:val="clear"/>
          </w:tcPr>
          <w:p>
            <w:r>
              <w:rPr>
                <w:color w:val="006400"/>
                <w:sz w:val="16"/>
              </w:rPr>
              <w:t>408.087 Mds FCFA</w:t>
            </w:r>
          </w:p>
        </w:tc>
        <w:tc>
          <w:tcPr>
            <w:tcW w:type="dxa" w:w="1728"/>
            <w:shd w:fill="FFC7CE" w:val="clear"/>
          </w:tcPr>
          <w:p>
            <w:r>
              <w:rPr>
                <w:b/>
                <w:color w:val="B40000"/>
                <w:sz w:val="16"/>
              </w:rPr>
              <w:t>ONTBF</w:t>
            </w:r>
          </w:p>
        </w:tc>
        <w:tc>
          <w:tcPr>
            <w:tcW w:type="dxa" w:w="1728"/>
            <w:shd w:fill="FFC7CE" w:val="clear"/>
          </w:tcPr>
          <w:p>
            <w:r>
              <w:rPr>
                <w:color w:val="B40000"/>
                <w:sz w:val="16"/>
              </w:rPr>
              <w:t>1.556 Mds FCFA</w:t>
            </w:r>
          </w:p>
        </w:tc>
      </w:tr>
      <w:tr>
        <w:tc>
          <w:tcPr>
            <w:tcW w:type="dxa" w:w="1728"/>
            <w:shd w:fill="EEF2F7" w:val="clear"/>
          </w:tcPr>
          <w:p>
            <w:r>
              <w:rPr>
                <w:b/>
                <w:sz w:val="16"/>
              </w:rPr>
              <w:t>Coeff. exploit.</w:t>
            </w:r>
          </w:p>
        </w:tc>
        <w:tc>
          <w:tcPr>
            <w:tcW w:type="dxa" w:w="1728"/>
            <w:shd w:fill="C6EFCE" w:val="clear"/>
          </w:tcPr>
          <w:p>
            <w:r>
              <w:rPr>
                <w:b/>
                <w:color w:val="006400"/>
                <w:sz w:val="16"/>
              </w:rPr>
              <w:t>ORAC</w:t>
            </w:r>
          </w:p>
        </w:tc>
        <w:tc>
          <w:tcPr>
            <w:tcW w:type="dxa" w:w="1728"/>
            <w:shd w:fill="C6EFCE" w:val="clear"/>
          </w:tcPr>
          <w:p>
            <w:r>
              <w:rPr>
                <w:color w:val="006400"/>
                <w:sz w:val="16"/>
              </w:rPr>
              <w:t>46.66%</w:t>
            </w:r>
          </w:p>
        </w:tc>
        <w:tc>
          <w:tcPr>
            <w:tcW w:type="dxa" w:w="1728"/>
            <w:shd w:fill="FFC7CE" w:val="clear"/>
          </w:tcPr>
          <w:p>
            <w:r>
              <w:rPr>
                <w:b/>
                <w:color w:val="B40000"/>
                <w:sz w:val="16"/>
              </w:rPr>
              <w:t>ONTBF</w:t>
            </w:r>
          </w:p>
        </w:tc>
        <w:tc>
          <w:tcPr>
            <w:tcW w:type="dxa" w:w="1728"/>
            <w:shd w:fill="FFC7CE" w:val="clear"/>
          </w:tcPr>
          <w:p>
            <w:r>
              <w:rPr>
                <w:color w:val="B40000"/>
                <w:sz w:val="16"/>
              </w:rPr>
              <w:t>67.07%</w:t>
            </w:r>
          </w:p>
        </w:tc>
      </w:tr>
    </w:tbl>
    <w:p/>
    <w:p>
      <w:r>
        <w:br w:type="page"/>
      </w:r>
    </w:p>
    <w:p>
      <w:pPr>
        <w:pStyle w:val="Heading1"/>
      </w:pPr>
      <w:r>
        <w:t>TABLE DES MATIÈRES - ANALYSES DÉTAILLÉES</w:t>
      </w:r>
    </w:p>
    <w:p>
      <w:pPr>
        <w:ind w:left="400"/>
      </w:pPr>
      <w:r>
        <w:t>1. ABJC - ABJC - SERVAIR ABIDJAN CI</w:t>
      </w:r>
    </w:p>
    <w:p>
      <w:pPr>
        <w:ind w:left="400"/>
      </w:pPr>
      <w:r>
        <w:t>2. BICB - BIIC BN - Banque internationale pour le commerce du benin</w:t>
      </w:r>
    </w:p>
    <w:p>
      <w:pPr>
        <w:ind w:left="400"/>
      </w:pPr>
      <w:r>
        <w:t>3. BICC - BICI CI - Banque internationale pour le commerce et l'industrie de la Côte d'Ivoire</w:t>
      </w:r>
    </w:p>
    <w:p>
      <w:pPr>
        <w:ind w:left="400"/>
      </w:pPr>
      <w:r>
        <w:t>4. BNBC - BNBC - BERNABE CI</w:t>
      </w:r>
    </w:p>
    <w:p>
      <w:pPr>
        <w:ind w:left="400"/>
      </w:pPr>
      <w:r>
        <w:t>5. BOAB - BANK OF AFRICA BENIN</w:t>
      </w:r>
    </w:p>
    <w:p>
      <w:pPr>
        <w:ind w:left="400"/>
      </w:pPr>
      <w:r>
        <w:t>6. BOABF - BANK OF AFRICA BURKINA FASO</w:t>
      </w:r>
    </w:p>
    <w:p>
      <w:pPr>
        <w:ind w:left="400"/>
      </w:pPr>
      <w:r>
        <w:t>7. BOAC - BANK OF AFRICA COTE D'IVOIRE</w:t>
      </w:r>
    </w:p>
    <w:p>
      <w:pPr>
        <w:ind w:left="400"/>
      </w:pPr>
      <w:r>
        <w:t>8. BOAM - BANK OF AFRICA MALI</w:t>
      </w:r>
    </w:p>
    <w:p>
      <w:pPr>
        <w:ind w:left="400"/>
      </w:pPr>
      <w:r>
        <w:t>9. BOAN - BANK OF AFRICA NIGER</w:t>
      </w:r>
    </w:p>
    <w:p>
      <w:pPr>
        <w:ind w:left="400"/>
      </w:pPr>
      <w:r>
        <w:t>10. BOAS - BANK OF AFRICA SENEGAL</w:t>
      </w:r>
    </w:p>
    <w:p>
      <w:pPr>
        <w:ind w:left="400"/>
      </w:pPr>
      <w:r>
        <w:t>11. CABC - CABC - SICABLE COTE D'IVOIRE</w:t>
      </w:r>
    </w:p>
    <w:p>
      <w:pPr>
        <w:ind w:left="400"/>
      </w:pPr>
      <w:r>
        <w:t>12. CBIBF - CBIBF - CORIS BANK INTERNATIONAL BURKINA FASO</w:t>
      </w:r>
    </w:p>
    <w:p>
      <w:pPr>
        <w:ind w:left="400"/>
      </w:pPr>
      <w:r>
        <w:t>13. CFAC - CFAC - CFAO MOTORS CI</w:t>
      </w:r>
    </w:p>
    <w:p>
      <w:pPr>
        <w:ind w:left="400"/>
      </w:pPr>
      <w:r>
        <w:t>14. CIEC - CIEC - Compagnie Ivoirienne d'Electricité</w:t>
      </w:r>
    </w:p>
    <w:p>
      <w:pPr>
        <w:ind w:left="400"/>
      </w:pPr>
      <w:r>
        <w:t>15. ECOC - ECOC - ECOBANK COTE D'IVOIRE</w:t>
      </w:r>
    </w:p>
    <w:p>
      <w:pPr>
        <w:ind w:left="400"/>
      </w:pPr>
      <w:r>
        <w:t>16. ETIT - ETIT - Ecobank Transnational Incorporated Togo</w:t>
      </w:r>
    </w:p>
    <w:p>
      <w:pPr>
        <w:ind w:left="400"/>
      </w:pPr>
      <w:r>
        <w:t>17. FTSC - FTSC - FILTISAC COTE D'IVOIRE</w:t>
      </w:r>
    </w:p>
    <w:p>
      <w:pPr>
        <w:ind w:left="400"/>
      </w:pPr>
      <w:r>
        <w:t>18. LNBB - LNBB - LOTERIE NATIONALE DU BENIN</w:t>
      </w:r>
    </w:p>
    <w:p>
      <w:pPr>
        <w:ind w:left="400"/>
      </w:pPr>
      <w:r>
        <w:t>19. NEIC - NEIC - NEI-CEDA CI</w:t>
      </w:r>
    </w:p>
    <w:p>
      <w:pPr>
        <w:ind w:left="400"/>
      </w:pPr>
      <w:r>
        <w:t>20. NSBC - NSBC - NSIA BANQUE COTE D'IVOIRE</w:t>
      </w:r>
    </w:p>
    <w:p>
      <w:pPr>
        <w:ind w:left="400"/>
      </w:pPr>
      <w:r>
        <w:t>21. NTLC - NTLC - NESTLE COTE D'IVOIRE</w:t>
      </w:r>
    </w:p>
    <w:p>
      <w:pPr>
        <w:ind w:left="400"/>
      </w:pPr>
      <w:r>
        <w:t>22. ONTBF - ONTBF - ONATEL BURKINA FASO</w:t>
      </w:r>
    </w:p>
    <w:p>
      <w:pPr>
        <w:ind w:left="400"/>
      </w:pPr>
      <w:r>
        <w:t>23. ORAC - ORAC - ORANGE COTE D'IVOIRE</w:t>
      </w:r>
    </w:p>
    <w:p>
      <w:pPr>
        <w:ind w:left="400"/>
      </w:pPr>
      <w:r>
        <w:t>24. ORGT - ORGT - ORAGROUP TOGO</w:t>
      </w:r>
    </w:p>
    <w:p>
      <w:pPr>
        <w:ind w:left="400"/>
      </w:pPr>
      <w:r>
        <w:t>25. PALC - PALC - PALM COTE D'IVOIRE</w:t>
      </w:r>
    </w:p>
    <w:p>
      <w:pPr>
        <w:ind w:left="400"/>
      </w:pPr>
      <w:r>
        <w:t>26. PRSC - PRSC - TRACTAFRIC MOTORS CI</w:t>
      </w:r>
    </w:p>
    <w:p>
      <w:pPr>
        <w:ind w:left="400"/>
      </w:pPr>
      <w:r>
        <w:t>27. SAFC - SAFCA CI</w:t>
      </w:r>
    </w:p>
    <w:p>
      <w:pPr>
        <w:ind w:left="400"/>
      </w:pPr>
      <w:r>
        <w:t>28. SCRC - SCRC - SUCRIVOIRE</w:t>
      </w:r>
    </w:p>
    <w:p>
      <w:pPr>
        <w:ind w:left="400"/>
      </w:pPr>
      <w:r>
        <w:t>29. SDCC - SDCC - Société de Distribution d'Eau de Côte d'Ivoire</w:t>
      </w:r>
    </w:p>
    <w:p>
      <w:pPr>
        <w:ind w:left="400"/>
      </w:pPr>
      <w:r>
        <w:t>30. SDSC - SDSC - AFRICA GLOBAL LOGISTICS CI</w:t>
      </w:r>
    </w:p>
    <w:p>
      <w:pPr>
        <w:ind w:left="400"/>
      </w:pPr>
      <w:r>
        <w:t>31. SEMC - SEMC - EVIOSYS PACKAGING SIEM CI</w:t>
      </w:r>
    </w:p>
    <w:p>
      <w:pPr>
        <w:ind w:left="400"/>
      </w:pPr>
      <w:r>
        <w:t>32. SGBC - SGBC - SOCIETE GENERALE COTE D'IVOIRE</w:t>
      </w:r>
    </w:p>
    <w:p>
      <w:pPr>
        <w:ind w:left="400"/>
      </w:pPr>
      <w:r>
        <w:t>33. SHEC - SHEC - VIVO ENERGY COTE D'IVOIRE</w:t>
      </w:r>
    </w:p>
    <w:p>
      <w:pPr>
        <w:ind w:left="400"/>
      </w:pPr>
      <w:r>
        <w:t>34. SIBC - SIBC - SOCIETE IVOIRIENNE DE BANQUE</w:t>
      </w:r>
    </w:p>
    <w:p>
      <w:pPr>
        <w:ind w:left="400"/>
      </w:pPr>
      <w:r>
        <w:t>35. SICC - SICC - SICOR COTE D'IVOIRE</w:t>
      </w:r>
    </w:p>
    <w:p>
      <w:pPr>
        <w:ind w:left="400"/>
      </w:pPr>
      <w:r>
        <w:t>36. SIVC - SIVC - ERIUM CI (Ex AIR LIQUIDECI)</w:t>
      </w:r>
    </w:p>
    <w:p>
      <w:pPr>
        <w:ind w:left="400"/>
      </w:pPr>
      <w:r>
        <w:t>37. SLBC - SLBC - SOLIBRA COTE D'IVOIRE</w:t>
      </w:r>
    </w:p>
    <w:p>
      <w:pPr>
        <w:ind w:left="400"/>
      </w:pPr>
      <w:r>
        <w:t>38. SMBC - SMBC - Société Multinationale de Bitumes COTE D'IVOIRE</w:t>
      </w:r>
    </w:p>
    <w:p>
      <w:pPr>
        <w:ind w:left="400"/>
      </w:pPr>
      <w:r>
        <w:t>39. SNTS - SNTS - SONATEL SN</w:t>
      </w:r>
    </w:p>
    <w:p>
      <w:pPr>
        <w:ind w:left="400"/>
      </w:pPr>
      <w:r>
        <w:t>40. SOGC - SOGC - Société des caoutchoucs de Grand-Béréby</w:t>
      </w:r>
    </w:p>
    <w:p>
      <w:pPr>
        <w:ind w:left="400"/>
      </w:pPr>
      <w:r>
        <w:t>41. SPHC - SPHC - Société Africaine de Plantation d'Hévéas de Côte d'Ivoire</w:t>
      </w:r>
    </w:p>
    <w:p>
      <w:pPr>
        <w:ind w:left="400"/>
      </w:pPr>
      <w:r>
        <w:t>42. STAC - STAC - SETAO COTE D'IVOIRE</w:t>
      </w:r>
    </w:p>
    <w:p>
      <w:pPr>
        <w:ind w:left="400"/>
      </w:pPr>
      <w:r>
        <w:t>43. STBC - STBC - SITAB COTE D'IVOIRE</w:t>
      </w:r>
    </w:p>
    <w:p>
      <w:pPr>
        <w:ind w:left="400"/>
      </w:pPr>
      <w:r>
        <w:t>44. TTLC - TTLC - TOTAL ENERGIES MARKETING COTE D'IVOIRE</w:t>
      </w:r>
    </w:p>
    <w:p>
      <w:pPr>
        <w:ind w:left="400"/>
      </w:pPr>
      <w:r>
        <w:t>45. TTLS - TTLS - TOTAL ENERGIES MARKETING SENEGAL</w:t>
      </w:r>
    </w:p>
    <w:p>
      <w:pPr>
        <w:ind w:left="400"/>
      </w:pPr>
      <w:r>
        <w:t>46. UNLC - UNLC - UNILEVER COTE D'IVOIRE</w:t>
      </w:r>
    </w:p>
    <w:p>
      <w:pPr>
        <w:ind w:left="400"/>
      </w:pPr>
      <w:r>
        <w:t>47. UNXC - UNXC - UNIWAX COTE D'IVOIRE</w:t>
      </w:r>
    </w:p>
    <w:p>
      <w:r>
        <w:br w:type="page"/>
      </w:r>
    </w:p>
    <w:p>
      <w:pPr>
        <w:pStyle w:val="Heading1"/>
      </w:pPr>
      <w:r>
        <w:t>ANALYSES DÉTAILLÉES PAR SOCIÉTÉ</w:t>
      </w:r>
    </w:p>
    <w:p>
      <w:pPr>
        <w:pStyle w:val="Heading2"/>
        <w:spacing w:before="360"/>
      </w:pPr>
      <w:r>
        <w:rPr>
          <w:color w:val="0066CC"/>
        </w:rPr>
        <w:t>1. ABJC - ABJC - SERVAIR ABIDJAN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ABJC</w:t>
            </w:r>
          </w:p>
          <w:p>
            <w:r>
              <w:rPr>
                <w:b/>
                <w:color w:val="323250"/>
                <w:sz w:val="16"/>
              </w:rPr>
              <w:t xml:space="preserve">Société : </w:t>
            </w:r>
            <w:r>
              <w:rPr>
                <w:color w:val="000000"/>
                <w:sz w:val="16"/>
              </w:rPr>
              <w:t>ABJC - SERVAIR ABIDJAN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40.27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3,182 titres</w:t>
            </w:r>
          </w:p>
        </w:tc>
        <w:tc>
          <w:tcPr>
            <w:tcW w:type="dxa" w:w="2268"/>
            <w:shd w:fill="FFF2CC" w:val="clear"/>
          </w:tcPr>
          <w:p>
            <w:r>
              <w:rPr>
                <w:b/>
                <w:color w:val="503200"/>
                <w:sz w:val="16"/>
              </w:rPr>
              <w:t xml:space="preserve">Cours actuel : </w:t>
            </w:r>
            <w:r>
              <w:rPr>
                <w:color w:val="000000"/>
                <w:sz w:val="17"/>
              </w:rPr>
              <w:t>3,690 FCFA</w:t>
            </w:r>
          </w:p>
          <w:p>
            <w:r>
              <w:rPr>
                <w:b/>
                <w:color w:val="503200"/>
                <w:sz w:val="16"/>
              </w:rPr>
              <w:t xml:space="preserve">Var. 100 jours : </w:t>
            </w:r>
            <w:r>
              <w:rPr>
                <w:b/>
                <w:color w:val="007800"/>
                <w:sz w:val="17"/>
              </w:rPr>
              <w:t>+1.65%</w:t>
            </w:r>
          </w:p>
          <w:p>
            <w:r>
              <w:rPr>
                <w:b/>
                <w:color w:val="503200"/>
                <w:sz w:val="16"/>
              </w:rPr>
              <w:t xml:space="preserve">Plus haut 100j : </w:t>
            </w:r>
            <w:r>
              <w:rPr>
                <w:color w:val="000000"/>
                <w:sz w:val="17"/>
              </w:rPr>
              <w:t>3,780 FCFA</w:t>
            </w:r>
          </w:p>
          <w:p>
            <w:r>
              <w:rPr>
                <w:b/>
                <w:color w:val="503200"/>
                <w:sz w:val="16"/>
              </w:rPr>
              <w:t xml:space="preserve">Plus bas 100j : </w:t>
            </w:r>
            <w:r>
              <w:rPr>
                <w:color w:val="000000"/>
                <w:sz w:val="17"/>
              </w:rPr>
              <w:t>2,800 FCFA</w:t>
            </w:r>
          </w:p>
          <w:p>
            <w:r>
              <w:rPr>
                <w:b/>
                <w:color w:val="503200"/>
                <w:sz w:val="16"/>
              </w:rPr>
              <w:t xml:space="preserve">Volatilité ann. : </w:t>
            </w:r>
            <w:r>
              <w:rPr>
                <w:color w:val="000000"/>
                <w:sz w:val="17"/>
              </w:rPr>
              <w:t>49.3%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20.6/100 → Moyen</w:t>
      </w:r>
    </w:p>
    <w:p>
      <w:pPr>
        <w:spacing w:before="40" w:after="80"/>
      </w:pPr>
      <w:r>
        <w:rPr>
          <w:rFonts w:ascii="Courier New" w:hAnsi="Courier New"/>
          <w:color w:val="825A00"/>
          <w:sz w:val="18"/>
        </w:rPr>
        <w:t>████░░░░░░░░░░░░░░░░  20.6/100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7.20% (Moyenne) — μ=3,209 FCFA, σ=231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β=0.2317 (Défensif) — Cov=0.000008, Var(idx)=0.000035, ρ=0.044,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3,182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σ_j=3.10%/j (Modérée) — Vol. annualisée≈49.3%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2026-08-28</w:t>
            </w:r>
          </w:p>
        </w:tc>
        <w:tc>
          <w:tcPr>
            <w:tcW w:type="dxa" w:w="1440"/>
            <w:shd w:fill="FFDCE0" w:val="clear"/>
          </w:tcPr>
          <w:p>
            <w:r>
              <w:rPr>
                <w:sz w:val="17"/>
              </w:rPr>
              <w:t>3,395</w:t>
            </w:r>
          </w:p>
        </w:tc>
        <w:tc>
          <w:tcPr>
            <w:tcW w:type="dxa" w:w="1440"/>
            <w:shd w:fill="FFDCE0" w:val="clear"/>
          </w:tcPr>
          <w:p>
            <w:r>
              <w:rPr>
                <w:b/>
                <w:sz w:val="17"/>
              </w:rPr>
              <w:t>3,583</w:t>
            </w:r>
          </w:p>
        </w:tc>
        <w:tc>
          <w:tcPr>
            <w:tcW w:type="dxa" w:w="1440"/>
            <w:shd w:fill="FFDCE0" w:val="clear"/>
          </w:tcPr>
          <w:p>
            <w:r>
              <w:rPr>
                <w:sz w:val="17"/>
              </w:rPr>
              <w:t>3,771</w:t>
            </w:r>
          </w:p>
        </w:tc>
        <w:tc>
          <w:tcPr>
            <w:tcW w:type="dxa" w:w="1440"/>
            <w:shd w:fill="FFDCE0" w:val="clear"/>
          </w:tcPr>
          <w:p>
            <w:r>
              <w:rPr>
                <w:b/>
                <w:color w:val="C00000"/>
                <w:sz w:val="17"/>
              </w:rPr>
              <w:t>-2.9%</w:t>
            </w:r>
          </w:p>
        </w:tc>
      </w:tr>
      <w:tr>
        <w:tc>
          <w:tcPr>
            <w:tcW w:type="dxa" w:w="1440"/>
            <w:shd w:fill="FFDCE0" w:val="clear"/>
          </w:tcPr>
          <w:p>
            <w:r>
              <w:rPr>
                <w:sz w:val="17"/>
              </w:rPr>
              <w:t>J+2  Moyenne</w:t>
            </w:r>
          </w:p>
        </w:tc>
        <w:tc>
          <w:tcPr>
            <w:tcW w:type="dxa" w:w="1440"/>
            <w:shd w:fill="FFDCE0" w:val="clear"/>
          </w:tcPr>
          <w:p>
            <w:r>
              <w:rPr>
                <w:sz w:val="17"/>
              </w:rPr>
              <w:t>2026-08-31</w:t>
            </w:r>
          </w:p>
        </w:tc>
        <w:tc>
          <w:tcPr>
            <w:tcW w:type="dxa" w:w="1440"/>
            <w:shd w:fill="FFDCE0" w:val="clear"/>
          </w:tcPr>
          <w:p>
            <w:r>
              <w:rPr>
                <w:sz w:val="17"/>
              </w:rPr>
              <w:t>3,246</w:t>
            </w:r>
          </w:p>
        </w:tc>
        <w:tc>
          <w:tcPr>
            <w:tcW w:type="dxa" w:w="1440"/>
            <w:shd w:fill="FFDCE0" w:val="clear"/>
          </w:tcPr>
          <w:p>
            <w:r>
              <w:rPr>
                <w:b/>
                <w:sz w:val="17"/>
              </w:rPr>
              <w:t>3,506</w:t>
            </w:r>
          </w:p>
        </w:tc>
        <w:tc>
          <w:tcPr>
            <w:tcW w:type="dxa" w:w="1440"/>
            <w:shd w:fill="FFDCE0" w:val="clear"/>
          </w:tcPr>
          <w:p>
            <w:r>
              <w:rPr>
                <w:sz w:val="17"/>
              </w:rPr>
              <w:t>3,767</w:t>
            </w:r>
          </w:p>
        </w:tc>
        <w:tc>
          <w:tcPr>
            <w:tcW w:type="dxa" w:w="1440"/>
            <w:shd w:fill="FFDCE0" w:val="clear"/>
          </w:tcPr>
          <w:p>
            <w:r>
              <w:rPr>
                <w:b/>
                <w:color w:val="C00000"/>
                <w:sz w:val="17"/>
              </w:rPr>
              <w:t>-5.0%</w:t>
            </w:r>
          </w:p>
        </w:tc>
      </w:tr>
      <w:tr>
        <w:tc>
          <w:tcPr>
            <w:tcW w:type="dxa" w:w="1440"/>
            <w:shd w:fill="FFDCE0" w:val="clear"/>
          </w:tcPr>
          <w:p>
            <w:r>
              <w:rPr>
                <w:sz w:val="17"/>
              </w:rPr>
              <w:t>J+3  Moyenne</w:t>
            </w:r>
          </w:p>
        </w:tc>
        <w:tc>
          <w:tcPr>
            <w:tcW w:type="dxa" w:w="1440"/>
            <w:shd w:fill="FFDCE0" w:val="clear"/>
          </w:tcPr>
          <w:p>
            <w:r>
              <w:rPr>
                <w:sz w:val="17"/>
              </w:rPr>
              <w:t>2026-09-01</w:t>
            </w:r>
          </w:p>
        </w:tc>
        <w:tc>
          <w:tcPr>
            <w:tcW w:type="dxa" w:w="1440"/>
            <w:shd w:fill="FFDCE0" w:val="clear"/>
          </w:tcPr>
          <w:p>
            <w:r>
              <w:rPr>
                <w:sz w:val="17"/>
              </w:rPr>
              <w:t>3,117</w:t>
            </w:r>
          </w:p>
        </w:tc>
        <w:tc>
          <w:tcPr>
            <w:tcW w:type="dxa" w:w="1440"/>
            <w:shd w:fill="FFDCE0" w:val="clear"/>
          </w:tcPr>
          <w:p>
            <w:r>
              <w:rPr>
                <w:b/>
                <w:sz w:val="17"/>
              </w:rPr>
              <w:t>3,429</w:t>
            </w:r>
          </w:p>
        </w:tc>
        <w:tc>
          <w:tcPr>
            <w:tcW w:type="dxa" w:w="1440"/>
            <w:shd w:fill="FFDCE0" w:val="clear"/>
          </w:tcPr>
          <w:p>
            <w:r>
              <w:rPr>
                <w:sz w:val="17"/>
              </w:rPr>
              <w:t>3,741</w:t>
            </w:r>
          </w:p>
        </w:tc>
        <w:tc>
          <w:tcPr>
            <w:tcW w:type="dxa" w:w="1440"/>
            <w:shd w:fill="FFDCE0" w:val="clear"/>
          </w:tcPr>
          <w:p>
            <w:r>
              <w:rPr>
                <w:b/>
                <w:color w:val="C00000"/>
                <w:sz w:val="17"/>
              </w:rPr>
              <w:t>-7.1%</w:t>
            </w:r>
          </w:p>
        </w:tc>
      </w:tr>
      <w:tr>
        <w:tc>
          <w:tcPr>
            <w:tcW w:type="dxa" w:w="1440"/>
            <w:shd w:fill="FFDCE0" w:val="clear"/>
          </w:tcPr>
          <w:p>
            <w:r>
              <w:rPr>
                <w:sz w:val="17"/>
              </w:rPr>
              <w:t>J+4  ⭐</w:t>
            </w:r>
          </w:p>
        </w:tc>
        <w:tc>
          <w:tcPr>
            <w:tcW w:type="dxa" w:w="1440"/>
            <w:shd w:fill="FFDCE0" w:val="clear"/>
          </w:tcPr>
          <w:p>
            <w:r>
              <w:rPr>
                <w:sz w:val="17"/>
              </w:rPr>
              <w:t>2026-09-02</w:t>
            </w:r>
          </w:p>
        </w:tc>
        <w:tc>
          <w:tcPr>
            <w:tcW w:type="dxa" w:w="1440"/>
            <w:shd w:fill="FFDCE0" w:val="clear"/>
          </w:tcPr>
          <w:p>
            <w:r>
              <w:rPr>
                <w:sz w:val="17"/>
              </w:rPr>
              <w:t>3,011</w:t>
            </w:r>
          </w:p>
        </w:tc>
        <w:tc>
          <w:tcPr>
            <w:tcW w:type="dxa" w:w="1440"/>
            <w:shd w:fill="FFDCE0" w:val="clear"/>
          </w:tcPr>
          <w:p>
            <w:r>
              <w:rPr>
                <w:b/>
                <w:sz w:val="17"/>
              </w:rPr>
              <w:t>3,364</w:t>
            </w:r>
          </w:p>
        </w:tc>
        <w:tc>
          <w:tcPr>
            <w:tcW w:type="dxa" w:w="1440"/>
            <w:shd w:fill="FFDCE0" w:val="clear"/>
          </w:tcPr>
          <w:p>
            <w:r>
              <w:rPr>
                <w:sz w:val="17"/>
              </w:rPr>
              <w:t>3,718</w:t>
            </w:r>
          </w:p>
        </w:tc>
        <w:tc>
          <w:tcPr>
            <w:tcW w:type="dxa" w:w="1440"/>
            <w:shd w:fill="FFDCE0" w:val="clear"/>
          </w:tcPr>
          <w:p>
            <w:r>
              <w:rPr>
                <w:b/>
                <w:color w:val="C00000"/>
                <w:sz w:val="17"/>
              </w:rPr>
              <w:t>-8.8%</w:t>
            </w:r>
          </w:p>
        </w:tc>
      </w:tr>
      <w:tr>
        <w:tc>
          <w:tcPr>
            <w:tcW w:type="dxa" w:w="1440"/>
            <w:shd w:fill="FFDCE0" w:val="clear"/>
          </w:tcPr>
          <w:p>
            <w:r>
              <w:rPr>
                <w:sz w:val="17"/>
              </w:rPr>
              <w:t>J+5  ⭐</w:t>
            </w:r>
          </w:p>
        </w:tc>
        <w:tc>
          <w:tcPr>
            <w:tcW w:type="dxa" w:w="1440"/>
            <w:shd w:fill="FFDCE0" w:val="clear"/>
          </w:tcPr>
          <w:p>
            <w:r>
              <w:rPr>
                <w:sz w:val="17"/>
              </w:rPr>
              <w:t>2026-09-03</w:t>
            </w:r>
          </w:p>
        </w:tc>
        <w:tc>
          <w:tcPr>
            <w:tcW w:type="dxa" w:w="1440"/>
            <w:shd w:fill="FFDCE0" w:val="clear"/>
          </w:tcPr>
          <w:p>
            <w:r>
              <w:rPr>
                <w:sz w:val="17"/>
              </w:rPr>
              <w:t>2,919</w:t>
            </w:r>
          </w:p>
        </w:tc>
        <w:tc>
          <w:tcPr>
            <w:tcW w:type="dxa" w:w="1440"/>
            <w:shd w:fill="FFDCE0" w:val="clear"/>
          </w:tcPr>
          <w:p>
            <w:r>
              <w:rPr>
                <w:b/>
                <w:sz w:val="17"/>
              </w:rPr>
              <w:t>3,308</w:t>
            </w:r>
          </w:p>
        </w:tc>
        <w:tc>
          <w:tcPr>
            <w:tcW w:type="dxa" w:w="1440"/>
            <w:shd w:fill="FFDCE0" w:val="clear"/>
          </w:tcPr>
          <w:p>
            <w:r>
              <w:rPr>
                <w:sz w:val="17"/>
              </w:rPr>
              <w:t>3,696</w:t>
            </w:r>
          </w:p>
        </w:tc>
        <w:tc>
          <w:tcPr>
            <w:tcW w:type="dxa" w:w="1440"/>
            <w:shd w:fill="FFDCE0" w:val="clear"/>
          </w:tcPr>
          <w:p>
            <w:r>
              <w:rPr>
                <w:b/>
                <w:color w:val="C00000"/>
                <w:sz w:val="17"/>
              </w:rPr>
              <w:t>-10.4%</w:t>
            </w:r>
          </w:p>
        </w:tc>
      </w:tr>
      <w:tr>
        <w:tc>
          <w:tcPr>
            <w:tcW w:type="dxa" w:w="1440"/>
            <w:shd w:fill="FFDCE0" w:val="clear"/>
          </w:tcPr>
          <w:p>
            <w:r>
              <w:rPr>
                <w:sz w:val="17"/>
              </w:rPr>
              <w:t>J+6  ⭐</w:t>
            </w:r>
          </w:p>
        </w:tc>
        <w:tc>
          <w:tcPr>
            <w:tcW w:type="dxa" w:w="1440"/>
            <w:shd w:fill="FFDCE0" w:val="clear"/>
          </w:tcPr>
          <w:p>
            <w:r>
              <w:rPr>
                <w:sz w:val="17"/>
              </w:rPr>
              <w:t>2026-09-04</w:t>
            </w:r>
          </w:p>
        </w:tc>
        <w:tc>
          <w:tcPr>
            <w:tcW w:type="dxa" w:w="1440"/>
            <w:shd w:fill="FFDCE0" w:val="clear"/>
          </w:tcPr>
          <w:p>
            <w:r>
              <w:rPr>
                <w:sz w:val="17"/>
              </w:rPr>
              <w:t>2,836</w:t>
            </w:r>
          </w:p>
        </w:tc>
        <w:tc>
          <w:tcPr>
            <w:tcW w:type="dxa" w:w="1440"/>
            <w:shd w:fill="FFDCE0" w:val="clear"/>
          </w:tcPr>
          <w:p>
            <w:r>
              <w:rPr>
                <w:b/>
                <w:sz w:val="17"/>
              </w:rPr>
              <w:t>3,256</w:t>
            </w:r>
          </w:p>
        </w:tc>
        <w:tc>
          <w:tcPr>
            <w:tcW w:type="dxa" w:w="1440"/>
            <w:shd w:fill="FFDCE0" w:val="clear"/>
          </w:tcPr>
          <w:p>
            <w:r>
              <w:rPr>
                <w:sz w:val="17"/>
              </w:rPr>
              <w:t>3,675</w:t>
            </w:r>
          </w:p>
        </w:tc>
        <w:tc>
          <w:tcPr>
            <w:tcW w:type="dxa" w:w="1440"/>
            <w:shd w:fill="FFDCE0" w:val="clear"/>
          </w:tcPr>
          <w:p>
            <w:r>
              <w:rPr>
                <w:b/>
                <w:color w:val="C00000"/>
                <w:sz w:val="17"/>
              </w:rPr>
              <w:t>-11.8%</w:t>
            </w:r>
          </w:p>
        </w:tc>
      </w:tr>
      <w:tr>
        <w:tc>
          <w:tcPr>
            <w:tcW w:type="dxa" w:w="1440"/>
            <w:shd w:fill="FFDCE0" w:val="clear"/>
          </w:tcPr>
          <w:p>
            <w:r>
              <w:rPr>
                <w:sz w:val="17"/>
              </w:rPr>
              <w:t>J+7  ⭐</w:t>
            </w:r>
          </w:p>
        </w:tc>
        <w:tc>
          <w:tcPr>
            <w:tcW w:type="dxa" w:w="1440"/>
            <w:shd w:fill="FFDCE0" w:val="clear"/>
          </w:tcPr>
          <w:p>
            <w:r>
              <w:rPr>
                <w:sz w:val="17"/>
              </w:rPr>
              <w:t>2026-09-07</w:t>
            </w:r>
          </w:p>
        </w:tc>
        <w:tc>
          <w:tcPr>
            <w:tcW w:type="dxa" w:w="1440"/>
            <w:shd w:fill="FFDCE0" w:val="clear"/>
          </w:tcPr>
          <w:p>
            <w:r>
              <w:rPr>
                <w:sz w:val="17"/>
              </w:rPr>
              <w:t>2,761</w:t>
            </w:r>
          </w:p>
        </w:tc>
        <w:tc>
          <w:tcPr>
            <w:tcW w:type="dxa" w:w="1440"/>
            <w:shd w:fill="FFDCE0" w:val="clear"/>
          </w:tcPr>
          <w:p>
            <w:r>
              <w:rPr>
                <w:b/>
                <w:sz w:val="17"/>
              </w:rPr>
              <w:t>3,207</w:t>
            </w:r>
          </w:p>
        </w:tc>
        <w:tc>
          <w:tcPr>
            <w:tcW w:type="dxa" w:w="1440"/>
            <w:shd w:fill="FFDCE0" w:val="clear"/>
          </w:tcPr>
          <w:p>
            <w:r>
              <w:rPr>
                <w:sz w:val="17"/>
              </w:rPr>
              <w:t>3,653</w:t>
            </w:r>
          </w:p>
        </w:tc>
        <w:tc>
          <w:tcPr>
            <w:tcW w:type="dxa" w:w="1440"/>
            <w:shd w:fill="FFDCE0" w:val="clear"/>
          </w:tcPr>
          <w:p>
            <w:r>
              <w:rPr>
                <w:b/>
                <w:color w:val="C00000"/>
                <w:sz w:val="17"/>
              </w:rPr>
              <w:t>-13.1%</w:t>
            </w:r>
          </w:p>
        </w:tc>
      </w:tr>
      <w:tr>
        <w:tc>
          <w:tcPr>
            <w:tcW w:type="dxa" w:w="1440"/>
            <w:shd w:fill="FFDCE0" w:val="clear"/>
          </w:tcPr>
          <w:p>
            <w:r>
              <w:rPr>
                <w:sz w:val="17"/>
              </w:rPr>
              <w:t>J+8  ⭐</w:t>
            </w:r>
          </w:p>
        </w:tc>
        <w:tc>
          <w:tcPr>
            <w:tcW w:type="dxa" w:w="1440"/>
            <w:shd w:fill="FFDCE0" w:val="clear"/>
          </w:tcPr>
          <w:p>
            <w:r>
              <w:rPr>
                <w:sz w:val="17"/>
              </w:rPr>
              <w:t>2026-09-08</w:t>
            </w:r>
          </w:p>
        </w:tc>
        <w:tc>
          <w:tcPr>
            <w:tcW w:type="dxa" w:w="1440"/>
            <w:shd w:fill="FFDCE0" w:val="clear"/>
          </w:tcPr>
          <w:p>
            <w:r>
              <w:rPr>
                <w:sz w:val="17"/>
              </w:rPr>
              <w:t>2,691</w:t>
            </w:r>
          </w:p>
        </w:tc>
        <w:tc>
          <w:tcPr>
            <w:tcW w:type="dxa" w:w="1440"/>
            <w:shd w:fill="FFDCE0" w:val="clear"/>
          </w:tcPr>
          <w:p>
            <w:r>
              <w:rPr>
                <w:b/>
                <w:sz w:val="17"/>
              </w:rPr>
              <w:t>3,162</w:t>
            </w:r>
          </w:p>
        </w:tc>
        <w:tc>
          <w:tcPr>
            <w:tcW w:type="dxa" w:w="1440"/>
            <w:shd w:fill="FFDCE0" w:val="clear"/>
          </w:tcPr>
          <w:p>
            <w:r>
              <w:rPr>
                <w:sz w:val="17"/>
              </w:rPr>
              <w:t>3,632</w:t>
            </w:r>
          </w:p>
        </w:tc>
        <w:tc>
          <w:tcPr>
            <w:tcW w:type="dxa" w:w="1440"/>
            <w:shd w:fill="FFDCE0" w:val="clear"/>
          </w:tcPr>
          <w:p>
            <w:r>
              <w:rPr>
                <w:b/>
                <w:color w:val="C00000"/>
                <w:sz w:val="17"/>
              </w:rPr>
              <w:t>-14.3%</w:t>
            </w:r>
          </w:p>
        </w:tc>
      </w:tr>
      <w:tr>
        <w:tc>
          <w:tcPr>
            <w:tcW w:type="dxa" w:w="1440"/>
            <w:shd w:fill="FFDCE0" w:val="clear"/>
          </w:tcPr>
          <w:p>
            <w:r>
              <w:rPr>
                <w:sz w:val="17"/>
              </w:rPr>
              <w:t>J+9  ⭐</w:t>
            </w:r>
          </w:p>
        </w:tc>
        <w:tc>
          <w:tcPr>
            <w:tcW w:type="dxa" w:w="1440"/>
            <w:shd w:fill="FFDCE0" w:val="clear"/>
          </w:tcPr>
          <w:p>
            <w:r>
              <w:rPr>
                <w:sz w:val="17"/>
              </w:rPr>
              <w:t>2026-09-09</w:t>
            </w:r>
          </w:p>
        </w:tc>
        <w:tc>
          <w:tcPr>
            <w:tcW w:type="dxa" w:w="1440"/>
            <w:shd w:fill="FFDCE0" w:val="clear"/>
          </w:tcPr>
          <w:p>
            <w:r>
              <w:rPr>
                <w:sz w:val="17"/>
              </w:rPr>
              <w:t>2,627</w:t>
            </w:r>
          </w:p>
        </w:tc>
        <w:tc>
          <w:tcPr>
            <w:tcW w:type="dxa" w:w="1440"/>
            <w:shd w:fill="FFDCE0" w:val="clear"/>
          </w:tcPr>
          <w:p>
            <w:r>
              <w:rPr>
                <w:b/>
                <w:sz w:val="17"/>
              </w:rPr>
              <w:t>3,119</w:t>
            </w:r>
          </w:p>
        </w:tc>
        <w:tc>
          <w:tcPr>
            <w:tcW w:type="dxa" w:w="1440"/>
            <w:shd w:fill="FFDCE0" w:val="clear"/>
          </w:tcPr>
          <w:p>
            <w:r>
              <w:rPr>
                <w:sz w:val="17"/>
              </w:rPr>
              <w:t>3,611</w:t>
            </w:r>
          </w:p>
        </w:tc>
        <w:tc>
          <w:tcPr>
            <w:tcW w:type="dxa" w:w="1440"/>
            <w:shd w:fill="FFDCE0" w:val="clear"/>
          </w:tcPr>
          <w:p>
            <w:r>
              <w:rPr>
                <w:b/>
                <w:color w:val="C00000"/>
                <w:sz w:val="17"/>
              </w:rPr>
              <w:t>-15.5%</w:t>
            </w:r>
          </w:p>
        </w:tc>
      </w:tr>
      <w:tr>
        <w:tc>
          <w:tcPr>
            <w:tcW w:type="dxa" w:w="1440"/>
            <w:shd w:fill="FFDCE0" w:val="clear"/>
          </w:tcPr>
          <w:p>
            <w:r>
              <w:rPr>
                <w:sz w:val="17"/>
              </w:rPr>
              <w:t>J+10  ⭐</w:t>
            </w:r>
          </w:p>
        </w:tc>
        <w:tc>
          <w:tcPr>
            <w:tcW w:type="dxa" w:w="1440"/>
            <w:shd w:fill="FFDCE0" w:val="clear"/>
          </w:tcPr>
          <w:p>
            <w:r>
              <w:rPr>
                <w:sz w:val="17"/>
              </w:rPr>
              <w:t>2026-09-10</w:t>
            </w:r>
          </w:p>
        </w:tc>
        <w:tc>
          <w:tcPr>
            <w:tcW w:type="dxa" w:w="1440"/>
            <w:shd w:fill="FFDCE0" w:val="clear"/>
          </w:tcPr>
          <w:p>
            <w:r>
              <w:rPr>
                <w:sz w:val="17"/>
              </w:rPr>
              <w:t>2,566</w:t>
            </w:r>
          </w:p>
        </w:tc>
        <w:tc>
          <w:tcPr>
            <w:tcW w:type="dxa" w:w="1440"/>
            <w:shd w:fill="FFDCE0" w:val="clear"/>
          </w:tcPr>
          <w:p>
            <w:r>
              <w:rPr>
                <w:b/>
                <w:sz w:val="17"/>
              </w:rPr>
              <w:t>3,078</w:t>
            </w:r>
          </w:p>
        </w:tc>
        <w:tc>
          <w:tcPr>
            <w:tcW w:type="dxa" w:w="1440"/>
            <w:shd w:fill="FFDCE0" w:val="clear"/>
          </w:tcPr>
          <w:p>
            <w:r>
              <w:rPr>
                <w:sz w:val="17"/>
              </w:rPr>
              <w:t>3,590</w:t>
            </w:r>
          </w:p>
        </w:tc>
        <w:tc>
          <w:tcPr>
            <w:tcW w:type="dxa" w:w="1440"/>
            <w:shd w:fill="FFDCE0" w:val="clear"/>
          </w:tcPr>
          <w:p>
            <w:r>
              <w:rPr>
                <w:b/>
                <w:color w:val="C00000"/>
                <w:sz w:val="17"/>
              </w:rPr>
              <w:t>-16.6%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2.554 Mds FCFA</w:t>
            </w:r>
          </w:p>
        </w:tc>
        <w:tc>
          <w:tcPr>
            <w:tcW w:type="dxa" w:w="5669"/>
            <w:shd w:fill="FFFFFF" w:val="clear"/>
          </w:tcPr>
          <w:p>
            <w:r>
              <w:rPr>
                <w:color w:val="282828"/>
                <w:sz w:val="15"/>
              </w:rPr>
              <w:t>Créances clients = 19.2%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674.88 M FCFA</w:t>
            </w:r>
          </w:p>
        </w:tc>
        <w:tc>
          <w:tcPr>
            <w:tcW w:type="dxa" w:w="5669"/>
            <w:shd w:fill="FFFFFF" w:val="clear"/>
          </w:tcPr>
          <w:p>
            <w:r>
              <w:rPr>
                <w:color w:val="282828"/>
                <w:sz w:val="15"/>
              </w:rPr>
              <w:t>Rotation stocks = 19.7x/an.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3.883 Mds FCFA</w:t>
            </w:r>
          </w:p>
        </w:tc>
        <w:tc>
          <w:tcPr>
            <w:tcW w:type="dxa" w:w="5669"/>
            <w:shd w:fill="FFFFFF" w:val="clear"/>
          </w:tcPr>
          <w:p>
            <w:r>
              <w:rPr>
                <w:color w:val="282828"/>
                <w:sz w:val="15"/>
              </w:rPr>
              <w:t>Ratio actif circ./passif circ. = 1.07x.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182.57 M FCFA</w:t>
            </w:r>
          </w:p>
        </w:tc>
        <w:tc>
          <w:tcPr>
            <w:tcW w:type="dxa" w:w="5669"/>
            <w:shd w:fill="FFFFFF" w:val="clear"/>
          </w:tcPr>
          <w:p>
            <w:r>
              <w:rPr>
                <w:color w:val="282828"/>
                <w:sz w:val="15"/>
              </w:rPr>
              <w:t>Brevets, logiciels, fonds commercial (2.0%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1.048 Mds FCFA</w:t>
            </w:r>
          </w:p>
        </w:tc>
        <w:tc>
          <w:tcPr>
            <w:tcW w:type="dxa" w:w="5669"/>
            <w:shd w:fill="FFFFFF" w:val="clear"/>
          </w:tcPr>
          <w:p>
            <w:r>
              <w:rPr>
                <w:color w:val="282828"/>
                <w:sz w:val="15"/>
              </w:rPr>
              <w:t>Outil industriel (11.4%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1.309 Mds FCFA</w:t>
            </w:r>
          </w:p>
        </w:tc>
        <w:tc>
          <w:tcPr>
            <w:tcW w:type="dxa" w:w="5669"/>
            <w:shd w:fill="FFFFFF" w:val="clear"/>
          </w:tcPr>
          <w:p>
            <w:r>
              <w:rPr>
                <w:color w:val="282828"/>
                <w:sz w:val="15"/>
              </w:rPr>
              <w:t>Actif immobilisé = 14.2%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4.035 Mds FCFA</w:t>
            </w:r>
          </w:p>
        </w:tc>
        <w:tc>
          <w:tcPr>
            <w:tcW w:type="dxa" w:w="5669"/>
            <w:shd w:fill="FFFFFF" w:val="clear"/>
          </w:tcPr>
          <w:p>
            <w:r>
              <w:rPr>
                <w:color w:val="282828"/>
                <w:sz w:val="15"/>
              </w:rPr>
              <w:t>Liquidités disponibles (43.7%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9.227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1.364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5.159 Mds FCFA</w:t>
            </w:r>
          </w:p>
        </w:tc>
        <w:tc>
          <w:tcPr>
            <w:tcW w:type="dxa" w:w="5669"/>
            <w:shd w:fill="FFFFFF" w:val="clear"/>
          </w:tcPr>
          <w:p>
            <w:r>
              <w:rPr>
                <w:color w:val="282828"/>
                <w:sz w:val="15"/>
              </w:rPr>
              <w:t>Fonds propres = 55.9%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5.601 Mds FCFA</w:t>
            </w:r>
          </w:p>
        </w:tc>
        <w:tc>
          <w:tcPr>
            <w:tcW w:type="dxa" w:w="5669"/>
            <w:shd w:fill="FFFFFF" w:val="clear"/>
          </w:tcPr>
          <w:p>
            <w:r>
              <w:rPr>
                <w:color w:val="282828"/>
                <w:sz w:val="15"/>
              </w:rPr>
              <w:t>Capitaux permanents / Actif immobilisé = 4.28x.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2.114 Mds FCFA</w:t>
            </w:r>
          </w:p>
        </w:tc>
        <w:tc>
          <w:tcPr>
            <w:tcW w:type="dxa" w:w="5669"/>
            <w:shd w:fill="FFFFFF" w:val="clear"/>
          </w:tcPr>
          <w:p>
            <w:r>
              <w:rPr>
                <w:color w:val="282828"/>
                <w:sz w:val="15"/>
              </w:rPr>
              <w:t>Délai fournisseurs implicite ≈ 58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65.89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65.89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4.068 Mds FCFA</w:t>
            </w:r>
          </w:p>
        </w:tc>
        <w:tc>
          <w:tcPr>
            <w:tcW w:type="dxa" w:w="5669"/>
            <w:shd w:fill="FFFFFF" w:val="clear"/>
          </w:tcPr>
          <w:p>
            <w:r>
              <w:rPr>
                <w:color w:val="282828"/>
                <w:sz w:val="15"/>
              </w:rPr>
              <w:t>Dettes totales = 44.1%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13.298 Mds FCFA</w:t>
            </w:r>
          </w:p>
        </w:tc>
        <w:tc>
          <w:tcPr>
            <w:tcW w:type="dxa" w:w="5669"/>
            <w:shd w:fill="FFFFFF" w:val="clear"/>
          </w:tcPr>
          <w:p>
            <w:r>
              <w:rPr>
                <w:color w:val="282828"/>
                <w:sz w:val="15"/>
              </w:rPr>
              <w:t>Chiffre d'affaires. Croissance: 6.7%.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330.84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2.544 Mds FCFA</w:t>
            </w:r>
          </w:p>
        </w:tc>
        <w:tc>
          <w:tcPr>
            <w:tcW w:type="dxa" w:w="5669"/>
            <w:shd w:fill="FFFFFF" w:val="clear"/>
          </w:tcPr>
          <w:p>
            <w:r>
              <w:rPr>
                <w:color w:val="282828"/>
                <w:sz w:val="15"/>
              </w:rPr>
              <w:t>Masse salariale = 19.1%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4.919 Mds FCFA</w:t>
            </w:r>
          </w:p>
        </w:tc>
        <w:tc>
          <w:tcPr>
            <w:tcW w:type="dxa" w:w="5669"/>
            <w:shd w:fill="FFFFFF" w:val="clear"/>
          </w:tcPr>
          <w:p>
            <w:r>
              <w:rPr>
                <w:color w:val="282828"/>
                <w:sz w:val="15"/>
              </w:rPr>
              <w:t>VA = 37.0%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2.375 Mds FCFA</w:t>
            </w:r>
          </w:p>
        </w:tc>
        <w:tc>
          <w:tcPr>
            <w:tcW w:type="dxa" w:w="5669"/>
            <w:shd w:fill="FFFFFF" w:val="clear"/>
          </w:tcPr>
          <w:p>
            <w:r>
              <w:rPr>
                <w:color w:val="282828"/>
                <w:sz w:val="15"/>
              </w:rPr>
              <w:t>EBE = 17.9%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2.178 Mds FCFA</w:t>
            </w:r>
          </w:p>
        </w:tc>
        <w:tc>
          <w:tcPr>
            <w:tcW w:type="dxa" w:w="5669"/>
            <w:shd w:fill="FFFFFF" w:val="clear"/>
          </w:tcPr>
          <w:p>
            <w:r>
              <w:rPr>
                <w:color w:val="282828"/>
                <w:sz w:val="15"/>
              </w:rPr>
              <w:t>Profit d'exploitation = 16.4%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375.65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1.351 Mds FCFA</w:t>
            </w:r>
          </w:p>
        </w:tc>
        <w:tc>
          <w:tcPr>
            <w:tcW w:type="dxa" w:w="5669"/>
            <w:shd w:fill="FFFFFF" w:val="clear"/>
          </w:tcPr>
          <w:p>
            <w:r>
              <w:rPr>
                <w:color w:val="282828"/>
                <w:sz w:val="15"/>
              </w:rPr>
              <w:t>Marge nette = 10.2%.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1.560 Mds FCFA</w:t>
            </w:r>
          </w:p>
        </w:tc>
        <w:tc>
          <w:tcPr>
            <w:tcW w:type="dxa" w:w="5669"/>
            <w:shd w:fill="FFFFFF" w:val="clear"/>
          </w:tcPr>
          <w:p>
            <w:r>
              <w:rPr>
                <w:color w:val="282828"/>
                <w:sz w:val="15"/>
              </w:rPr>
              <w:t>CAF = 1.56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1.310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-690.07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-12.99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619.83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257.45 M FCFA</w:t>
            </w:r>
          </w:p>
        </w:tc>
        <w:tc>
          <w:tcPr>
            <w:tcW w:type="dxa" w:w="5669"/>
            <w:shd w:fill="FFFFFF" w:val="clear"/>
          </w:tcPr>
          <w:p>
            <w:r>
              <w:rPr>
                <w:color w:val="282828"/>
                <w:sz w:val="15"/>
              </w:rPr>
              <w:t>BFR = 1.9%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4.292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4.035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68.49%</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10.16%</w:t>
            </w:r>
          </w:p>
        </w:tc>
        <w:tc>
          <w:tcPr>
            <w:tcW w:type="dxa" w:w="5669"/>
            <w:shd w:fill="FFFFFF" w:val="clear"/>
          </w:tcPr>
          <w:p>
            <w:r>
              <w:rPr>
                <w:color w:val="282828"/>
                <w:sz w:val="15"/>
              </w:rPr>
              <w:t>Résultat net / revenus = 10.16%.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16.38%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26.18%</w:t>
            </w:r>
          </w:p>
        </w:tc>
        <w:tc>
          <w:tcPr>
            <w:tcW w:type="dxa" w:w="5669"/>
            <w:shd w:fill="FFFFFF" w:val="clear"/>
          </w:tcPr>
          <w:p>
            <w:r>
              <w:rPr>
                <w:color w:val="282828"/>
                <w:sz w:val="15"/>
              </w:rPr>
              <w:t>Résultat net / capitaux propres = 26.18%.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14.64%</w:t>
            </w:r>
          </w:p>
        </w:tc>
        <w:tc>
          <w:tcPr>
            <w:tcW w:type="dxa" w:w="5669"/>
            <w:shd w:fill="FFFFFF" w:val="clear"/>
          </w:tcPr>
          <w:p>
            <w:r>
              <w:rPr>
                <w:color w:val="282828"/>
                <w:sz w:val="15"/>
              </w:rPr>
              <w:t>Résultat net / total actif = 14.64%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144.13%</w:t>
            </w:r>
          </w:p>
        </w:tc>
        <w:tc>
          <w:tcPr>
            <w:tcW w:type="dxa" w:w="5669"/>
            <w:shd w:fill="FFFFFF" w:val="clear"/>
          </w:tcPr>
          <w:p>
            <w:r>
              <w:rPr>
                <w:color w:val="282828"/>
                <w:sz w:val="15"/>
              </w:rPr>
              <w:t>CA / total actif = 144.13x.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6.67%</w:t>
            </w:r>
          </w:p>
        </w:tc>
        <w:tc>
          <w:tcPr>
            <w:tcW w:type="dxa" w:w="5669"/>
            <w:shd w:fill="FFFFFF" w:val="clear"/>
          </w:tcPr>
          <w:p>
            <w:r>
              <w:rPr>
                <w:color w:val="282828"/>
                <w:sz w:val="15"/>
              </w:rPr>
              <w:t>Croissance CA vs exercice précédent = 6.67%.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55.92%</w:t>
            </w:r>
          </w:p>
        </w:tc>
        <w:tc>
          <w:tcPr>
            <w:tcW w:type="dxa" w:w="5669"/>
            <w:shd w:fill="FFFFFF" w:val="clear"/>
          </w:tcPr>
          <w:p>
            <w:r>
              <w:rPr>
                <w:color w:val="282828"/>
                <w:sz w:val="15"/>
              </w:rPr>
              <w:t>Fonds propres / total bilan = 55.92%.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1.28%</w:t>
            </w:r>
          </w:p>
        </w:tc>
        <w:tc>
          <w:tcPr>
            <w:tcW w:type="dxa" w:w="5669"/>
            <w:shd w:fill="FFFFFF" w:val="clear"/>
          </w:tcPr>
          <w:p>
            <w:r>
              <w:rPr>
                <w:color w:val="282828"/>
                <w:sz w:val="15"/>
              </w:rPr>
              <w:t>Dettes financières / total bilan = 1.28%.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44.08%</w:t>
            </w:r>
          </w:p>
        </w:tc>
        <w:tc>
          <w:tcPr>
            <w:tcW w:type="dxa" w:w="5669"/>
            <w:shd w:fill="FFFFFF" w:val="clear"/>
          </w:tcPr>
          <w:p>
            <w:r>
              <w:rPr>
                <w:color w:val="282828"/>
                <w:sz w:val="15"/>
              </w:rPr>
              <w:t>Dettes totales / fonds propres = 44.08%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226.84%</w:t>
            </w:r>
          </w:p>
        </w:tc>
        <w:tc>
          <w:tcPr>
            <w:tcW w:type="dxa" w:w="5669"/>
            <w:shd w:fill="FFFFFF" w:val="clear"/>
          </w:tcPr>
          <w:p>
            <w:r>
              <w:rPr>
                <w:color w:val="282828"/>
                <w:sz w:val="15"/>
              </w:rPr>
              <w:t>Total actif / dettes totales = 226.84x.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218.37%</w:t>
            </w:r>
          </w:p>
        </w:tc>
        <w:tc>
          <w:tcPr>
            <w:tcW w:type="dxa" w:w="5669"/>
            <w:shd w:fill="FFFFFF" w:val="clear"/>
          </w:tcPr>
          <w:p>
            <w:r>
              <w:rPr>
                <w:color w:val="282828"/>
                <w:sz w:val="15"/>
              </w:rPr>
              <w:t>Actif circulant / passif circulant = 218.37x.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111.27%</w:t>
            </w:r>
          </w:p>
        </w:tc>
        <w:tc>
          <w:tcPr>
            <w:tcW w:type="dxa" w:w="5669"/>
            <w:shd w:fill="FFFFFF" w:val="clear"/>
          </w:tcPr>
          <w:p>
            <w:r>
              <w:rPr>
                <w:color w:val="282828"/>
                <w:sz w:val="15"/>
              </w:rPr>
              <w:t>Trésorerie / passif circulant = 111.27x.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199.75%</w:t>
            </w:r>
          </w:p>
        </w:tc>
        <w:tc>
          <w:tcPr>
            <w:tcW w:type="dxa" w:w="5669"/>
            <w:shd w:fill="FFFFFF" w:val="clear"/>
          </w:tcPr>
          <w:p>
            <w:r>
              <w:rPr>
                <w:color w:val="282828"/>
                <w:sz w:val="15"/>
              </w:rPr>
              <w:t>(Actif circ. - stocks) / passif circ. = 199.75x.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427.96%</w:t>
            </w:r>
          </w:p>
        </w:tc>
        <w:tc>
          <w:tcPr>
            <w:tcW w:type="dxa" w:w="5669"/>
            <w:shd w:fill="FFFFFF" w:val="clear"/>
          </w:tcPr>
          <w:p>
            <w:r>
              <w:rPr>
                <w:color w:val="282828"/>
                <w:sz w:val="15"/>
              </w:rPr>
              <w:t>Capitaux permanents / actif immobilisé = 427.96x.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36092.78%</w:t>
            </w:r>
          </w:p>
        </w:tc>
        <w:tc>
          <w:tcPr>
            <w:tcW w:type="dxa" w:w="5669"/>
            <w:shd w:fill="FFFFFF" w:val="clear"/>
          </w:tcPr>
          <w:p>
            <w:r>
              <w:rPr>
                <w:color w:val="282828"/>
                <w:sz w:val="15"/>
              </w:rPr>
              <w:t>Résultat exploit. / charges financières = 36092.78x.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226.08%</w:t>
            </w:r>
          </w:p>
        </w:tc>
        <w:tc>
          <w:tcPr>
            <w:tcW w:type="dxa" w:w="5669"/>
            <w:shd w:fill="FFFFFF" w:val="clear"/>
          </w:tcPr>
          <w:p>
            <w:r>
              <w:rPr>
                <w:color w:val="282828"/>
                <w:sz w:val="15"/>
              </w:rPr>
              <w:t>CAF / investissements = 226.08x.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70.1 j</w:t>
            </w:r>
          </w:p>
        </w:tc>
        <w:tc>
          <w:tcPr>
            <w:tcW w:type="dxa" w:w="5669"/>
            <w:shd w:fill="FFFFFF" w:val="clear"/>
          </w:tcPr>
          <w:p>
            <w:r>
              <w:rPr>
                <w:color w:val="282828"/>
                <w:sz w:val="15"/>
              </w:rPr>
              <w:t>Les clients paient en moyenne en 70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92.1 j</w:t>
            </w:r>
          </w:p>
        </w:tc>
        <w:tc>
          <w:tcPr>
            <w:tcW w:type="dxa" w:w="5669"/>
            <w:shd w:fill="FFFFFF" w:val="clear"/>
          </w:tcPr>
          <w:p>
            <w:r>
              <w:rPr>
                <w:color w:val="282828"/>
                <w:sz w:val="15"/>
              </w:rPr>
              <w:t>Paiement des fournisseurs en 92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29.4 j</w:t>
            </w:r>
          </w:p>
        </w:tc>
        <w:tc>
          <w:tcPr>
            <w:tcW w:type="dxa" w:w="5669"/>
            <w:shd w:fill="FFFFFF" w:val="clear"/>
          </w:tcPr>
          <w:p>
            <w:r>
              <w:rPr>
                <w:color w:val="282828"/>
                <w:sz w:val="15"/>
              </w:rPr>
              <w:t>Stock écoulé en 29 jours. ✅ Rotation rapide — faible immobilisation de capital.</w:t>
            </w:r>
          </w:p>
        </w:tc>
      </w:tr>
    </w:tbl>
    <w:p/>
    <w:p>
      <w:pPr>
        <w:spacing w:after="120" w:line="276" w:lineRule="auto"/>
      </w:pPr>
      <w:r>
        <w:t>Absolument. Voici un rapport d'analyse structuré et professionnel pour l'action ABJC (Servair Abidjan) sur le marché de la BRVM, conformément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d'ABJC s'établit à 40,27 milliards FCFA, un niveau significatif qui la positionne comme une valeur de taille moyenne sur la BRVM. Avec un BPA de 124 FCFA, le marché valorise l'action à un PER de 29,8x, un niveau très élevé comparé à la moyenne historique de la BRVM (8-12x). Ce ratio suggère que les investisseurs anticipent une croissance future des bénéfices, mais il expose également le titre à un risque de correction si ces attentes ne se matérialisent pas. Le P/B de 7,80x confirme cette prime, le marché valorisant l'actif net de la société bien au-delà de sa valeur comptable. Enfin, l'EV/EBITDA de 15,3x, bien que plus modéré, reste exigeant et indique que la valeur totale de l'entreprise (capitalisation + dette) est élevée par rapport à sa capacité opérationnelle à générer du cash.</w:t>
      </w:r>
    </w:p>
    <w:p>
      <w:pPr>
        <w:spacing w:after="120" w:line="276" w:lineRule="auto"/>
      </w:pPr>
      <w:r>
        <w:t>### **PARTIE 1 : ANALYSE DU COURS — STATISTIQUES ET ÉVOLUTION (100 derniers jours)**</w:t>
      </w:r>
    </w:p>
    <w:p>
      <w:pPr>
        <w:spacing w:after="120" w:line="276" w:lineRule="auto"/>
      </w:pPr>
      <w:r>
        <w:t>Sur les 100 derniers jours, l'action ABJC affiche une progression modeste de +1,65%, avec une dernière séance en hausse de 1,10% à 3 690 FCFA. Le titre a évolué dans une fourchette de trading allant de 2 800 à 3 780 FCFA, démontrant une amplitude de variation importante. La moyenne du cours sur la période est de 3 209 FCFA, légèrement supérieure à la médiane de 3 182 FCFA, ce qui, combiné à un skewness positif (0.281), indique une distribution relativement symétrique avec une légère queue de distribution vers les hauts cours. L'écart-type de 232 FCFA (CV=7.2%) montre une dispersion modérée autour de la moyenne. Le kurtosis négatif (-0.697) suggère une distribution mésokurtique, avec moins de valeurs extrêmes qu'une distribution normale. La volatilité annualisée de 49,3% est très élevée, classant ABJC comme un titre à risque important, où les variations de prix peuvent être fortes et rapides, tant à la hausse qu'à la baisse.</w:t>
      </w:r>
    </w:p>
    <w:p>
      <w:pPr>
        <w:spacing w:after="120" w:line="276" w:lineRule="auto"/>
      </w:pPr>
      <w:r>
        <w:t>### **PARTIE 2 : ANALYSE TECHNIQUE DÉTAILLÉE**</w:t>
      </w:r>
    </w:p>
    <w:p>
      <w:pPr>
        <w:spacing w:after="120" w:line="276" w:lineRule="auto"/>
      </w:pPr>
      <w:r>
        <w:t>**Moyennes Mobiles** : Le cours actuel (3 690 FCFA) est nettement au-dessus de la MM20 (3 213,5 FCFA) et de la MM50 (3 205,6 FCFA). Cette configuration haussière, où le prix est soutenu par les moyennes mobiles, confirme une dynamique positive à court et moyen terme. Le signal d'achat est cohérent avec cette tendance.</w:t>
      </w:r>
    </w:p>
    <w:p>
      <w:pPr>
        <w:spacing w:after="120" w:line="276" w:lineRule="auto"/>
      </w:pPr>
      <w:r>
        <w:t>**Bandes de Bollinger** : Le prix se situe très près de la borne supérieure (3 710,6 FCFA), indiquant une pression acheteuse soutenue. Cependant, la largeur des bandes (borne inférieure à 2 716,4 FCFA) reflète une volatilité élevée. Le signal est neutre, car un prix touchant la borne supérieure peut signaler une poursuite de la tendance ou un retournement imminent.</w:t>
      </w:r>
    </w:p>
    <w:p>
      <w:pPr>
        <w:spacing w:after="120" w:line="276" w:lineRule="auto"/>
      </w:pPr>
      <w:r>
        <w:t>**MACD** : Le MACD (130,98) est nettement au-dessus de sa ligne de signal (69,51), avec un écart positif et croissant. Cette configuration est un signal d'achat classique, indiquant un momentum haussier fort et une accélération de la dynamique positive.</w:t>
      </w:r>
    </w:p>
    <w:p>
      <w:pPr>
        <w:spacing w:after="120" w:line="276" w:lineRule="auto"/>
      </w:pPr>
      <w:r>
        <w:t>**RSI** : Le RSI est à 93,2, un niveau extrêmement élevé, bien au-delà du seuil de surachat de 70. Cette valeur indique que le titre est massivement suracheté et que le marché est en situation d'euphorie. Le signal de vente est justifié, car une telle pression acheteuse est statistiquement insoutenable et précède souvent une correction technique.</w:t>
      </w:r>
    </w:p>
    <w:p>
      <w:pPr>
        <w:spacing w:after="120" w:line="276" w:lineRule="auto"/>
      </w:pPr>
      <w:r>
        <w:t>**Stochastique** : Le %K et le %D sont tous deux à 100, confirmant une condition de surachat extrême. Le titre est à son plus haut niveau sur la période, et ce niveau plafonné indique que la dynamique haussière est à son paroxysme, rendant un repli technique très probable à court terme.</w:t>
      </w:r>
    </w:p>
    <w:p>
      <w:pPr>
        <w:spacing w:after="120" w:line="276" w:lineRule="auto"/>
      </w:pPr>
      <w:r>
        <w:t>**Conclusion technique** : Les indicateurs de tendance (MM, MACD) sont positifs, mais les oscillateurs de momentum (RSI, Stochastique) sont en zone de surachat extrême. Cette divergence signale une forte probabilité de consolidation ou de correction à court terme, malgré la tendance haussière sous-jacente. La prudence est donc de mise pour un nouvel achat à ces niveaux.</w:t>
      </w:r>
    </w:p>
    <w:p>
      <w:pPr>
        <w:spacing w:after="120" w:line="276" w:lineRule="auto"/>
      </w:pPr>
      <w:r>
        <w:t>### **PARTIE 3 : ANALYSE FONDAMENTALE (SECTION CRITIQUE)**</w:t>
      </w:r>
    </w:p>
    <w:p>
      <w:pPr>
        <w:spacing w:after="120" w:line="276" w:lineRule="auto"/>
      </w:pPr>
      <w:r>
        <w:t>En 2025, selon les données structurées, Servair Abidjan a réalisé un chiffre d'affaires de 13,298 milliards FCFA, en croissance de 6,7%. Cependant, le résultat net a baissé de 12,1% à 1,351 milliard FCFA, principalement en raison d'une hausse de 46,7% de la charge d'impôt. La société maintient une rentabilité élevée avec un ROE de 26,2% et un ROA de 14,6%, témoignant d'une excellente utilisation de ses capitaux propres et de ses actifs. La structure financière est saine avec une autonomie financière de 55,9% et une trésorerie nette positive de 4,035 milliards FCFA. Le BFR est positif (257 M FCFA), et les délais de paiement clients (70 jours) et fournisseurs (92 jours) sont bien gérés. Les rapports trimestriels de 2025 montrent une année contrastée : un T1 difficile (résultat net -6,8% à 346 M FCFA) à cause de charges exceptionnelles et d'un litige avec la BCEAO, suivi d'un fort rebond au T3 (résultat net +17,1% à 1 325 M FCFA). Cependant, le rapport du T1 2026 (publié en 2026) est alarmant, avec une chute de 35,6% du résultat net à 222,6 millions FCFA, impacté par des ajustements de redevances aéroportuaires. Enfin, les états financiers provisoires 2025 mentionnent un CA de 9,25 milliards FCFA, ce qui contraste avec les 13,3 milliards des données structurées, suggérant des périmètres ou des normes comptables différents. Malgré ces défis, la société conserve une position solide sur son marché, mais la dégradation récente de sa rentabilité est un signal d'alerte majeur.</w:t>
      </w:r>
    </w:p>
    <w:p>
      <w:pPr>
        <w:spacing w:after="120" w:line="276" w:lineRule="auto"/>
      </w:pPr>
      <w:r>
        <w:t>### **PARTIE 4 : CONCLUSION D'INVESTISSEMENT**</w:t>
      </w:r>
    </w:p>
    <w:p>
      <w:pPr>
        <w:spacing w:after="120" w:line="276" w:lineRule="auto"/>
      </w:pPr>
      <w:r>
        <w:t>La valorisation d'ABJC (PER de 29,8x, P/B de 7,8x) est extrêmement exigeante et intègre des attentes de croissance très fortes, ce qui contraste avec la dégradation récente de la rentabilité observée au T1 2026. Le comportement du cours sur 100 jours montre une tendance haussière mais avec une volatilité annualisée très élevée (49,3%), et les statistiques suggèrent une distribution normale sans événements extrêmes. Les signaux techniques sont contradictoires : la tendance (MM, MACD) est positive, mais les oscillateurs (RSI à 93, Stochastique à 100) crient au surachat extrême, annonçant une correction probable. Les fondamentaux de 2025 sont solides (ROE de 26,2%, trésorerie nette positive), mais les perspectives 2026 sont assombries par la chute du résultat net au T1. Les prédictions IA, qui anticipent une baisse progressive du cours de 3 583 à 3 308 FCFA sur 10 jours, confirment le scénario d'une correction technique. En synthèse, la convergence des signaux de surachat technique et de dégradation fondamentale, malgré une valorisation élevée, conduit à une recommandation de **VENTE** à court terme. Le niveau de confiance est **Moyen**, car la tendance de fond reste positive, et le risque global est **Élevé** en raison de la volatilité et de l'incertitude sur la rentabilité future. L'horizon d'investissement optimal serait de **court terme (&lt;3 mois)** pour les investisseurs cherchant à prendre des bénéfices, tandis que les investisseurs de long terme devraient attendre une correction et une clarification des perspectives avant d'envisager une nouvelle position.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servair abidjan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SERVAIR ABIDJAN SA convoque ses actionnaires à une Assemblée Générale Ordinaire le 10 juin 2026 à 10h30 à la Maison de l'Entreprise (CGECI) au Plateau. L'ordre du jour comprend l'approbation des comptes 2025, l'affectation des résultats et le renouvellement des mandats d'administrateurs. La société au capital de 1,364 milliards FCFA opère dans les services aéroportuaires à l'Aéroport International FHB d'Abidjan.</w:t>
      </w:r>
    </w:p>
    <w:p>
      <w:pPr>
        <w:spacing w:before="60"/>
        <w:ind w:left="400"/>
      </w:pPr>
      <w:r>
        <w:rPr>
          <w:b/>
          <w:sz w:val="18"/>
        </w:rPr>
        <w:t>Points clés :</w:t>
      </w:r>
    </w:p>
    <w:p>
      <w:pPr>
        <w:pStyle w:val="ListBullet"/>
        <w:spacing w:before="20" w:after="20"/>
        <w:ind w:left="700"/>
      </w:pPr>
      <w:r>
        <w:rPr>
          <w:sz w:val="18"/>
        </w:rPr>
        <w:t>Assemblée Générale Ordinaire programmée le 10 juin 2026 à 10h30</w:t>
      </w:r>
    </w:p>
    <w:p>
      <w:pPr>
        <w:pStyle w:val="ListBullet"/>
        <w:spacing w:before="20" w:after="20"/>
        <w:ind w:left="700"/>
      </w:pPr>
      <w:r>
        <w:rPr>
          <w:sz w:val="18"/>
        </w:rPr>
        <w:t>Approbation des comptes SYSCOHADA et IFRS de l'exercice clos le 31 décembre 2025</w:t>
      </w:r>
    </w:p>
    <w:p>
      <w:pPr>
        <w:pStyle w:val="ListBullet"/>
        <w:spacing w:before="20" w:after="20"/>
        <w:ind w:left="700"/>
      </w:pPr>
      <w:r>
        <w:rPr>
          <w:sz w:val="18"/>
        </w:rPr>
        <w:t>Affectation des résultats de l'exercice 2025 et quitus aux administrateurs</w:t>
      </w:r>
    </w:p>
    <w:p>
      <w:pPr>
        <w:pStyle w:val="ListBullet"/>
        <w:spacing w:before="20" w:after="20"/>
        <w:ind w:left="700"/>
      </w:pPr>
      <w:r>
        <w:rPr>
          <w:sz w:val="18"/>
        </w:rPr>
        <w:t>Renouvellement des mandats d'administrateurs arrivés à échéance le 31 décembre 2025</w:t>
      </w:r>
    </w:p>
    <w:p>
      <w:pPr>
        <w:pStyle w:val="ListBullet"/>
        <w:spacing w:before="20" w:after="20"/>
        <w:ind w:left="700"/>
      </w:pPr>
      <w:r>
        <w:rPr>
          <w:sz w:val="18"/>
        </w:rPr>
        <w:t>Capital social de 1,364 milliards FCFA, société spécialisée dans les services aéroportuaires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une croissance du chiffre d'affaires et poursuit sa strat\u00e9gie de diversification. Les difficult\u00e9s actuelles semblent conjoncturelles li\u00e9es au contexte r\u00e9glementaire et g\u00e9opolitique."}</w:t>
      </w:r>
    </w:p>
    <w:p>
      <w:pPr>
        <w:spacing w:before="40"/>
        <w:ind w:left="400"/>
      </w:pPr>
      <w:r>
        <w:rPr>
          <w:sz w:val="18"/>
        </w:rPr>
        <w:t>SERVAIR ABIDJAN, filiale du groupe Gategroup spécialisée dans les services aéroportuaires, affiche une croissance modérée de son chiffre d'affaires de 1,9% au premier trimestre 2026 par rapport à 2025. Cependant, la société enregistre une forte dégradation de sa rentabilité avec un résultat des activités ordinaires en recul de 27,4% et un résultat net en baisse de 35,6%. Cette performance décevante s'explique par un environnement d'exploitation moins favorable et l'impact de facteurs exogènes, notamment l'ajustement des redevances aéroportuaires depuis avril 2025. La société fait face à des défis opérationnels liés aux tensions géopolitiques au Moyen-Orient qui affectent certaines compagnies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'1,9%', 'capital_social': '1 364 000 000 FCFA', 'variation_resultat_net': '-35,6%', 'variation_resultat_ordinaire': '-27,4%', 'resultat_activites_ordinaires': '327 622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222 625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3 237 192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 au T1 2026 vs T1 2025 (3,237 milliards FCFA vs 3,176 milliards FCFA)</w:t>
      </w:r>
    </w:p>
    <w:p>
      <w:pPr>
        <w:pStyle w:val="ListBullet"/>
        <w:spacing w:before="20" w:after="20"/>
        <w:ind w:left="700"/>
      </w:pPr>
      <w:r>
        <w:rPr>
          <w:sz w:val="18"/>
        </w:rPr>
        <w:t>Forte dégradation du résultat des activités ordinaires: -27,4% (327,622 millions FCFA vs 451,418 millions FCFA)</w:t>
      </w:r>
    </w:p>
    <w:p>
      <w:pPr>
        <w:pStyle w:val="ListBullet"/>
        <w:spacing w:before="20" w:after="20"/>
        <w:ind w:left="700"/>
      </w:pPr>
      <w:r>
        <w:rPr>
          <w:sz w:val="18"/>
        </w:rPr>
        <w:t>Chute significative du résultat net de 35,6% (222,625 millions FCFA vs 345,949 millions FCFA)</w:t>
      </w:r>
    </w:p>
    <w:p>
      <w:pPr>
        <w:pStyle w:val="ListBullet"/>
        <w:spacing w:before="20" w:after="20"/>
        <w:ind w:left="700"/>
      </w:pPr>
      <w:r>
        <w:rPr>
          <w:sz w:val="18"/>
        </w:rPr>
        <w:t>Impact négatif des ajustements de redevances aéroportuaires intervenues depuis avril 2025</w:t>
      </w:r>
    </w:p>
    <w:p>
      <w:pPr>
        <w:pStyle w:val="ListBullet"/>
        <w:spacing w:before="20" w:after="20"/>
        <w:ind w:left="700"/>
      </w:pPr>
      <w:r>
        <w:rPr>
          <w:sz w:val="18"/>
        </w:rPr>
        <w:t>Tensions géopolitiques au Moyen-Orient affectant certaines compagnies aériennes clientes</w:t>
      </w:r>
    </w:p>
    <w:p>
      <w:pPr>
        <w:pStyle w:val="ListBullet"/>
        <w:spacing w:before="20" w:after="20"/>
        <w:ind w:left="700"/>
      </w:pPr>
      <w:r>
        <w:rPr>
          <w:sz w:val="18"/>
        </w:rPr>
        <w:t>Hausse des coûts liés aux infrastructures et équipements</w:t>
      </w:r>
    </w:p>
    <w:p>
      <w:pPr>
        <w:spacing w:before="40"/>
        <w:ind w:left="400"/>
      </w:pPr>
      <w:r>
        <w:rPr>
          <w:b/>
          <w:color w:val="C05000"/>
          <w:sz w:val="18"/>
        </w:rPr>
        <w:t xml:space="preserve">⚠️ Risques : </w:t>
      </w:r>
      <w:r>
        <w:rPr>
          <w:sz w:val="18"/>
        </w:rPr>
        <w:t xml:space="preserve">["Poursuite de la d\u00e9gradation de la rentabilit\u00e9 due \u00e0 l'environnement d'exploitation difficile", "Impact des tensions g\u00e9opolitiques au Moyen-Orient sur les compagnies a\u00e9riennes clientes", "Hausse continue des co\u00fbts op\u00e9rationnels (infrastructures, \u00e9quipements, </w:t>
      </w:r>
    </w:p>
    <w:p>
      <w:pPr>
        <w:spacing w:before="40"/>
        <w:ind w:left="400"/>
      </w:pPr>
      <w:r>
        <w:rPr>
          <w:b/>
          <w:color w:val="0064A0"/>
          <w:sz w:val="18"/>
        </w:rPr>
        <w:t xml:space="preserve">🔮 Perspectives : </w:t>
      </w:r>
      <w:r>
        <w:rPr>
          <w:sz w:val="18"/>
        </w:rPr>
        <w:t>La société prévoit d'engager des travaux de modernisation dans le cadre de la délégation de service public pour soutenir le développement de ses activités. La stratégie de diversification vers les activités non aériennes devrait contribuer à améliorer la résilience du modèle économique face aux diff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2025, la soci\u00e9t\u00e9 maintient une rentabilit\u00e9 solide et une structure financi\u00e8re saine. La position sur le march\u00e9 des services a\u00e9roportuaires reste d\u00e9fendable \u00e0 moyen terme."}</w:t>
      </w:r>
    </w:p>
    <w:p>
      <w:pPr>
        <w:spacing w:before="40"/>
        <w:ind w:left="400"/>
      </w:pPr>
      <w:r>
        <w:rPr>
          <w:sz w:val="18"/>
        </w:rPr>
        <w:t>SERVAIR ABIDJAN présente des états financiers provisoires pour l'exercice 2025 avec un chiffre d'affaires de 9,25 milliards FCFA contre 9,58 milliards en 2024, soit une baisse de 3,4%. Le résultat net s'établit à 1,35 milliard FCFA en recul par rapport aux 1,81 milliard FCFA de 2024. La société maintient une structure financière solide avec des capitaux propres de 2,17 milliards FCFA et un total actif de 9,25 milliards FCFA. La marge nette reste correcte à 14,6% malgré la baisse de la rentabilité. L'entreprise spécialisée dans les services aéroportuaires fait face à un environnement moins favorable en 2025.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'455 534 041 FCFA', 'capital_social': '1 360 000 000 FCFA', 'immobilisations_nettes': '2 171 733 996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9 250 773 064 FCFA</w:t>
            </w:r>
          </w:p>
        </w:tc>
      </w:tr>
      <w:tr>
        <w:tc>
          <w:tcPr>
            <w:tcW w:type="dxa" w:w="2160"/>
          </w:tcPr>
          <w:p>
            <w:r/>
            <w:r>
              <w:rPr>
                <w:b/>
                <w:sz w:val="16"/>
              </w:rPr>
              <w:t>resultat_net</w:t>
              <w:br/>
            </w:r>
            <w:r>
              <w:rPr>
                <w:sz w:val="18"/>
              </w:rPr>
              <w:t>1 350 656 521 FCFA</w:t>
            </w:r>
          </w:p>
        </w:tc>
        <w:tc>
          <w:tcPr>
            <w:tcW w:type="dxa" w:w="2160"/>
          </w:tcPr>
          <w:p>
            <w:r/>
            <w:r>
              <w:rPr>
                <w:b/>
                <w:sz w:val="16"/>
              </w:rPr>
              <w:t>capitaux_propres</w:t>
              <w:br/>
            </w:r>
            <w:r>
              <w:rPr>
                <w:sz w:val="18"/>
              </w:rPr>
              <w:t>2 171 733 996 FCFA</w:t>
            </w:r>
          </w:p>
        </w:tc>
        <w:tc>
          <w:tcPr>
            <w:tcW w:type="dxa" w:w="2160"/>
          </w:tcPr>
          <w:p>
            <w:r/>
            <w:r>
              <w:rPr>
                <w:b/>
                <w:sz w:val="16"/>
              </w:rPr>
              <w:t>chiffre_affaires</w:t>
              <w:br/>
            </w:r>
            <w:r>
              <w:rPr>
                <w:sz w:val="18"/>
              </w:rPr>
              <w:t>9 250 773 064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3,4% à 9,25 milliards FCFA en 2025</w:t>
      </w:r>
    </w:p>
    <w:p>
      <w:pPr>
        <w:pStyle w:val="ListBullet"/>
        <w:spacing w:before="20" w:after="20"/>
        <w:ind w:left="700"/>
      </w:pPr>
      <w:r>
        <w:rPr>
          <w:sz w:val="18"/>
        </w:rPr>
        <w:t>Recul significatif du résultat net de 25,4% à 1,35 milliard FCFA</w:t>
      </w:r>
    </w:p>
    <w:p>
      <w:pPr>
        <w:pStyle w:val="ListBullet"/>
        <w:spacing w:before="20" w:after="20"/>
        <w:ind w:left="700"/>
      </w:pPr>
      <w:r>
        <w:rPr>
          <w:sz w:val="18"/>
        </w:rPr>
        <w:t>Marge nette maintenue à un niveau correct de 14,6%</w:t>
      </w:r>
    </w:p>
    <w:p>
      <w:pPr>
        <w:pStyle w:val="ListBullet"/>
        <w:spacing w:before="20" w:after="20"/>
        <w:ind w:left="700"/>
      </w:pPr>
      <w:r>
        <w:rPr>
          <w:sz w:val="18"/>
        </w:rPr>
        <w:t>Structure financière solide avec 2,17 milliards FCFA de capitaux propres</w:t>
      </w:r>
    </w:p>
    <w:p>
      <w:pPr>
        <w:pStyle w:val="ListBullet"/>
        <w:spacing w:before="20" w:after="20"/>
        <w:ind w:left="700"/>
      </w:pPr>
      <w:r>
        <w:rPr>
          <w:sz w:val="18"/>
        </w:rPr>
        <w:t>Total actif stable à 9,25 milliards FCFA</w:t>
      </w:r>
    </w:p>
    <w:p>
      <w:pPr>
        <w:pStyle w:val="ListBullet"/>
        <w:spacing w:before="20" w:after="20"/>
        <w:ind w:left="700"/>
      </w:pPr>
      <w:r>
        <w:rPr>
          <w:sz w:val="18"/>
        </w:rPr>
        <w:t>Activité liée aux services aéroportuaires et à la restauration</w:t>
      </w:r>
    </w:p>
    <w:p>
      <w:pPr>
        <w:spacing w:before="40"/>
        <w:ind w:left="400"/>
      </w:pPr>
      <w:r>
        <w:rPr>
          <w:b/>
          <w:color w:val="C05000"/>
          <w:sz w:val="18"/>
        </w:rPr>
        <w:t xml:space="preserve">⚠️ Risques : </w:t>
      </w:r>
      <w:r>
        <w:rPr>
          <w:sz w:val="18"/>
        </w:rPr>
        <w:t>["D\u00e9pendance au secteur a\u00e9roportuaire sensible aux fluctuations du trafic a\u00e9rien", "Baisse tendancielle de l'activit\u00e9 observ\u00e9e en 2025", "Concentration g\u00e9ographique sur le march\u00e9 ivoirien"]</w:t>
      </w:r>
    </w:p>
    <w:p>
      <w:pPr>
        <w:spacing w:before="40"/>
        <w:ind w:left="400"/>
      </w:pPr>
      <w:r>
        <w:rPr>
          <w:b/>
          <w:color w:val="0064A0"/>
          <w:sz w:val="18"/>
        </w:rPr>
        <w:t xml:space="preserve">🔮 Perspectives : </w:t>
      </w:r>
      <w:r>
        <w:rPr>
          <w:sz w:val="18"/>
        </w:rPr>
        <w:t>Les perspectives dépendront de la reprise du trafic aérien et de l'activité aéroportuaire en Côte d'Ivoire. La société devra surveiller l'évolution de ses marges et potentiellement diversifier ses activités pour retrouver une croissance soutenue.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du chiffre d'affaires et une structure financi\u00e8re solide malgr\u00e9 la baisse temporaire du r\u00e9sultat net. La forte position de tr\u00e9sorerie et le renforcement des capitaux propres offrent une base stable pour la croissance future."}</w:t>
      </w:r>
    </w:p>
    <w:p>
      <w:pPr>
        <w:spacing w:before="40"/>
        <w:ind w:left="400"/>
      </w:pPr>
      <w:r>
        <w:rPr>
          <w:sz w:val="18"/>
        </w:rPr>
        <w:t>SERVAIR ABIDJAN affiche une performance financière solide en 2025 avec un chiffre d'affaires en hausse de 6,7% à 13,298 milliards FCFA. Malgré cette croissance du chiffre d'affaires, le résultat net diminue de 12,1% à 1,331 milliard FCFA, principalement dû à l'augmentation significative de la charge d'impôt (+46,7%). Les capitaux propres se renforcent néanmoins à 5,512 milliards FCFA (+31,8%), témoignant d'une structure financière qui se consolide. La trésorerie s'améliore nettement à 4,035 milliards FCFA contre 3,428 milliards en 2024. La société maintient une position financière saine avec un ratio d'endettement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'4,035 milliards FCFA', 'croissance_ca': '6,7%', 'ratio_capitaux_propres': '57,2%', 'resultat_net_par_action': '122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10,0%</w:t>
            </w:r>
          </w:p>
        </w:tc>
        <w:tc>
          <w:tcPr>
            <w:tcW w:type="dxa" w:w="2160"/>
          </w:tcPr>
          <w:p>
            <w:pPr>
              <w:ind w:left="100"/>
            </w:pPr>
            <w:r/>
            <w:r>
              <w:rPr>
                <w:b/>
                <w:sz w:val="16"/>
              </w:rPr>
              <w:t>total_actif</w:t>
              <w:br/>
            </w:r>
            <w:r>
              <w:rPr>
                <w:sz w:val="18"/>
              </w:rPr>
              <w:t>9,632 milliards FCFA</w:t>
            </w:r>
          </w:p>
        </w:tc>
      </w:tr>
      <w:tr>
        <w:tc>
          <w:tcPr>
            <w:tcW w:type="dxa" w:w="2160"/>
          </w:tcPr>
          <w:p>
            <w:r/>
            <w:r>
              <w:rPr>
                <w:b/>
                <w:sz w:val="16"/>
              </w:rPr>
              <w:t>resultat_net</w:t>
              <w:br/>
            </w:r>
            <w:r>
              <w:rPr>
                <w:sz w:val="18"/>
              </w:rPr>
              <w:t>1,331 milliard FCFA</w:t>
            </w:r>
          </w:p>
        </w:tc>
        <w:tc>
          <w:tcPr>
            <w:tcW w:type="dxa" w:w="2160"/>
          </w:tcPr>
          <w:p>
            <w:r/>
            <w:r>
              <w:rPr>
                <w:b/>
                <w:sz w:val="16"/>
              </w:rPr>
              <w:t>capitaux_propres</w:t>
              <w:br/>
            </w:r>
            <w:r>
              <w:rPr>
                <w:sz w:val="18"/>
              </w:rPr>
              <w:t>5,512 milliards FCFA</w:t>
            </w:r>
          </w:p>
        </w:tc>
        <w:tc>
          <w:tcPr>
            <w:tcW w:type="dxa" w:w="2160"/>
          </w:tcPr>
          <w:p>
            <w:r/>
            <w:r>
              <w:rPr>
                <w:b/>
                <w:sz w:val="16"/>
              </w:rPr>
              <w:t>chiffre_affaires</w:t>
              <w:br/>
            </w:r>
            <w:r>
              <w:rPr>
                <w:sz w:val="18"/>
              </w:rPr>
              <w:t>13,298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6,7% à 13,298 milliards FCFA en 2025</w:t>
      </w:r>
    </w:p>
    <w:p>
      <w:pPr>
        <w:pStyle w:val="ListBullet"/>
        <w:spacing w:before="20" w:after="20"/>
        <w:ind w:left="700"/>
      </w:pPr>
      <w:r>
        <w:rPr>
          <w:sz w:val="18"/>
        </w:rPr>
        <w:t>Baisse du résultat net de 12,1% à 1,331 milliard FCFA malgré la hausse du CA</w:t>
      </w:r>
    </w:p>
    <w:p>
      <w:pPr>
        <w:pStyle w:val="ListBullet"/>
        <w:spacing w:before="20" w:after="20"/>
        <w:ind w:left="700"/>
      </w:pPr>
      <w:r>
        <w:rPr>
          <w:sz w:val="18"/>
        </w:rPr>
        <w:t>Augmentation significative de la charge d'impôt (+46,7% à 848 millions FCFA)</w:t>
      </w:r>
    </w:p>
    <w:p>
      <w:pPr>
        <w:pStyle w:val="ListBullet"/>
        <w:spacing w:before="20" w:after="20"/>
        <w:ind w:left="700"/>
      </w:pPr>
      <w:r>
        <w:rPr>
          <w:sz w:val="18"/>
        </w:rPr>
        <w:t>Renforcement des capitaux propres de 31,8% à 5,512 milliards FCFA</w:t>
      </w:r>
    </w:p>
    <w:p>
      <w:pPr>
        <w:pStyle w:val="ListBullet"/>
        <w:spacing w:before="20" w:after="20"/>
        <w:ind w:left="700"/>
      </w:pPr>
      <w:r>
        <w:rPr>
          <w:sz w:val="18"/>
        </w:rPr>
        <w:t>Amélioration de la trésorerie de 607 millions FCFA sur l'exercice</w:t>
      </w:r>
    </w:p>
    <w:p>
      <w:pPr>
        <w:pStyle w:val="ListBullet"/>
        <w:spacing w:before="20" w:after="20"/>
        <w:ind w:left="700"/>
      </w:pPr>
      <w:r>
        <w:rPr>
          <w:sz w:val="18"/>
        </w:rPr>
        <w:t>Diminution du besoin en fonds de roulement de 250 millions FCFA</w:t>
      </w:r>
    </w:p>
    <w:p>
      <w:pPr>
        <w:spacing w:before="40"/>
        <w:ind w:left="400"/>
      </w:pPr>
      <w:r>
        <w:rPr>
          <w:b/>
          <w:color w:val="C05000"/>
          <w:sz w:val="18"/>
        </w:rPr>
        <w:t xml:space="preserve">⚠️ Risques : </w:t>
      </w:r>
      <w:r>
        <w:rPr>
          <w:sz w:val="18"/>
        </w:rPr>
        <w:t>["Pression fiscale \u00e9lev\u00e9e avec une charge d'imp\u00f4t en forte augmentation", "Baisse de la rentabilit\u00e9 nette malgr\u00e9 la croissance du chiffre d'affaires", "D\u00e9pendance au secteur a\u00e9roportuaire et \u00e0 l'activit\u00e9 de l'a\u00e9roport d'Abidjan"]</w:t>
      </w:r>
    </w:p>
    <w:p>
      <w:pPr>
        <w:spacing w:before="40"/>
        <w:ind w:left="400"/>
      </w:pPr>
      <w:r>
        <w:rPr>
          <w:b/>
          <w:color w:val="0064A0"/>
          <w:sz w:val="18"/>
        </w:rPr>
        <w:t xml:space="preserve">🔮 Perspectives : </w:t>
      </w:r>
      <w:r>
        <w:rPr>
          <w:sz w:val="18"/>
        </w:rPr>
        <w:t>Les perspectives restent favorables avec une croissance du chiffre d'affaires qui devrait se poursuivre dans le secteur des services aéroportuaires. La société devra optimiser sa gestion fiscale et opérationnelle pour retrouver une progression du résultat net. La solide position de trésorerie lui do</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exceptionnelle avec une rentabilit\u00e9 en forte am\u00e9lioration, positionn\u00e9e sur un secteur porteur. Les fondamentaux financiers sont solides malgr\u00e9 les retards de communication signal\u00e9s."}</w:t>
      </w:r>
    </w:p>
    <w:p>
      <w:pPr>
        <w:spacing w:before="40"/>
        <w:ind w:left="400"/>
      </w:pPr>
      <w:r>
        <w:rPr>
          <w:sz w:val="18"/>
        </w:rPr>
        <w:t>SERVAIR Abidjan, société spécialisée dans les services aéroportuaires en Côte d'Ivoire, présente des résultats semestriels 2022 attestés par Deloitte et Ernst &amp; Young. Le chiffre d'affaires semestriel s'élève à 4,842 milliards FCFA contre 3,554 milliards sur la même période en 2021, soit une croissance de 36,24%. Le résultat net atteint 1,044 milliard FCFA contre 217 millions en 2021, marquant une amélioration significative de la rentabilité. Les activités ordinaires génèrent un résultat de 958 millions FCFA contre 35 millions l'année précédente. L'attestation des commissaires aux comptes confirme la conformité des états financiers mais signale un retard dans la communication des documents.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{'periode': 'Semestriel 2022', 'variation_ca': '+36,24%', 'variation_resultat_net': '+381%', 'resultat_activites_ordinaires': '958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1,044 milliard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4,842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+36,24% au premier semestre 2022</w:t>
      </w:r>
    </w:p>
    <w:p>
      <w:pPr>
        <w:pStyle w:val="ListBullet"/>
        <w:spacing w:before="20" w:after="20"/>
        <w:ind w:left="700"/>
      </w:pPr>
      <w:r>
        <w:rPr>
          <w:sz w:val="18"/>
        </w:rPr>
        <w:t>Multiplication par 4,8 du résultat net passant de 217M FCFA à 1,044Md FCFA</w:t>
      </w:r>
    </w:p>
    <w:p>
      <w:pPr>
        <w:pStyle w:val="ListBullet"/>
        <w:spacing w:before="20" w:after="20"/>
        <w:ind w:left="700"/>
      </w:pPr>
      <w:r>
        <w:rPr>
          <w:sz w:val="18"/>
        </w:rPr>
        <w:t>Forte amélioration du résultat des activités ordinaires (+2636%)</w:t>
      </w:r>
    </w:p>
    <w:p>
      <w:pPr>
        <w:pStyle w:val="ListBullet"/>
        <w:spacing w:before="20" w:after="20"/>
        <w:ind w:left="700"/>
      </w:pPr>
      <w:r>
        <w:rPr>
          <w:sz w:val="18"/>
        </w:rPr>
        <w:t>Performance opérationnelle remarquable avec une marge nette estimée à 21,6%</w:t>
      </w:r>
    </w:p>
    <w:p>
      <w:pPr>
        <w:pStyle w:val="ListBullet"/>
        <w:spacing w:before="20" w:after="20"/>
        <w:ind w:left="700"/>
      </w:pPr>
      <w:r>
        <w:rPr>
          <w:sz w:val="18"/>
        </w:rPr>
        <w:t>Retard signalé par les commissaires aux comptes dans la communication des documents</w:t>
      </w:r>
    </w:p>
    <w:p>
      <w:pPr>
        <w:pStyle w:val="ListBullet"/>
        <w:spacing w:before="20" w:after="20"/>
        <w:ind w:left="700"/>
      </w:pPr>
      <w:r>
        <w:rPr>
          <w:sz w:val="18"/>
        </w:rPr>
        <w:t>Attestation sans réserve des commissaires aux comptes Deloitte et Ernst &amp; Young</w:t>
      </w:r>
    </w:p>
    <w:p>
      <w:pPr>
        <w:spacing w:before="40"/>
        <w:ind w:left="400"/>
      </w:pPr>
      <w:r>
        <w:rPr>
          <w:b/>
          <w:color w:val="C05000"/>
          <w:sz w:val="18"/>
        </w:rPr>
        <w:t xml:space="preserve">⚠️ Risques : </w:t>
      </w:r>
      <w:r>
        <w:rPr>
          <w:sz w:val="18"/>
        </w:rPr>
        <w:t>["D\u00e9pendance au trafic a\u00e9rien et \u00e0 la conjoncture du transport a\u00e9rien", "Retards dans la communication d'informations financi\u00e8res aux r\u00e9gulateurs", "Concentration g\u00e9ographique sur le march\u00e9 ivoirien et exposition aux risques pays"]</w:t>
      </w:r>
    </w:p>
    <w:p>
      <w:pPr>
        <w:spacing w:before="40"/>
        <w:ind w:left="400"/>
      </w:pPr>
      <w:r>
        <w:rPr>
          <w:b/>
          <w:color w:val="0064A0"/>
          <w:sz w:val="18"/>
        </w:rPr>
        <w:t xml:space="preserve">🔮 Perspectives : </w:t>
      </w:r>
      <w:r>
        <w:rPr>
          <w:sz w:val="18"/>
        </w:rPr>
        <w:t>Les perspectives restent favorables compte tenu de la reprise du trafic aérien post-COVID et de la position dominante de SERVAIR sur son marché. La société devrait bénéficier de la croissance continue du secteur aéroportuaire en Côte d'Ivoire, sous réserve d'améliorer sa gouvernance et ses délais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la baisse significative de la rentabilit\u00e9 et les difficult\u00e9s r\u00e9glementaires constituent des pr\u00e9occupations. La position d'attente est pr\u00e9f\u00e9rable en attendant la r\u00e9solution du litige douanier."}</w:t>
      </w:r>
    </w:p>
    <w:p>
      <w:pPr>
        <w:spacing w:before="40"/>
        <w:ind w:left="400"/>
      </w:pPr>
      <w:r>
        <w:rPr>
          <w:sz w:val="18"/>
        </w:rPr>
        <w:t>Servair Abidjan affiche une croissance modérée de son chiffre d'affaires de 3,2% au 1er trimestre 2025 à 3,18 milliards FCFA. Cependant, le résultat des activités ordinaires recule de 6,9% à 451 millions FCFA et le résultat net chute de 6,8% à 346 millions FCFA. Cette dégradation de la rentabilité s'explique par des charges exceptionnelles liées aux frais de personnel et une provision pour créance douteuse. La société fait face à des difficultés réglementaires avec une interdiction de transfert de devises à l'international suite à un litige douanier. Malgré ces défis, l'activité aérienne progresse de 2% et un nouveau contrat de collectivité avec Abidjan Terminal a été signé.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'3,2%', 'capital_social': '1 364 000 000 FCFA', 'variation_resultat_net': '-6,8%', 'resultat_activites_ordinaires': '451 418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345 949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3 175 808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3,2% à 3,18 milliards FCFA au T1 2025</w:t>
      </w:r>
    </w:p>
    <w:p>
      <w:pPr>
        <w:pStyle w:val="ListBullet"/>
        <w:spacing w:before="20" w:after="20"/>
        <w:ind w:left="700"/>
      </w:pPr>
      <w:r>
        <w:rPr>
          <w:sz w:val="18"/>
        </w:rPr>
        <w:t>Résultat net en baisse de 6,8% à 346 millions FCFA contre 371 millions FCFA</w:t>
      </w:r>
    </w:p>
    <w:p>
      <w:pPr>
        <w:pStyle w:val="ListBullet"/>
        <w:spacing w:before="20" w:after="20"/>
        <w:ind w:left="700"/>
      </w:pPr>
      <w:r>
        <w:rPr>
          <w:sz w:val="18"/>
        </w:rPr>
        <w:t>Résultat des activités ordinaires en recul de 6,9% à 451 millions FCFA</w:t>
      </w:r>
    </w:p>
    <w:p>
      <w:pPr>
        <w:pStyle w:val="ListBullet"/>
        <w:spacing w:before="20" w:after="20"/>
        <w:ind w:left="700"/>
      </w:pPr>
      <w:r>
        <w:rPr>
          <w:sz w:val="18"/>
        </w:rPr>
        <w:t>Charges exceptionnelles liées aux frais de personnel et provision pour créance douteuse</w:t>
      </w:r>
    </w:p>
    <w:p>
      <w:pPr>
        <w:pStyle w:val="ListBullet"/>
        <w:spacing w:before="20" w:after="20"/>
        <w:ind w:left="700"/>
      </w:pPr>
      <w:r>
        <w:rPr>
          <w:sz w:val="18"/>
        </w:rPr>
        <w:t>Interdiction de transfert de devises à l'international suite à un litige douanier</w:t>
      </w:r>
    </w:p>
    <w:p>
      <w:pPr>
        <w:pStyle w:val="ListBullet"/>
        <w:spacing w:before="20" w:after="20"/>
        <w:ind w:left="700"/>
      </w:pPr>
      <w:r>
        <w:rPr>
          <w:sz w:val="18"/>
        </w:rPr>
        <w:t>Croissance de l'activité aérienne de 2% et poursuite du développement non-aérien</w:t>
      </w:r>
    </w:p>
    <w:p>
      <w:pPr>
        <w:spacing w:before="40"/>
        <w:ind w:left="400"/>
      </w:pPr>
      <w:r>
        <w:rPr>
          <w:b/>
          <w:color w:val="C05000"/>
          <w:sz w:val="18"/>
        </w:rPr>
        <w:t xml:space="preserve">⚠️ Risques : </w:t>
      </w:r>
      <w:r>
        <w:rPr>
          <w:sz w:val="18"/>
        </w:rPr>
        <w:t>["Litige douanier entra\u00eenant une interdiction de transfert de devises \u00e0 l'international", "D\u00e9gradation continue de la rentabilit\u00e9 avec charges exceptionnelles r\u00e9currentes", "Exposition aux cr\u00e9ances douteuses n\u00e9cessitant des provisions"]</w:t>
      </w:r>
    </w:p>
    <w:p>
      <w:pPr>
        <w:spacing w:before="40"/>
        <w:ind w:left="400"/>
      </w:pPr>
      <w:r>
        <w:rPr>
          <w:b/>
          <w:color w:val="0064A0"/>
          <w:sz w:val="18"/>
        </w:rPr>
        <w:t xml:space="preserve">🔮 Perspectives : </w:t>
      </w:r>
      <w:r>
        <w:rPr>
          <w:sz w:val="18"/>
        </w:rPr>
        <w:t>Les perspectives dépendent largement de la résolution du litige douanier qui pèse sur les opérations internationales. Le développement de l'activité non-aérienne et les nouveaux contrats comme celui avec Abidjan Terminal offrent des opportunités de diversification. La signature de la convention de r</w:t>
      </w:r>
    </w:p>
    <w:p/>
    <w:p>
      <w:r>
        <w:t>════════════════════════════════════════════════════════════════════════════════</w:t>
      </w:r>
    </w:p>
    <w:p>
      <w:r>
        <w:br w:type="page"/>
      </w:r>
    </w:p>
    <w:p>
      <w:pPr>
        <w:pStyle w:val="Heading2"/>
        <w:spacing w:before="360"/>
      </w:pPr>
      <w:r>
        <w:rPr>
          <w:color w:val="0066CC"/>
        </w:rPr>
        <w:t>2. BICB - BIIC BN - Banque internationale pour le commerce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BICB</w:t>
            </w:r>
          </w:p>
          <w:p>
            <w:r>
              <w:rPr>
                <w:b/>
                <w:color w:val="323250"/>
                <w:sz w:val="16"/>
              </w:rPr>
              <w:t xml:space="preserve">Société : </w:t>
            </w:r>
            <w:r>
              <w:rPr>
                <w:color w:val="000000"/>
                <w:sz w:val="16"/>
              </w:rPr>
              <w:t>BIIC BN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491.54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11,379 titres</w:t>
            </w:r>
          </w:p>
        </w:tc>
        <w:tc>
          <w:tcPr>
            <w:tcW w:type="dxa" w:w="2268"/>
            <w:shd w:fill="FFF2CC" w:val="clear"/>
          </w:tcPr>
          <w:p>
            <w:r>
              <w:rPr>
                <w:b/>
                <w:color w:val="503200"/>
                <w:sz w:val="16"/>
              </w:rPr>
              <w:t xml:space="preserve">Cours actuel : </w:t>
            </w:r>
            <w:r>
              <w:rPr>
                <w:color w:val="000000"/>
                <w:sz w:val="17"/>
              </w:rPr>
              <w:t>8,510 FCFA</w:t>
            </w:r>
          </w:p>
          <w:p>
            <w:r>
              <w:rPr>
                <w:b/>
                <w:color w:val="503200"/>
                <w:sz w:val="16"/>
              </w:rPr>
              <w:t xml:space="preserve">Var. 100 jours : </w:t>
            </w:r>
            <w:r>
              <w:rPr>
                <w:b/>
                <w:color w:val="007800"/>
                <w:sz w:val="17"/>
              </w:rPr>
              <w:t>+65.24%</w:t>
            </w:r>
          </w:p>
          <w:p>
            <w:r>
              <w:rPr>
                <w:b/>
                <w:color w:val="503200"/>
                <w:sz w:val="16"/>
              </w:rPr>
              <w:t xml:space="preserve">Plus haut 100j : </w:t>
            </w:r>
            <w:r>
              <w:rPr>
                <w:color w:val="000000"/>
                <w:sz w:val="17"/>
              </w:rPr>
              <w:t>8,510 FCFA</w:t>
            </w:r>
          </w:p>
          <w:p>
            <w:r>
              <w:rPr>
                <w:b/>
                <w:color w:val="503200"/>
                <w:sz w:val="16"/>
              </w:rPr>
              <w:t xml:space="preserve">Plus bas 100j : </w:t>
            </w:r>
            <w:r>
              <w:rPr>
                <w:color w:val="000000"/>
                <w:sz w:val="17"/>
              </w:rPr>
              <w:t>5,100 FCFA</w:t>
            </w:r>
          </w:p>
          <w:p>
            <w:r>
              <w:rPr>
                <w:b/>
                <w:color w:val="503200"/>
                <w:sz w:val="16"/>
              </w:rPr>
              <w:t xml:space="preserve">Volatilité ann. : </w:t>
            </w:r>
            <w:r>
              <w:rPr>
                <w:color w:val="000000"/>
                <w:sz w:val="17"/>
              </w:rPr>
              <w:t>30.6%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24.3/100 → Moyen</w:t>
      </w:r>
    </w:p>
    <w:p>
      <w:pPr>
        <w:spacing w:before="40" w:after="80"/>
      </w:pPr>
      <w:r>
        <w:rPr>
          <w:rFonts w:ascii="Courier New" w:hAnsi="Courier New"/>
          <w:color w:val="825A00"/>
          <w:sz w:val="18"/>
        </w:rPr>
        <w:t>████░░░░░░░░░░░░░░░░  24.3/100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18.35% (Élevée) — μ=6,142 FCFA, σ=1,127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β=0.2723 (Défensif) — Cov=0.000010, Var(idx)=0.000035, ρ=0.084,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11,379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Vente=3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σ_j=1.93%/j (Stable) — Vol. annualisée≈30.6%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2026-08-28</w:t>
            </w:r>
          </w:p>
        </w:tc>
        <w:tc>
          <w:tcPr>
            <w:tcW w:type="dxa" w:w="1440"/>
            <w:shd w:fill="FFDCE0" w:val="clear"/>
          </w:tcPr>
          <w:p>
            <w:r>
              <w:rPr>
                <w:sz w:val="17"/>
              </w:rPr>
              <w:t>7,530</w:t>
            </w:r>
          </w:p>
        </w:tc>
        <w:tc>
          <w:tcPr>
            <w:tcW w:type="dxa" w:w="1440"/>
            <w:shd w:fill="FFDCE0" w:val="clear"/>
          </w:tcPr>
          <w:p>
            <w:r>
              <w:rPr>
                <w:b/>
                <w:sz w:val="17"/>
              </w:rPr>
              <w:t>7,872</w:t>
            </w:r>
          </w:p>
        </w:tc>
        <w:tc>
          <w:tcPr>
            <w:tcW w:type="dxa" w:w="1440"/>
            <w:shd w:fill="FFDCE0" w:val="clear"/>
          </w:tcPr>
          <w:p>
            <w:r>
              <w:rPr>
                <w:sz w:val="17"/>
              </w:rPr>
              <w:t>8,213</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2026-08-31</w:t>
            </w:r>
          </w:p>
        </w:tc>
        <w:tc>
          <w:tcPr>
            <w:tcW w:type="dxa" w:w="1440"/>
            <w:shd w:fill="FFDCE0" w:val="clear"/>
          </w:tcPr>
          <w:p>
            <w:r>
              <w:rPr>
                <w:sz w:val="17"/>
              </w:rPr>
              <w:t>6,834</w:t>
            </w:r>
          </w:p>
        </w:tc>
        <w:tc>
          <w:tcPr>
            <w:tcW w:type="dxa" w:w="1440"/>
            <w:shd w:fill="FFDCE0" w:val="clear"/>
          </w:tcPr>
          <w:p>
            <w:r>
              <w:rPr>
                <w:b/>
                <w:sz w:val="17"/>
              </w:rPr>
              <w:t>7,281</w:t>
            </w:r>
          </w:p>
        </w:tc>
        <w:tc>
          <w:tcPr>
            <w:tcW w:type="dxa" w:w="1440"/>
            <w:shd w:fill="FFDCE0" w:val="clear"/>
          </w:tcPr>
          <w:p>
            <w:r>
              <w:rPr>
                <w:sz w:val="17"/>
              </w:rPr>
              <w:t>7,728</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2026-09-01</w:t>
            </w:r>
          </w:p>
        </w:tc>
        <w:tc>
          <w:tcPr>
            <w:tcW w:type="dxa" w:w="1440"/>
            <w:shd w:fill="FFDCE0" w:val="clear"/>
          </w:tcPr>
          <w:p>
            <w:r>
              <w:rPr>
                <w:sz w:val="17"/>
              </w:rPr>
              <w:t>6,229</w:t>
            </w:r>
          </w:p>
        </w:tc>
        <w:tc>
          <w:tcPr>
            <w:tcW w:type="dxa" w:w="1440"/>
            <w:shd w:fill="FFDCE0" w:val="clear"/>
          </w:tcPr>
          <w:p>
            <w:r>
              <w:rPr>
                <w:b/>
                <w:sz w:val="17"/>
              </w:rPr>
              <w:t>6,735</w:t>
            </w:r>
          </w:p>
        </w:tc>
        <w:tc>
          <w:tcPr>
            <w:tcW w:type="dxa" w:w="1440"/>
            <w:shd w:fill="FFDCE0" w:val="clear"/>
          </w:tcPr>
          <w:p>
            <w:r>
              <w:rPr>
                <w:sz w:val="17"/>
              </w:rPr>
              <w:t>7,242</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2026-09-02</w:t>
            </w:r>
          </w:p>
        </w:tc>
        <w:tc>
          <w:tcPr>
            <w:tcW w:type="dxa" w:w="1440"/>
            <w:shd w:fill="FFDCE0" w:val="clear"/>
          </w:tcPr>
          <w:p>
            <w:r>
              <w:rPr>
                <w:sz w:val="17"/>
              </w:rPr>
              <w:t>5,699</w:t>
            </w:r>
          </w:p>
        </w:tc>
        <w:tc>
          <w:tcPr>
            <w:tcW w:type="dxa" w:w="1440"/>
            <w:shd w:fill="FFDCE0" w:val="clear"/>
          </w:tcPr>
          <w:p>
            <w:r>
              <w:rPr>
                <w:b/>
                <w:sz w:val="17"/>
              </w:rPr>
              <w:t>6,241</w:t>
            </w:r>
          </w:p>
        </w:tc>
        <w:tc>
          <w:tcPr>
            <w:tcW w:type="dxa" w:w="1440"/>
            <w:shd w:fill="FFDCE0" w:val="clear"/>
          </w:tcPr>
          <w:p>
            <w:r>
              <w:rPr>
                <w:sz w:val="17"/>
              </w:rPr>
              <w:t>6,782</w:t>
            </w:r>
          </w:p>
        </w:tc>
        <w:tc>
          <w:tcPr>
            <w:tcW w:type="dxa" w:w="1440"/>
            <w:shd w:fill="FFDCE0" w:val="clear"/>
          </w:tcPr>
          <w:p>
            <w:r>
              <w:rPr>
                <w:b/>
                <w:color w:val="C00000"/>
                <w:sz w:val="17"/>
              </w:rPr>
              <w:t>-26.7%</w:t>
            </w:r>
          </w:p>
        </w:tc>
      </w:tr>
      <w:tr>
        <w:tc>
          <w:tcPr>
            <w:tcW w:type="dxa" w:w="1440"/>
            <w:shd w:fill="FFDCE0" w:val="clear"/>
          </w:tcPr>
          <w:p>
            <w:r>
              <w:rPr>
                <w:sz w:val="17"/>
              </w:rPr>
              <w:t>J+5  ⭐</w:t>
            </w:r>
          </w:p>
        </w:tc>
        <w:tc>
          <w:tcPr>
            <w:tcW w:type="dxa" w:w="1440"/>
            <w:shd w:fill="FFDCE0" w:val="clear"/>
          </w:tcPr>
          <w:p>
            <w:r>
              <w:rPr>
                <w:sz w:val="17"/>
              </w:rPr>
              <w:t>2026-09-03</w:t>
            </w:r>
          </w:p>
        </w:tc>
        <w:tc>
          <w:tcPr>
            <w:tcW w:type="dxa" w:w="1440"/>
            <w:shd w:fill="FFDCE0" w:val="clear"/>
          </w:tcPr>
          <w:p>
            <w:r>
              <w:rPr>
                <w:sz w:val="17"/>
              </w:rPr>
              <w:t>5,484</w:t>
            </w:r>
          </w:p>
        </w:tc>
        <w:tc>
          <w:tcPr>
            <w:tcW w:type="dxa" w:w="1440"/>
            <w:shd w:fill="FFDCE0" w:val="clear"/>
          </w:tcPr>
          <w:p>
            <w:r>
              <w:rPr>
                <w:b/>
                <w:sz w:val="17"/>
              </w:rPr>
              <w:t>6,073</w:t>
            </w:r>
          </w:p>
        </w:tc>
        <w:tc>
          <w:tcPr>
            <w:tcW w:type="dxa" w:w="1440"/>
            <w:shd w:fill="FFDCE0" w:val="clear"/>
          </w:tcPr>
          <w:p>
            <w:r>
              <w:rPr>
                <w:sz w:val="17"/>
              </w:rPr>
              <w:t>6,662</w:t>
            </w:r>
          </w:p>
        </w:tc>
        <w:tc>
          <w:tcPr>
            <w:tcW w:type="dxa" w:w="1440"/>
            <w:shd w:fill="FFDCE0" w:val="clear"/>
          </w:tcPr>
          <w:p>
            <w:r>
              <w:rPr>
                <w:b/>
                <w:color w:val="C00000"/>
                <w:sz w:val="17"/>
              </w:rPr>
              <w:t>-28.6%</w:t>
            </w:r>
          </w:p>
        </w:tc>
      </w:tr>
      <w:tr>
        <w:tc>
          <w:tcPr>
            <w:tcW w:type="dxa" w:w="1440"/>
            <w:shd w:fill="FFDCE0" w:val="clear"/>
          </w:tcPr>
          <w:p>
            <w:r>
              <w:rPr>
                <w:sz w:val="17"/>
              </w:rPr>
              <w:t>J+6  ⭐</w:t>
            </w:r>
          </w:p>
        </w:tc>
        <w:tc>
          <w:tcPr>
            <w:tcW w:type="dxa" w:w="1440"/>
            <w:shd w:fill="FFDCE0" w:val="clear"/>
          </w:tcPr>
          <w:p>
            <w:r>
              <w:rPr>
                <w:sz w:val="17"/>
              </w:rPr>
              <w:t>2026-09-04</w:t>
            </w:r>
          </w:p>
        </w:tc>
        <w:tc>
          <w:tcPr>
            <w:tcW w:type="dxa" w:w="1440"/>
            <w:shd w:fill="FFDCE0" w:val="clear"/>
          </w:tcPr>
          <w:p>
            <w:r>
              <w:rPr>
                <w:sz w:val="17"/>
              </w:rPr>
              <w:t>5,296</w:t>
            </w:r>
          </w:p>
        </w:tc>
        <w:tc>
          <w:tcPr>
            <w:tcW w:type="dxa" w:w="1440"/>
            <w:shd w:fill="FFDCE0" w:val="clear"/>
          </w:tcPr>
          <w:p>
            <w:r>
              <w:rPr>
                <w:b/>
                <w:sz w:val="17"/>
              </w:rPr>
              <w:t>5,927</w:t>
            </w:r>
          </w:p>
        </w:tc>
        <w:tc>
          <w:tcPr>
            <w:tcW w:type="dxa" w:w="1440"/>
            <w:shd w:fill="FFDCE0" w:val="clear"/>
          </w:tcPr>
          <w:p>
            <w:r>
              <w:rPr>
                <w:sz w:val="17"/>
              </w:rPr>
              <w:t>6,557</w:t>
            </w:r>
          </w:p>
        </w:tc>
        <w:tc>
          <w:tcPr>
            <w:tcW w:type="dxa" w:w="1440"/>
            <w:shd w:fill="FFDCE0" w:val="clear"/>
          </w:tcPr>
          <w:p>
            <w:r>
              <w:rPr>
                <w:b/>
                <w:color w:val="C00000"/>
                <w:sz w:val="17"/>
              </w:rPr>
              <w:t>-30.4%</w:t>
            </w:r>
          </w:p>
        </w:tc>
      </w:tr>
      <w:tr>
        <w:tc>
          <w:tcPr>
            <w:tcW w:type="dxa" w:w="1440"/>
            <w:shd w:fill="FFDCE0" w:val="clear"/>
          </w:tcPr>
          <w:p>
            <w:r>
              <w:rPr>
                <w:sz w:val="17"/>
              </w:rPr>
              <w:t>J+7  ⭐</w:t>
            </w:r>
          </w:p>
        </w:tc>
        <w:tc>
          <w:tcPr>
            <w:tcW w:type="dxa" w:w="1440"/>
            <w:shd w:fill="FFDCE0" w:val="clear"/>
          </w:tcPr>
          <w:p>
            <w:r>
              <w:rPr>
                <w:sz w:val="17"/>
              </w:rPr>
              <w:t>2026-09-07</w:t>
            </w:r>
          </w:p>
        </w:tc>
        <w:tc>
          <w:tcPr>
            <w:tcW w:type="dxa" w:w="1440"/>
            <w:shd w:fill="FFDCE0" w:val="clear"/>
          </w:tcPr>
          <w:p>
            <w:r>
              <w:rPr>
                <w:sz w:val="17"/>
              </w:rPr>
              <w:t>5,134</w:t>
            </w:r>
          </w:p>
        </w:tc>
        <w:tc>
          <w:tcPr>
            <w:tcW w:type="dxa" w:w="1440"/>
            <w:shd w:fill="FFDCE0" w:val="clear"/>
          </w:tcPr>
          <w:p>
            <w:r>
              <w:rPr>
                <w:b/>
                <w:sz w:val="17"/>
              </w:rPr>
              <w:t>5,800</w:t>
            </w:r>
          </w:p>
        </w:tc>
        <w:tc>
          <w:tcPr>
            <w:tcW w:type="dxa" w:w="1440"/>
            <w:shd w:fill="FFDCE0" w:val="clear"/>
          </w:tcPr>
          <w:p>
            <w:r>
              <w:rPr>
                <w:sz w:val="17"/>
              </w:rPr>
              <w:t>6,466</w:t>
            </w:r>
          </w:p>
        </w:tc>
        <w:tc>
          <w:tcPr>
            <w:tcW w:type="dxa" w:w="1440"/>
            <w:shd w:fill="FFDCE0" w:val="clear"/>
          </w:tcPr>
          <w:p>
            <w:r>
              <w:rPr>
                <w:b/>
                <w:color w:val="C00000"/>
                <w:sz w:val="17"/>
              </w:rPr>
              <w:t>-31.8%</w:t>
            </w:r>
          </w:p>
        </w:tc>
      </w:tr>
      <w:tr>
        <w:tc>
          <w:tcPr>
            <w:tcW w:type="dxa" w:w="1440"/>
            <w:shd w:fill="FFDCE0" w:val="clear"/>
          </w:tcPr>
          <w:p>
            <w:r>
              <w:rPr>
                <w:sz w:val="17"/>
              </w:rPr>
              <w:t>J+8  ⭐</w:t>
            </w:r>
          </w:p>
        </w:tc>
        <w:tc>
          <w:tcPr>
            <w:tcW w:type="dxa" w:w="1440"/>
            <w:shd w:fill="FFDCE0" w:val="clear"/>
          </w:tcPr>
          <w:p>
            <w:r>
              <w:rPr>
                <w:sz w:val="17"/>
              </w:rPr>
              <w:t>2026-09-08</w:t>
            </w:r>
          </w:p>
        </w:tc>
        <w:tc>
          <w:tcPr>
            <w:tcW w:type="dxa" w:w="1440"/>
            <w:shd w:fill="FFDCE0" w:val="clear"/>
          </w:tcPr>
          <w:p>
            <w:r>
              <w:rPr>
                <w:sz w:val="17"/>
              </w:rPr>
              <w:t>4,992</w:t>
            </w:r>
          </w:p>
        </w:tc>
        <w:tc>
          <w:tcPr>
            <w:tcW w:type="dxa" w:w="1440"/>
            <w:shd w:fill="FFDCE0" w:val="clear"/>
          </w:tcPr>
          <w:p>
            <w:r>
              <w:rPr>
                <w:b/>
                <w:sz w:val="17"/>
              </w:rPr>
              <w:t>5,690</w:t>
            </w:r>
          </w:p>
        </w:tc>
        <w:tc>
          <w:tcPr>
            <w:tcW w:type="dxa" w:w="1440"/>
            <w:shd w:fill="FFDCE0" w:val="clear"/>
          </w:tcPr>
          <w:p>
            <w:r>
              <w:rPr>
                <w:sz w:val="17"/>
              </w:rPr>
              <w:t>6,389</w:t>
            </w:r>
          </w:p>
        </w:tc>
        <w:tc>
          <w:tcPr>
            <w:tcW w:type="dxa" w:w="1440"/>
            <w:shd w:fill="FFDCE0" w:val="clear"/>
          </w:tcPr>
          <w:p>
            <w:r>
              <w:rPr>
                <w:b/>
                <w:color w:val="C00000"/>
                <w:sz w:val="17"/>
              </w:rPr>
              <w:t>-33.1%</w:t>
            </w:r>
          </w:p>
        </w:tc>
      </w:tr>
      <w:tr>
        <w:tc>
          <w:tcPr>
            <w:tcW w:type="dxa" w:w="1440"/>
            <w:shd w:fill="FFDCE0" w:val="clear"/>
          </w:tcPr>
          <w:p>
            <w:r>
              <w:rPr>
                <w:sz w:val="17"/>
              </w:rPr>
              <w:t>J+9  ⭐</w:t>
            </w:r>
          </w:p>
        </w:tc>
        <w:tc>
          <w:tcPr>
            <w:tcW w:type="dxa" w:w="1440"/>
            <w:shd w:fill="FFDCE0" w:val="clear"/>
          </w:tcPr>
          <w:p>
            <w:r>
              <w:rPr>
                <w:sz w:val="17"/>
              </w:rPr>
              <w:t>2026-09-09</w:t>
            </w:r>
          </w:p>
        </w:tc>
        <w:tc>
          <w:tcPr>
            <w:tcW w:type="dxa" w:w="1440"/>
            <w:shd w:fill="FFDCE0" w:val="clear"/>
          </w:tcPr>
          <w:p>
            <w:r>
              <w:rPr>
                <w:sz w:val="17"/>
              </w:rPr>
              <w:t>4,867</w:t>
            </w:r>
          </w:p>
        </w:tc>
        <w:tc>
          <w:tcPr>
            <w:tcW w:type="dxa" w:w="1440"/>
            <w:shd w:fill="FFDCE0" w:val="clear"/>
          </w:tcPr>
          <w:p>
            <w:r>
              <w:rPr>
                <w:b/>
                <w:sz w:val="17"/>
              </w:rPr>
              <w:t>5,595</w:t>
            </w:r>
          </w:p>
        </w:tc>
        <w:tc>
          <w:tcPr>
            <w:tcW w:type="dxa" w:w="1440"/>
            <w:shd w:fill="FFDCE0" w:val="clear"/>
          </w:tcPr>
          <w:p>
            <w:r>
              <w:rPr>
                <w:sz w:val="17"/>
              </w:rPr>
              <w:t>6,324</w:t>
            </w:r>
          </w:p>
        </w:tc>
        <w:tc>
          <w:tcPr>
            <w:tcW w:type="dxa" w:w="1440"/>
            <w:shd w:fill="FFDCE0" w:val="clear"/>
          </w:tcPr>
          <w:p>
            <w:r>
              <w:rPr>
                <w:b/>
                <w:color w:val="C00000"/>
                <w:sz w:val="17"/>
              </w:rPr>
              <w:t>-34.2%</w:t>
            </w:r>
          </w:p>
        </w:tc>
      </w:tr>
      <w:tr>
        <w:tc>
          <w:tcPr>
            <w:tcW w:type="dxa" w:w="1440"/>
            <w:shd w:fill="FFDCE0" w:val="clear"/>
          </w:tcPr>
          <w:p>
            <w:r>
              <w:rPr>
                <w:sz w:val="17"/>
              </w:rPr>
              <w:t>J+10  ⭐</w:t>
            </w:r>
          </w:p>
        </w:tc>
        <w:tc>
          <w:tcPr>
            <w:tcW w:type="dxa" w:w="1440"/>
            <w:shd w:fill="FFDCE0" w:val="clear"/>
          </w:tcPr>
          <w:p>
            <w:r>
              <w:rPr>
                <w:sz w:val="17"/>
              </w:rPr>
              <w:t>2026-09-10</w:t>
            </w:r>
          </w:p>
        </w:tc>
        <w:tc>
          <w:tcPr>
            <w:tcW w:type="dxa" w:w="1440"/>
            <w:shd w:fill="FFDCE0" w:val="clear"/>
          </w:tcPr>
          <w:p>
            <w:r>
              <w:rPr>
                <w:sz w:val="17"/>
              </w:rPr>
              <w:t>4,757</w:t>
            </w:r>
          </w:p>
        </w:tc>
        <w:tc>
          <w:tcPr>
            <w:tcW w:type="dxa" w:w="1440"/>
            <w:shd w:fill="FFDCE0" w:val="clear"/>
          </w:tcPr>
          <w:p>
            <w:r>
              <w:rPr>
                <w:b/>
                <w:sz w:val="17"/>
              </w:rPr>
              <w:t>5,514</w:t>
            </w:r>
          </w:p>
        </w:tc>
        <w:tc>
          <w:tcPr>
            <w:tcW w:type="dxa" w:w="1440"/>
            <w:shd w:fill="FFDCE0" w:val="clear"/>
          </w:tcPr>
          <w:p>
            <w:r>
              <w:rPr>
                <w:sz w:val="17"/>
              </w:rPr>
              <w:t>6,270</w:t>
            </w:r>
          </w:p>
        </w:tc>
        <w:tc>
          <w:tcPr>
            <w:tcW w:type="dxa" w:w="1440"/>
            <w:shd w:fill="FFDCE0" w:val="clear"/>
          </w:tcPr>
          <w:p>
            <w:r>
              <w:rPr>
                <w:b/>
                <w:color w:val="C00000"/>
                <w:sz w:val="17"/>
              </w:rPr>
              <w:t>-35.2%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41.067 Mds FCFA</w:t>
            </w:r>
          </w:p>
        </w:tc>
        <w:tc>
          <w:tcPr>
            <w:tcW w:type="dxa" w:w="5669"/>
            <w:shd w:fill="FFFFFF" w:val="clear"/>
          </w:tcPr>
          <w:p>
            <w:r>
              <w:rPr>
                <w:color w:val="282828"/>
                <w:sz w:val="15"/>
              </w:rPr>
              <w:t>Représente 2.2% du bilan. ⚠️ Part faible — vérifier la conformité aux réserves obligatoires BCEAO.</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51.371 Mds FCFA</w:t>
            </w:r>
          </w:p>
        </w:tc>
        <w:tc>
          <w:tcPr>
            <w:tcW w:type="dxa" w:w="5669"/>
            <w:shd w:fill="FFFFFF" w:val="clear"/>
          </w:tcPr>
          <w:p>
            <w:r>
              <w:rPr>
                <w:color w:val="282828"/>
                <w:sz w:val="15"/>
              </w:rPr>
              <w:t>Prêts aux autres banques (2.8%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1151.536 Mds FCFA</w:t>
            </w:r>
          </w:p>
        </w:tc>
        <w:tc>
          <w:tcPr>
            <w:tcW w:type="dxa" w:w="5669"/>
            <w:shd w:fill="FFFFFF" w:val="clear"/>
          </w:tcPr>
          <w:p>
            <w:r>
              <w:rPr>
                <w:color w:val="282828"/>
                <w:sz w:val="15"/>
              </w:rPr>
              <w:t>Portefeuille crédits (62.4%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1818.213 Mds FCFA</w:t>
            </w:r>
          </w:p>
        </w:tc>
        <w:tc>
          <w:tcPr>
            <w:tcW w:type="dxa" w:w="5669"/>
            <w:shd w:fill="FFFFFF" w:val="clear"/>
          </w:tcPr>
          <w:p>
            <w:r>
              <w:rPr>
                <w:color w:val="282828"/>
                <w:sz w:val="15"/>
              </w:rPr>
              <w:t>Ratio actif circ./passif circ. = 56.46x.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2.333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17.588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26.387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41.067 Mds FCFA</w:t>
            </w:r>
          </w:p>
        </w:tc>
        <w:tc>
          <w:tcPr>
            <w:tcW w:type="dxa" w:w="5669"/>
            <w:shd w:fill="FFFFFF" w:val="clear"/>
          </w:tcPr>
          <w:p>
            <w:r>
              <w:rPr>
                <w:color w:val="282828"/>
                <w:sz w:val="15"/>
              </w:rPr>
              <w:t>Liquidités disponibles (2.2%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1844.600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82.514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135.118 Mds FCFA</w:t>
            </w:r>
          </w:p>
        </w:tc>
        <w:tc>
          <w:tcPr>
            <w:tcW w:type="dxa" w:w="5669"/>
            <w:shd w:fill="FFFFFF" w:val="clear"/>
          </w:tcPr>
          <w:p>
            <w:r>
              <w:rPr>
                <w:color w:val="282828"/>
                <w:sz w:val="15"/>
              </w:rPr>
              <w:t>Fonds propres = 7.3%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165.467 Mds FCFA</w:t>
            </w:r>
          </w:p>
        </w:tc>
        <w:tc>
          <w:tcPr>
            <w:tcW w:type="dxa" w:w="5669"/>
            <w:shd w:fill="FFFFFF" w:val="clear"/>
          </w:tcPr>
          <w:p>
            <w:r>
              <w:rPr>
                <w:color w:val="282828"/>
                <w:sz w:val="15"/>
              </w:rPr>
              <w:t>Capitaux permanents / Actif immobilisé = 6.27x.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465.174 Mds FCFA</w:t>
            </w:r>
          </w:p>
        </w:tc>
        <w:tc>
          <w:tcPr>
            <w:tcW w:type="dxa" w:w="5669"/>
            <w:shd w:fill="FFFFFF" w:val="clear"/>
          </w:tcPr>
          <w:p>
            <w:r>
              <w:rPr>
                <w:color w:val="282828"/>
                <w:sz w:val="15"/>
              </w:rPr>
              <w:t>Refinancement interbancaire (25.2%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1181.045 Mds FCFA</w:t>
            </w:r>
          </w:p>
        </w:tc>
        <w:tc>
          <w:tcPr>
            <w:tcW w:type="dxa" w:w="5669"/>
            <w:shd w:fill="FFFFFF" w:val="clear"/>
          </w:tcPr>
          <w:p>
            <w:r>
              <w:rPr>
                <w:color w:val="282828"/>
                <w:sz w:val="15"/>
              </w:rPr>
              <w:t>Dépôts clients = 64.0%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30.349 Mds FCFA</w:t>
            </w:r>
          </w:p>
        </w:tc>
        <w:tc>
          <w:tcPr>
            <w:tcW w:type="dxa" w:w="5669"/>
            <w:shd w:fill="FFFFFF" w:val="clear"/>
          </w:tcPr>
          <w:p>
            <w:r>
              <w:rPr>
                <w:color w:val="282828"/>
                <w:sz w:val="15"/>
              </w:rPr>
              <w:t>Dette LT/MT = 22%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30.349 Mds FCFA</w:t>
            </w:r>
          </w:p>
        </w:tc>
        <w:tc>
          <w:tcPr>
            <w:tcW w:type="dxa" w:w="5669"/>
            <w:shd w:fill="FFFFFF" w:val="clear"/>
          </w:tcPr>
          <w:p>
            <w:r>
              <w:rPr>
                <w:color w:val="282828"/>
                <w:sz w:val="15"/>
              </w:rPr>
              <w:t>Dette financière totale = 22%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1709.482 Mds FCFA</w:t>
            </w:r>
          </w:p>
        </w:tc>
        <w:tc>
          <w:tcPr>
            <w:tcW w:type="dxa" w:w="5669"/>
            <w:shd w:fill="FFFFFF" w:val="clear"/>
          </w:tcPr>
          <w:p>
            <w:r>
              <w:rPr>
                <w:color w:val="282828"/>
                <w:sz w:val="15"/>
              </w:rPr>
              <w:t>Dettes totales = 92.7%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52.805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52.805 Mds FCFA</w:t>
            </w:r>
          </w:p>
        </w:tc>
        <w:tc>
          <w:tcPr>
            <w:tcW w:type="dxa" w:w="5669"/>
            <w:shd w:fill="FFFFFF" w:val="clear"/>
          </w:tcPr>
          <w:p>
            <w:r>
              <w:rPr>
                <w:color w:val="282828"/>
                <w:sz w:val="15"/>
              </w:rPr>
              <w:t>Revenu bancaire central (≡ CA). Croissance: 16.5%.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100.361 Mds FCFA</w:t>
            </w:r>
          </w:p>
        </w:tc>
        <w:tc>
          <w:tcPr>
            <w:tcW w:type="dxa" w:w="5669"/>
            <w:shd w:fill="FFFFFF" w:val="clear"/>
          </w:tcPr>
          <w:p>
            <w:r>
              <w:rPr>
                <w:color w:val="282828"/>
                <w:sz w:val="15"/>
              </w:rPr>
              <w:t>Revenus d'intérêts sur crédits (190%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-59.548 Mds FCFA</w:t>
            </w:r>
          </w:p>
        </w:tc>
        <w:tc>
          <w:tcPr>
            <w:tcW w:type="dxa" w:w="5669"/>
            <w:shd w:fill="FFFFFF" w:val="clear"/>
          </w:tcPr>
          <w:p>
            <w:r>
              <w:rPr>
                <w:color w:val="282828"/>
                <w:sz w:val="15"/>
              </w:rPr>
              <w:t>Coût des dépôts collectés (-113%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12.072 Mds FCFA</w:t>
            </w:r>
          </w:p>
        </w:tc>
        <w:tc>
          <w:tcPr>
            <w:tcW w:type="dxa" w:w="5669"/>
            <w:shd w:fill="FFFFFF" w:val="clear"/>
          </w:tcPr>
          <w:p>
            <w:r>
              <w:rPr>
                <w:color w:val="282828"/>
                <w:sz w:val="15"/>
              </w:rPr>
              <w:t>Revenus de commissions (22.9%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-16.434 Mds FCFA</w:t>
            </w:r>
          </w:p>
        </w:tc>
        <w:tc>
          <w:tcPr>
            <w:tcW w:type="dxa" w:w="5669"/>
            <w:shd w:fill="FFFFFF" w:val="clear"/>
          </w:tcPr>
          <w:p>
            <w:r>
              <w:rPr>
                <w:color w:val="282828"/>
                <w:sz w:val="15"/>
              </w:rPr>
              <w:t>-31.1%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-2.838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-4.239 Mds FCFA</w:t>
            </w:r>
          </w:p>
        </w:tc>
        <w:tc>
          <w:tcPr>
            <w:tcW w:type="dxa" w:w="5669"/>
            <w:shd w:fill="FFFFFF" w:val="clear"/>
          </w:tcPr>
          <w:p>
            <w:r>
              <w:rPr>
                <w:color w:val="282828"/>
                <w:sz w:val="15"/>
              </w:rPr>
              <w:t>Masse salariale = -8.0%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43.448 Mds FCFA</w:t>
            </w:r>
          </w:p>
        </w:tc>
        <w:tc>
          <w:tcPr>
            <w:tcW w:type="dxa" w:w="5669"/>
            <w:shd w:fill="FFFFFF" w:val="clear"/>
          </w:tcPr>
          <w:p>
            <w:r>
              <w:rPr>
                <w:color w:val="282828"/>
                <w:sz w:val="15"/>
              </w:rPr>
              <w:t>VA = 4344800000000.0%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39.209 Mds FCFA</w:t>
            </w:r>
          </w:p>
        </w:tc>
        <w:tc>
          <w:tcPr>
            <w:tcW w:type="dxa" w:w="5669"/>
            <w:shd w:fill="FFFFFF" w:val="clear"/>
          </w:tcPr>
          <w:p>
            <w:r>
              <w:rPr>
                <w:color w:val="282828"/>
                <w:sz w:val="15"/>
              </w:rPr>
              <w:t>EBE = 74.3%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36.371 Mds FCFA</w:t>
            </w:r>
          </w:p>
        </w:tc>
        <w:tc>
          <w:tcPr>
            <w:tcW w:type="dxa" w:w="5669"/>
            <w:shd w:fill="FFFFFF" w:val="clear"/>
          </w:tcPr>
          <w:p>
            <w:r>
              <w:rPr>
                <w:color w:val="282828"/>
                <w:sz w:val="15"/>
              </w:rPr>
              <w:t>RBE = 68.9%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41.446 Mds FCFA</w:t>
            </w:r>
          </w:p>
        </w:tc>
        <w:tc>
          <w:tcPr>
            <w:tcW w:type="dxa" w:w="5669"/>
            <w:shd w:fill="FFFFFF" w:val="clear"/>
          </w:tcPr>
          <w:p>
            <w:r>
              <w:rPr>
                <w:color w:val="282828"/>
                <w:sz w:val="15"/>
              </w:rPr>
              <w:t>Profit d'exploitation = 78.5%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5.075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36.237 Mds FCFA</w:t>
            </w:r>
          </w:p>
        </w:tc>
        <w:tc>
          <w:tcPr>
            <w:tcW w:type="dxa" w:w="5669"/>
            <w:shd w:fill="FFFFFF" w:val="clear"/>
          </w:tcPr>
          <w:p>
            <w:r>
              <w:rPr>
                <w:color w:val="282828"/>
                <w:sz w:val="15"/>
              </w:rPr>
              <w:t>Marge nette = 68.6%.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 Mds FCFA</w:t>
            </w:r>
          </w:p>
        </w:tc>
        <w:tc>
          <w:tcPr>
            <w:tcW w:type="dxa" w:w="5669"/>
            <w:shd w:fill="FFFFFF" w:val="clear"/>
          </w:tcPr>
          <w:p>
            <w:r>
              <w:rPr>
                <w:color w:val="282828"/>
                <w:sz w:val="15"/>
              </w:rPr>
              <w:t>CAF = 34.00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139.080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-424.107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68.62%</w:t>
            </w:r>
          </w:p>
        </w:tc>
        <w:tc>
          <w:tcPr>
            <w:tcW w:type="dxa" w:w="5669"/>
            <w:shd w:fill="FFFFFF" w:val="clear"/>
          </w:tcPr>
          <w:p>
            <w:r>
              <w:rPr>
                <w:color w:val="282828"/>
                <w:sz w:val="15"/>
              </w:rPr>
              <w:t>Résultat net / revenus = 68.62%.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78.49%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26.82%</w:t>
            </w:r>
          </w:p>
        </w:tc>
        <w:tc>
          <w:tcPr>
            <w:tcW w:type="dxa" w:w="5669"/>
            <w:shd w:fill="FFFFFF" w:val="clear"/>
          </w:tcPr>
          <w:p>
            <w:r>
              <w:rPr>
                <w:color w:val="282828"/>
                <w:sz w:val="15"/>
              </w:rPr>
              <w:t>Résultat net / capitaux propres = 26.82%.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1.96%</w:t>
            </w:r>
          </w:p>
        </w:tc>
        <w:tc>
          <w:tcPr>
            <w:tcW w:type="dxa" w:w="5669"/>
            <w:shd w:fill="FFFFFF" w:val="clear"/>
          </w:tcPr>
          <w:p>
            <w:r>
              <w:rPr>
                <w:color w:val="282828"/>
                <w:sz w:val="15"/>
              </w:rPr>
              <w:t>Résultat net / total actif = 1.96%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2.86%</w:t>
            </w:r>
          </w:p>
        </w:tc>
        <w:tc>
          <w:tcPr>
            <w:tcW w:type="dxa" w:w="5669"/>
            <w:shd w:fill="FFFFFF" w:val="clear"/>
          </w:tcPr>
          <w:p>
            <w:r>
              <w:rPr>
                <w:color w:val="282828"/>
                <w:sz w:val="15"/>
              </w:rPr>
              <w:t>CA / total actif = 2.86x.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31.12%</w:t>
            </w:r>
          </w:p>
        </w:tc>
        <w:tc>
          <w:tcPr>
            <w:tcW w:type="dxa" w:w="5669"/>
            <w:shd w:fill="FFFFFF" w:val="clear"/>
          </w:tcPr>
          <w:p>
            <w:r>
              <w:rPr>
                <w:color w:val="282828"/>
                <w:sz w:val="15"/>
              </w:rPr>
              <w:t>Charges / PNB = 31.12%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9.61%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16.49%</w:t>
            </w:r>
          </w:p>
        </w:tc>
        <w:tc>
          <w:tcPr>
            <w:tcW w:type="dxa" w:w="5669"/>
            <w:shd w:fill="FFFFFF" w:val="clear"/>
          </w:tcPr>
          <w:p>
            <w:r>
              <w:rPr>
                <w:color w:val="282828"/>
                <w:sz w:val="15"/>
              </w:rPr>
              <w:t>Croissance PNB vs exercice précédent = 16.49%.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7.33%</w:t>
            </w:r>
          </w:p>
        </w:tc>
        <w:tc>
          <w:tcPr>
            <w:tcW w:type="dxa" w:w="5669"/>
            <w:shd w:fill="FFFFFF" w:val="clear"/>
          </w:tcPr>
          <w:p>
            <w:r>
              <w:rPr>
                <w:color w:val="282828"/>
                <w:sz w:val="15"/>
              </w:rPr>
              <w:t>Fonds propres / total bilan = 7.33%.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92.67%</w:t>
            </w:r>
          </w:p>
        </w:tc>
        <w:tc>
          <w:tcPr>
            <w:tcW w:type="dxa" w:w="5669"/>
            <w:shd w:fill="FFFFFF" w:val="clear"/>
          </w:tcPr>
          <w:p>
            <w:r>
              <w:rPr>
                <w:color w:val="282828"/>
                <w:sz w:val="15"/>
              </w:rPr>
              <w:t>Dettes financières / total bilan = 92.67%.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22.46%</w:t>
            </w:r>
          </w:p>
        </w:tc>
        <w:tc>
          <w:tcPr>
            <w:tcW w:type="dxa" w:w="5669"/>
            <w:shd w:fill="FFFFFF" w:val="clear"/>
          </w:tcPr>
          <w:p>
            <w:r>
              <w:rPr>
                <w:color w:val="282828"/>
                <w:sz w:val="15"/>
              </w:rPr>
              <w:t>Dettes totales / fonds propres = 22.46%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107.90%</w:t>
            </w:r>
          </w:p>
        </w:tc>
        <w:tc>
          <w:tcPr>
            <w:tcW w:type="dxa" w:w="5669"/>
            <w:shd w:fill="FFFFFF" w:val="clear"/>
          </w:tcPr>
          <w:p>
            <w:r>
              <w:rPr>
                <w:color w:val="282828"/>
                <w:sz w:val="15"/>
              </w:rPr>
              <w:t>Total actif / dettes totales = 107.90x.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5646.45%</w:t>
            </w:r>
          </w:p>
        </w:tc>
        <w:tc>
          <w:tcPr>
            <w:tcW w:type="dxa" w:w="5669"/>
            <w:shd w:fill="FFFFFF" w:val="clear"/>
          </w:tcPr>
          <w:p>
            <w:r>
              <w:rPr>
                <w:color w:val="282828"/>
                <w:sz w:val="15"/>
              </w:rPr>
              <w:t>Actif circulant / passif circulant = 5646.45x.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127.53%</w:t>
            </w:r>
          </w:p>
        </w:tc>
        <w:tc>
          <w:tcPr>
            <w:tcW w:type="dxa" w:w="5669"/>
            <w:shd w:fill="FFFFFF" w:val="clear"/>
          </w:tcPr>
          <w:p>
            <w:r>
              <w:rPr>
                <w:color w:val="282828"/>
                <w:sz w:val="15"/>
              </w:rPr>
              <w:t>Trésorerie / passif circulant = 127.53x.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5646.45%</w:t>
            </w:r>
          </w:p>
        </w:tc>
        <w:tc>
          <w:tcPr>
            <w:tcW w:type="dxa" w:w="5669"/>
            <w:shd w:fill="FFFFFF" w:val="clear"/>
          </w:tcPr>
          <w:p>
            <w:r>
              <w:rPr>
                <w:color w:val="282828"/>
                <w:sz w:val="15"/>
              </w:rPr>
              <w:t>(Actif circ. - stocks) / passif circ. = 5646.45x.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627.08%</w:t>
            </w:r>
          </w:p>
        </w:tc>
        <w:tc>
          <w:tcPr>
            <w:tcW w:type="dxa" w:w="5669"/>
            <w:shd w:fill="FFFFFF" w:val="clear"/>
          </w:tcPr>
          <w:p>
            <w:r>
              <w:rPr>
                <w:color w:val="282828"/>
                <w:sz w:val="15"/>
              </w:rPr>
              <w:t>Capitaux permanents / actif immobilisé = 627.08x.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69.60%</w:t>
            </w:r>
          </w:p>
        </w:tc>
        <w:tc>
          <w:tcPr>
            <w:tcW w:type="dxa" w:w="5669"/>
            <w:shd w:fill="FFFFFF" w:val="clear"/>
          </w:tcPr>
          <w:p>
            <w:r>
              <w:rPr>
                <w:color w:val="282828"/>
                <w:sz w:val="15"/>
              </w:rPr>
              <w:t>Résultat exploit. / charges financières = 69.60x.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BICB s'établit à 491,54 milliards FCFA, ce qui positionne la banque parmi les valeurs à forte capitalisation de la BRVM, lui conférant un poids significatif dans l'indice composite. Avec un BPA de 627 FCFA, chaque action génère un bénéfice substantiel, justifiant un PER de 13,6x, légèrement supérieur à la moyenne historique de la place (~8-12x), ce qui traduit une prime de valorisation accordée par le marché pour la qualité de la franchise et sa dynamique de croissance. Le P/B de 3,64x confirme cette prime, le marché valorisant les capitaux propres à plus de 3,6 fois leur valeur comptable, un niveau qui reflète des attentes de rentabilité future élevée. Enfin, l'EV/EBITDA de 24,1x apparaît particulièrement exigeant, indiquant que la valeur totale de l'entreprise (capitaux propres + dette nette) est élevée par rapport à sa capacité opérationnelle, ce qui impose une performance soutenue pour justifier ce niveau de prix.</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BICB a enregistré une progression spectaculaire de +65,24%, avec une légère hausse de +0,12% lors de la dernière séance, clôturant à 8 510 FCFA. Le titre a évolué dans une fourchette très large, entre un plus bas de 5 100 FCFA et un plus haut de 8 510 FCFA, démontrant une forte dynamique haussière. La moyenne du cours sur la période (6 142 FCFA) est nettement supérieure à la médiane (5 710 FCFA), et le mode est à 5 110 FCFA, ce qui révèle une distribution asymétrique positive (skewness de 0,931) : le titre a passé la majorité du temps à des niveaux bas avant de connaître une accélération récente. L'écart-type de 1 133 FCFA (CV de 18,4%) indique une dispersion modérée des prix autour de la moyenne. Le kurtosis de -0,571 (mésokurtique) suggère une distribution proche de la normale, sans risque de variations extrêmes particulier. Enfin, la volatilité annualisée de 30,6% classe le titre dans la catégorie des valeurs à volatilité élevée, ce qui implique un risque de marché significatif mais aussi un potentiel de gains importants.</w:t>
      </w:r>
    </w:p>
    <w:p>
      <w:pPr>
        <w:spacing w:after="120" w:line="276" w:lineRule="auto" w:before="240"/>
      </w:pPr>
      <w:r>
        <w:rPr>
          <w:b/>
          <w:color w:val="003366"/>
          <w:sz w:val="24"/>
        </w:rPr>
        <w:t>**PARTIE 2 : ANALYSE TECHNIQUE DÉTAILLÉE**</w:t>
      </w:r>
    </w:p>
    <w:p>
      <w:pPr>
        <w:spacing w:after="120" w:line="276" w:lineRule="auto"/>
      </w:pPr>
      <w:r>
        <w:t>**Moyennes Mobiles** : Le cours actuel de 8 510 FCFA se situe nettement au-dessus de la MM20 (8 055 FCFA) et de la MM50 (7 023,3 FCFA), confirmant une tendance haussière solide à court et moyen terme. La configuration des moyennes mobiles, avec le cours au-dessus de la MM20 elle-même au-dessus de la MM50, valide la dynamique positive et justifie la décision d'achat.</w:t>
      </w:r>
    </w:p>
    <w:p>
      <w:pPr>
        <w:spacing w:after="120" w:line="276" w:lineRule="auto"/>
      </w:pPr>
      <w:r>
        <w:t>**Bandes de Bollinger** : Le prix évolue dans la partie supérieure des bandes, à 8 510 FCFA contre une borne supérieure à 8 879,3 FCFA et une borne inférieure à 7 230,7 FCFA. La largeur des bandes reflète une volatilité accrue. Le cours n'ayant pas touché la borne supérieure, la décision est neutre, mais la pression acheteuse reste présente.</w:t>
      </w:r>
    </w:p>
    <w:p>
      <w:pPr>
        <w:spacing w:after="120" w:line="276" w:lineRule="auto"/>
      </w:pPr>
      <w:r>
        <w:t>**MACD** : Le MACD (431,7) est légèrement inférieur à sa ligne de signal (456,2), indiquant un affaiblissement du momentum haussier à très court terme. Cette configuration, bien que la valeur reste positive, suggère une possible consolidation ou correction après la forte hausse, justifiant la décision de vente.</w:t>
      </w:r>
    </w:p>
    <w:p>
      <w:pPr>
        <w:spacing w:after="120" w:line="276" w:lineRule="auto"/>
      </w:pPr>
      <w:r>
        <w:t>**RSI** : Le RSI à 77,6 est largement au-dessus du seuil de surachat de 70, signalant que le titre est techniquement surévalué à court terme. Cette situation appelle à la prudence, car elle précède souvent un repli ou une phase de consolidation, justifiant la décision de vente.</w:t>
      </w:r>
    </w:p>
    <w:p>
      <w:pPr>
        <w:spacing w:after="120" w:line="276" w:lineRule="auto"/>
      </w:pPr>
      <w:r>
        <w:t>**Stochastique** : Le %K (100) et le %D (99,8) sont tous deux à des niveaux extrêmes de surachat, sans signe de croisement baissier pour l'instant. Cette configuration indique que la pression acheteuse est à son paroxysme, mais le risque de retournement est élevé, justifiant la décision de vente.</w:t>
      </w:r>
    </w:p>
    <w:p>
      <w:pPr>
        <w:spacing w:after="120" w:line="276" w:lineRule="auto"/>
      </w:pPr>
      <w:r>
        <w:t>**Conclusion technique** : Les indicateurs de tendance (MM) sont positifs, mais les oscillateurs (RSI, Stochastique, MACD) signalent tous un état de surachat extrême. La probabilité d'une correction technique à court terme est donc élevée, même si la tendance de fond demeure haussière. Un repli vers la zone des 7 800-8 000 FCFA serait sain avant une éventuelle poursuite de la hausse.</w:t>
      </w:r>
    </w:p>
    <w:p>
      <w:pPr>
        <w:spacing w:after="120" w:line="276" w:lineRule="auto" w:before="240"/>
      </w:pPr>
      <w:r>
        <w:rPr>
          <w:b/>
          <w:color w:val="003366"/>
          <w:sz w:val="24"/>
        </w:rPr>
        <w:t>**PARTIE 3 : ANALYSE FONDAMENTALE (SECTION CRITIQUE)**</w:t>
      </w:r>
    </w:p>
    <w:p>
      <w:pPr>
        <w:spacing w:after="120" w:line="276" w:lineRule="auto"/>
      </w:pPr>
      <w:r>
        <w:t>En 2025, la BICB affiche des performances financières solides avec un Produit Net Bancaire (PNB) de 52,805 milliards FCFA, en croissance de 16,5% par rapport à 2024 (45,207 milliards FCFA), et un résultat net de 36,237 milliards FCFA, en hausse de 24,7% (30,341 milliards FCFA en 2024). La rentabilité est excellente : le ROE atteint 26,8% et le ROA 2,0%, tandis que le coefficient d'exploitation de 31,1% témoigne d'une très grande efficacité opérationnelle (bien en dessous du seuil de 60%). Le coût du risque de 9,6% reste un point de vigilance, mais la banque a adopté une politique de provisionnement prudente. La structure financière montre une dépendance aux dépôts clients (1 181 milliards FCFA) qui financent les crédits (1 151 milliards FCFA), avec un ratio crédits/dépôts de 97,5%, signalant une transformation tendue. Les rapports trimestriels confirment la dynamique : au T1 2026 (rapport du 12 juin 2026), le PNB progresse de 35% à 14,6 milliards FCFA et le résultat net de 48% à 8,0 milliards FCFA, laissant présager une excellente année 2026. La banque a réussi sa transition aux normes IFRS, renforçant la transparence. Les perspectives restent favorables, portées par une croissance économique régionale soutenue, mais la gestion du risque de crédit et de la liquidité sera cruciale.</w:t>
      </w:r>
    </w:p>
    <w:p>
      <w:pPr>
        <w:spacing w:after="120" w:line="276" w:lineRule="auto" w:before="240"/>
      </w:pPr>
      <w:r>
        <w:rPr>
          <w:b/>
          <w:color w:val="003366"/>
          <w:sz w:val="24"/>
        </w:rPr>
        <w:t>**PARTIE 4 : CONCLUSION D'INVESTISSEMENT**</w:t>
      </w:r>
    </w:p>
    <w:p>
      <w:pPr>
        <w:spacing w:after="120" w:line="276" w:lineRule="auto"/>
      </w:pPr>
      <w:r>
        <w:t>La valorisation de BICB (PER 13,6x, P/B 3,64x, EV/EBITDA 24,1x) est exigeante mais justifiée par une croissance et une rentabilité exceptionnelles (ROE 26,8%). Le comportement du cours sur 100 jours (+65%) montre une tendance haussière puissante, mais la volatilité élevée (30,6%) et l'asymétrie positive indiquent un risque de retournement. Les signaux techniques sont mitigés : la tendance (MM) reste positive, mais tous les oscillateurs (RSI 77,6, Stochastique 100, MACD) sont en zone de surachat, suggérant une correction imminente. Les fondamentaux sont solides, avec une croissance à deux chiffres du PNB et du résultat net, confirmée par les estimations T1 2026. Les prédictions IA (baisse vers 6 073 FCFA à J+10) contredisent fortement la tendance actuelle et suggèrent un scénario de correction brutale. La divergence entre les signaux techniques (surachat) et la prédiction IA d'une part, et les fondamentaux solides d'autre part, conduit à une recommandation de **CONSERVER** avec un niveau de confiance **Moyen**. Le risque global est **Élevé** en raison de la volatilité et du surachat technique. L'horizon d'investissement optimal est le **moyen terme (3-12 mois)**, en attendant une correction technique qui offrirait un point d'entrée plus attractif pour les investisseurs.</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biic bn</w:t>
      </w:r>
    </w:p>
    <w:p>
      <w:pPr>
        <w:spacing w:before="20"/>
        <w:ind w:left="400"/>
      </w:pPr>
      <w:r>
        <w:rPr>
          <w:color w:val="505050"/>
          <w:sz w:val="17"/>
        </w:rPr>
        <w:t xml:space="preserve">Date : 13/06/2026  |  Catégorie : convocation AG  |  Impact : </w:t>
      </w:r>
      <w:r>
        <w:rPr>
          <w:b/>
          <w:color w:val="646464"/>
          <w:sz w:val="17"/>
        </w:rPr>
        <w:t>⚪ NEUTRE</w:t>
      </w:r>
    </w:p>
    <w:p>
      <w:pPr>
        <w:spacing w:before="40"/>
        <w:ind w:left="400"/>
      </w:pPr>
      <w:r>
        <w:rPr>
          <w:sz w:val="18"/>
        </w:rPr>
        <w:t>Le document est un avis de convocation à l'Assemblée Générale Ordinaire de la Banque Internationale pour l'Industrie et le Commerce (BIIC). L'assemblée se tiendra le mardi 30 juin 2026 à 13h GMT à la Salle bleue du palais des congrès de Cotonou. L'ordre du jour inclut l'approbation des comptes de l'exercice 2025, l'affectation des résultats, la distribution de dividendes, et d'autres résolutions.</w:t>
      </w:r>
    </w:p>
    <w:p>
      <w:pPr>
        <w:spacing w:before="60"/>
        <w:ind w:left="400"/>
      </w:pPr>
      <w:r>
        <w:rPr>
          <w:b/>
          <w:sz w:val="18"/>
        </w:rPr>
        <w:t>Points clés :</w:t>
      </w:r>
    </w:p>
    <w:p>
      <w:pPr>
        <w:pStyle w:val="ListBullet"/>
        <w:spacing w:before="20" w:after="20"/>
        <w:ind w:left="700"/>
      </w:pPr>
      <w:r>
        <w:rPr>
          <w:sz w:val="18"/>
        </w:rPr>
        <w:t>Convocation de l'Assemblée Générale Ordinaire de BIIC le 30 juin 2026 à 13h GMT à la Salle bleue du palais des congrès de Cotonou.</w:t>
      </w:r>
    </w:p>
    <w:p>
      <w:pPr>
        <w:pStyle w:val="ListBullet"/>
        <w:spacing w:before="20" w:after="20"/>
        <w:ind w:left="700"/>
      </w:pPr>
      <w:r>
        <w:rPr>
          <w:sz w:val="18"/>
        </w:rPr>
        <w:t>Ordre du jour : approbation des comptes sociaux et IFRS de l'exercice clos le 31 décembre 2025, rapports du Conseil d'administration et des commissaires aux comptes.</w:t>
      </w:r>
    </w:p>
    <w:p>
      <w:pPr>
        <w:pStyle w:val="ListBullet"/>
        <w:spacing w:before="20" w:after="20"/>
        <w:ind w:left="700"/>
      </w:pPr>
      <w:r>
        <w:rPr>
          <w:sz w:val="18"/>
        </w:rPr>
        <w:t>Examen et approbation de l'affectation des résultats et de la distribution de dividendes.</w:t>
      </w:r>
    </w:p>
    <w:p>
      <w:pPr>
        <w:pStyle w:val="ListBullet"/>
        <w:spacing w:before="20" w:after="20"/>
        <w:ind w:left="700"/>
      </w:pPr>
      <w:r>
        <w:rPr>
          <w:sz w:val="18"/>
        </w:rPr>
        <w:t>Participation des actionnaires possible en présentiel ou par visioconférence, sur inscription préalable.</w:t>
      </w:r>
    </w:p>
    <w:p>
      <w:pPr>
        <w:pStyle w:val="ListBullet"/>
        <w:spacing w:before="20" w:after="20"/>
        <w:ind w:left="700"/>
      </w:pPr>
      <w:r>
        <w:rPr>
          <w:sz w:val="18"/>
        </w:rPr>
        <w:t>Les documents et formulaires de pouvoir seront disponibles à partir du 15 juin 2026 au siège social et par téléchargement.</w:t>
      </w:r>
    </w:p>
    <w:p/>
    <w:p>
      <w:pPr>
        <w:pStyle w:val="Heading3"/>
      </w:pPr>
      <w:r>
        <w:rPr>
          <w:color w:val="005A32"/>
        </w:rPr>
        <w:t>📋 RAPPORTS &amp; COMMUNIQUÉS OFFICIELS</w:t>
      </w:r>
    </w:p>
    <w:p>
      <w:r>
        <w:rPr>
          <w:i/>
          <w:color w:val="646464"/>
          <w:sz w:val="18"/>
        </w:rPr>
        <w:t>8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croissance du r\u00e9sultat net et du PNB, soutenue par une collecte de d\u00e9p\u00f4ts dynamique, renforce la rentabilit\u00e9 de la banque. Nous recommandons d'acheter le titre malgr\u00e9 les risques de cr\u00e9dit potentiels."}</w:t>
      </w:r>
    </w:p>
    <w:p>
      <w:pPr>
        <w:spacing w:before="40"/>
        <w:ind w:left="400"/>
      </w:pPr>
      <w:r>
        <w:rPr>
          <w:sz w:val="18"/>
        </w:rPr>
        <w:t>La BIIC affiche une performance financière solide au premier trimestre 2026. Le Produit Net Bancaire a augmenté de 35% pour atteindre 14,6 milliards FCFA. Le Résultat Net progresse de 48%, à 8,0 milliards FCFA, grâce à une dynamique commerciale soutenue. Les dépôts de la clientèle et les crédits nets sont également en hausse, consolidant le bilan. La banque confirme ses ambitions stratégiques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{'total_bilan': '1 907,9 milliards FCFA', 'depots_clientele': '1 248,3 milliards FCFA', 'produit_net_bancaire': '14,6 milliards FCFA', 'resultat_avant_impots': '8,6 milliards FCFA', 'credits_nets_clientele': '1 187,9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54.3</w:t>
            </w:r>
          </w:p>
        </w:tc>
        <w:tc>
          <w:tcPr>
            <w:tcW w:type="dxa" w:w="2160"/>
          </w:tcPr>
          <w:p>
            <w:pPr>
              <w:ind w:left="100"/>
            </w:pPr>
            <w:r/>
            <w:r>
              <w:rPr>
                <w:b/>
                <w:sz w:val="16"/>
              </w:rPr>
              <w:t>total_actif</w:t>
              <w:br/>
            </w:r>
            <w:r>
              <w:rPr>
                <w:sz w:val="18"/>
              </w:rPr>
              <w:t>1 907,9 milliards FCFA</w:t>
            </w:r>
          </w:p>
        </w:tc>
      </w:tr>
      <w:tr>
        <w:tc>
          <w:tcPr>
            <w:tcW w:type="dxa" w:w="2160"/>
          </w:tcPr>
          <w:p>
            <w:r/>
            <w:r>
              <w:rPr>
                <w:b/>
                <w:sz w:val="16"/>
              </w:rPr>
              <w:t>resultat_net</w:t>
              <w:br/>
            </w:r>
            <w:r>
              <w:rPr>
                <w:sz w:val="18"/>
              </w:rPr>
              <w:t>8,0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de 48% à 8,0 milliards FCFA au T1 2026.</w:t>
      </w:r>
    </w:p>
    <w:p>
      <w:pPr>
        <w:pStyle w:val="ListBullet"/>
        <w:spacing w:before="20" w:after="20"/>
        <w:ind w:left="700"/>
      </w:pPr>
      <w:r>
        <w:rPr>
          <w:sz w:val="18"/>
        </w:rPr>
        <w:t>Produit Net Bancaire en croissance de 35% à 14,6 milliards FCFA.</w:t>
      </w:r>
    </w:p>
    <w:p>
      <w:pPr>
        <w:pStyle w:val="ListBullet"/>
        <w:spacing w:before="20" w:after="20"/>
        <w:ind w:left="700"/>
      </w:pPr>
      <w:r>
        <w:rPr>
          <w:sz w:val="18"/>
        </w:rPr>
        <w:t>Dépôts de la clientèle en progression de 6% à 1 248,3 milliards FCFA.</w:t>
      </w:r>
    </w:p>
    <w:p>
      <w:pPr>
        <w:pStyle w:val="ListBullet"/>
        <w:spacing w:before="20" w:after="20"/>
        <w:ind w:left="700"/>
      </w:pPr>
      <w:r>
        <w:rPr>
          <w:sz w:val="18"/>
        </w:rPr>
        <w:t>Crédits nets à la clientèle en hausse de 3% à 1 187,9 milliards FCFA.</w:t>
      </w:r>
    </w:p>
    <w:p>
      <w:pPr>
        <w:pStyle w:val="ListBullet"/>
        <w:spacing w:before="20" w:after="20"/>
        <w:ind w:left="700"/>
      </w:pPr>
      <w:r>
        <w:rPr>
          <w:sz w:val="18"/>
        </w:rPr>
        <w:t>Total bilan de 1 907,9 milliards FCFA, en hausse de 3% vs décembre 2025.</w:t>
      </w:r>
    </w:p>
    <w:p>
      <w:pPr>
        <w:pStyle w:val="ListBullet"/>
        <w:spacing w:before="20" w:after="20"/>
        <w:ind w:left="700"/>
      </w:pPr>
      <w:r>
        <w:rPr>
          <w:sz w:val="18"/>
        </w:rPr>
        <w:t>Résultat avant impôts en forte hausse de 54% à 8,6 milliards FCFA.</w:t>
      </w:r>
    </w:p>
    <w:p>
      <w:pPr>
        <w:spacing w:before="40"/>
        <w:ind w:left="400"/>
      </w:pPr>
      <w:r>
        <w:rPr>
          <w:b/>
          <w:color w:val="C05000"/>
          <w:sz w:val="18"/>
        </w:rPr>
        <w:t xml:space="preserve">⚠️ Risques : </w:t>
      </w:r>
      <w:r>
        <w:rPr>
          <w:sz w:val="18"/>
        </w:rPr>
        <w:t>["Risque de cr\u00e9dit li\u00e9 \u00e0 l'augmentation des encours de pr\u00eats.", "Exposition aux fluctuations des march\u00e9s financiers, notamment sur les titres.", "Environnement r\u00e9glementaire et \u00e9conomique dans la zone UEMOA."]</w:t>
      </w:r>
    </w:p>
    <w:p>
      <w:pPr>
        <w:spacing w:before="40"/>
        <w:ind w:left="400"/>
      </w:pPr>
      <w:r>
        <w:rPr>
          <w:b/>
          <w:color w:val="0064A0"/>
          <w:sz w:val="18"/>
        </w:rPr>
        <w:t xml:space="preserve">🔮 Perspectives : </w:t>
      </w:r>
      <w:r>
        <w:rPr>
          <w:sz w:val="18"/>
        </w:rPr>
        <w:t>La BIIC prévoit de poursuivre le déploiement de ses activités au cours des prochains trimestres, avec une gestion rigoureuse des risques et des charges. L'objectif est de sécuriser l'atteinte des objectifs stratégiques 2026 via une croissance maîtrisée du bilan et une discipline opérationnelle. La d</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positive et une solidit\u00e9 financi\u00e8re satisfaisante, mais les risques de cr\u00e9dit et la transition IFRS n\u00e9cessitent une surveillance prudente."}</w:t>
      </w:r>
    </w:p>
    <w:p>
      <w:pPr>
        <w:spacing w:before="40"/>
        <w:ind w:left="400"/>
      </w:pPr>
      <w:r>
        <w:rPr>
          <w:sz w:val="18"/>
        </w:rPr>
        <w:t>La BIIC SA a clôturé l'exercice 2025 avec des capitaux propres de 135 118 millions FCFA et un bénéfice net de 36 237 millions FCFA, selon les états financiers IFRS audités. Les commissaires aux comptes ont émis une opinion sans réserve, confirmant la régularité et la sincérité des états financiers. L'audit a mis en évidence des points clés relatifs au risque de crédit, aux systèmes d'information et à la première application des normes IFRS. La banque a adopté IFRS 9 pour le calcul des dépréciations, avec des encours de prêts à la clientèle de 1 461 256 millions FCFA et des dépréciations de 15 383 millions FCFA. La direction a adopté une approche prudente face aux risques de crédit et aux con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'1 135 millions FCFA', 'date_arretes_comptes': '12 juin 2026', 'encours_pret_clientele': '1 461 256 millions FCFA', 'depreciations_sur_prets': '15 383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36 237 millions FCFA</w:t>
            </w:r>
          </w:p>
        </w:tc>
        <w:tc>
          <w:tcPr>
            <w:tcW w:type="dxa" w:w="2160"/>
          </w:tcPr>
          <w:p>
            <w:r/>
            <w:r>
              <w:rPr>
                <w:b/>
                <w:sz w:val="16"/>
              </w:rPr>
              <w:t>capitaux_propres</w:t>
              <w:br/>
            </w:r>
            <w:r>
              <w:rPr>
                <w:sz w:val="18"/>
              </w:rPr>
              <w:t>135 118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Première application des normes IFRS (IFRS 1) pour les états financiers 2025.</w:t>
      </w:r>
    </w:p>
    <w:p>
      <w:pPr>
        <w:pStyle w:val="ListBullet"/>
        <w:spacing w:before="20" w:after="20"/>
        <w:ind w:left="700"/>
      </w:pPr>
      <w:r>
        <w:rPr>
          <w:sz w:val="18"/>
        </w:rPr>
        <w:t>Capitaux propres au 31 décembre 2025 : 135 118 millions FCFA.</w:t>
      </w:r>
    </w:p>
    <w:p>
      <w:pPr>
        <w:pStyle w:val="ListBullet"/>
        <w:spacing w:before="20" w:after="20"/>
        <w:ind w:left="700"/>
      </w:pPr>
      <w:r>
        <w:rPr>
          <w:sz w:val="18"/>
        </w:rPr>
        <w:t>Bénéfice net de l'exercice : 36 237 millions FCFA.</w:t>
      </w:r>
    </w:p>
    <w:p>
      <w:pPr>
        <w:pStyle w:val="ListBullet"/>
        <w:spacing w:before="20" w:after="20"/>
        <w:ind w:left="700"/>
      </w:pPr>
      <w:r>
        <w:rPr>
          <w:sz w:val="18"/>
        </w:rPr>
        <w:t>Encours de prêts à la clientèle exposés au risque de crédit : 1 461 256 millions FCFA (dont 1 160 920 millions au bilan).</w:t>
      </w:r>
    </w:p>
    <w:p>
      <w:pPr>
        <w:pStyle w:val="ListBullet"/>
        <w:spacing w:before="20" w:after="20"/>
        <w:ind w:left="700"/>
      </w:pPr>
      <w:r>
        <w:rPr>
          <w:sz w:val="18"/>
        </w:rPr>
        <w:t>Dépréciations pour pertes de crédit attendues : 15 383 millions FCFA, plus provisions de 1 135 millions FCFA.</w:t>
      </w:r>
    </w:p>
    <w:p>
      <w:pPr>
        <w:pStyle w:val="ListBullet"/>
        <w:spacing w:before="20" w:after="20"/>
        <w:ind w:left="700"/>
      </w:pPr>
      <w:r>
        <w:rPr>
          <w:sz w:val="18"/>
        </w:rPr>
        <w:t>Les risques d'audit clés concernent le risque de crédit (IFRS 9), le système informatique et la transition IFRS.</w:t>
      </w:r>
    </w:p>
    <w:p>
      <w:pPr>
        <w:spacing w:before="40"/>
        <w:ind w:left="400"/>
      </w:pPr>
      <w:r>
        <w:rPr>
          <w:b/>
          <w:color w:val="C05000"/>
          <w:sz w:val="18"/>
        </w:rPr>
        <w:t xml:space="preserve">⚠️ Risques : </w:t>
      </w:r>
      <w:r>
        <w:rPr>
          <w:sz w:val="18"/>
        </w:rPr>
        <w:t>["Risque de cr\u00e9dit li\u00e9 aux d\u00e9pr\u00e9ciations des pr\u00eats \u00e0 la client\u00e8le, n\u00e9cessitant des estimations et jugements importants.", "Risque informatique en raison de la complexit\u00e9 et de la volum\u00e9trie des transactions, pouvant affecter la fiabilit\u00e9 de l'in</w:t>
      </w:r>
    </w:p>
    <w:p>
      <w:pPr>
        <w:spacing w:before="40"/>
        <w:ind w:left="400"/>
      </w:pPr>
      <w:r>
        <w:rPr>
          <w:b/>
          <w:color w:val="0064A0"/>
          <w:sz w:val="18"/>
        </w:rPr>
        <w:t xml:space="preserve">🔮 Perspectives : </w:t>
      </w:r>
      <w:r>
        <w:rPr>
          <w:sz w:val="18"/>
        </w:rPr>
        <w:t>La BIIC devrait poursuivre l'amélioration de ses dispositifs de gestion du risque de crédit et de contrôle interne dans le cadre de l'adoption des IFRS. La banque pourrait bénéficier d'une meilleure transparence financière et d'une gouvernance renforcée, ce qui pourrait soutenir sa croissance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rentable et une solvabilit\u00e9 solide, soutenue par des perspectives \u00e9conomiques favorables. Une gestion prudente des risques de liquidit\u00e9 et de cr\u00e9dit est n\u00e9cessaire, mais la dynamique positive justifie une position acheteuse."}</w:t>
      </w:r>
    </w:p>
    <w:p>
      <w:pPr>
        <w:spacing w:before="40"/>
        <w:ind w:left="400"/>
      </w:pPr>
      <w:r>
        <w:rPr>
          <w:sz w:val="18"/>
        </w:rPr>
        <w:t xml:space="preserve">BIIC a réalisé une performance financière solide en 2025, avec un PNB en hausse de 16,5% à 52,8 milliards FCFA et un résultat net en progression de 24,7% à 36,2 milliards FCFA. La banque a entamé sa première adoption des normes IFRS, aboutissant à une information financière plus transparente et comparative, avec un impact de transition de -10,4 milliards FCFA sur les capitaux propres d'ouverture. L'intermédiation s'est fortement accélérée, les crédits clientèle nets augmentant de 37,3% pour atteindre 1 151,5 milliards FCFA, tandis que les dépôts progressent de 29,4% à 1 181,0 milliards FCFA. La solvabilité demeure robuste avec un ratio de 19,64%, nettement au-dessus du minimum réglementaire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'2,0%', 'roe': '26,8%', 'solvabilite_totale': '19,64%', 'resultat_net_par_action': '627 FCFA', 'coefficient_exploitation': '31,1%', 'ratio_credits_net_depots': '97,5%'}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68,6%</w:t>
            </w:r>
          </w:p>
        </w:tc>
        <w:tc>
          <w:tcPr>
            <w:tcW w:type="dxa" w:w="2160"/>
          </w:tcPr>
          <w:p>
            <w:pPr>
              <w:ind w:left="100"/>
            </w:pPr>
            <w:r/>
            <w:r>
              <w:rPr>
                <w:b/>
                <w:sz w:val="16"/>
              </w:rPr>
              <w:t>total_actif</w:t>
              <w:br/>
            </w:r>
            <w:r>
              <w:rPr>
                <w:sz w:val="18"/>
              </w:rPr>
              <w:t>1 844,6 Md FCFA</w:t>
            </w:r>
          </w:p>
        </w:tc>
      </w:tr>
      <w:tr>
        <w:tc>
          <w:tcPr>
            <w:tcW w:type="dxa" w:w="2160"/>
          </w:tcPr>
          <w:p>
            <w:r/>
            <w:r>
              <w:rPr>
                <w:b/>
                <w:sz w:val="16"/>
              </w:rPr>
              <w:t>resultat_net</w:t>
              <w:br/>
            </w:r>
            <w:r>
              <w:rPr>
                <w:sz w:val="18"/>
              </w:rPr>
              <w:t>36,2 Md FCFA</w:t>
            </w:r>
          </w:p>
        </w:tc>
        <w:tc>
          <w:tcPr>
            <w:tcW w:type="dxa" w:w="2160"/>
          </w:tcPr>
          <w:p>
            <w:r/>
            <w:r>
              <w:rPr>
                <w:b/>
                <w:sz w:val="16"/>
              </w:rPr>
              <w:t>capitaux_propres</w:t>
              <w:br/>
            </w:r>
            <w:r>
              <w:rPr>
                <w:sz w:val="18"/>
              </w:rPr>
              <w:t>135,1 Md FCFA</w:t>
            </w:r>
          </w:p>
        </w:tc>
        <w:tc>
          <w:tcPr>
            <w:tcW w:type="dxa" w:w="2160"/>
          </w:tcPr>
          <w:p>
            <w:r/>
            <w:r>
              <w:rPr>
                <w:b/>
                <w:sz w:val="16"/>
              </w:rPr>
              <w:t>chiffre_affaires</w:t>
              <w:br/>
            </w:r>
            <w:r>
              <w:rPr>
                <w:sz w:val="18"/>
              </w:rPr>
              <w:t>52,8 Md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de 24,7% du résultat net à 36,2 milliards FCFA.</w:t>
      </w:r>
    </w:p>
    <w:p>
      <w:pPr>
        <w:pStyle w:val="ListBullet"/>
        <w:spacing w:before="20" w:after="20"/>
        <w:ind w:left="700"/>
      </w:pPr>
      <w:r>
        <w:rPr>
          <w:sz w:val="18"/>
        </w:rPr>
        <w:t>Hausse de 16,5% du PNB à 52,8 milliards FCFA.</w:t>
      </w:r>
    </w:p>
    <w:p>
      <w:pPr>
        <w:pStyle w:val="ListBullet"/>
        <w:spacing w:before="20" w:after="20"/>
        <w:ind w:left="700"/>
      </w:pPr>
      <w:r>
        <w:rPr>
          <w:sz w:val="18"/>
        </w:rPr>
        <w:t>Croissance de 37,3% des crédits clientèle nets à 1 151,5 milliards FCFA.</w:t>
      </w:r>
    </w:p>
    <w:p>
      <w:pPr>
        <w:pStyle w:val="ListBullet"/>
        <w:spacing w:before="20" w:after="20"/>
        <w:ind w:left="700"/>
      </w:pPr>
      <w:r>
        <w:rPr>
          <w:sz w:val="18"/>
        </w:rPr>
        <w:t>Augmentation de 29,4% des dépôts clientèle à 1 181,0 milliards FCFA.</w:t>
      </w:r>
    </w:p>
    <w:p>
      <w:pPr>
        <w:pStyle w:val="ListBullet"/>
        <w:spacing w:before="20" w:after="20"/>
        <w:ind w:left="700"/>
      </w:pPr>
      <w:r>
        <w:rPr>
          <w:sz w:val="18"/>
        </w:rPr>
        <w:t>Première adoption IFRS avec un impact de transition de -10,4 milliards FCFA sur les capitaux propres.</w:t>
      </w:r>
    </w:p>
    <w:p>
      <w:pPr>
        <w:pStyle w:val="ListBullet"/>
        <w:spacing w:before="20" w:after="20"/>
        <w:ind w:left="700"/>
      </w:pPr>
      <w:r>
        <w:rPr>
          <w:sz w:val="18"/>
        </w:rPr>
        <w:t>Ratio de solvabilité total de 19,64%, supérieur de 8,14 points au minimum BCEAO.</w:t>
      </w:r>
    </w:p>
    <w:p>
      <w:pPr>
        <w:spacing w:before="40"/>
        <w:ind w:left="400"/>
      </w:pPr>
      <w:r>
        <w:rPr>
          <w:b/>
          <w:color w:val="C05000"/>
          <w:sz w:val="18"/>
        </w:rPr>
        <w:t xml:space="preserve">⚠️ Risques : </w:t>
      </w:r>
      <w:r>
        <w:rPr>
          <w:sz w:val="18"/>
        </w:rPr>
        <w:t>["D\u00e9t\u00e9rioration du ratio de liquidit\u00e9 avec une baisse des actifs liquides nets sur ressources courtes \u00e0 11,03%.", "Risque de cr\u00e9dit li\u00e9 \u00e0 l'expansion rapide des cr\u00e9dits et \u00e0 la n\u00e9cessit\u00e9 de maintenir une couverture ad\u00e9quate.", "Sensibilit\u</w:t>
      </w:r>
    </w:p>
    <w:p>
      <w:pPr>
        <w:spacing w:before="40"/>
        <w:ind w:left="400"/>
      </w:pPr>
      <w:r>
        <w:rPr>
          <w:b/>
          <w:color w:val="0064A0"/>
          <w:sz w:val="18"/>
        </w:rPr>
        <w:t xml:space="preserve">🔮 Perspectives : </w:t>
      </w:r>
      <w:r>
        <w:rPr>
          <w:sz w:val="18"/>
        </w:rPr>
        <w:t>Pour 2026, BIIC prévoit de renforcer sa croissance dans un environnement économique régional porteur, avec une priorité à la gestion de la liquidité et à l'industrialisation des processus IFRS 9. La banque vise à maintenir sa rentabilité et sa solvabilité tout en finançant l'économie de manière séle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BIIC maintient une croissance solide de son activit\u00e9 avec une progression significative des cr\u00e9ances et du produit net bancaire. La ma\u00eetrise du co\u00fbt du risque et la solidit\u00e9 du bilan justifient une position de conservation."}</w:t>
      </w:r>
    </w:p>
    <w:p>
      <w:pPr>
        <w:spacing w:before="40"/>
        <w:ind w:left="400"/>
      </w:pPr>
      <w:r>
        <w:rPr>
          <w:sz w:val="18"/>
        </w:rPr>
        <w:t>BIIC S.A. présente des résultats semestriels solides au 30 juin 2025 avec un résultat net de 7,903 milliards FCFA, en baisse par rapport aux 10,784 milliards FCFA du premier semestre 2024. Le total actif de la banque s'élève à 1,723 milliards FCFA contre 1,520 milliards FCFA fin décembre 2024, marquant une croissance significative. Les créances sur la clientèle ont connu une forte progression, passant de 856 milliards FCFA à 1,049 milliards FCFA. Les capitaux propres se renforcent à 118,339 milliards FCFA contre 125,910 milliards FCFA fin 2024. L'audit limité des commissaires aux comptes n'a relevé aucun fait significatif remettant en cause la conformité des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'7,905 milliards FCFA', 'ratio_solvabilite': None, 'creances_clientele': '1,049,202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30,7%</w:t>
            </w:r>
          </w:p>
        </w:tc>
        <w:tc>
          <w:tcPr>
            <w:tcW w:type="dxa" w:w="2160"/>
          </w:tcPr>
          <w:p>
            <w:pPr>
              <w:ind w:left="100"/>
            </w:pPr>
            <w:r/>
            <w:r>
              <w:rPr>
                <w:b/>
                <w:sz w:val="16"/>
              </w:rPr>
              <w:t>total_actif</w:t>
              <w:br/>
            </w:r>
            <w:r>
              <w:rPr>
                <w:sz w:val="18"/>
              </w:rPr>
              <w:t>1,723,382 milliards FCFA</w:t>
            </w:r>
          </w:p>
        </w:tc>
      </w:tr>
      <w:tr>
        <w:tc>
          <w:tcPr>
            <w:tcW w:type="dxa" w:w="2160"/>
          </w:tcPr>
          <w:p>
            <w:r/>
            <w:r>
              <w:rPr>
                <w:b/>
                <w:sz w:val="16"/>
              </w:rPr>
              <w:t>resultat_net</w:t>
              <w:br/>
            </w:r>
            <w:r>
              <w:rPr>
                <w:sz w:val="18"/>
              </w:rPr>
              <w:t>7,903 milliards FCFA</w:t>
            </w:r>
          </w:p>
        </w:tc>
        <w:tc>
          <w:tcPr>
            <w:tcW w:type="dxa" w:w="2160"/>
          </w:tcPr>
          <w:p>
            <w:r/>
            <w:r>
              <w:rPr>
                <w:b/>
                <w:sz w:val="16"/>
              </w:rPr>
              <w:t>capitaux_propres</w:t>
              <w:br/>
            </w:r>
            <w:r>
              <w:rPr>
                <w:sz w:val="18"/>
              </w:rPr>
              <w:t>118,339 milliards FCFA</w:t>
            </w:r>
          </w:p>
        </w:tc>
        <w:tc>
          <w:tcPr>
            <w:tcW w:type="dxa" w:w="2160"/>
          </w:tcPr>
          <w:p>
            <w:r/>
            <w:r>
              <w:rPr>
                <w:b/>
                <w:sz w:val="16"/>
              </w:rPr>
              <w:t>chiffre_affaires</w:t>
              <w:br/>
            </w:r>
            <w:r>
              <w:rPr>
                <w:sz w:val="18"/>
              </w:rPr>
              <w:t>25,738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semestriel de 7,903 milliards FCFA, en baisse de 26,7% par rapport au S1 2024</w:t>
      </w:r>
    </w:p>
    <w:p>
      <w:pPr>
        <w:pStyle w:val="ListBullet"/>
        <w:spacing w:before="20" w:after="20"/>
        <w:ind w:left="700"/>
      </w:pPr>
      <w:r>
        <w:rPr>
          <w:sz w:val="18"/>
        </w:rPr>
        <w:t>Croissance du total actif de 13,4% à 1,723 milliards FCFA</w:t>
      </w:r>
    </w:p>
    <w:p>
      <w:pPr>
        <w:pStyle w:val="ListBullet"/>
        <w:spacing w:before="20" w:after="20"/>
        <w:ind w:left="700"/>
      </w:pPr>
      <w:r>
        <w:rPr>
          <w:sz w:val="18"/>
        </w:rPr>
        <w:t>Forte augmentation des créances sur la clientèle (+22,5% à 1,049 milliards FCFA)</w:t>
      </w:r>
    </w:p>
    <w:p>
      <w:pPr>
        <w:pStyle w:val="ListBullet"/>
        <w:spacing w:before="20" w:after="20"/>
        <w:ind w:left="700"/>
      </w:pPr>
      <w:r>
        <w:rPr>
          <w:sz w:val="18"/>
        </w:rPr>
        <w:t>Produit net bancaire en progression à 25,738 milliards FCFA contre 20,086 milliards FCFA</w:t>
      </w:r>
    </w:p>
    <w:p>
      <w:pPr>
        <w:pStyle w:val="ListBullet"/>
        <w:spacing w:before="20" w:after="20"/>
        <w:ind w:left="700"/>
      </w:pPr>
      <w:r>
        <w:rPr>
          <w:sz w:val="18"/>
        </w:rPr>
        <w:t>Coût du risque maîtrisé à 7,905 milliards FCFA</w:t>
      </w:r>
    </w:p>
    <w:p>
      <w:pPr>
        <w:pStyle w:val="ListBullet"/>
        <w:spacing w:before="20" w:after="20"/>
        <w:ind w:left="700"/>
      </w:pPr>
      <w:r>
        <w:rPr>
          <w:sz w:val="18"/>
        </w:rPr>
        <w:t>Engagements hors bilan en hausse à 415,485 milliards FCFA</w:t>
      </w:r>
    </w:p>
    <w:p>
      <w:pPr>
        <w:spacing w:before="40"/>
        <w:ind w:left="400"/>
      </w:pPr>
      <w:r>
        <w:rPr>
          <w:b/>
          <w:color w:val="C05000"/>
          <w:sz w:val="18"/>
        </w:rPr>
        <w:t xml:space="preserve">⚠️ Risques : </w:t>
      </w:r>
      <w:r>
        <w:rPr>
          <w:sz w:val="18"/>
        </w:rPr>
        <w:t>["D\u00e9t\u00e9rioration de la qualit\u00e9 des cr\u00e9ances avec une augmentation du co\u00fbt du risque", "Pression sur la rentabilit\u00e9 dans un environnement concurrentiel", "Risques op\u00e9rationnels li\u00e9s aux syst\u00e8mes d'information (migration AMPLITUDE non finalis\u00e9e)"]</w:t>
      </w:r>
    </w:p>
    <w:p>
      <w:pPr>
        <w:spacing w:before="40"/>
        <w:ind w:left="400"/>
      </w:pPr>
      <w:r>
        <w:rPr>
          <w:b/>
          <w:color w:val="0064A0"/>
          <w:sz w:val="18"/>
        </w:rPr>
        <w:t xml:space="preserve">🔮 Perspectives : </w:t>
      </w:r>
      <w:r>
        <w:rPr>
          <w:sz w:val="18"/>
        </w:rPr>
        <w:t>La banque devrait poursuivre sa croissance avec une expansion continue de son portefeuille crédit et une amélioration attendue de l'efficacité opérationnelle. L'optimisation de la gestion des risques et la finalisation des projets technologiques devraient contribuer à stabiliser la rentabilité sur l</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(+30% cr\u00e9dits, +25% d\u00e9p\u00f4ts) d\u00e9montre la solidit\u00e9 de la franchise mais le recul du r\u00e9sultat net (-9%) refl\u00e8te une gestion prudente n\u00e9cessaire. L'\u00e9quilibre entre expansion et ma\u00eetrise des risques justifie une position d'attente."}</w:t>
      </w:r>
    </w:p>
    <w:p>
      <w:pPr>
        <w:spacing w:before="40"/>
        <w:ind w:left="400"/>
      </w:pPr>
      <w:r>
        <w:rPr>
          <w:sz w:val="18"/>
        </w:rPr>
        <w:t>BIIC affiche des performances contrastées au T3 2025 avec un résultat net de 13,1 milliards FCFA en baisse de 9% par rapport à septembre 2024. Le PNB progresse fortement de 26% à 35,9 milliards FCFA, porté par la hausse des revenus sur crédits. Les encours de crédits bondissent de 30% et les dépôts clients de 25%, témoignant d'une forte dynamique commerciale. Le recul du résultat net s'explique par le renforcement prudent des provisions face à l'évolution du portefeuille de crédits. Le total bilan atteint 1 806,8 milliards FCFA, en progression de 19%.</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{'titres': '547,3 milliards FCFA', 'depots_clientele': '1 154,029 milliards FCFA', 'resultat_avant_impots': '13,9 milliards FCFA', 'credits_nets_clientele': '1 111,078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1 806,8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PNB de 26% à 35,9 milliards FCFA au T3 2025</w:t>
      </w:r>
    </w:p>
    <w:p>
      <w:pPr>
        <w:pStyle w:val="ListBullet"/>
        <w:spacing w:before="20" w:after="20"/>
        <w:ind w:left="700"/>
      </w:pPr>
      <w:r>
        <w:rPr>
          <w:sz w:val="18"/>
        </w:rPr>
        <w:t>Forte expansion des crédits nets clientèle (+30%) à 1 111,078 milliards FCFA</w:t>
      </w:r>
    </w:p>
    <w:p>
      <w:pPr>
        <w:pStyle w:val="ListBullet"/>
        <w:spacing w:before="20" w:after="20"/>
        <w:ind w:left="700"/>
      </w:pPr>
      <w:r>
        <w:rPr>
          <w:sz w:val="18"/>
        </w:rPr>
        <w:t>Hausse significative des dépôts clientèle (+25%) à 1 154,029 milliards FCFA</w:t>
      </w:r>
    </w:p>
    <w:p>
      <w:pPr>
        <w:pStyle w:val="ListBullet"/>
        <w:spacing w:before="20" w:after="20"/>
        <w:ind w:left="700"/>
      </w:pPr>
      <w:r>
        <w:rPr>
          <w:sz w:val="18"/>
        </w:rPr>
        <w:t>Recul du résultat net de 9% à 13,1 milliards FCFA malgré la croissance d'activité</w:t>
      </w:r>
    </w:p>
    <w:p>
      <w:pPr>
        <w:pStyle w:val="ListBullet"/>
        <w:spacing w:before="20" w:after="20"/>
        <w:ind w:left="700"/>
      </w:pPr>
      <w:r>
        <w:rPr>
          <w:sz w:val="18"/>
        </w:rPr>
        <w:t>Politique prudente de provisionnement face à l'évolution du portefeuille crédit</w:t>
      </w:r>
    </w:p>
    <w:p>
      <w:pPr>
        <w:pStyle w:val="ListBullet"/>
        <w:spacing w:before="20" w:after="20"/>
        <w:ind w:left="700"/>
      </w:pPr>
      <w:r>
        <w:rPr>
          <w:sz w:val="18"/>
        </w:rPr>
        <w:t>Total bilan en progression de 19% à 1 806,8 milliards FCFA</w:t>
      </w:r>
    </w:p>
    <w:p>
      <w:pPr>
        <w:spacing w:before="40"/>
        <w:ind w:left="400"/>
      </w:pPr>
      <w:r>
        <w:rPr>
          <w:b/>
          <w:color w:val="C05000"/>
          <w:sz w:val="18"/>
        </w:rPr>
        <w:t xml:space="preserve">⚠️ Risques : </w:t>
      </w:r>
      <w:r>
        <w:rPr>
          <w:sz w:val="18"/>
        </w:rPr>
        <w:t>["D\u00e9t\u00e9rioration potentielle de la qualit\u00e9 du portefeuille cr\u00e9dit n\u00e9cessitant des provisions accrues", "Pression sur la rentabilit\u00e9 due au renforcement du co\u00fbt du risque dans un contexte prudentiel exigeant", "Concentration des financements sur le court et moyen ter</w:t>
      </w:r>
    </w:p>
    <w:p>
      <w:pPr>
        <w:spacing w:before="40"/>
        <w:ind w:left="400"/>
      </w:pPr>
      <w:r>
        <w:rPr>
          <w:b/>
          <w:color w:val="0064A0"/>
          <w:sz w:val="18"/>
        </w:rPr>
        <w:t xml:space="preserve">🔮 Perspectives : </w:t>
      </w:r>
      <w:r>
        <w:rPr>
          <w:sz w:val="18"/>
        </w:rPr>
        <w:t>La BIIC prévoit de poursuivre le déploiement de ses activités au T4 2025 en consolidant sa stratégie commerciale. L'accent sera mis sur une gestion rigoureuse des risques et des charges de fonctionnement pour atteindre les objectifs stratégiques. La banque maintient sa dynamique de croissance tout e</w:t>
      </w:r>
    </w:p>
    <w:p/>
    <w:p>
      <w:r>
        <w:t>════════════════════════════════════════════════════════════════════════════════</w:t>
      </w:r>
    </w:p>
    <w:p>
      <w:r>
        <w:br w:type="page"/>
      </w:r>
    </w:p>
    <w:p>
      <w:pPr>
        <w:pStyle w:val="Heading2"/>
        <w:spacing w:before="360"/>
      </w:pPr>
      <w:r>
        <w:rPr>
          <w:color w:val="0066CC"/>
        </w:rPr>
        <w:t>3. BICC - BICI CI - Banque internationale pour le commerce et l'industrie de la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BICC</w:t>
            </w:r>
          </w:p>
          <w:p>
            <w:r>
              <w:rPr>
                <w:b/>
                <w:color w:val="323250"/>
                <w:sz w:val="16"/>
              </w:rPr>
              <w:t xml:space="preserve">Société : </w:t>
            </w:r>
            <w:r>
              <w:rPr>
                <w:color w:val="000000"/>
                <w:sz w:val="16"/>
              </w:rPr>
              <w:t>BICI CI - Banque internationale pour le ...</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499.50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675 titres</w:t>
            </w:r>
          </w:p>
        </w:tc>
        <w:tc>
          <w:tcPr>
            <w:tcW w:type="dxa" w:w="2268"/>
            <w:shd w:fill="FFF2CC" w:val="clear"/>
          </w:tcPr>
          <w:p>
            <w:r>
              <w:rPr>
                <w:b/>
                <w:color w:val="503200"/>
                <w:sz w:val="16"/>
              </w:rPr>
              <w:t xml:space="preserve">Cours actuel : </w:t>
            </w:r>
            <w:r>
              <w:rPr>
                <w:color w:val="000000"/>
                <w:sz w:val="17"/>
              </w:rPr>
              <w:t>29,970 FCFA</w:t>
            </w:r>
          </w:p>
          <w:p>
            <w:r>
              <w:rPr>
                <w:b/>
                <w:color w:val="503200"/>
                <w:sz w:val="16"/>
              </w:rPr>
              <w:t xml:space="preserve">Var. 100 jours : </w:t>
            </w:r>
            <w:r>
              <w:rPr>
                <w:b/>
                <w:color w:val="007800"/>
                <w:sz w:val="17"/>
              </w:rPr>
              <w:t>+23.59%</w:t>
            </w:r>
          </w:p>
          <w:p>
            <w:r>
              <w:rPr>
                <w:b/>
                <w:color w:val="503200"/>
                <w:sz w:val="16"/>
              </w:rPr>
              <w:t xml:space="preserve">Plus haut 100j : </w:t>
            </w:r>
            <w:r>
              <w:rPr>
                <w:color w:val="000000"/>
                <w:sz w:val="17"/>
              </w:rPr>
              <w:t>29,970 FCFA</w:t>
            </w:r>
          </w:p>
          <w:p>
            <w:r>
              <w:rPr>
                <w:b/>
                <w:color w:val="503200"/>
                <w:sz w:val="16"/>
              </w:rPr>
              <w:t xml:space="preserve">Plus bas 100j : </w:t>
            </w:r>
            <w:r>
              <w:rPr>
                <w:color w:val="000000"/>
                <w:sz w:val="17"/>
              </w:rPr>
              <w:t>22,500 FCFA</w:t>
            </w:r>
          </w:p>
          <w:p>
            <w:r>
              <w:rPr>
                <w:b/>
                <w:color w:val="503200"/>
                <w:sz w:val="16"/>
              </w:rPr>
              <w:t xml:space="preserve">Volatilité ann. : </w:t>
            </w:r>
            <w:r>
              <w:rPr>
                <w:color w:val="000000"/>
                <w:sz w:val="17"/>
              </w:rPr>
              <w:t>27.2%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22.1/100 → Moyen</w:t>
      </w:r>
    </w:p>
    <w:p>
      <w:pPr>
        <w:spacing w:before="40" w:after="80"/>
      </w:pPr>
      <w:r>
        <w:rPr>
          <w:rFonts w:ascii="Courier New" w:hAnsi="Courier New"/>
          <w:color w:val="825A00"/>
          <w:sz w:val="18"/>
        </w:rPr>
        <w:t>████░░░░░░░░░░░░░░░░  22.1/100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7.36% (Moyenne) — μ=27,288 FCFA, σ=2,007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β=0.2086 (Défensif) — Cov=0.000007, Var(idx)=0.000035, ρ=0.073,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675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σ_j=1.71%/j (Stable) — Vol. annualisée≈27.2%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5" name="Picture 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2026-08-28</w:t>
            </w:r>
          </w:p>
        </w:tc>
        <w:tc>
          <w:tcPr>
            <w:tcW w:type="dxa" w:w="1440"/>
            <w:shd w:fill="FFDCE0" w:val="clear"/>
          </w:tcPr>
          <w:p>
            <w:r>
              <w:rPr>
                <w:sz w:val="17"/>
              </w:rPr>
              <w:t>28,085</w:t>
            </w:r>
          </w:p>
        </w:tc>
        <w:tc>
          <w:tcPr>
            <w:tcW w:type="dxa" w:w="1440"/>
            <w:shd w:fill="FFDCE0" w:val="clear"/>
          </w:tcPr>
          <w:p>
            <w:r>
              <w:rPr>
                <w:b/>
                <w:sz w:val="17"/>
              </w:rPr>
              <w:t>28,667</w:t>
            </w:r>
          </w:p>
        </w:tc>
        <w:tc>
          <w:tcPr>
            <w:tcW w:type="dxa" w:w="1440"/>
            <w:shd w:fill="FFDCE0" w:val="clear"/>
          </w:tcPr>
          <w:p>
            <w:r>
              <w:rPr>
                <w:sz w:val="17"/>
              </w:rPr>
              <w:t>29,248</w:t>
            </w:r>
          </w:p>
        </w:tc>
        <w:tc>
          <w:tcPr>
            <w:tcW w:type="dxa" w:w="1440"/>
            <w:shd w:fill="FFDCE0" w:val="clear"/>
          </w:tcPr>
          <w:p>
            <w:r>
              <w:rPr>
                <w:b/>
                <w:color w:val="C00000"/>
                <w:sz w:val="17"/>
              </w:rPr>
              <w:t>-4.3%</w:t>
            </w:r>
          </w:p>
        </w:tc>
      </w:tr>
      <w:tr>
        <w:tc>
          <w:tcPr>
            <w:tcW w:type="dxa" w:w="1440"/>
            <w:shd w:fill="FFDCE0" w:val="clear"/>
          </w:tcPr>
          <w:p>
            <w:r>
              <w:rPr>
                <w:sz w:val="17"/>
              </w:rPr>
              <w:t>J+2  ⭐⭐⭐</w:t>
            </w:r>
          </w:p>
        </w:tc>
        <w:tc>
          <w:tcPr>
            <w:tcW w:type="dxa" w:w="1440"/>
            <w:shd w:fill="FFDCE0" w:val="clear"/>
          </w:tcPr>
          <w:p>
            <w:r>
              <w:rPr>
                <w:sz w:val="17"/>
              </w:rPr>
              <w:t>2026-08-31</w:t>
            </w:r>
          </w:p>
        </w:tc>
        <w:tc>
          <w:tcPr>
            <w:tcW w:type="dxa" w:w="1440"/>
            <w:shd w:fill="FFDCE0" w:val="clear"/>
          </w:tcPr>
          <w:p>
            <w:r>
              <w:rPr>
                <w:sz w:val="17"/>
              </w:rPr>
              <w:t>27,656</w:t>
            </w:r>
          </w:p>
        </w:tc>
        <w:tc>
          <w:tcPr>
            <w:tcW w:type="dxa" w:w="1440"/>
            <w:shd w:fill="FFDCE0" w:val="clear"/>
          </w:tcPr>
          <w:p>
            <w:r>
              <w:rPr>
                <w:b/>
                <w:sz w:val="17"/>
              </w:rPr>
              <w:t>28,473</w:t>
            </w:r>
          </w:p>
        </w:tc>
        <w:tc>
          <w:tcPr>
            <w:tcW w:type="dxa" w:w="1440"/>
            <w:shd w:fill="FFDCE0" w:val="clear"/>
          </w:tcPr>
          <w:p>
            <w:r>
              <w:rPr>
                <w:sz w:val="17"/>
              </w:rPr>
              <w:t>29,290</w:t>
            </w:r>
          </w:p>
        </w:tc>
        <w:tc>
          <w:tcPr>
            <w:tcW w:type="dxa" w:w="1440"/>
            <w:shd w:fill="FFDCE0" w:val="clear"/>
          </w:tcPr>
          <w:p>
            <w:r>
              <w:rPr>
                <w:b/>
                <w:color w:val="C00000"/>
                <w:sz w:val="17"/>
              </w:rPr>
              <w:t>-5.0%</w:t>
            </w:r>
          </w:p>
        </w:tc>
      </w:tr>
      <w:tr>
        <w:tc>
          <w:tcPr>
            <w:tcW w:type="dxa" w:w="1440"/>
            <w:shd w:fill="FFDCE0" w:val="clear"/>
          </w:tcPr>
          <w:p>
            <w:r>
              <w:rPr>
                <w:sz w:val="17"/>
              </w:rPr>
              <w:t>J+3  ⭐⭐⭐</w:t>
            </w:r>
          </w:p>
        </w:tc>
        <w:tc>
          <w:tcPr>
            <w:tcW w:type="dxa" w:w="1440"/>
            <w:shd w:fill="FFDCE0" w:val="clear"/>
          </w:tcPr>
          <w:p>
            <w:r>
              <w:rPr>
                <w:sz w:val="17"/>
              </w:rPr>
              <w:t>2026-09-01</w:t>
            </w:r>
          </w:p>
        </w:tc>
        <w:tc>
          <w:tcPr>
            <w:tcW w:type="dxa" w:w="1440"/>
            <w:shd w:fill="FFDCE0" w:val="clear"/>
          </w:tcPr>
          <w:p>
            <w:r>
              <w:rPr>
                <w:sz w:val="17"/>
              </w:rPr>
              <w:t>27,161</w:t>
            </w:r>
          </w:p>
        </w:tc>
        <w:tc>
          <w:tcPr>
            <w:tcW w:type="dxa" w:w="1440"/>
            <w:shd w:fill="FFDCE0" w:val="clear"/>
          </w:tcPr>
          <w:p>
            <w:r>
              <w:rPr>
                <w:b/>
                <w:sz w:val="17"/>
              </w:rPr>
              <w:t>28,150</w:t>
            </w:r>
          </w:p>
        </w:tc>
        <w:tc>
          <w:tcPr>
            <w:tcW w:type="dxa" w:w="1440"/>
            <w:shd w:fill="FFDCE0" w:val="clear"/>
          </w:tcPr>
          <w:p>
            <w:r>
              <w:rPr>
                <w:sz w:val="17"/>
              </w:rPr>
              <w:t>29,140</w:t>
            </w:r>
          </w:p>
        </w:tc>
        <w:tc>
          <w:tcPr>
            <w:tcW w:type="dxa" w:w="1440"/>
            <w:shd w:fill="FFDCE0" w:val="clear"/>
          </w:tcPr>
          <w:p>
            <w:r>
              <w:rPr>
                <w:b/>
                <w:color w:val="C00000"/>
                <w:sz w:val="17"/>
              </w:rPr>
              <w:t>-6.1%</w:t>
            </w:r>
          </w:p>
        </w:tc>
      </w:tr>
      <w:tr>
        <w:tc>
          <w:tcPr>
            <w:tcW w:type="dxa" w:w="1440"/>
            <w:shd w:fill="FFDCE0" w:val="clear"/>
          </w:tcPr>
          <w:p>
            <w:r>
              <w:rPr>
                <w:sz w:val="17"/>
              </w:rPr>
              <w:t>J+4  Moyenne</w:t>
            </w:r>
          </w:p>
        </w:tc>
        <w:tc>
          <w:tcPr>
            <w:tcW w:type="dxa" w:w="1440"/>
            <w:shd w:fill="FFDCE0" w:val="clear"/>
          </w:tcPr>
          <w:p>
            <w:r>
              <w:rPr>
                <w:sz w:val="17"/>
              </w:rPr>
              <w:t>2026-09-02</w:t>
            </w:r>
          </w:p>
        </w:tc>
        <w:tc>
          <w:tcPr>
            <w:tcW w:type="dxa" w:w="1440"/>
            <w:shd w:fill="FFDCE0" w:val="clear"/>
          </w:tcPr>
          <w:p>
            <w:r>
              <w:rPr>
                <w:sz w:val="17"/>
              </w:rPr>
              <w:t>26,722</w:t>
            </w:r>
          </w:p>
        </w:tc>
        <w:tc>
          <w:tcPr>
            <w:tcW w:type="dxa" w:w="1440"/>
            <w:shd w:fill="FFDCE0" w:val="clear"/>
          </w:tcPr>
          <w:p>
            <w:r>
              <w:rPr>
                <w:b/>
                <w:sz w:val="17"/>
              </w:rPr>
              <w:t>27,853</w:t>
            </w:r>
          </w:p>
        </w:tc>
        <w:tc>
          <w:tcPr>
            <w:tcW w:type="dxa" w:w="1440"/>
            <w:shd w:fill="FFDCE0" w:val="clear"/>
          </w:tcPr>
          <w:p>
            <w:r>
              <w:rPr>
                <w:sz w:val="17"/>
              </w:rPr>
              <w:t>28,983</w:t>
            </w:r>
          </w:p>
        </w:tc>
        <w:tc>
          <w:tcPr>
            <w:tcW w:type="dxa" w:w="1440"/>
            <w:shd w:fill="FFDCE0" w:val="clear"/>
          </w:tcPr>
          <w:p>
            <w:r>
              <w:rPr>
                <w:b/>
                <w:color w:val="C00000"/>
                <w:sz w:val="17"/>
              </w:rPr>
              <w:t>-7.1%</w:t>
            </w:r>
          </w:p>
        </w:tc>
      </w:tr>
      <w:tr>
        <w:tc>
          <w:tcPr>
            <w:tcW w:type="dxa" w:w="1440"/>
            <w:shd w:fill="FFDCE0" w:val="clear"/>
          </w:tcPr>
          <w:p>
            <w:r>
              <w:rPr>
                <w:sz w:val="17"/>
              </w:rPr>
              <w:t>J+5  Moyenne</w:t>
            </w:r>
          </w:p>
        </w:tc>
        <w:tc>
          <w:tcPr>
            <w:tcW w:type="dxa" w:w="1440"/>
            <w:shd w:fill="FFDCE0" w:val="clear"/>
          </w:tcPr>
          <w:p>
            <w:r>
              <w:rPr>
                <w:sz w:val="17"/>
              </w:rPr>
              <w:t>2026-09-03</w:t>
            </w:r>
          </w:p>
        </w:tc>
        <w:tc>
          <w:tcPr>
            <w:tcW w:type="dxa" w:w="1440"/>
            <w:shd w:fill="FFDCE0" w:val="clear"/>
          </w:tcPr>
          <w:p>
            <w:r>
              <w:rPr>
                <w:sz w:val="17"/>
              </w:rPr>
              <w:t>26,336</w:t>
            </w:r>
          </w:p>
        </w:tc>
        <w:tc>
          <w:tcPr>
            <w:tcW w:type="dxa" w:w="1440"/>
            <w:shd w:fill="FFDCE0" w:val="clear"/>
          </w:tcPr>
          <w:p>
            <w:r>
              <w:rPr>
                <w:b/>
                <w:sz w:val="17"/>
              </w:rPr>
              <w:t>27,588</w:t>
            </w:r>
          </w:p>
        </w:tc>
        <w:tc>
          <w:tcPr>
            <w:tcW w:type="dxa" w:w="1440"/>
            <w:shd w:fill="FFDCE0" w:val="clear"/>
          </w:tcPr>
          <w:p>
            <w:r>
              <w:rPr>
                <w:sz w:val="17"/>
              </w:rPr>
              <w:t>28,840</w:t>
            </w:r>
          </w:p>
        </w:tc>
        <w:tc>
          <w:tcPr>
            <w:tcW w:type="dxa" w:w="1440"/>
            <w:shd w:fill="FFDCE0" w:val="clear"/>
          </w:tcPr>
          <w:p>
            <w:r>
              <w:rPr>
                <w:b/>
                <w:color w:val="C00000"/>
                <w:sz w:val="17"/>
              </w:rPr>
              <w:t>-7.9%</w:t>
            </w:r>
          </w:p>
        </w:tc>
      </w:tr>
      <w:tr>
        <w:tc>
          <w:tcPr>
            <w:tcW w:type="dxa" w:w="1440"/>
            <w:shd w:fill="FFDCE0" w:val="clear"/>
          </w:tcPr>
          <w:p>
            <w:r>
              <w:rPr>
                <w:sz w:val="17"/>
              </w:rPr>
              <w:t>J+6  Moyenne</w:t>
            </w:r>
          </w:p>
        </w:tc>
        <w:tc>
          <w:tcPr>
            <w:tcW w:type="dxa" w:w="1440"/>
            <w:shd w:fill="FFDCE0" w:val="clear"/>
          </w:tcPr>
          <w:p>
            <w:r>
              <w:rPr>
                <w:sz w:val="17"/>
              </w:rPr>
              <w:t>2026-09-04</w:t>
            </w:r>
          </w:p>
        </w:tc>
        <w:tc>
          <w:tcPr>
            <w:tcW w:type="dxa" w:w="1440"/>
            <w:shd w:fill="FFDCE0" w:val="clear"/>
          </w:tcPr>
          <w:p>
            <w:r>
              <w:rPr>
                <w:sz w:val="17"/>
              </w:rPr>
              <w:t>25,982</w:t>
            </w:r>
          </w:p>
        </w:tc>
        <w:tc>
          <w:tcPr>
            <w:tcW w:type="dxa" w:w="1440"/>
            <w:shd w:fill="FFDCE0" w:val="clear"/>
          </w:tcPr>
          <w:p>
            <w:r>
              <w:rPr>
                <w:b/>
                <w:sz w:val="17"/>
              </w:rPr>
              <w:t>27,341</w:t>
            </w:r>
          </w:p>
        </w:tc>
        <w:tc>
          <w:tcPr>
            <w:tcW w:type="dxa" w:w="1440"/>
            <w:shd w:fill="FFDCE0" w:val="clear"/>
          </w:tcPr>
          <w:p>
            <w:r>
              <w:rPr>
                <w:sz w:val="17"/>
              </w:rPr>
              <w:t>28,700</w:t>
            </w:r>
          </w:p>
        </w:tc>
        <w:tc>
          <w:tcPr>
            <w:tcW w:type="dxa" w:w="1440"/>
            <w:shd w:fill="FFDCE0" w:val="clear"/>
          </w:tcPr>
          <w:p>
            <w:r>
              <w:rPr>
                <w:b/>
                <w:color w:val="C00000"/>
                <w:sz w:val="17"/>
              </w:rPr>
              <w:t>-8.8%</w:t>
            </w:r>
          </w:p>
        </w:tc>
      </w:tr>
      <w:tr>
        <w:tc>
          <w:tcPr>
            <w:tcW w:type="dxa" w:w="1440"/>
            <w:shd w:fill="FFDCE0" w:val="clear"/>
          </w:tcPr>
          <w:p>
            <w:r>
              <w:rPr>
                <w:sz w:val="17"/>
              </w:rPr>
              <w:t>J+7  Moyenne</w:t>
            </w:r>
          </w:p>
        </w:tc>
        <w:tc>
          <w:tcPr>
            <w:tcW w:type="dxa" w:w="1440"/>
            <w:shd w:fill="FFDCE0" w:val="clear"/>
          </w:tcPr>
          <w:p>
            <w:r>
              <w:rPr>
                <w:sz w:val="17"/>
              </w:rPr>
              <w:t>2026-09-07</w:t>
            </w:r>
          </w:p>
        </w:tc>
        <w:tc>
          <w:tcPr>
            <w:tcW w:type="dxa" w:w="1440"/>
            <w:shd w:fill="FFDCE0" w:val="clear"/>
          </w:tcPr>
          <w:p>
            <w:r>
              <w:rPr>
                <w:sz w:val="17"/>
              </w:rPr>
              <w:t>25,649</w:t>
            </w:r>
          </w:p>
        </w:tc>
        <w:tc>
          <w:tcPr>
            <w:tcW w:type="dxa" w:w="1440"/>
            <w:shd w:fill="FFDCE0" w:val="clear"/>
          </w:tcPr>
          <w:p>
            <w:r>
              <w:rPr>
                <w:b/>
                <w:sz w:val="17"/>
              </w:rPr>
              <w:t>27,105</w:t>
            </w:r>
          </w:p>
        </w:tc>
        <w:tc>
          <w:tcPr>
            <w:tcW w:type="dxa" w:w="1440"/>
            <w:shd w:fill="FFDCE0" w:val="clear"/>
          </w:tcPr>
          <w:p>
            <w:r>
              <w:rPr>
                <w:sz w:val="17"/>
              </w:rPr>
              <w:t>28,560</w:t>
            </w:r>
          </w:p>
        </w:tc>
        <w:tc>
          <w:tcPr>
            <w:tcW w:type="dxa" w:w="1440"/>
            <w:shd w:fill="FFDCE0" w:val="clear"/>
          </w:tcPr>
          <w:p>
            <w:r>
              <w:rPr>
                <w:b/>
                <w:color w:val="C00000"/>
                <w:sz w:val="17"/>
              </w:rPr>
              <w:t>-9.6%</w:t>
            </w:r>
          </w:p>
        </w:tc>
      </w:tr>
      <w:tr>
        <w:tc>
          <w:tcPr>
            <w:tcW w:type="dxa" w:w="1440"/>
            <w:shd w:fill="FFDCE0" w:val="clear"/>
          </w:tcPr>
          <w:p>
            <w:r>
              <w:rPr>
                <w:sz w:val="17"/>
              </w:rPr>
              <w:t>J+8  Moyenne</w:t>
            </w:r>
          </w:p>
        </w:tc>
        <w:tc>
          <w:tcPr>
            <w:tcW w:type="dxa" w:w="1440"/>
            <w:shd w:fill="FFDCE0" w:val="clear"/>
          </w:tcPr>
          <w:p>
            <w:r>
              <w:rPr>
                <w:sz w:val="17"/>
              </w:rPr>
              <w:t>2026-09-08</w:t>
            </w:r>
          </w:p>
        </w:tc>
        <w:tc>
          <w:tcPr>
            <w:tcW w:type="dxa" w:w="1440"/>
            <w:shd w:fill="FFDCE0" w:val="clear"/>
          </w:tcPr>
          <w:p>
            <w:r>
              <w:rPr>
                <w:sz w:val="17"/>
              </w:rPr>
              <w:t>25,334</w:t>
            </w:r>
          </w:p>
        </w:tc>
        <w:tc>
          <w:tcPr>
            <w:tcW w:type="dxa" w:w="1440"/>
            <w:shd w:fill="FFDCE0" w:val="clear"/>
          </w:tcPr>
          <w:p>
            <w:r>
              <w:rPr>
                <w:b/>
                <w:sz w:val="17"/>
              </w:rPr>
              <w:t>26,877</w:t>
            </w:r>
          </w:p>
        </w:tc>
        <w:tc>
          <w:tcPr>
            <w:tcW w:type="dxa" w:w="1440"/>
            <w:shd w:fill="FFDCE0" w:val="clear"/>
          </w:tcPr>
          <w:p>
            <w:r>
              <w:rPr>
                <w:sz w:val="17"/>
              </w:rPr>
              <w:t>28,420</w:t>
            </w:r>
          </w:p>
        </w:tc>
        <w:tc>
          <w:tcPr>
            <w:tcW w:type="dxa" w:w="1440"/>
            <w:shd w:fill="FFDCE0" w:val="clear"/>
          </w:tcPr>
          <w:p>
            <w:r>
              <w:rPr>
                <w:b/>
                <w:color w:val="C00000"/>
                <w:sz w:val="17"/>
              </w:rPr>
              <w:t>-10.3%</w:t>
            </w:r>
          </w:p>
        </w:tc>
      </w:tr>
      <w:tr>
        <w:tc>
          <w:tcPr>
            <w:tcW w:type="dxa" w:w="1440"/>
            <w:shd w:fill="FFDCE0" w:val="clear"/>
          </w:tcPr>
          <w:p>
            <w:r>
              <w:rPr>
                <w:sz w:val="17"/>
              </w:rPr>
              <w:t>J+9  Moyenne</w:t>
            </w:r>
          </w:p>
        </w:tc>
        <w:tc>
          <w:tcPr>
            <w:tcW w:type="dxa" w:w="1440"/>
            <w:shd w:fill="FFDCE0" w:val="clear"/>
          </w:tcPr>
          <w:p>
            <w:r>
              <w:rPr>
                <w:sz w:val="17"/>
              </w:rPr>
              <w:t>2026-09-09</w:t>
            </w:r>
          </w:p>
        </w:tc>
        <w:tc>
          <w:tcPr>
            <w:tcW w:type="dxa" w:w="1440"/>
            <w:shd w:fill="FFDCE0" w:val="clear"/>
          </w:tcPr>
          <w:p>
            <w:r>
              <w:rPr>
                <w:sz w:val="17"/>
              </w:rPr>
              <w:t>25,034</w:t>
            </w:r>
          </w:p>
        </w:tc>
        <w:tc>
          <w:tcPr>
            <w:tcW w:type="dxa" w:w="1440"/>
            <w:shd w:fill="FFDCE0" w:val="clear"/>
          </w:tcPr>
          <w:p>
            <w:r>
              <w:rPr>
                <w:b/>
                <w:sz w:val="17"/>
              </w:rPr>
              <w:t>26,657</w:t>
            </w:r>
          </w:p>
        </w:tc>
        <w:tc>
          <w:tcPr>
            <w:tcW w:type="dxa" w:w="1440"/>
            <w:shd w:fill="FFDCE0" w:val="clear"/>
          </w:tcPr>
          <w:p>
            <w:r>
              <w:rPr>
                <w:sz w:val="17"/>
              </w:rPr>
              <w:t>28,280</w:t>
            </w:r>
          </w:p>
        </w:tc>
        <w:tc>
          <w:tcPr>
            <w:tcW w:type="dxa" w:w="1440"/>
            <w:shd w:fill="FFDCE0" w:val="clear"/>
          </w:tcPr>
          <w:p>
            <w:r>
              <w:rPr>
                <w:b/>
                <w:color w:val="C00000"/>
                <w:sz w:val="17"/>
              </w:rPr>
              <w:t>-11.1%</w:t>
            </w:r>
          </w:p>
        </w:tc>
      </w:tr>
      <w:tr>
        <w:tc>
          <w:tcPr>
            <w:tcW w:type="dxa" w:w="1440"/>
            <w:shd w:fill="FFDCE0" w:val="clear"/>
          </w:tcPr>
          <w:p>
            <w:r>
              <w:rPr>
                <w:sz w:val="17"/>
              </w:rPr>
              <w:t>J+10  Moyenne</w:t>
            </w:r>
          </w:p>
        </w:tc>
        <w:tc>
          <w:tcPr>
            <w:tcW w:type="dxa" w:w="1440"/>
            <w:shd w:fill="FFDCE0" w:val="clear"/>
          </w:tcPr>
          <w:p>
            <w:r>
              <w:rPr>
                <w:sz w:val="17"/>
              </w:rPr>
              <w:t>2026-09-10</w:t>
            </w:r>
          </w:p>
        </w:tc>
        <w:tc>
          <w:tcPr>
            <w:tcW w:type="dxa" w:w="1440"/>
            <w:shd w:fill="FFDCE0" w:val="clear"/>
          </w:tcPr>
          <w:p>
            <w:r>
              <w:rPr>
                <w:sz w:val="17"/>
              </w:rPr>
              <w:t>24,748</w:t>
            </w:r>
          </w:p>
        </w:tc>
        <w:tc>
          <w:tcPr>
            <w:tcW w:type="dxa" w:w="1440"/>
            <w:shd w:fill="FFDCE0" w:val="clear"/>
          </w:tcPr>
          <w:p>
            <w:r>
              <w:rPr>
                <w:b/>
                <w:sz w:val="17"/>
              </w:rPr>
              <w:t>26,445</w:t>
            </w:r>
          </w:p>
        </w:tc>
        <w:tc>
          <w:tcPr>
            <w:tcW w:type="dxa" w:w="1440"/>
            <w:shd w:fill="FFDCE0" w:val="clear"/>
          </w:tcPr>
          <w:p>
            <w:r>
              <w:rPr>
                <w:sz w:val="17"/>
              </w:rPr>
              <w:t>28,142</w:t>
            </w:r>
          </w:p>
        </w:tc>
        <w:tc>
          <w:tcPr>
            <w:tcW w:type="dxa" w:w="1440"/>
            <w:shd w:fill="FFDCE0" w:val="clear"/>
          </w:tcPr>
          <w:p>
            <w:r>
              <w:rPr>
                <w:b/>
                <w:color w:val="C00000"/>
                <w:sz w:val="17"/>
              </w:rPr>
              <w:t>-11.8%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126.381 Mds FCFA</w:t>
            </w:r>
          </w:p>
        </w:tc>
        <w:tc>
          <w:tcPr>
            <w:tcW w:type="dxa" w:w="5669"/>
            <w:shd w:fill="FFFFFF" w:val="clear"/>
          </w:tcPr>
          <w:p>
            <w:r>
              <w:rPr>
                <w:color w:val="282828"/>
                <w:sz w:val="15"/>
              </w:rPr>
              <w:t>Représente 11.2%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408.170 Mds FCFA</w:t>
            </w:r>
          </w:p>
        </w:tc>
        <w:tc>
          <w:tcPr>
            <w:tcW w:type="dxa" w:w="5669"/>
            <w:shd w:fill="FFFFFF" w:val="clear"/>
          </w:tcPr>
          <w:p>
            <w:r>
              <w:rPr>
                <w:color w:val="282828"/>
                <w:sz w:val="15"/>
              </w:rPr>
              <w:t>Titres d'État détenus (36.2%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26.918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524.439 Mds FCFA</w:t>
            </w:r>
          </w:p>
        </w:tc>
        <w:tc>
          <w:tcPr>
            <w:tcW w:type="dxa" w:w="5669"/>
            <w:shd w:fill="FFFFFF" w:val="clear"/>
          </w:tcPr>
          <w:p>
            <w:r>
              <w:rPr>
                <w:color w:val="282828"/>
                <w:sz w:val="15"/>
              </w:rPr>
              <w:t>Portefeuille crédits (46.6%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15.281 Mds FCFA</w:t>
            </w:r>
          </w:p>
        </w:tc>
        <w:tc>
          <w:tcPr>
            <w:tcW w:type="dxa" w:w="5669"/>
            <w:shd w:fill="FFFFFF" w:val="clear"/>
          </w:tcPr>
          <w:p>
            <w:r>
              <w:rPr>
                <w:color w:val="282828"/>
                <w:sz w:val="15"/>
              </w:rPr>
              <w:t>Brevets, logiciels, fonds commercial (1.4%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17.288 Mds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33.760 Mds FCFA</w:t>
            </w:r>
          </w:p>
        </w:tc>
        <w:tc>
          <w:tcPr>
            <w:tcW w:type="dxa" w:w="5669"/>
            <w:shd w:fill="FFFFFF" w:val="clear"/>
          </w:tcPr>
          <w:p>
            <w:r>
              <w:rPr>
                <w:color w:val="282828"/>
                <w:sz w:val="15"/>
              </w:rPr>
              <w:t>Actif immobilisé = 3.0%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153.299 Mds FCFA</w:t>
            </w:r>
          </w:p>
        </w:tc>
        <w:tc>
          <w:tcPr>
            <w:tcW w:type="dxa" w:w="5669"/>
            <w:shd w:fill="FFFFFF" w:val="clear"/>
          </w:tcPr>
          <w:p>
            <w:r>
              <w:rPr>
                <w:color w:val="282828"/>
                <w:sz w:val="15"/>
              </w:rPr>
              <w:t>Liquidités disponibles (13.6%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1126.270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57.188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120.570 Mds FCFA</w:t>
            </w:r>
          </w:p>
        </w:tc>
        <w:tc>
          <w:tcPr>
            <w:tcW w:type="dxa" w:w="5669"/>
            <w:shd w:fill="FFFFFF" w:val="clear"/>
          </w:tcPr>
          <w:p>
            <w:r>
              <w:rPr>
                <w:color w:val="282828"/>
                <w:sz w:val="15"/>
              </w:rPr>
              <w:t>Fonds propres = 10.7%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122.602 Mds FCFA</w:t>
            </w:r>
          </w:p>
        </w:tc>
        <w:tc>
          <w:tcPr>
            <w:tcW w:type="dxa" w:w="5669"/>
            <w:shd w:fill="FFFFFF" w:val="clear"/>
          </w:tcPr>
          <w:p>
            <w:r>
              <w:rPr>
                <w:color w:val="282828"/>
                <w:sz w:val="15"/>
              </w:rPr>
              <w:t>Capitaux permanents / Actif immobilisé = 3.63x.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16.942 Mds FCFA</w:t>
            </w:r>
          </w:p>
        </w:tc>
        <w:tc>
          <w:tcPr>
            <w:tcW w:type="dxa" w:w="5669"/>
            <w:shd w:fill="FFFFFF" w:val="clear"/>
          </w:tcPr>
          <w:p>
            <w:r>
              <w:rPr>
                <w:color w:val="282828"/>
                <w:sz w:val="15"/>
              </w:rPr>
              <w:t>Refinancement interbancaire (1.5%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952.872 Mds FCFA</w:t>
            </w:r>
          </w:p>
        </w:tc>
        <w:tc>
          <w:tcPr>
            <w:tcW w:type="dxa" w:w="5669"/>
            <w:shd w:fill="FFFFFF" w:val="clear"/>
          </w:tcPr>
          <w:p>
            <w:r>
              <w:rPr>
                <w:color w:val="282828"/>
                <w:sz w:val="15"/>
              </w:rPr>
              <w:t>Dépôts clients = 84.6%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16.942 Mds FCFA</w:t>
            </w:r>
          </w:p>
        </w:tc>
        <w:tc>
          <w:tcPr>
            <w:tcW w:type="dxa" w:w="5669"/>
            <w:shd w:fill="FFFFFF" w:val="clear"/>
          </w:tcPr>
          <w:p>
            <w:r>
              <w:rPr>
                <w:color w:val="282828"/>
                <w:sz w:val="15"/>
              </w:rPr>
              <w:t>Dette financière totale = 14%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1005.700 Mds FCFA</w:t>
            </w:r>
          </w:p>
        </w:tc>
        <w:tc>
          <w:tcPr>
            <w:tcW w:type="dxa" w:w="5669"/>
            <w:shd w:fill="FFFFFF" w:val="clear"/>
          </w:tcPr>
          <w:p>
            <w:r>
              <w:rPr>
                <w:color w:val="282828"/>
                <w:sz w:val="15"/>
              </w:rPr>
              <w:t>Dettes totales = 89.3%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79.563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79.563 Mds FCFA</w:t>
            </w:r>
          </w:p>
        </w:tc>
        <w:tc>
          <w:tcPr>
            <w:tcW w:type="dxa" w:w="5669"/>
            <w:shd w:fill="FFFFFF" w:val="clear"/>
          </w:tcPr>
          <w:p>
            <w:r>
              <w:rPr>
                <w:color w:val="282828"/>
                <w:sz w:val="15"/>
              </w:rPr>
              <w:t>Revenu bancaire central (≡ CA). Croissance: 16.9%.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62.121 Mds FCFA</w:t>
            </w:r>
          </w:p>
        </w:tc>
        <w:tc>
          <w:tcPr>
            <w:tcW w:type="dxa" w:w="5669"/>
            <w:shd w:fill="FFFFFF" w:val="clear"/>
          </w:tcPr>
          <w:p>
            <w:r>
              <w:rPr>
                <w:color w:val="282828"/>
                <w:sz w:val="15"/>
              </w:rPr>
              <w:t>Revenus d'intérêts sur crédits (78%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12.334 Mds FCFA</w:t>
            </w:r>
          </w:p>
        </w:tc>
        <w:tc>
          <w:tcPr>
            <w:tcW w:type="dxa" w:w="5669"/>
            <w:shd w:fill="FFFFFF" w:val="clear"/>
          </w:tcPr>
          <w:p>
            <w:r>
              <w:rPr>
                <w:color w:val="282828"/>
                <w:sz w:val="15"/>
              </w:rPr>
              <w:t>Coût des dépôts collectés (16%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30.883 Mds FCFA</w:t>
            </w:r>
          </w:p>
        </w:tc>
        <w:tc>
          <w:tcPr>
            <w:tcW w:type="dxa" w:w="5669"/>
            <w:shd w:fill="FFFFFF" w:val="clear"/>
          </w:tcPr>
          <w:p>
            <w:r>
              <w:rPr>
                <w:color w:val="282828"/>
                <w:sz w:val="15"/>
              </w:rPr>
              <w:t>Revenus de commissions (38.8%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34.248 Mds FCFA</w:t>
            </w:r>
          </w:p>
        </w:tc>
        <w:tc>
          <w:tcPr>
            <w:tcW w:type="dxa" w:w="5669"/>
            <w:shd w:fill="FFFFFF" w:val="clear"/>
          </w:tcPr>
          <w:p>
            <w:r>
              <w:rPr>
                <w:color w:val="282828"/>
                <w:sz w:val="15"/>
              </w:rPr>
              <w:t>43.0%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6.193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39.122 Mds FCFA</w:t>
            </w:r>
          </w:p>
        </w:tc>
        <w:tc>
          <w:tcPr>
            <w:tcW w:type="dxa" w:w="5669"/>
            <w:shd w:fill="FFFFFF" w:val="clear"/>
          </w:tcPr>
          <w:p>
            <w:r>
              <w:rPr>
                <w:color w:val="282828"/>
                <w:sz w:val="15"/>
              </w:rPr>
              <w:t>RBE = 49.2%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40.620 Mds FCFA</w:t>
            </w:r>
          </w:p>
        </w:tc>
        <w:tc>
          <w:tcPr>
            <w:tcW w:type="dxa" w:w="5669"/>
            <w:shd w:fill="FFFFFF" w:val="clear"/>
          </w:tcPr>
          <w:p>
            <w:r>
              <w:rPr>
                <w:color w:val="282828"/>
                <w:sz w:val="15"/>
              </w:rPr>
              <w:t>Profit d'exploitation = 51.1%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-1.498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36.520 Mds FCFA</w:t>
            </w:r>
          </w:p>
        </w:tc>
        <w:tc>
          <w:tcPr>
            <w:tcW w:type="dxa" w:w="5669"/>
            <w:shd w:fill="FFFFFF" w:val="clear"/>
          </w:tcPr>
          <w:p>
            <w:r>
              <w:rPr>
                <w:color w:val="282828"/>
                <w:sz w:val="15"/>
              </w:rPr>
              <w:t>Marge nette = 45.9%.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42.713 Mds FCFA</w:t>
            </w:r>
          </w:p>
        </w:tc>
        <w:tc>
          <w:tcPr>
            <w:tcW w:type="dxa" w:w="5669"/>
            <w:shd w:fill="FFFFFF" w:val="clear"/>
          </w:tcPr>
          <w:p>
            <w:r>
              <w:rPr>
                <w:color w:val="282828"/>
                <w:sz w:val="15"/>
              </w:rPr>
              <w:t>CAF = 42.71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136.357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49.17%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45.90%</w:t>
            </w:r>
          </w:p>
        </w:tc>
        <w:tc>
          <w:tcPr>
            <w:tcW w:type="dxa" w:w="5669"/>
            <w:shd w:fill="FFFFFF" w:val="clear"/>
          </w:tcPr>
          <w:p>
            <w:r>
              <w:rPr>
                <w:color w:val="282828"/>
                <w:sz w:val="15"/>
              </w:rPr>
              <w:t>Résultat net / revenus = 45.90%.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51.05%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30.29%</w:t>
            </w:r>
          </w:p>
        </w:tc>
        <w:tc>
          <w:tcPr>
            <w:tcW w:type="dxa" w:w="5669"/>
            <w:shd w:fill="FFFFFF" w:val="clear"/>
          </w:tcPr>
          <w:p>
            <w:r>
              <w:rPr>
                <w:color w:val="282828"/>
                <w:sz w:val="15"/>
              </w:rPr>
              <w:t>Résultat net / capitaux propres = 30.29%.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3.24%</w:t>
            </w:r>
          </w:p>
        </w:tc>
        <w:tc>
          <w:tcPr>
            <w:tcW w:type="dxa" w:w="5669"/>
            <w:shd w:fill="FFFFFF" w:val="clear"/>
          </w:tcPr>
          <w:p>
            <w:r>
              <w:rPr>
                <w:color w:val="282828"/>
                <w:sz w:val="15"/>
              </w:rPr>
              <w:t>Résultat net / total actif = 3.24%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7.06%</w:t>
            </w:r>
          </w:p>
        </w:tc>
        <w:tc>
          <w:tcPr>
            <w:tcW w:type="dxa" w:w="5669"/>
            <w:shd w:fill="FFFFFF" w:val="clear"/>
          </w:tcPr>
          <w:p>
            <w:r>
              <w:rPr>
                <w:color w:val="282828"/>
                <w:sz w:val="15"/>
              </w:rPr>
              <w:t>CA / total actif = 7.06x.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50.83%</w:t>
            </w:r>
          </w:p>
        </w:tc>
        <w:tc>
          <w:tcPr>
            <w:tcW w:type="dxa" w:w="5669"/>
            <w:shd w:fill="FFFFFF" w:val="clear"/>
          </w:tcPr>
          <w:p>
            <w:r>
              <w:rPr>
                <w:color w:val="282828"/>
                <w:sz w:val="15"/>
              </w:rPr>
              <w:t>Charges / PNB = 50.83%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B40000"/>
                <w:sz w:val="17"/>
              </w:rPr>
              <w:t>-12.15%</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16.90%</w:t>
            </w:r>
          </w:p>
        </w:tc>
        <w:tc>
          <w:tcPr>
            <w:tcW w:type="dxa" w:w="5669"/>
            <w:shd w:fill="FFFFFF" w:val="clear"/>
          </w:tcPr>
          <w:p>
            <w:r>
              <w:rPr>
                <w:color w:val="282828"/>
                <w:sz w:val="15"/>
              </w:rPr>
              <w:t>Croissance PNB vs exercice précédent = 16.90%.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10.71%</w:t>
            </w:r>
          </w:p>
        </w:tc>
        <w:tc>
          <w:tcPr>
            <w:tcW w:type="dxa" w:w="5669"/>
            <w:shd w:fill="FFFFFF" w:val="clear"/>
          </w:tcPr>
          <w:p>
            <w:r>
              <w:rPr>
                <w:color w:val="282828"/>
                <w:sz w:val="15"/>
              </w:rPr>
              <w:t>Fonds propres / total bilan = 10.71%.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89.29%</w:t>
            </w:r>
          </w:p>
        </w:tc>
        <w:tc>
          <w:tcPr>
            <w:tcW w:type="dxa" w:w="5669"/>
            <w:shd w:fill="FFFFFF" w:val="clear"/>
          </w:tcPr>
          <w:p>
            <w:r>
              <w:rPr>
                <w:color w:val="282828"/>
                <w:sz w:val="15"/>
              </w:rPr>
              <w:t>Dettes financières / total bilan = 89.29%.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14.05%</w:t>
            </w:r>
          </w:p>
        </w:tc>
        <w:tc>
          <w:tcPr>
            <w:tcW w:type="dxa" w:w="5669"/>
            <w:shd w:fill="FFFFFF" w:val="clear"/>
          </w:tcPr>
          <w:p>
            <w:r>
              <w:rPr>
                <w:color w:val="282828"/>
                <w:sz w:val="15"/>
              </w:rPr>
              <w:t>Dettes totales / fonds propres = 14.05%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111.99%</w:t>
            </w:r>
          </w:p>
        </w:tc>
        <w:tc>
          <w:tcPr>
            <w:tcW w:type="dxa" w:w="5669"/>
            <w:shd w:fill="FFFFFF" w:val="clear"/>
          </w:tcPr>
          <w:p>
            <w:r>
              <w:rPr>
                <w:color w:val="282828"/>
                <w:sz w:val="15"/>
              </w:rPr>
              <w:t>Total actif / dettes totales = 111.99x.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357.14%</w:t>
            </w:r>
          </w:p>
        </w:tc>
        <w:tc>
          <w:tcPr>
            <w:tcW w:type="dxa" w:w="5669"/>
            <w:shd w:fill="FFFFFF" w:val="clear"/>
          </w:tcPr>
          <w:p>
            <w:r>
              <w:rPr>
                <w:color w:val="282828"/>
                <w:sz w:val="15"/>
              </w:rPr>
              <w:t>Capitaux permanents / actif immobilisé = 357.14x.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0.4 ans</w:t>
            </w:r>
          </w:p>
        </w:tc>
        <w:tc>
          <w:tcPr>
            <w:tcW w:type="dxa" w:w="5669"/>
            <w:shd w:fill="FFFFFF" w:val="clear"/>
          </w:tcPr>
          <w:p>
            <w:r>
              <w:rPr>
                <w:color w:val="282828"/>
                <w:sz w:val="15"/>
              </w:rPr>
              <w:t>Dettes financières / CAF = 0.4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329.33%</w:t>
            </w:r>
          </w:p>
        </w:tc>
        <w:tc>
          <w:tcPr>
            <w:tcW w:type="dxa" w:w="5669"/>
            <w:shd w:fill="FFFFFF" w:val="clear"/>
          </w:tcPr>
          <w:p>
            <w:r>
              <w:rPr>
                <w:color w:val="282828"/>
                <w:sz w:val="15"/>
              </w:rPr>
              <w:t>Résultat exploit. / charges financières = 329.33x.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BICC s'établit à 499,50 Mds FCFA, ce qui en fait l'une des valeurs les plus significatives de la BRVM, reflétant la confiance des investisseurs dans ce pilier du secteur bancaire ivoirien. Avec un BPA de 2 191 FCFA, chaque action génère un bénéfice substantiel, justifiant un PER de 13,7x. Ce ratio, bien que supérieur à la moyenne historique de la BRVM (8-12x), reste modéré et indique que les investisseurs paient un prix raisonnable pour les bénéfices actuels, tout en anticipant une croissance future. Le P/B de 4,14x est plus exigeant, signifiant que le marché valorise fortement les actifs nets de la banque, ce qui reflète une prime pour la qualité de son bilan et sa rentabilité supérieure. Enfin, un EV/EBITDA de 9,7x, dans la fourchette haute des 5-10x, confirme une valorisation globale cohérente avec la solide capacité opérationnelle de l'entreprise.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BICC a enregistré une progression remarquable de +23,59%, avec une accélération notable lors de la dernière séance (+2,99%), atteignant un cours actuel de 29 970 FCFA. Le titre a évolué dans une fourchette de 22 500 FCFA (plus bas) à 29 970 FCFA (plus haut), démontrant une dynamique haussière soutenue. La moyenne du cours sur la période (27 288 FCFA) est inférieure à la médiane (28 225 FCFA), et le skewness négatif (-0,871) indique que les journées de hausse ont été plus fréquentes, mais les baisses plus marquées. L'écart-type de 2 017 FCFA, avec un coefficient de variation de 7,4%, révèle une dispersion modérée autour de la moyenne. Le kurtosis de -0,712 (mésokurtique) suggère une distribution proche de la normale, sans risque de pics extrêmes. La volatilité annualisée de 27,2% classe le titre dans la catégorie "modérée à élevée", signalant des fluctuations de prix notables mais gérables pour un investisseur averti.</w:t>
      </w:r>
    </w:p>
    <w:p>
      <w:pPr>
        <w:spacing w:after="120" w:line="276" w:lineRule="auto" w:before="240"/>
      </w:pPr>
      <w:r>
        <w:rPr>
          <w:b/>
          <w:color w:val="003366"/>
          <w:sz w:val="24"/>
        </w:rPr>
        <w:t>**PARTIE 2 : ANALYSE TECHNIQUE DÉTAILLÉE**</w:t>
      </w:r>
    </w:p>
    <w:p>
      <w:pPr>
        <w:spacing w:after="120" w:line="276" w:lineRule="auto"/>
      </w:pPr>
      <w:r>
        <w:t>Les **Moyennes Mobiles** (MM20 à 29 030 FCFA et MM50 à 28 665,9 FCFA) sont toutes deux inférieures au cours actuel de 29 970 FCFA, confirmant une tendance haussière solide. Le croisement positif et l'écart croissant entre les deux moyennes renforcent le signal d'**Achat**, indiquant que la dynamique de court terme est supérieure à celle de moyen terme.</w:t>
      </w:r>
    </w:p>
    <w:p>
      <w:pPr>
        <w:spacing w:after="120" w:line="276" w:lineRule="auto"/>
      </w:pPr>
      <w:r>
        <w:t>Les **Bandes de Bollinger** montrent un cours qui a dépassé la borne supérieure (29 599,46 FCFA), signalant une condition de surachat temporaire. Cette sortie de bande suggère une volatilité accrue et un momentum très fort, mais la décision de **Vente** associée à cet indicateur appelle à la prudence, car un retour vers la moyenne est statistiquement probable à très court terme.</w:t>
      </w:r>
    </w:p>
    <w:p>
      <w:pPr>
        <w:spacing w:after="120" w:line="276" w:lineRule="auto"/>
      </w:pPr>
      <w:r>
        <w:t>Le **MACD** affiche une valeur de 192,145, nettement au-dessus de son signal (157,741), avec un écart positif croissant. Cette configuration indique un momentum haussier puissant et confirme la décision d'**Achat**. La tendance de fond reste résolument positive tant que le MACD demeure au-dessus de zéro et de sa ligne de signal.</w:t>
      </w:r>
    </w:p>
    <w:p>
      <w:pPr>
        <w:spacing w:after="120" w:line="276" w:lineRule="auto"/>
      </w:pPr>
      <w:r>
        <w:t>Le **RSI** à 64,565 se situe en zone neutre, mais proche de la zone de surachat (70). Cette valeur suggère que le titre conserve un potentiel de hausse, mais que la pression acheteuse commence à s'intensifier. La décision **Neutre** reflète un équilibre précaire entre la force de la tendance et les risques de correction.</w:t>
      </w:r>
    </w:p>
    <w:p>
      <w:pPr>
        <w:spacing w:after="120" w:line="276" w:lineRule="auto"/>
      </w:pPr>
      <w:r>
        <w:t>Le **Stochastique** est extrême avec un %K à 100,0, bien au-dessus de son %D (58,974). Ce niveau indique une condition de surachat sévère, et le croisement baissier potentiel imminent justifie la décision de **Vente**. Un repli technique est à anticiper dans les prochaines séances.</w:t>
      </w:r>
    </w:p>
    <w:p>
      <w:pPr>
        <w:spacing w:after="120" w:line="276" w:lineRule="auto"/>
      </w:pPr>
      <w:r>
        <w:t>En conclusion, la tendance de fond reste clairement haussière, soutenue par les moyennes mobiles et le MACD. Cependant, les indicateurs de surachat (Bollinger, Stochastique) signalent un essoufflement à court terme. Un scénario de consolidation ou de léger repli technique est probable avant la poursuite de la tendance haussière.</w:t>
      </w:r>
    </w:p>
    <w:p>
      <w:pPr>
        <w:spacing w:after="120" w:line="276" w:lineRule="auto" w:before="240"/>
      </w:pPr>
      <w:r>
        <w:rPr>
          <w:b/>
          <w:color w:val="003366"/>
          <w:sz w:val="24"/>
        </w:rPr>
        <w:t>**PARTIE 3 : ANALYSE FONDAMENTALE (SECTION CRITIQUE)**</w:t>
      </w:r>
    </w:p>
    <w:p>
      <w:pPr>
        <w:spacing w:after="120" w:line="276" w:lineRule="auto"/>
      </w:pPr>
      <w:r>
        <w:t>En 2025, la BICC affiche des fondamentaux solides, avec un Produit Net Bancaire (PNB) de 79,563 Mds FCFA et un résultat net de 36,520 Mds FCFA, contre 26,226 Mds en 2024, démontrant une croissance exceptionnelle de plus de 39%. La rentabilité des fonds propres (ROE) atteint un niveau excellent de 30,29%, et le ROA de 3,24% témoigne d'une gestion très efficace des actifs. Le coefficient d'exploitation de 50,83% confirme une excellente maîtrise des charges, tandis que le coût du risque de -12,15% indique une gestion prudente du portefeuille de crédits. Les dépôts clientèle (952,872 Mds FCFA) financent largement les créances sur la clientèle (524,439 Mds FCFA), assurant une liquidité abondante. Sur la base des rapports trimestriels de 2025, notamment le T3 2025 (PNB cumulé de 58,119 Mds FCFA, +16,4% et résultat net de 27,402 Mds FCFA, +50,8%), la tendance de croissance s'est confirmée tout au long de l'année. Le rapport du T1 2026 (daté de mars 2026) montre une poursuite de cette dynamique avec un PNB de 21,214 Mds FCFA (+17,0%) et un résultat net de 10,387 Mds FCFA (+29,7%). On estime que l'exercice 2026 devrait dépasser les performances de 2025, avec un PNB annuel potentiel de plus de 85 Mds FCFA et un résultat net pouvant atteindre 40 Mds FCFA, confirmant la solidité et la trajectoire ascendante de la banque.</w:t>
      </w:r>
    </w:p>
    <w:p>
      <w:pPr>
        <w:spacing w:after="120" w:line="276" w:lineRule="auto" w:before="240"/>
      </w:pPr>
      <w:r>
        <w:rPr>
          <w:b/>
          <w:color w:val="003366"/>
          <w:sz w:val="24"/>
        </w:rPr>
        <w:t>**PARTIE 4 : CONCLUSION D'INVESTISSEMENT**</w:t>
      </w:r>
    </w:p>
    <w:p>
      <w:pPr>
        <w:spacing w:after="120" w:line="276" w:lineRule="auto"/>
      </w:pPr>
      <w:r>
        <w:t>La valorisation de BICC (PER 13,7x, P/B 4,14x) est exigeante mais justifiée par une rentabilité exceptionnelle (ROE &gt;30%) et une croissance soutenue, indiquant une qualité supérieure. Le comportement du cours sur 100 jours (+23,59%) avec une volatilité modérée et une distribution statistique saine reflète une tendance haussière robuste, bien que les signaux techniques de surachat (Bollinger, Stochastique) suggèrent un possible repli à court terme. Les fondamentaux, quant à eux, sont excellents : croissance à deux chiffres du PNB et du résultat net, maîtrise des coûts et du risque, et liquidité abondante. Les prédictions IA pour les 10 prochains jours (28 667 à 27 588 FCFA) indiquent une correction technique, en cohérence avec les signaux de surachat, mais ne remettent pas en cause la tendance de fond haussière. La convergence entre des fondamentaux solides et une dynamique de marché positive, malgré une divergence technique temporaire, conduit à une recommandation finale **ACHAT** avec un niveau de confiance **Élevé**. Le risque global est **Moyen**, principalement lié à la valorisation élevée et à la volatilité. L'horizon d'investissement optimal est le **moyen terme (3-12 mois)**, pour capitaliser sur la croissance des bénéfices tout en absorbant les fluctuations techniques à court terme.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excellentes performances financi\u00e8res avec une croissance \u00e0 deux chiffres de tous les indicateurs de rentabilit\u00e9 t\u00e9moignent de la solidit\u00e9 du mod\u00e8le \u00e9conomique. La progression soutenue des d\u00e9p\u00f4ts clients et la ma\u00eetrise des risques renforcent la confiance dans la trajectoire de croissance de BICICI."}</w:t>
      </w:r>
    </w:p>
    <w:p>
      <w:pPr>
        <w:spacing w:before="40"/>
        <w:ind w:left="400"/>
      </w:pPr>
      <w:r>
        <w:rPr>
          <w:sz w:val="18"/>
        </w:rPr>
        <w:t>BICICI poursuit sa dynamique de croissance au 1er trimestre 2026 avec d'excellentes performances financières. Le Produit Net Bancaire progresse de 17,0% à 21 214 MFCFA, soutenu par une bonne marge d'intermédiation et des commissions nettes solides. Le Résultat Net bondit de 29,7% à 10 387 MFCFA malgré une baisse des crédits de 4,5% due aux remboursements anticipés. Les dépôts clients affichent une forte croissance de 14,5% témoignant de la confiance de la clientèle. La banque maintient une bonne maîtrise des risques et des frais de gestion.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'996 392 MFCFA', 'credits_nets_clientele': '523 300 MFCFA', 'resultat_courant_avant_impot': '11 223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10 387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21 214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+17,0% à 21 214 MFCFA</w:t>
      </w:r>
    </w:p>
    <w:p>
      <w:pPr>
        <w:pStyle w:val="ListBullet"/>
        <w:spacing w:before="20" w:after="20"/>
        <w:ind w:left="700"/>
      </w:pPr>
      <w:r>
        <w:rPr>
          <w:sz w:val="18"/>
        </w:rPr>
        <w:t>Résultat Net en hausse remarquable de +29,7% à 10 387 MFCFA</w:t>
      </w:r>
    </w:p>
    <w:p>
      <w:pPr>
        <w:pStyle w:val="ListBullet"/>
        <w:spacing w:before="20" w:after="20"/>
        <w:ind w:left="700"/>
      </w:pPr>
      <w:r>
        <w:rPr>
          <w:sz w:val="18"/>
        </w:rPr>
        <w:t>Résultat Courant Avant Impôt en progression de +21,1% à 11 223 MFCFA</w:t>
      </w:r>
    </w:p>
    <w:p>
      <w:pPr>
        <w:pStyle w:val="ListBullet"/>
        <w:spacing w:before="20" w:after="20"/>
        <w:ind w:left="700"/>
      </w:pPr>
      <w:r>
        <w:rPr>
          <w:sz w:val="18"/>
        </w:rPr>
        <w:t>Croissance significative des dépôts clients de +14,5% à 996 392 MFCFA</w:t>
      </w:r>
    </w:p>
    <w:p>
      <w:pPr>
        <w:pStyle w:val="ListBullet"/>
        <w:spacing w:before="20" w:after="20"/>
        <w:ind w:left="700"/>
      </w:pPr>
      <w:r>
        <w:rPr>
          <w:sz w:val="18"/>
        </w:rPr>
        <w:t>Baisse contrôlée des crédits nets de -4,5% due aux remboursements anticipés</w:t>
      </w:r>
    </w:p>
    <w:p>
      <w:pPr>
        <w:pStyle w:val="ListBullet"/>
        <w:spacing w:before="20" w:after="20"/>
        <w:ind w:left="700"/>
      </w:pPr>
      <w:r>
        <w:rPr>
          <w:sz w:val="18"/>
        </w:rPr>
        <w:t>Amélioration de la marge d'intermédiation et bonne tenue des commissions</w:t>
      </w:r>
    </w:p>
    <w:p>
      <w:pPr>
        <w:spacing w:before="40"/>
        <w:ind w:left="400"/>
      </w:pPr>
      <w:r>
        <w:rPr>
          <w:b/>
          <w:color w:val="C05000"/>
          <w:sz w:val="18"/>
        </w:rPr>
        <w:t xml:space="preserve">⚠️ Risques : </w:t>
      </w:r>
      <w:r>
        <w:rPr>
          <w:sz w:val="18"/>
        </w:rPr>
        <w:t>["Concentration potentielle du portefeuille de cr\u00e9dits suite \u00e0 la baisse des encours", "D\u00e9pendance \u00e0 l'\u00e9volution des taux d'int\u00e9r\u00eat pour maintenir la marge d'interm\u00e9diation", "Risques macro\u00e9conomiques li\u00e9s \u00e0 l'environnement \u00e9conomique de la</w:t>
      </w:r>
    </w:p>
    <w:p>
      <w:pPr>
        <w:spacing w:before="40"/>
        <w:ind w:left="400"/>
      </w:pPr>
      <w:r>
        <w:rPr>
          <w:b/>
          <w:color w:val="0064A0"/>
          <w:sz w:val="18"/>
        </w:rPr>
        <w:t xml:space="preserve">🔮 Perspectives : </w:t>
      </w:r>
      <w:r>
        <w:rPr>
          <w:sz w:val="18"/>
        </w:rPr>
        <w:t>BICICI entend poursuivre sa dynamique commerciale actuelle tout en maintenant une bonne maîtrise des risques et des frais de gestion. La banque semble bien positionnée pour continuer sa croissance rentable sur les prochains trimestres grâce à sa stratégie équilibrée.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montre un redressement remarquable avec un retour \u00e0 la rentabilit\u00e9 et une am\u00e9lioration du PNB. Cependant, la baisse des encours de cr\u00e9dits n\u00e9cessite une surveillance."}</w:t>
      </w:r>
    </w:p>
    <w:p>
      <w:pPr>
        <w:spacing w:before="40"/>
        <w:ind w:left="400"/>
      </w:pPr>
      <w:r>
        <w:rPr>
          <w:sz w:val="18"/>
        </w:rPr>
        <w:t>BICI CI présente un rapport d'activité mitigé pour le 4ème trimestre 2021. Les encours de crédits à la clientèle ont diminué de 11,8% à 424,989 millions FCFA, tandis que les dépôts progressent de 3,2% à 734,922 millions FCFA. Le Produit Net Bancaire s'améliore de 9,6% à 11,455 millions FCFA. La banque réussit un redressement spectaculaire de ses résultats avec un résultat net positif de 2,551 millions FCFA contre une perte de 2,168 millions FCFA en 2020. L'optimisation des coûts et la maîtrise du risque contribuent à cette amélioration des performances.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'734,922 millions FCFA', 'produit_net_bancaire': '11,455 millions FCFA', 'credits_nets_clientele': '424,989 millions FCFA', 'resultat_courant_avant_impot': '2,702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2,551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des encours de crédits nets de 11,8% à 424,989 millions FCFA</w:t>
      </w:r>
    </w:p>
    <w:p>
      <w:pPr>
        <w:pStyle w:val="ListBullet"/>
        <w:spacing w:before="20" w:after="20"/>
        <w:ind w:left="700"/>
      </w:pPr>
      <w:r>
        <w:rPr>
          <w:sz w:val="18"/>
        </w:rPr>
        <w:t>Progression des dépôts clientèle de 3,2% à 734,922 millions FCFA</w:t>
      </w:r>
    </w:p>
    <w:p>
      <w:pPr>
        <w:pStyle w:val="ListBullet"/>
        <w:spacing w:before="20" w:after="20"/>
        <w:ind w:left="700"/>
      </w:pPr>
      <w:r>
        <w:rPr>
          <w:sz w:val="18"/>
        </w:rPr>
        <w:t>Amélioration du Produit Net Bancaire de 9,6% à 11,455 millions FCFA</w:t>
      </w:r>
    </w:p>
    <w:p>
      <w:pPr>
        <w:pStyle w:val="ListBullet"/>
        <w:spacing w:before="20" w:after="20"/>
        <w:ind w:left="700"/>
      </w:pPr>
      <w:r>
        <w:rPr>
          <w:sz w:val="18"/>
        </w:rPr>
        <w:t>Retour à la rentabilité avec un résultat net de 2,551 millions FCFA contre -2,168 millions FCFA</w:t>
      </w:r>
    </w:p>
    <w:p>
      <w:pPr>
        <w:pStyle w:val="ListBullet"/>
        <w:spacing w:before="20" w:after="20"/>
        <w:ind w:left="700"/>
      </w:pPr>
      <w:r>
        <w:rPr>
          <w:sz w:val="18"/>
        </w:rPr>
        <w:t>Résultat Courant Avant Impôt positif à 2,702 millions FCFA contre -3,320 millions FCFA</w:t>
      </w:r>
    </w:p>
    <w:p>
      <w:pPr>
        <w:pStyle w:val="ListBullet"/>
        <w:spacing w:before="20" w:after="20"/>
        <w:ind w:left="700"/>
      </w:pPr>
      <w:r>
        <w:rPr>
          <w:sz w:val="18"/>
        </w:rPr>
        <w:t>Rationalisation efficace des frais de gestion et maîtrise du coût du risque</w:t>
      </w:r>
    </w:p>
    <w:p>
      <w:pPr>
        <w:spacing w:before="40"/>
        <w:ind w:left="400"/>
      </w:pPr>
      <w:r>
        <w:rPr>
          <w:b/>
          <w:color w:val="C05000"/>
          <w:sz w:val="18"/>
        </w:rPr>
        <w:t xml:space="preserve">⚠️ Risques : </w:t>
      </w:r>
      <w:r>
        <w:rPr>
          <w:sz w:val="18"/>
        </w:rPr>
        <w:t>["Diminution continue des encours de cr\u00e9dits client\u00e8le (-11,8%)", "Concentration du redressement sur la r\u00e9duction des co\u00fbts plut\u00f4t que la croissance", "Environnement \u00e9conomique incertain pouvant affecter la demande de cr\u00e9dit"]</w:t>
      </w:r>
    </w:p>
    <w:p>
      <w:pPr>
        <w:spacing w:before="40"/>
        <w:ind w:left="400"/>
      </w:pPr>
      <w:r>
        <w:rPr>
          <w:b/>
          <w:color w:val="0064A0"/>
          <w:sz w:val="18"/>
        </w:rPr>
        <w:t xml:space="preserve">🔮 Perspectives : </w:t>
      </w:r>
      <w:r>
        <w:rPr>
          <w:sz w:val="18"/>
        </w:rPr>
        <w:t>Les performances 2021 devraient confirmer l'amélioration significative par rapport à 2020 grâce aux efforts de rationalisation. La banque devra maintenir l'équilibre entre maîtrise des risques et développement de l'activité commerciale pour soutenir la croissance des encours.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doublement du r\u00e9sultat net et am\u00e9lioration significative de la rentabilit\u00e9. Politique de dividende attractive et renforcement de la structure financi\u00e8re t\u00e9moignent d'une gestion solide."}</w:t>
      </w:r>
    </w:p>
    <w:p>
      <w:pPr>
        <w:spacing w:before="40"/>
        <w:ind w:left="400"/>
      </w:pPr>
      <w:r>
        <w:rPr>
          <w:sz w:val="18"/>
        </w:rPr>
        <w:t>BICI CI affiche une performance solide en 2021 avec un résultat net de 9,6 milliards FCFA contre 4,7 milliards en 2020, soit une croissance de 104%. Le produit net bancaire progresse à 44,2 milliards FCFA (+21,8%). Le total du bilan s'établit à 847,7 milliards FCFA contre 831,4 milliards en 2020. Les capitaux propres atteignent 71,5 milliards FCFA, renforçant la solidité financière. La banque propose un dividende généreux de 576 FCFA par action avec un taux de distribution de 57,6%.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{'cout_de_risque': '2,3 milliards FCFA', 'dettes_clientele': '737,1 milliards FCFA', 'taux_distribution': '57,6%', 'creances_clientele': '424,3 milliards FCFA'}</w:t>
            </w:r>
          </w:p>
        </w:tc>
        <w:tc>
          <w:tcPr>
            <w:tcW w:type="dxa" w:w="2160"/>
          </w:tcPr>
          <w:p>
            <w:pPr>
              <w:ind w:left="100"/>
            </w:pPr>
            <w:r/>
            <w:r>
              <w:rPr>
                <w:b/>
                <w:sz w:val="16"/>
              </w:rPr>
              <w:t>dividende</w:t>
              <w:br/>
            </w:r>
            <w:r>
              <w:rPr>
                <w:sz w:val="18"/>
              </w:rPr>
              <w:t>576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847,7 milliards FCFA</w:t>
            </w:r>
          </w:p>
        </w:tc>
      </w:tr>
      <w:tr>
        <w:tc>
          <w:tcPr>
            <w:tcW w:type="dxa" w:w="2160"/>
          </w:tcPr>
          <w:p>
            <w:r/>
            <w:r>
              <w:rPr>
                <w:b/>
                <w:sz w:val="16"/>
              </w:rPr>
              <w:t>resultat_net</w:t>
              <w:br/>
            </w:r>
            <w:r>
              <w:rPr>
                <w:sz w:val="18"/>
              </w:rPr>
              <w:t>9,6 milliards FCFA</w:t>
            </w:r>
          </w:p>
        </w:tc>
        <w:tc>
          <w:tcPr>
            <w:tcW w:type="dxa" w:w="2160"/>
          </w:tcPr>
          <w:p>
            <w:r/>
            <w:r>
              <w:rPr>
                <w:b/>
                <w:sz w:val="16"/>
              </w:rPr>
              <w:t>capitaux_propres</w:t>
              <w:br/>
            </w:r>
            <w:r>
              <w:rPr>
                <w:sz w:val="18"/>
              </w:rPr>
              <w:t>71,5 milliards FCFA</w:t>
            </w:r>
          </w:p>
        </w:tc>
        <w:tc>
          <w:tcPr>
            <w:tcW w:type="dxa" w:w="2160"/>
          </w:tcPr>
          <w:p>
            <w:r/>
            <w:r>
              <w:rPr>
                <w:b/>
                <w:sz w:val="16"/>
              </w:rPr>
              <w:t>chiffre_affaires</w:t>
              <w:br/>
            </w:r>
            <w:r>
              <w:rPr>
                <w:sz w:val="18"/>
              </w:rPr>
              <w:t>44,2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à 9,6 milliards FCFA (+104% vs 2020)</w:t>
      </w:r>
    </w:p>
    <w:p>
      <w:pPr>
        <w:pStyle w:val="ListBullet"/>
        <w:spacing w:before="20" w:after="20"/>
        <w:ind w:left="700"/>
      </w:pPr>
      <w:r>
        <w:rPr>
          <w:sz w:val="18"/>
        </w:rPr>
        <w:t>Croissance du produit net bancaire de 21,8% à 44,2 milliards FCFA</w:t>
      </w:r>
    </w:p>
    <w:p>
      <w:pPr>
        <w:pStyle w:val="ListBullet"/>
        <w:spacing w:before="20" w:after="20"/>
        <w:ind w:left="700"/>
      </w:pPr>
      <w:r>
        <w:rPr>
          <w:sz w:val="18"/>
        </w:rPr>
        <w:t>Amélioration du résultat brut d'exploitation à 13,4 milliards FCFA contre 10,2 milliards</w:t>
      </w:r>
    </w:p>
    <w:p>
      <w:pPr>
        <w:pStyle w:val="ListBullet"/>
        <w:spacing w:before="20" w:after="20"/>
        <w:ind w:left="700"/>
      </w:pPr>
      <w:r>
        <w:rPr>
          <w:sz w:val="18"/>
        </w:rPr>
        <w:t>Maîtrise du coût de risque réduit à 2,3 milliards FCFA contre 5,5 milliards en 2020</w:t>
      </w:r>
    </w:p>
    <w:p>
      <w:pPr>
        <w:pStyle w:val="ListBullet"/>
        <w:spacing w:before="20" w:after="20"/>
        <w:ind w:left="700"/>
      </w:pPr>
      <w:r>
        <w:rPr>
          <w:sz w:val="18"/>
        </w:rPr>
        <w:t>Progression des créances sur la clientèle à 424,3 milliards FCFA</w:t>
      </w:r>
    </w:p>
    <w:p>
      <w:pPr>
        <w:pStyle w:val="ListBullet"/>
        <w:spacing w:before="20" w:after="20"/>
        <w:ind w:left="700"/>
      </w:pPr>
      <w:r>
        <w:rPr>
          <w:sz w:val="18"/>
        </w:rPr>
        <w:t>Renforcement des capitaux propres à 71,5 milliards FCFA (+13,8%)</w:t>
      </w:r>
    </w:p>
    <w:p>
      <w:pPr>
        <w:spacing w:before="40"/>
        <w:ind w:left="400"/>
      </w:pPr>
      <w:r>
        <w:rPr>
          <w:b/>
          <w:color w:val="C05000"/>
          <w:sz w:val="18"/>
        </w:rPr>
        <w:t xml:space="preserve">⚠️ Risques : </w:t>
      </w:r>
      <w:r>
        <w:rPr>
          <w:sz w:val="18"/>
        </w:rPr>
        <w:t>["Concentration potentielle du portefeuille de cr\u00e9dit sur certains secteurs \u00e9conomiques", "Exposition aux fluctuations des taux d'int\u00e9r\u00eat dans un contexte \u00e9conomique volatile", "Risque de cr\u00e9dit li\u00e9 \u00e0 l'\u00e9volution de la conjoncture \u00e9conomique en C\u00</w:t>
      </w:r>
    </w:p>
    <w:p>
      <w:pPr>
        <w:spacing w:before="40"/>
        <w:ind w:left="400"/>
      </w:pPr>
      <w:r>
        <w:rPr>
          <w:b/>
          <w:color w:val="0064A0"/>
          <w:sz w:val="18"/>
        </w:rPr>
        <w:t xml:space="preserve">🔮 Perspectives : </w:t>
      </w:r>
      <w:r>
        <w:rPr>
          <w:sz w:val="18"/>
        </w:rPr>
        <w:t>La forte amélioration de la rentabilité et la maîtrise du coût de risque positionnent BICI CI favorablement pour 2022. Le renforcement des capitaux propres et la croissance de l'activité commerciale devraient permettre de soutenir la dynamique positive. La politique de dividende généreuse devrait ég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contraction de l'activit\u00e9 commerciale, la banque d\u00e9montre sa capacit\u00e9 \u00e0 am\u00e9liorer sa rentabilit\u00e9 avec une progression significative du r\u00e9sultat net. Les perspectives d'am\u00e9lioration de l'activit\u00e9 \u00e9conomique g\u00e9n\u00e9rale sont encourageantes."}</w:t>
      </w:r>
    </w:p>
    <w:p>
      <w:pPr>
        <w:spacing w:before="40"/>
        <w:ind w:left="400"/>
      </w:pPr>
      <w:r>
        <w:rPr>
          <w:sz w:val="18"/>
        </w:rPr>
        <w:t>BICI CI présente des résultats contrastés au T1 2022 avec une baisse de l'activité commerciale mais une amélioration de la rentabilité. Les crédits nets à la clientèle diminuent de 4,6% à 436,7 milliards FCFA et les dépôts de la clientèle reculent de 9,5% à 667,3 milliards FCFA. Malgré cette contraction de l'activité, le Produit Net Bancaire progresse de 3,9% à 10,957 milliards FCFA. Le Résultat Courant Avant Impôt s'améliore de 4,2% à 2,733 milliards FCFA. Le résultat net ressort en forte progression de 19% à 2,529 milliards FCFA au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'667 295 millions FCFA', 'produit_net_bancaire': '10 957 millions FCFA', 'credits_nets_clientele': '436 711 millions FCFA', 'resultat_courant_avant_impot': '2 733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2 529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Baisse des crédits nets à la clientèle de 4,6% à 436,7 milliards FCFA</w:t>
      </w:r>
    </w:p>
    <w:p>
      <w:pPr>
        <w:pStyle w:val="ListBullet"/>
        <w:spacing w:before="20" w:after="20"/>
        <w:ind w:left="700"/>
      </w:pPr>
      <w:r>
        <w:rPr>
          <w:sz w:val="18"/>
        </w:rPr>
        <w:t>Diminution des dépôts de la clientèle de 9,5% à 667,3 milliards FCFA</w:t>
      </w:r>
    </w:p>
    <w:p>
      <w:pPr>
        <w:pStyle w:val="ListBullet"/>
        <w:spacing w:before="20" w:after="20"/>
        <w:ind w:left="700"/>
      </w:pPr>
      <w:r>
        <w:rPr>
          <w:sz w:val="18"/>
        </w:rPr>
        <w:t>Progression du Produit Net Bancaire de 3,9% à 10,957 milliards FCFA</w:t>
      </w:r>
    </w:p>
    <w:p>
      <w:pPr>
        <w:pStyle w:val="ListBullet"/>
        <w:spacing w:before="20" w:after="20"/>
        <w:ind w:left="700"/>
      </w:pPr>
      <w:r>
        <w:rPr>
          <w:sz w:val="18"/>
        </w:rPr>
        <w:t>Amélioration du Résultat Courant Avant Impôt de 4,2% à 2,733 milliards FCFA</w:t>
      </w:r>
    </w:p>
    <w:p>
      <w:pPr>
        <w:pStyle w:val="ListBullet"/>
        <w:spacing w:before="20" w:after="20"/>
        <w:ind w:left="700"/>
      </w:pPr>
      <w:r>
        <w:rPr>
          <w:sz w:val="18"/>
        </w:rPr>
        <w:t>Forte croissance du résultat net de 19% à 2,529 milliards FCFA</w:t>
      </w:r>
    </w:p>
    <w:p>
      <w:pPr>
        <w:pStyle w:val="ListBullet"/>
        <w:spacing w:before="20" w:after="20"/>
        <w:ind w:left="700"/>
      </w:pPr>
      <w:r>
        <w:rPr>
          <w:sz w:val="18"/>
        </w:rPr>
        <w:t>Reprise progressive de l'activité économique générale observée</w:t>
      </w:r>
    </w:p>
    <w:p>
      <w:pPr>
        <w:spacing w:before="40"/>
        <w:ind w:left="400"/>
      </w:pPr>
      <w:r>
        <w:rPr>
          <w:b/>
          <w:color w:val="C05000"/>
          <w:sz w:val="18"/>
        </w:rPr>
        <w:t xml:space="preserve">⚠️ Risques : </w:t>
      </w:r>
      <w:r>
        <w:rPr>
          <w:sz w:val="18"/>
        </w:rPr>
        <w:t>["Baisse continue de l'activit\u00e9 de cr\u00e9dit dans un environnement \u00e9conomique difficile", "Diminution des ressources client\u00e8le affectant la capacit\u00e9 de financement", "Concurrence exacerb\u00e9e dans le secteur bancaire national"]</w:t>
      </w:r>
    </w:p>
    <w:p>
      <w:pPr>
        <w:spacing w:before="40"/>
        <w:ind w:left="400"/>
      </w:pPr>
      <w:r>
        <w:rPr>
          <w:b/>
          <w:color w:val="0064A0"/>
          <w:sz w:val="18"/>
        </w:rPr>
        <w:t xml:space="preserve">🔮 Perspectives : </w:t>
      </w:r>
      <w:r>
        <w:rPr>
          <w:sz w:val="18"/>
        </w:rPr>
        <w:t>La direction anticipe une poursuite de la tendance positive au cours des prochains trimestres, soutenue par la qualité du carnet de commande et l'absence de retournement de conjoncture. La reprise progressive de l'activité économique générale devrait favoriser le développement des activités de la ba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excellentes performances financi\u00e8res avec une croissance du r\u00e9sultat net de 56,4% et l'am\u00e9lioration continue de la rentabilit\u00e9 justifient une recommandation d'achat. La banque d\u00e9montre une solide capacit\u00e9 de g\u00e9n\u00e9ration de revenus et une ma\u00eetrise des co\u00fbts dans un environnement difficile."}</w:t>
      </w:r>
    </w:p>
    <w:p>
      <w:pPr>
        <w:spacing w:before="40"/>
        <w:ind w:left="400"/>
      </w:pPr>
      <w:r>
        <w:rPr>
          <w:sz w:val="18"/>
        </w:rPr>
        <w:t>BICICI (Groupe BNP Paribas) présente des résultats solides au deuxième trimestre 2022 dans un environnement économique difficile marqué par l'inflation et la guerre russo-ukrainienne. Les crédits nets à la clientèle progressent de 3,3% à 432,6 milliards FCFA tandis que les dépôts baissent de 8,2% à 656,6 milliards FCFA. Le Produit Net Bancaire augmente significativement de 17,2% à 12,2 milliards FCFA grâce à l'amélioration de la marge sur capitaux (+23,8%). Cette performance opérationnelle se traduit par une forte hausse du résultat courant avant impôt de 70,9% et du résultat net de 56,4% à 3,6 milliards FCFA. La banque maintient une bonne maîtrise des risques et anticipe la poursuite de cet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'656 639 millions FCFA', 'produit_net_bancaire': '12 189 millions FCFA', 'credits_nets_clientele': '432 556 millions FCFA', 'resultat_courant_avant_impot': '4 414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nets à la clientèle de 3,3% à 432,6 milliards FCFA</w:t>
      </w:r>
    </w:p>
    <w:p>
      <w:pPr>
        <w:pStyle w:val="ListBullet"/>
        <w:spacing w:before="20" w:after="20"/>
        <w:ind w:left="700"/>
      </w:pPr>
      <w:r>
        <w:rPr>
          <w:sz w:val="18"/>
        </w:rPr>
        <w:t>Baisse des dépôts de la clientèle de 8,2% à 656,6 milliards FCFA due à une gestion proactive</w:t>
      </w:r>
    </w:p>
    <w:p>
      <w:pPr>
        <w:pStyle w:val="ListBullet"/>
        <w:spacing w:before="20" w:after="20"/>
        <w:ind w:left="700"/>
      </w:pPr>
      <w:r>
        <w:rPr>
          <w:sz w:val="18"/>
        </w:rPr>
        <w:t>Forte progression du Produit Net Bancaire de 17,2% à 12,2 milliards FCFA</w:t>
      </w:r>
    </w:p>
    <w:p>
      <w:pPr>
        <w:pStyle w:val="ListBullet"/>
        <w:spacing w:before="20" w:after="20"/>
        <w:ind w:left="700"/>
      </w:pPr>
      <w:r>
        <w:rPr>
          <w:sz w:val="18"/>
        </w:rPr>
        <w:t>Amélioration significative de la marge sur capitaux de 23,8%</w:t>
      </w:r>
    </w:p>
    <w:p>
      <w:pPr>
        <w:pStyle w:val="ListBullet"/>
        <w:spacing w:before="20" w:after="20"/>
        <w:ind w:left="700"/>
      </w:pPr>
      <w:r>
        <w:rPr>
          <w:sz w:val="18"/>
        </w:rPr>
        <w:t>Résultat courant avant impôt en hausse de 70,9% à 4,4 milliards FCFA</w:t>
      </w:r>
    </w:p>
    <w:p>
      <w:pPr>
        <w:pStyle w:val="ListBullet"/>
        <w:spacing w:before="20" w:after="20"/>
        <w:ind w:left="700"/>
      </w:pPr>
      <w:r>
        <w:rPr>
          <w:sz w:val="18"/>
        </w:rPr>
        <w:t>Résultat net en progression de 56,4% à 3,6 milliards FCFA</w:t>
      </w:r>
    </w:p>
    <w:p>
      <w:pPr>
        <w:spacing w:before="40"/>
        <w:ind w:left="400"/>
      </w:pPr>
      <w:r>
        <w:rPr>
          <w:b/>
          <w:color w:val="C05000"/>
          <w:sz w:val="18"/>
        </w:rPr>
        <w:t xml:space="preserve">⚠️ Risques : </w:t>
      </w:r>
      <w:r>
        <w:rPr>
          <w:sz w:val="18"/>
        </w:rPr>
        <w:t>["Impact potentiel de l'inflation mondiale sur les co\u00fbts op\u00e9rationnels", "Cons\u00e9quences de la crise russo-ukrainienne sur l'environnement \u00e9conomique", "Baisse des d\u00e9p\u00f4ts de la client\u00e8le pouvant affecter la liquidit\u00e9"]</w:t>
      </w:r>
    </w:p>
    <w:p>
      <w:pPr>
        <w:spacing w:before="40"/>
        <w:ind w:left="400"/>
      </w:pPr>
      <w:r>
        <w:rPr>
          <w:b/>
          <w:color w:val="0064A0"/>
          <w:sz w:val="18"/>
        </w:rPr>
        <w:t xml:space="preserve">🔮 Perspectives : </w:t>
      </w:r>
      <w:r>
        <w:rPr>
          <w:sz w:val="18"/>
        </w:rPr>
        <w:t>La direction anticipe la poursuite de la dynamique commerciale positive grâce à l'amélioration des revenus sur capitaux conjuguée à une maîtrise du coût du risque et des frais de gestion. Cette tendance favorable devrait se maintenir au cours des prochains trimestres selon les prévisions de la banqu</w:t>
      </w:r>
    </w:p>
    <w:p/>
    <w:p>
      <w:r>
        <w:t>════════════════════════════════════════════════════════════════════════════════</w:t>
      </w:r>
    </w:p>
    <w:p>
      <w:r>
        <w:br w:type="page"/>
      </w:r>
    </w:p>
    <w:p>
      <w:pPr>
        <w:pStyle w:val="Heading2"/>
        <w:spacing w:before="360"/>
      </w:pPr>
      <w:r>
        <w:rPr>
          <w:color w:val="0066CC"/>
        </w:rPr>
        <w:t>4. BNBC - BNBC - BERNABE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BNBC</w:t>
            </w:r>
          </w:p>
          <w:p>
            <w:r>
              <w:rPr>
                <w:b/>
                <w:color w:val="323250"/>
                <w:sz w:val="16"/>
              </w:rPr>
              <w:t xml:space="preserve">Société : </w:t>
            </w:r>
            <w:r>
              <w:rPr>
                <w:color w:val="000000"/>
                <w:sz w:val="16"/>
              </w:rPr>
              <w:t>BNBC - BERNABE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15.20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2,336 titres</w:t>
            </w:r>
          </w:p>
        </w:tc>
        <w:tc>
          <w:tcPr>
            <w:tcW w:type="dxa" w:w="2268"/>
            <w:shd w:fill="FFF2CC" w:val="clear"/>
          </w:tcPr>
          <w:p>
            <w:r>
              <w:rPr>
                <w:b/>
                <w:color w:val="503200"/>
                <w:sz w:val="16"/>
              </w:rPr>
              <w:t xml:space="preserve">Cours actuel : </w:t>
            </w:r>
            <w:r>
              <w:rPr>
                <w:color w:val="000000"/>
                <w:sz w:val="17"/>
              </w:rPr>
              <w:t>2,295 FCFA</w:t>
            </w:r>
          </w:p>
          <w:p>
            <w:r>
              <w:rPr>
                <w:b/>
                <w:color w:val="503200"/>
                <w:sz w:val="16"/>
              </w:rPr>
              <w:t xml:space="preserve">Var. 100 jours : </w:t>
            </w:r>
            <w:r>
              <w:rPr>
                <w:b/>
                <w:color w:val="007800"/>
                <w:sz w:val="17"/>
              </w:rPr>
              <w:t>+44.34%</w:t>
            </w:r>
          </w:p>
          <w:p>
            <w:r>
              <w:rPr>
                <w:b/>
                <w:color w:val="503200"/>
                <w:sz w:val="16"/>
              </w:rPr>
              <w:t xml:space="preserve">Plus haut 100j : </w:t>
            </w:r>
            <w:r>
              <w:rPr>
                <w:color w:val="000000"/>
                <w:sz w:val="17"/>
              </w:rPr>
              <w:t>2,295 FCFA</w:t>
            </w:r>
          </w:p>
          <w:p>
            <w:r>
              <w:rPr>
                <w:b/>
                <w:color w:val="503200"/>
                <w:sz w:val="16"/>
              </w:rPr>
              <w:t xml:space="preserve">Plus bas 100j : </w:t>
            </w:r>
            <w:r>
              <w:rPr>
                <w:color w:val="000000"/>
                <w:sz w:val="17"/>
              </w:rPr>
              <w:t>1,300 FCFA</w:t>
            </w:r>
          </w:p>
          <w:p>
            <w:r>
              <w:rPr>
                <w:b/>
                <w:color w:val="503200"/>
                <w:sz w:val="16"/>
              </w:rPr>
              <w:t xml:space="preserve">Volatilité ann. : </w:t>
            </w:r>
            <w:r>
              <w:rPr>
                <w:color w:val="000000"/>
                <w:sz w:val="17"/>
              </w:rPr>
              <w:t>50.3%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23.6/100 → Moyen</w:t>
      </w:r>
    </w:p>
    <w:p>
      <w:pPr>
        <w:spacing w:before="40" w:after="80"/>
      </w:pPr>
      <w:r>
        <w:rPr>
          <w:rFonts w:ascii="Courier New" w:hAnsi="Courier New"/>
          <w:color w:val="825A00"/>
          <w:sz w:val="18"/>
        </w:rPr>
        <w:t>████░░░░░░░░░░░░░░░░  23.6/100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12.24% (Moyenne) — μ=1,769 FCFA, σ=217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β=-0.2570 (Contre-cyclique) — Cov=-0.000009, Var(idx)=0.000035, ρ=-0.049,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2,336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σ_j=3.17%/j (Modérée) — Vol. annualisée≈50.3%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35585"/>
            <wp:docPr id="6" name="Picture 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2026-08-28</w:t>
            </w:r>
          </w:p>
        </w:tc>
        <w:tc>
          <w:tcPr>
            <w:tcW w:type="dxa" w:w="1440"/>
            <w:shd w:fill="FFDCE0" w:val="clear"/>
          </w:tcPr>
          <w:p>
            <w:r>
              <w:rPr>
                <w:sz w:val="17"/>
              </w:rPr>
              <w:t>2,131</w:t>
            </w:r>
          </w:p>
        </w:tc>
        <w:tc>
          <w:tcPr>
            <w:tcW w:type="dxa" w:w="1440"/>
            <w:shd w:fill="FFDCE0" w:val="clear"/>
          </w:tcPr>
          <w:p>
            <w:r>
              <w:rPr>
                <w:b/>
                <w:sz w:val="17"/>
              </w:rPr>
              <w:t>2,231</w:t>
            </w:r>
          </w:p>
        </w:tc>
        <w:tc>
          <w:tcPr>
            <w:tcW w:type="dxa" w:w="1440"/>
            <w:shd w:fill="FFDCE0" w:val="clear"/>
          </w:tcPr>
          <w:p>
            <w:r>
              <w:rPr>
                <w:sz w:val="17"/>
              </w:rPr>
              <w:t>2,331</w:t>
            </w:r>
          </w:p>
        </w:tc>
        <w:tc>
          <w:tcPr>
            <w:tcW w:type="dxa" w:w="1440"/>
            <w:shd w:fill="FFDCE0" w:val="clear"/>
          </w:tcPr>
          <w:p>
            <w:r>
              <w:rPr>
                <w:b/>
                <w:color w:val="C00000"/>
                <w:sz w:val="17"/>
              </w:rPr>
              <w:t>-2.8%</w:t>
            </w:r>
          </w:p>
        </w:tc>
      </w:tr>
      <w:tr>
        <w:tc>
          <w:tcPr>
            <w:tcW w:type="dxa" w:w="1440"/>
            <w:shd w:fill="FFDCE0" w:val="clear"/>
          </w:tcPr>
          <w:p>
            <w:r>
              <w:rPr>
                <w:sz w:val="17"/>
              </w:rPr>
              <w:t>J+2  Moyenne</w:t>
            </w:r>
          </w:p>
        </w:tc>
        <w:tc>
          <w:tcPr>
            <w:tcW w:type="dxa" w:w="1440"/>
            <w:shd w:fill="FFDCE0" w:val="clear"/>
          </w:tcPr>
          <w:p>
            <w:r>
              <w:rPr>
                <w:sz w:val="17"/>
              </w:rPr>
              <w:t>2026-08-31</w:t>
            </w:r>
          </w:p>
        </w:tc>
        <w:tc>
          <w:tcPr>
            <w:tcW w:type="dxa" w:w="1440"/>
            <w:shd w:fill="FFDCE0" w:val="clear"/>
          </w:tcPr>
          <w:p>
            <w:r>
              <w:rPr>
                <w:sz w:val="17"/>
              </w:rPr>
              <w:t>2,087</w:t>
            </w:r>
          </w:p>
        </w:tc>
        <w:tc>
          <w:tcPr>
            <w:tcW w:type="dxa" w:w="1440"/>
            <w:shd w:fill="FFDCE0" w:val="clear"/>
          </w:tcPr>
          <w:p>
            <w:r>
              <w:rPr>
                <w:b/>
                <w:sz w:val="17"/>
              </w:rPr>
              <w:t>2,228</w:t>
            </w:r>
          </w:p>
        </w:tc>
        <w:tc>
          <w:tcPr>
            <w:tcW w:type="dxa" w:w="1440"/>
            <w:shd w:fill="FFDCE0" w:val="clear"/>
          </w:tcPr>
          <w:p>
            <w:r>
              <w:rPr>
                <w:sz w:val="17"/>
              </w:rPr>
              <w:t>2,369</w:t>
            </w:r>
          </w:p>
        </w:tc>
        <w:tc>
          <w:tcPr>
            <w:tcW w:type="dxa" w:w="1440"/>
            <w:shd w:fill="FFDCE0" w:val="clear"/>
          </w:tcPr>
          <w:p>
            <w:r>
              <w:rPr>
                <w:b/>
                <w:color w:val="C00000"/>
                <w:sz w:val="17"/>
              </w:rPr>
              <w:t>-2.9%</w:t>
            </w:r>
          </w:p>
        </w:tc>
      </w:tr>
      <w:tr>
        <w:tc>
          <w:tcPr>
            <w:tcW w:type="dxa" w:w="1440"/>
            <w:shd w:fill="FFDCE0" w:val="clear"/>
          </w:tcPr>
          <w:p>
            <w:r>
              <w:rPr>
                <w:sz w:val="17"/>
              </w:rPr>
              <w:t>J+3  Moyenne</w:t>
            </w:r>
          </w:p>
        </w:tc>
        <w:tc>
          <w:tcPr>
            <w:tcW w:type="dxa" w:w="1440"/>
            <w:shd w:fill="FFDCE0" w:val="clear"/>
          </w:tcPr>
          <w:p>
            <w:r>
              <w:rPr>
                <w:sz w:val="17"/>
              </w:rPr>
              <w:t>2026-09-01</w:t>
            </w:r>
          </w:p>
        </w:tc>
        <w:tc>
          <w:tcPr>
            <w:tcW w:type="dxa" w:w="1440"/>
            <w:shd w:fill="FFDCE0" w:val="clear"/>
          </w:tcPr>
          <w:p>
            <w:r>
              <w:rPr>
                <w:sz w:val="17"/>
              </w:rPr>
              <w:t>2,038</w:t>
            </w:r>
          </w:p>
        </w:tc>
        <w:tc>
          <w:tcPr>
            <w:tcW w:type="dxa" w:w="1440"/>
            <w:shd w:fill="FFDCE0" w:val="clear"/>
          </w:tcPr>
          <w:p>
            <w:r>
              <w:rPr>
                <w:b/>
                <w:sz w:val="17"/>
              </w:rPr>
              <w:t>2,210</w:t>
            </w:r>
          </w:p>
        </w:tc>
        <w:tc>
          <w:tcPr>
            <w:tcW w:type="dxa" w:w="1440"/>
            <w:shd w:fill="FFDCE0" w:val="clear"/>
          </w:tcPr>
          <w:p>
            <w:r>
              <w:rPr>
                <w:sz w:val="17"/>
              </w:rPr>
              <w:t>2,381</w:t>
            </w:r>
          </w:p>
        </w:tc>
        <w:tc>
          <w:tcPr>
            <w:tcW w:type="dxa" w:w="1440"/>
            <w:shd w:fill="FFDCE0" w:val="clear"/>
          </w:tcPr>
          <w:p>
            <w:r>
              <w:rPr>
                <w:b/>
                <w:color w:val="C00000"/>
                <w:sz w:val="17"/>
              </w:rPr>
              <w:t>-3.7%</w:t>
            </w:r>
          </w:p>
        </w:tc>
      </w:tr>
      <w:tr>
        <w:tc>
          <w:tcPr>
            <w:tcW w:type="dxa" w:w="1440"/>
            <w:shd w:fill="FFDCE0" w:val="clear"/>
          </w:tcPr>
          <w:p>
            <w:r>
              <w:rPr>
                <w:sz w:val="17"/>
              </w:rPr>
              <w:t>J+4  ⭐</w:t>
            </w:r>
          </w:p>
        </w:tc>
        <w:tc>
          <w:tcPr>
            <w:tcW w:type="dxa" w:w="1440"/>
            <w:shd w:fill="FFDCE0" w:val="clear"/>
          </w:tcPr>
          <w:p>
            <w:r>
              <w:rPr>
                <w:sz w:val="17"/>
              </w:rPr>
              <w:t>2026-09-02</w:t>
            </w:r>
          </w:p>
        </w:tc>
        <w:tc>
          <w:tcPr>
            <w:tcW w:type="dxa" w:w="1440"/>
            <w:shd w:fill="FFDCE0" w:val="clear"/>
          </w:tcPr>
          <w:p>
            <w:r>
              <w:rPr>
                <w:sz w:val="17"/>
              </w:rPr>
              <w:t>1,999</w:t>
            </w:r>
          </w:p>
        </w:tc>
        <w:tc>
          <w:tcPr>
            <w:tcW w:type="dxa" w:w="1440"/>
            <w:shd w:fill="FFDCE0" w:val="clear"/>
          </w:tcPr>
          <w:p>
            <w:r>
              <w:rPr>
                <w:b/>
                <w:sz w:val="17"/>
              </w:rPr>
              <w:t>2,195</w:t>
            </w:r>
          </w:p>
        </w:tc>
        <w:tc>
          <w:tcPr>
            <w:tcW w:type="dxa" w:w="1440"/>
            <w:shd w:fill="FFDCE0" w:val="clear"/>
          </w:tcPr>
          <w:p>
            <w:r>
              <w:rPr>
                <w:sz w:val="17"/>
              </w:rPr>
              <w:t>2,392</w:t>
            </w:r>
          </w:p>
        </w:tc>
        <w:tc>
          <w:tcPr>
            <w:tcW w:type="dxa" w:w="1440"/>
            <w:shd w:fill="FFDCE0" w:val="clear"/>
          </w:tcPr>
          <w:p>
            <w:r>
              <w:rPr>
                <w:b/>
                <w:color w:val="C00000"/>
                <w:sz w:val="17"/>
              </w:rPr>
              <w:t>-4.3%</w:t>
            </w:r>
          </w:p>
        </w:tc>
      </w:tr>
      <w:tr>
        <w:tc>
          <w:tcPr>
            <w:tcW w:type="dxa" w:w="1440"/>
            <w:shd w:fill="FFDCE0" w:val="clear"/>
          </w:tcPr>
          <w:p>
            <w:r>
              <w:rPr>
                <w:sz w:val="17"/>
              </w:rPr>
              <w:t>J+5  ⭐</w:t>
            </w:r>
          </w:p>
        </w:tc>
        <w:tc>
          <w:tcPr>
            <w:tcW w:type="dxa" w:w="1440"/>
            <w:shd w:fill="FFDCE0" w:val="clear"/>
          </w:tcPr>
          <w:p>
            <w:r>
              <w:rPr>
                <w:sz w:val="17"/>
              </w:rPr>
              <w:t>2026-09-03</w:t>
            </w:r>
          </w:p>
        </w:tc>
        <w:tc>
          <w:tcPr>
            <w:tcW w:type="dxa" w:w="1440"/>
            <w:shd w:fill="FFDCE0" w:val="clear"/>
          </w:tcPr>
          <w:p>
            <w:r>
              <w:rPr>
                <w:sz w:val="17"/>
              </w:rPr>
              <w:t>1,966</w:t>
            </w:r>
          </w:p>
        </w:tc>
        <w:tc>
          <w:tcPr>
            <w:tcW w:type="dxa" w:w="1440"/>
            <w:shd w:fill="FFDCE0" w:val="clear"/>
          </w:tcPr>
          <w:p>
            <w:r>
              <w:rPr>
                <w:b/>
                <w:sz w:val="17"/>
              </w:rPr>
              <w:t>2,185</w:t>
            </w:r>
          </w:p>
        </w:tc>
        <w:tc>
          <w:tcPr>
            <w:tcW w:type="dxa" w:w="1440"/>
            <w:shd w:fill="FFDCE0" w:val="clear"/>
          </w:tcPr>
          <w:p>
            <w:r>
              <w:rPr>
                <w:sz w:val="17"/>
              </w:rPr>
              <w:t>2,404</w:t>
            </w:r>
          </w:p>
        </w:tc>
        <w:tc>
          <w:tcPr>
            <w:tcW w:type="dxa" w:w="1440"/>
            <w:shd w:fill="FFDCE0" w:val="clear"/>
          </w:tcPr>
          <w:p>
            <w:r>
              <w:rPr>
                <w:b/>
                <w:color w:val="C00000"/>
                <w:sz w:val="17"/>
              </w:rPr>
              <w:t>-4.8%</w:t>
            </w:r>
          </w:p>
        </w:tc>
      </w:tr>
      <w:tr>
        <w:tc>
          <w:tcPr>
            <w:tcW w:type="dxa" w:w="1440"/>
            <w:shd w:fill="FFDCE0" w:val="clear"/>
          </w:tcPr>
          <w:p>
            <w:r>
              <w:rPr>
                <w:sz w:val="17"/>
              </w:rPr>
              <w:t>J+6  ⭐</w:t>
            </w:r>
          </w:p>
        </w:tc>
        <w:tc>
          <w:tcPr>
            <w:tcW w:type="dxa" w:w="1440"/>
            <w:shd w:fill="FFDCE0" w:val="clear"/>
          </w:tcPr>
          <w:p>
            <w:r>
              <w:rPr>
                <w:sz w:val="17"/>
              </w:rPr>
              <w:t>2026-09-04</w:t>
            </w:r>
          </w:p>
        </w:tc>
        <w:tc>
          <w:tcPr>
            <w:tcW w:type="dxa" w:w="1440"/>
            <w:shd w:fill="FFDCE0" w:val="clear"/>
          </w:tcPr>
          <w:p>
            <w:r>
              <w:rPr>
                <w:sz w:val="17"/>
              </w:rPr>
              <w:t>1,938</w:t>
            </w:r>
          </w:p>
        </w:tc>
        <w:tc>
          <w:tcPr>
            <w:tcW w:type="dxa" w:w="1440"/>
            <w:shd w:fill="FFDCE0" w:val="clear"/>
          </w:tcPr>
          <w:p>
            <w:r>
              <w:rPr>
                <w:b/>
                <w:sz w:val="17"/>
              </w:rPr>
              <w:t>2,177</w:t>
            </w:r>
          </w:p>
        </w:tc>
        <w:tc>
          <w:tcPr>
            <w:tcW w:type="dxa" w:w="1440"/>
            <w:shd w:fill="FFDCE0" w:val="clear"/>
          </w:tcPr>
          <w:p>
            <w:r>
              <w:rPr>
                <w:sz w:val="17"/>
              </w:rPr>
              <w:t>2,416</w:t>
            </w:r>
          </w:p>
        </w:tc>
        <w:tc>
          <w:tcPr>
            <w:tcW w:type="dxa" w:w="1440"/>
            <w:shd w:fill="FFDCE0" w:val="clear"/>
          </w:tcPr>
          <w:p>
            <w:r>
              <w:rPr>
                <w:b/>
                <w:color w:val="C00000"/>
                <w:sz w:val="17"/>
              </w:rPr>
              <w:t>-5.1%</w:t>
            </w:r>
          </w:p>
        </w:tc>
      </w:tr>
      <w:tr>
        <w:tc>
          <w:tcPr>
            <w:tcW w:type="dxa" w:w="1440"/>
            <w:shd w:fill="FFDCE0" w:val="clear"/>
          </w:tcPr>
          <w:p>
            <w:r>
              <w:rPr>
                <w:sz w:val="17"/>
              </w:rPr>
              <w:t>J+7  ⭐</w:t>
            </w:r>
          </w:p>
        </w:tc>
        <w:tc>
          <w:tcPr>
            <w:tcW w:type="dxa" w:w="1440"/>
            <w:shd w:fill="FFDCE0" w:val="clear"/>
          </w:tcPr>
          <w:p>
            <w:r>
              <w:rPr>
                <w:sz w:val="17"/>
              </w:rPr>
              <w:t>2026-09-07</w:t>
            </w:r>
          </w:p>
        </w:tc>
        <w:tc>
          <w:tcPr>
            <w:tcW w:type="dxa" w:w="1440"/>
            <w:shd w:fill="FFDCE0" w:val="clear"/>
          </w:tcPr>
          <w:p>
            <w:r>
              <w:rPr>
                <w:sz w:val="17"/>
              </w:rPr>
              <w:t>1,912</w:t>
            </w:r>
          </w:p>
        </w:tc>
        <w:tc>
          <w:tcPr>
            <w:tcW w:type="dxa" w:w="1440"/>
            <w:shd w:fill="FFDCE0" w:val="clear"/>
          </w:tcPr>
          <w:p>
            <w:r>
              <w:rPr>
                <w:b/>
                <w:sz w:val="17"/>
              </w:rPr>
              <w:t>2,170</w:t>
            </w:r>
          </w:p>
        </w:tc>
        <w:tc>
          <w:tcPr>
            <w:tcW w:type="dxa" w:w="1440"/>
            <w:shd w:fill="FFDCE0" w:val="clear"/>
          </w:tcPr>
          <w:p>
            <w:r>
              <w:rPr>
                <w:sz w:val="17"/>
              </w:rPr>
              <w:t>2,427</w:t>
            </w:r>
          </w:p>
        </w:tc>
        <w:tc>
          <w:tcPr>
            <w:tcW w:type="dxa" w:w="1440"/>
            <w:shd w:fill="FFDCE0" w:val="clear"/>
          </w:tcPr>
          <w:p>
            <w:r>
              <w:rPr>
                <w:b/>
                <w:color w:val="C00000"/>
                <w:sz w:val="17"/>
              </w:rPr>
              <w:t>-5.5%</w:t>
            </w:r>
          </w:p>
        </w:tc>
      </w:tr>
      <w:tr>
        <w:tc>
          <w:tcPr>
            <w:tcW w:type="dxa" w:w="1440"/>
            <w:shd w:fill="FFDCE0" w:val="clear"/>
          </w:tcPr>
          <w:p>
            <w:r>
              <w:rPr>
                <w:sz w:val="17"/>
              </w:rPr>
              <w:t>J+8  ⭐</w:t>
            </w:r>
          </w:p>
        </w:tc>
        <w:tc>
          <w:tcPr>
            <w:tcW w:type="dxa" w:w="1440"/>
            <w:shd w:fill="FFDCE0" w:val="clear"/>
          </w:tcPr>
          <w:p>
            <w:r>
              <w:rPr>
                <w:sz w:val="17"/>
              </w:rPr>
              <w:t>2026-09-08</w:t>
            </w:r>
          </w:p>
        </w:tc>
        <w:tc>
          <w:tcPr>
            <w:tcW w:type="dxa" w:w="1440"/>
            <w:shd w:fill="FFDCE0" w:val="clear"/>
          </w:tcPr>
          <w:p>
            <w:r>
              <w:rPr>
                <w:sz w:val="17"/>
              </w:rPr>
              <w:t>1,889</w:t>
            </w:r>
          </w:p>
        </w:tc>
        <w:tc>
          <w:tcPr>
            <w:tcW w:type="dxa" w:w="1440"/>
            <w:shd w:fill="FFDCE0" w:val="clear"/>
          </w:tcPr>
          <w:p>
            <w:r>
              <w:rPr>
                <w:b/>
                <w:sz w:val="17"/>
              </w:rPr>
              <w:t>2,163</w:t>
            </w:r>
          </w:p>
        </w:tc>
        <w:tc>
          <w:tcPr>
            <w:tcW w:type="dxa" w:w="1440"/>
            <w:shd w:fill="FFDCE0" w:val="clear"/>
          </w:tcPr>
          <w:p>
            <w:r>
              <w:rPr>
                <w:sz w:val="17"/>
              </w:rPr>
              <w:t>2,437</w:t>
            </w:r>
          </w:p>
        </w:tc>
        <w:tc>
          <w:tcPr>
            <w:tcW w:type="dxa" w:w="1440"/>
            <w:shd w:fill="FFDCE0" w:val="clear"/>
          </w:tcPr>
          <w:p>
            <w:r>
              <w:rPr>
                <w:b/>
                <w:color w:val="C00000"/>
                <w:sz w:val="17"/>
              </w:rPr>
              <w:t>-5.7%</w:t>
            </w:r>
          </w:p>
        </w:tc>
      </w:tr>
      <w:tr>
        <w:tc>
          <w:tcPr>
            <w:tcW w:type="dxa" w:w="1440"/>
            <w:shd w:fill="FFDCE0" w:val="clear"/>
          </w:tcPr>
          <w:p>
            <w:r>
              <w:rPr>
                <w:sz w:val="17"/>
              </w:rPr>
              <w:t>J+9  ⭐</w:t>
            </w:r>
          </w:p>
        </w:tc>
        <w:tc>
          <w:tcPr>
            <w:tcW w:type="dxa" w:w="1440"/>
            <w:shd w:fill="FFDCE0" w:val="clear"/>
          </w:tcPr>
          <w:p>
            <w:r>
              <w:rPr>
                <w:sz w:val="17"/>
              </w:rPr>
              <w:t>2026-09-09</w:t>
            </w:r>
          </w:p>
        </w:tc>
        <w:tc>
          <w:tcPr>
            <w:tcW w:type="dxa" w:w="1440"/>
            <w:shd w:fill="FFDCE0" w:val="clear"/>
          </w:tcPr>
          <w:p>
            <w:r>
              <w:rPr>
                <w:sz w:val="17"/>
              </w:rPr>
              <w:t>1,867</w:t>
            </w:r>
          </w:p>
        </w:tc>
        <w:tc>
          <w:tcPr>
            <w:tcW w:type="dxa" w:w="1440"/>
            <w:shd w:fill="FFDCE0" w:val="clear"/>
          </w:tcPr>
          <w:p>
            <w:r>
              <w:rPr>
                <w:b/>
                <w:sz w:val="17"/>
              </w:rPr>
              <w:t>2,157</w:t>
            </w:r>
          </w:p>
        </w:tc>
        <w:tc>
          <w:tcPr>
            <w:tcW w:type="dxa" w:w="1440"/>
            <w:shd w:fill="FFDCE0" w:val="clear"/>
          </w:tcPr>
          <w:p>
            <w:r>
              <w:rPr>
                <w:sz w:val="17"/>
              </w:rPr>
              <w:t>2,447</w:t>
            </w:r>
          </w:p>
        </w:tc>
        <w:tc>
          <w:tcPr>
            <w:tcW w:type="dxa" w:w="1440"/>
            <w:shd w:fill="FFDCE0" w:val="clear"/>
          </w:tcPr>
          <w:p>
            <w:r>
              <w:rPr>
                <w:b/>
                <w:color w:val="C00000"/>
                <w:sz w:val="17"/>
              </w:rPr>
              <w:t>-6.0%</w:t>
            </w:r>
          </w:p>
        </w:tc>
      </w:tr>
      <w:tr>
        <w:tc>
          <w:tcPr>
            <w:tcW w:type="dxa" w:w="1440"/>
            <w:shd w:fill="FFDCE0" w:val="clear"/>
          </w:tcPr>
          <w:p>
            <w:r>
              <w:rPr>
                <w:sz w:val="17"/>
              </w:rPr>
              <w:t>J+10  ⭐</w:t>
            </w:r>
          </w:p>
        </w:tc>
        <w:tc>
          <w:tcPr>
            <w:tcW w:type="dxa" w:w="1440"/>
            <w:shd w:fill="FFDCE0" w:val="clear"/>
          </w:tcPr>
          <w:p>
            <w:r>
              <w:rPr>
                <w:sz w:val="17"/>
              </w:rPr>
              <w:t>2026-09-10</w:t>
            </w:r>
          </w:p>
        </w:tc>
        <w:tc>
          <w:tcPr>
            <w:tcW w:type="dxa" w:w="1440"/>
            <w:shd w:fill="FFDCE0" w:val="clear"/>
          </w:tcPr>
          <w:p>
            <w:r>
              <w:rPr>
                <w:sz w:val="17"/>
              </w:rPr>
              <w:t>1,846</w:t>
            </w:r>
          </w:p>
        </w:tc>
        <w:tc>
          <w:tcPr>
            <w:tcW w:type="dxa" w:w="1440"/>
            <w:shd w:fill="FFDCE0" w:val="clear"/>
          </w:tcPr>
          <w:p>
            <w:r>
              <w:rPr>
                <w:b/>
                <w:sz w:val="17"/>
              </w:rPr>
              <w:t>2,151</w:t>
            </w:r>
          </w:p>
        </w:tc>
        <w:tc>
          <w:tcPr>
            <w:tcW w:type="dxa" w:w="1440"/>
            <w:shd w:fill="FFDCE0" w:val="clear"/>
          </w:tcPr>
          <w:p>
            <w:r>
              <w:rPr>
                <w:sz w:val="17"/>
              </w:rPr>
              <w:t>2,456</w:t>
            </w:r>
          </w:p>
        </w:tc>
        <w:tc>
          <w:tcPr>
            <w:tcW w:type="dxa" w:w="1440"/>
            <w:shd w:fill="FFDCE0" w:val="clear"/>
          </w:tcPr>
          <w:p>
            <w:r>
              <w:rPr>
                <w:b/>
                <w:color w:val="C00000"/>
                <w:sz w:val="17"/>
              </w:rPr>
              <w:t>-6.3%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12.312 Mds FCFA</w:t>
            </w:r>
          </w:p>
        </w:tc>
        <w:tc>
          <w:tcPr>
            <w:tcW w:type="dxa" w:w="5669"/>
            <w:shd w:fill="FFFFFF" w:val="clear"/>
          </w:tcPr>
          <w:p>
            <w:r>
              <w:rPr>
                <w:color w:val="282828"/>
                <w:sz w:val="15"/>
              </w:rPr>
              <w:t>Créances clients = 29.0%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28.949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41.261 Mds FCFA</w:t>
            </w:r>
          </w:p>
        </w:tc>
        <w:tc>
          <w:tcPr>
            <w:tcW w:type="dxa" w:w="5669"/>
            <w:shd w:fill="FFFFFF" w:val="clear"/>
          </w:tcPr>
          <w:p>
            <w:r>
              <w:rPr>
                <w:color w:val="282828"/>
                <w:sz w:val="15"/>
              </w:rPr>
              <w:t>Ratio actif circ./passif circ. = 3.47x.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215.66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5.731 Mds FCFA</w:t>
            </w:r>
          </w:p>
        </w:tc>
        <w:tc>
          <w:tcPr>
            <w:tcW w:type="dxa" w:w="5669"/>
            <w:shd w:fill="FFFFFF" w:val="clear"/>
          </w:tcPr>
          <w:p>
            <w:r>
              <w:rPr>
                <w:color w:val="282828"/>
                <w:sz w:val="15"/>
              </w:rPr>
              <w:t>Outil industriel (11.7%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6.033 Mds FCFA</w:t>
            </w:r>
          </w:p>
        </w:tc>
        <w:tc>
          <w:tcPr>
            <w:tcW w:type="dxa" w:w="5669"/>
            <w:shd w:fill="FFFFFF" w:val="clear"/>
          </w:tcPr>
          <w:p>
            <w:r>
              <w:rPr>
                <w:color w:val="282828"/>
                <w:sz w:val="15"/>
              </w:rPr>
              <w:t>Actif immobilisé = 12.3%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1.847 Mds FCFA</w:t>
            </w:r>
          </w:p>
        </w:tc>
        <w:tc>
          <w:tcPr>
            <w:tcW w:type="dxa" w:w="5669"/>
            <w:shd w:fill="FFFFFF" w:val="clear"/>
          </w:tcPr>
          <w:p>
            <w:r>
              <w:rPr>
                <w:color w:val="282828"/>
                <w:sz w:val="15"/>
              </w:rPr>
              <w:t>Liquidités disponibles (3.8%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49.141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1.656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16.092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17.770 Mds FCFA</w:t>
            </w:r>
          </w:p>
        </w:tc>
        <w:tc>
          <w:tcPr>
            <w:tcW w:type="dxa" w:w="5669"/>
            <w:shd w:fill="FFFFFF" w:val="clear"/>
          </w:tcPr>
          <w:p>
            <w:r>
              <w:rPr>
                <w:color w:val="282828"/>
                <w:sz w:val="15"/>
              </w:rPr>
              <w:t>Fonds propres = 36.2%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18.712 Mds FCFA</w:t>
            </w:r>
          </w:p>
        </w:tc>
        <w:tc>
          <w:tcPr>
            <w:tcW w:type="dxa" w:w="5669"/>
            <w:shd w:fill="FFFFFF" w:val="clear"/>
          </w:tcPr>
          <w:p>
            <w:r>
              <w:rPr>
                <w:color w:val="282828"/>
                <w:sz w:val="15"/>
              </w:rPr>
              <w:t>Capitaux permanents / Actif immobilisé = 3.10x.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9.907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208.53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18.744 Mds FCFA</w:t>
            </w:r>
          </w:p>
        </w:tc>
        <w:tc>
          <w:tcPr>
            <w:tcW w:type="dxa" w:w="5669"/>
            <w:shd w:fill="FFFFFF" w:val="clear"/>
          </w:tcPr>
          <w:p>
            <w:r>
              <w:rPr>
                <w:color w:val="282828"/>
                <w:sz w:val="15"/>
              </w:rPr>
              <w:t>Dette financière totale = 105%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31.371 Mds FCFA</w:t>
            </w:r>
          </w:p>
        </w:tc>
        <w:tc>
          <w:tcPr>
            <w:tcW w:type="dxa" w:w="5669"/>
            <w:shd w:fill="FFFFFF" w:val="clear"/>
          </w:tcPr>
          <w:p>
            <w:r>
              <w:rPr>
                <w:color w:val="282828"/>
                <w:sz w:val="15"/>
              </w:rPr>
              <w:t>Dettes totales = 63.8%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42.454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42.454 Mds FCFA</w:t>
            </w:r>
          </w:p>
        </w:tc>
        <w:tc>
          <w:tcPr>
            <w:tcW w:type="dxa" w:w="5669"/>
            <w:shd w:fill="FFFFFF" w:val="clear"/>
          </w:tcPr>
          <w:p>
            <w:r>
              <w:rPr>
                <w:color w:val="282828"/>
                <w:sz w:val="15"/>
              </w:rPr>
              <w:t>Chiffre d'affaires. Croissance: -6.3%.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2.046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4.007 Mds FCFA</w:t>
            </w:r>
          </w:p>
        </w:tc>
        <w:tc>
          <w:tcPr>
            <w:tcW w:type="dxa" w:w="5669"/>
            <w:shd w:fill="FFFFFF" w:val="clear"/>
          </w:tcPr>
          <w:p>
            <w:r>
              <w:rPr>
                <w:color w:val="282828"/>
                <w:sz w:val="15"/>
              </w:rPr>
              <w:t>Masse salariale = 9.4%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6.017 Mds FCFA</w:t>
            </w:r>
          </w:p>
        </w:tc>
        <w:tc>
          <w:tcPr>
            <w:tcW w:type="dxa" w:w="5669"/>
            <w:shd w:fill="FFFFFF" w:val="clear"/>
          </w:tcPr>
          <w:p>
            <w:r>
              <w:rPr>
                <w:color w:val="282828"/>
                <w:sz w:val="15"/>
              </w:rPr>
              <w:t>VA = 14.2%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2.009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1.049 Mds FCFA</w:t>
            </w:r>
          </w:p>
        </w:tc>
        <w:tc>
          <w:tcPr>
            <w:tcW w:type="dxa" w:w="5669"/>
            <w:shd w:fill="FFFFFF" w:val="clear"/>
          </w:tcPr>
          <w:p>
            <w:r>
              <w:rPr>
                <w:color w:val="282828"/>
                <w:sz w:val="15"/>
              </w:rPr>
              <w:t>Profit d'exploitation = 2.5%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2.046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22.32 M FCFA</w:t>
            </w:r>
          </w:p>
        </w:tc>
        <w:tc>
          <w:tcPr>
            <w:tcW w:type="dxa" w:w="5669"/>
            <w:shd w:fill="FFFFFF" w:val="clear"/>
          </w:tcPr>
          <w:p>
            <w:r>
              <w:rPr>
                <w:color w:val="282828"/>
                <w:sz w:val="15"/>
              </w:rPr>
              <w:t>Marge nette = 0.1%.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977.75 M FCFA</w:t>
            </w:r>
          </w:p>
        </w:tc>
        <w:tc>
          <w:tcPr>
            <w:tcW w:type="dxa" w:w="5669"/>
            <w:shd w:fill="FFFFFF" w:val="clear"/>
          </w:tcPr>
          <w:p>
            <w:r>
              <w:rPr>
                <w:color w:val="282828"/>
                <w:sz w:val="15"/>
              </w:rPr>
              <w:t>CAF = 0.98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-786.11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-453.31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-761.93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-1.239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29.373 Mds FCFA</w:t>
            </w:r>
          </w:p>
        </w:tc>
        <w:tc>
          <w:tcPr>
            <w:tcW w:type="dxa" w:w="5669"/>
            <w:shd w:fill="FFFFFF" w:val="clear"/>
          </w:tcPr>
          <w:p>
            <w:r>
              <w:rPr>
                <w:color w:val="282828"/>
                <w:sz w:val="15"/>
              </w:rPr>
              <w:t>BFR = 69.2%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12.680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-16.689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4.73%</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0.05%</w:t>
            </w:r>
          </w:p>
        </w:tc>
        <w:tc>
          <w:tcPr>
            <w:tcW w:type="dxa" w:w="5669"/>
            <w:shd w:fill="FFFFFF" w:val="clear"/>
          </w:tcPr>
          <w:p>
            <w:r>
              <w:rPr>
                <w:color w:val="282828"/>
                <w:sz w:val="15"/>
              </w:rPr>
              <w:t>Résultat net / revenus = 0.05%.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2.47%</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0.13%</w:t>
            </w:r>
          </w:p>
        </w:tc>
        <w:tc>
          <w:tcPr>
            <w:tcW w:type="dxa" w:w="5669"/>
            <w:shd w:fill="FFFFFF" w:val="clear"/>
          </w:tcPr>
          <w:p>
            <w:r>
              <w:rPr>
                <w:color w:val="282828"/>
                <w:sz w:val="15"/>
              </w:rPr>
              <w:t>Résultat net / capitaux propres = 0.13%.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0.05%</w:t>
            </w:r>
          </w:p>
        </w:tc>
        <w:tc>
          <w:tcPr>
            <w:tcW w:type="dxa" w:w="5669"/>
            <w:shd w:fill="FFFFFF" w:val="clear"/>
          </w:tcPr>
          <w:p>
            <w:r>
              <w:rPr>
                <w:color w:val="282828"/>
                <w:sz w:val="15"/>
              </w:rPr>
              <w:t>Résultat net / total actif = 0.05%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86.39%</w:t>
            </w:r>
          </w:p>
        </w:tc>
        <w:tc>
          <w:tcPr>
            <w:tcW w:type="dxa" w:w="5669"/>
            <w:shd w:fill="FFFFFF" w:val="clear"/>
          </w:tcPr>
          <w:p>
            <w:r>
              <w:rPr>
                <w:color w:val="282828"/>
                <w:sz w:val="15"/>
              </w:rPr>
              <w:t>CA / total actif = 86.39x.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198.54%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-6.31%</w:t>
            </w:r>
          </w:p>
        </w:tc>
        <w:tc>
          <w:tcPr>
            <w:tcW w:type="dxa" w:w="5669"/>
            <w:shd w:fill="FFFFFF" w:val="clear"/>
          </w:tcPr>
          <w:p>
            <w:r>
              <w:rPr>
                <w:color w:val="282828"/>
                <w:sz w:val="15"/>
              </w:rPr>
              <w:t>Croissance CA vs exercice précédent = -6.31%.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36.16%</w:t>
            </w:r>
          </w:p>
        </w:tc>
        <w:tc>
          <w:tcPr>
            <w:tcW w:type="dxa" w:w="5669"/>
            <w:shd w:fill="FFFFFF" w:val="clear"/>
          </w:tcPr>
          <w:p>
            <w:r>
              <w:rPr>
                <w:color w:val="282828"/>
                <w:sz w:val="15"/>
              </w:rPr>
              <w:t>Fonds propres / total bilan = 36.16%. ✅ Solide indépendance financière.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63.84%</w:t>
            </w:r>
          </w:p>
        </w:tc>
        <w:tc>
          <w:tcPr>
            <w:tcW w:type="dxa" w:w="5669"/>
            <w:shd w:fill="FFFFFF" w:val="clear"/>
          </w:tcPr>
          <w:p>
            <w:r>
              <w:rPr>
                <w:color w:val="282828"/>
                <w:sz w:val="15"/>
              </w:rPr>
              <w:t>Dettes financières / total bilan = 63.84%.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105.48%</w:t>
            </w:r>
          </w:p>
        </w:tc>
        <w:tc>
          <w:tcPr>
            <w:tcW w:type="dxa" w:w="5669"/>
            <w:shd w:fill="FFFFFF" w:val="clear"/>
          </w:tcPr>
          <w:p>
            <w:r>
              <w:rPr>
                <w:color w:val="282828"/>
                <w:sz w:val="15"/>
              </w:rPr>
              <w:t>Dettes totales / fonds propres = 105.48%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156.64%</w:t>
            </w:r>
          </w:p>
        </w:tc>
        <w:tc>
          <w:tcPr>
            <w:tcW w:type="dxa" w:w="5669"/>
            <w:shd w:fill="FFFFFF" w:val="clear"/>
          </w:tcPr>
          <w:p>
            <w:r>
              <w:rPr>
                <w:color w:val="282828"/>
                <w:sz w:val="15"/>
              </w:rPr>
              <w:t>Total actif / dettes totales = 156.64x.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141.69%</w:t>
            </w:r>
          </w:p>
        </w:tc>
        <w:tc>
          <w:tcPr>
            <w:tcW w:type="dxa" w:w="5669"/>
            <w:shd w:fill="FFFFFF" w:val="clear"/>
          </w:tcPr>
          <w:p>
            <w:r>
              <w:rPr>
                <w:color w:val="282828"/>
                <w:sz w:val="15"/>
              </w:rPr>
              <w:t>Actif circulant / passif circulant = 141.69x.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15.54%</w:t>
            </w:r>
          </w:p>
        </w:tc>
        <w:tc>
          <w:tcPr>
            <w:tcW w:type="dxa" w:w="5669"/>
            <w:shd w:fill="FFFFFF" w:val="clear"/>
          </w:tcPr>
          <w:p>
            <w:r>
              <w:rPr>
                <w:color w:val="282828"/>
                <w:sz w:val="15"/>
              </w:rPr>
              <w:t>Trésorerie / passif circulant = 15.54x.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46.54%</w:t>
            </w:r>
          </w:p>
        </w:tc>
        <w:tc>
          <w:tcPr>
            <w:tcW w:type="dxa" w:w="5669"/>
            <w:shd w:fill="FFFFFF" w:val="clear"/>
          </w:tcPr>
          <w:p>
            <w:r>
              <w:rPr>
                <w:color w:val="282828"/>
                <w:sz w:val="15"/>
              </w:rPr>
              <w:t>(Actif circ. - stocks) / passif circ. = 46.54x.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310.18%</w:t>
            </w:r>
          </w:p>
        </w:tc>
        <w:tc>
          <w:tcPr>
            <w:tcW w:type="dxa" w:w="5669"/>
            <w:shd w:fill="FFFFFF" w:val="clear"/>
          </w:tcPr>
          <w:p>
            <w:r>
              <w:rPr>
                <w:color w:val="282828"/>
                <w:sz w:val="15"/>
              </w:rPr>
              <w:t>Capitaux permanents / actif immobilisé = 310.18x.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19.2 ans</w:t>
            </w:r>
          </w:p>
        </w:tc>
        <w:tc>
          <w:tcPr>
            <w:tcW w:type="dxa" w:w="5669"/>
            <w:shd w:fill="FFFFFF" w:val="clear"/>
          </w:tcPr>
          <w:p>
            <w:r>
              <w:rPr>
                <w:color w:val="282828"/>
                <w:sz w:val="15"/>
              </w:rPr>
              <w:t>Dettes financières / CAF = 19.2 ans. ❌ Capacité de remboursement très dégradée.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101.74%</w:t>
            </w:r>
          </w:p>
        </w:tc>
        <w:tc>
          <w:tcPr>
            <w:tcW w:type="dxa" w:w="5669"/>
            <w:shd w:fill="FFFFFF" w:val="clear"/>
          </w:tcPr>
          <w:p>
            <w:r>
              <w:rPr>
                <w:color w:val="282828"/>
                <w:sz w:val="15"/>
              </w:rPr>
              <w:t>Résultat exploit. / charges financières = 101.74x. ⚠️ Couverture limite — sensible aux hausses de taux.</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215.69%</w:t>
            </w:r>
          </w:p>
        </w:tc>
        <w:tc>
          <w:tcPr>
            <w:tcW w:type="dxa" w:w="5669"/>
            <w:shd w:fill="FFFFFF" w:val="clear"/>
          </w:tcPr>
          <w:p>
            <w:r>
              <w:rPr>
                <w:color w:val="282828"/>
                <w:sz w:val="15"/>
              </w:rPr>
              <w:t>CAF / investissements = 215.69x.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104.4 j</w:t>
            </w:r>
          </w:p>
        </w:tc>
        <w:tc>
          <w:tcPr>
            <w:tcW w:type="dxa" w:w="5669"/>
            <w:shd w:fill="FFFFFF" w:val="clear"/>
          </w:tcPr>
          <w:p>
            <w:r>
              <w:rPr>
                <w:color w:val="282828"/>
                <w:sz w:val="15"/>
              </w:rPr>
              <w:t>Les clients paient en moyenne en 104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116.1 j</w:t>
            </w:r>
          </w:p>
        </w:tc>
        <w:tc>
          <w:tcPr>
            <w:tcW w:type="dxa" w:w="5669"/>
            <w:shd w:fill="FFFFFF" w:val="clear"/>
          </w:tcPr>
          <w:p>
            <w:r>
              <w:rPr>
                <w:color w:val="282828"/>
                <w:sz w:val="15"/>
              </w:rPr>
              <w:t>Paiement des fournisseurs en 116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339.2 j</w:t>
            </w:r>
          </w:p>
        </w:tc>
        <w:tc>
          <w:tcPr>
            <w:tcW w:type="dxa" w:w="5669"/>
            <w:shd w:fill="FFFFFF" w:val="clear"/>
          </w:tcPr>
          <w:p>
            <w:r>
              <w:rPr>
                <w:color w:val="282828"/>
                <w:sz w:val="15"/>
              </w:rPr>
              <w:t>Stock écoulé en 339 jours. ❌ Stock quasi-bloqué — risque d'obsolescence ou de surstock.</w:t>
            </w:r>
          </w:p>
        </w:tc>
      </w:tr>
    </w:tbl>
    <w:p/>
    <w:p>
      <w:pPr>
        <w:spacing w:after="120" w:line="276" w:lineRule="auto"/>
      </w:pPr>
      <w:r>
        <w:t>**RAPPORT D'ANALYSE FINANCIÈRE — BNBC (BERNABÉ CÔTE D'IVOIRE)**</w:t>
        <w:br/>
        <w:t>**Date : 27 août 2026 | Cours : 2 295 FCFA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BNBC s'établit à 15,20 milliards FCFA, un niveau modeste pour une entreprise industrielle et de distribution sur la BRVM. Le BPA de 3 FCFA par action est extrêmement faible, reflétant une capacité bénéficiaire très limitée. Le PER de 681,2x est considérablement supérieur à la moyenne du marché BRVM (8-12x), indiquant une valorisation extrêmement exigeante et un niveau de spéculation élevé. En revanche, le P/B de 0,86x suggère que le marché valorise l'action sous sa valeur comptable, ce qui pourrait représenter une opportunité pour les investisseurs value, bien que la faible rentabilité des actifs explique cet écart. Enfin, l'EV/EBITDA de 25,2x, nettement supérieur au seuil de 15x, confirme une valorisation opérationnelle très élevée, signalant que le marché anticipe une amélioration significative des résultats futurs.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BNBC a enregistré une progression spectaculaire de +44,34%, avec une accélération marquée lors de la dernière séance (+7,49%). Le cours a évolué dans une fourchette de 1 300 à 2 295 FCFA, atteignant son plus haut historique sur la période. La moyenne du cours (1 769 FCFA) est inférieure à la médiane (1 840 FCFA), indiquant une distribution légèrement asymétrique avec une concentration des valeurs vers le haut de la fourchette. L'écart-type de 218 FCFA (CV = 12,3%) témoigne d'une dispersion modérée des prix autour de la moyenne. Le kurtosis négatif (-1,061) révèle une distribution platykurtique, suggérant l'absence de mouvements extrêmes fréquents, tandis que le skewness (-0,169) indique une symétrie quasi parfaite. La volatilité annualisée de 50,3% classe le titre dans la catégorie des actifs à très forte volatilité, ce qui implique un risque élevé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Les MM20 (1 978,75 FCFA) et MM50 (1 956 FCFA) sont nettement inférieures au cours actuel (2 295 FCFA), confirmant une tendance haussière solide. Le croisement positif des moyennes mobiles et leur écart croissant avec le prix indiquent un momentum haussier soutenu, justifiant la décision d'achat.</w:t>
      </w:r>
    </w:p>
    <w:p>
      <w:pPr>
        <w:spacing w:after="120" w:line="276" w:lineRule="auto"/>
      </w:pPr>
      <w:r>
        <w:t>**Bandes de Bollinger** : Le cours (2 295 FCFA) dépasse largement la borne supérieure (2 170,85 FCFA), signalant une condition de surachat extrême. Cette sortie des bandes suggère une volatilité excessive et un possible retour vers la moyenne à court terme, justifiant la décision de vente.</w:t>
      </w:r>
    </w:p>
    <w:p>
      <w:pPr>
        <w:spacing w:after="120" w:line="276" w:lineRule="auto"/>
      </w:pPr>
      <w:r>
        <w:t>**MACD** : Le MACD (57,175) est nettement supérieur à son signal (32,506), confirmant un momentum haussier puissant. La divergence positive indique une dynamique d'achat soutenue, bien que l'écart important puisse signaler une exubérance excessive.</w:t>
      </w:r>
    </w:p>
    <w:p>
      <w:pPr>
        <w:spacing w:after="120" w:line="276" w:lineRule="auto"/>
      </w:pPr>
      <w:r>
        <w:t>**RSI** : Le RSI à 92,222 est extrêmement suracheté (bien au-delà du seuil de 70), indiquant une pression acheteuse excessive et un risque élevé de correction technique. Cette situation justifie la décision de vente.</w:t>
      </w:r>
    </w:p>
    <w:p>
      <w:pPr>
        <w:spacing w:after="120" w:line="276" w:lineRule="auto"/>
      </w:pPr>
      <w:r>
        <w:t>**Stochastique** : Le %K (100,0) et le %D (96,667) sont tous deux en zone de surachat extrême, avec un %K au maximum absolu. Cette configuration signale un épuisement potentiel du mouvement haussier, justifiant la décision de vente.</w:t>
      </w:r>
    </w:p>
    <w:p>
      <w:pPr>
        <w:spacing w:after="120" w:line="276" w:lineRule="auto"/>
      </w:pPr>
      <w:r>
        <w:t>**Conclusion technique** : Les indicateurs de tendance (MM, MACD) confirment une dynamique haussière, mais les oscillateurs (RSI, Stochastique, Bollinger) signalent tous un surachat extrême. Cette divergence entre tendance et momentum suggère un risque élevé de correction à court terme, malgré la solidité de la tendance de fond.</w:t>
      </w:r>
    </w:p>
    <w:p>
      <w:pPr>
        <w:spacing w:after="120" w:line="276" w:lineRule="auto"/>
      </w:pPr>
      <w:r>
        <w:t>---</w:t>
      </w:r>
    </w:p>
    <w:p>
      <w:pPr>
        <w:spacing w:after="120" w:line="276" w:lineRule="auto"/>
      </w:pPr>
      <w:r>
        <w:t>### PARTIE 3 : ANALYSE FONDAMENTALE (SECTION CRITIQUE)</w:t>
      </w:r>
    </w:p>
    <w:p>
      <w:pPr>
        <w:spacing w:after="120" w:line="276" w:lineRule="auto"/>
      </w:pPr>
      <w:r>
        <w:t>**Données structurées (exercice 2025)** : En 2025, BNBC a réalisé un chiffre d'affaires de 42,454 milliards FCFA, en baisse de 6,31% par rapport à 2024 (45,312 milliards FCFA). Le résultat net s'établit à seulement 22,32 millions FCFA, soit une marge nette de 0,05%, illustrant une rentabilité anémique. Le ROE de 0,13% et le ROA de 0,05% sont très faibles, bien en deçà des seuils de performance satisfaisants. La structure financière montre des capitaux propres solides (17,77 milliards FCFA) avec un ratio d'autonomie financière de 36,16%, mais une trésorerie nette fortement négative (-16,69 milliards FCFA) et un BFR de 29,37 milliards FCFA. Les délais clients (104 jours) et de stockage (339 jours) sont élevés, créant une pression significative sur la trésorerie.</w:t>
      </w:r>
    </w:p>
    <w:p>
      <w:pPr>
        <w:spacing w:after="120" w:line="276" w:lineRule="auto"/>
      </w:pPr>
      <w:r>
        <w:t>**Analyse des rapports narratifs** : Le rapport du T1 2026 (analysé le 1er mai 2026) montre un retournement spectaculaire avec un résultat net positif de 65,57 millions FCFA contre une perte de 16,15 millions au T1 2025, soit une amélioration de 506%. Le chiffre d'affaires est resté stable à 11,19 milliards FCFA (-0,12%). Cette amélioration est attribuée à l'intégration de la division Équipement et à une meilleure maîtrise des charges. Le rapport annuel 2025 (date : 31 décembre 2025) confirme la faiblesse structurelle de la rentabilité, avec un résultat net de 22,32 millions FCFA et une recommandation de conservation. Le rapport semestriel 2025 (30 juin 2025) montrait une perte de -139,57 millions FCFA, tandis que le rapport T3 2025 (30 septembre 2025) affichait une perte cumulée de -157 millions FCFA.</w:t>
      </w:r>
    </w:p>
    <w:p>
      <w:pPr>
        <w:spacing w:after="120" w:line="276" w:lineRule="auto"/>
      </w:pPr>
      <w:r>
        <w:t>**Estimations et perspectives** : Sur la base du T1 2026 (résultat net positif de 65,57 millions FCFA), on peut estimer que l'exercice 2026 pourrait générer un résultat net annuel compris entre 200 et 300 millions FCFA, soit une amélioration significative par rapport à 2025. Cependant, la direction reste prudente, visant l'équilibre opérationnel. La société mise sur la montée en puissance des divisions Équipement et Power, ainsi que sur le nouveau showroom Technibat KM4 pour stimuler la croissance. Les risques majeurs restent la dépendance aux affaires exceptionnelles, la pression sur la trésorerie et la faible rentabilité opérationnelle.</w:t>
      </w:r>
    </w:p>
    <w:p>
      <w:pPr>
        <w:spacing w:after="120" w:line="276" w:lineRule="auto"/>
      </w:pPr>
      <w:r>
        <w:t>---</w:t>
      </w:r>
    </w:p>
    <w:p>
      <w:pPr>
        <w:spacing w:after="120" w:line="276" w:lineRule="auto"/>
      </w:pPr>
      <w:r>
        <w:t>### PARTIE 4 : CONCLUSION D'INVESTISSEMENT</w:t>
      </w:r>
    </w:p>
    <w:p>
      <w:pPr>
        <w:spacing w:after="120" w:line="276" w:lineRule="auto"/>
      </w:pPr>
      <w:r>
        <w:t>La valorisation de BNBC est extrêmement exigeante (PER de 681x, EV/EBITDA de 25,2x), bien que le P/B de 0,86x offre un certain soutien. Le comportement du cours montre une tendance haussière spectaculaire (+44,34% sur 100 jours) mais avec une volatilité très élevée (50,3%) et des statistiques indiquant une distribution relativement stable. Les signaux techniques sont contradictoires : les indicateurs de tendance (MM, MACD) sont positifs, tandis que les oscillateurs (RSI à 92,2, Stochastique à 100, sortie des bandes de Bollinger) signalent un surachat extrême. Les fondamentaux restent fragiles, avec une rentabilité quasi nulle en 2025, mais le T1 2026 montre un retournement encourageant. Les prédictions IA (2 231 à 2 185 FCFA sur 10 jours) suggèrent une correction modérée, confirmant les signaux techniques de surachat. **Recommandation finale : CONSERVER** — la convergence entre la valorisation excessive, les signaux techniques de surachat et la correction prédite par l'IA justifie une position prudente, malgré l'amélioration fondamentale. **Niveau de confiance : Moyen | Risque global : Élevé | Horizon optimal : Moyen terme (3-12 mois)** pour observer la confirmation de la reprise fondamentale avant tout renforcement.</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"Retournement spectaculaire vers la rentabilit\u00e9 avec un r\u00e9sultat net positif de 65,6 millions FCFA contre une perte l'an dernier. Les perspectives de croissance sont solides gr\u00e2ce \u00e0 la mont\u00e9e en puissance des nouvelles divisions et aux investissements r\u00e9alis\u00e9s."}</w:t>
      </w:r>
    </w:p>
    <w:p>
      <w:pPr>
        <w:spacing w:before="40"/>
        <w:ind w:left="400"/>
      </w:pPr>
      <w:r>
        <w:rPr>
          <w:sz w:val="18"/>
        </w:rPr>
        <w:t xml:space="preserve">BERNABE COTE D'IVOIRE affiche des résultats mitigés au 1er trimestre 2026 avec un chiffre d'affaires stable à 11,194 milliards FCFA mais en léger recul de 13 MCFA par rapport à 2025. Le résultat net s'établit à 65,566 millions FCFA contre une perte de 16,147 millions en 2025, soit une amélioration significative de 81,7 millions FCFA. Cette performance positive est néanmoins impactée par l'intégration de la division Équipement qui est encore en phase de montée en puissance. La société mise sur le développement de ses départements Équipement, Power et Matériaux pour soutenir sa croissance future. Les perspectives restent optimistes avec un retour attendu vers un résultat net positif durable à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'1,656 milliards FCFA', 'variation_resultat_net': '+506%', 'resultat_activites_ordinaires': '65,566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11,194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11,194 milliards FCFA (-0,1% vs T1 2025)</w:t>
      </w:r>
    </w:p>
    <w:p>
      <w:pPr>
        <w:pStyle w:val="ListBullet"/>
        <w:spacing w:before="20" w:after="20"/>
        <w:ind w:left="700"/>
      </w:pPr>
      <w:r>
        <w:rPr>
          <w:sz w:val="18"/>
        </w:rPr>
        <w:t>Amélioration spectaculaire du résultat net : +81,7 millions FCFA (passage de -16,147 à +65,566 millions FCFA)</w:t>
      </w:r>
    </w:p>
    <w:p>
      <w:pPr>
        <w:pStyle w:val="ListBullet"/>
        <w:spacing w:before="20" w:after="20"/>
        <w:ind w:left="700"/>
      </w:pPr>
      <w:r>
        <w:rPr>
          <w:sz w:val="18"/>
        </w:rPr>
        <w:t>Intégration réussie de la division Équipement au 01/01/2026, encore en phase de montée en puissance</w:t>
      </w:r>
    </w:p>
    <w:p>
      <w:pPr>
        <w:pStyle w:val="ListBullet"/>
        <w:spacing w:before="20" w:after="20"/>
        <w:ind w:left="700"/>
      </w:pPr>
      <w:r>
        <w:rPr>
          <w:sz w:val="18"/>
        </w:rPr>
        <w:t>Baisse du chiffre d'affaires expliquée par la non-reconduction d'affaires exceptionnelles de 2025</w:t>
      </w:r>
    </w:p>
    <w:p>
      <w:pPr>
        <w:pStyle w:val="ListBullet"/>
        <w:spacing w:before="20" w:after="20"/>
        <w:ind w:left="700"/>
      </w:pPr>
      <w:r>
        <w:rPr>
          <w:sz w:val="18"/>
        </w:rPr>
        <w:t>Bonne maîtrise des charges d'exploitation et financières par la direction</w:t>
      </w:r>
    </w:p>
    <w:p>
      <w:pPr>
        <w:pStyle w:val="ListBullet"/>
        <w:spacing w:before="20" w:after="20"/>
        <w:ind w:left="700"/>
      </w:pPr>
      <w:r>
        <w:rPr>
          <w:sz w:val="18"/>
        </w:rPr>
        <w:t>Mise en service du nouveau showroom Technibat KM4 pour soutenir l'activité Matériaux</w:t>
      </w:r>
    </w:p>
    <w:p>
      <w:pPr>
        <w:spacing w:before="40"/>
        <w:ind w:left="400"/>
      </w:pPr>
      <w:r>
        <w:rPr>
          <w:b/>
          <w:color w:val="C05000"/>
          <w:sz w:val="18"/>
        </w:rPr>
        <w:t xml:space="preserve">⚠️ Risques : </w:t>
      </w:r>
      <w:r>
        <w:rPr>
          <w:sz w:val="18"/>
        </w:rPr>
        <w:t>["D\u00e9pendance aux affaires exceptionnelles pour soutenir le niveau d'activit\u00e9", "Phase de mont\u00e9e en puissance de la division \u00c9quipement qui pourrait impacter temporairement la rentabilit\u00e9", "N\u00e9cessit\u00e9 de maintenir la ma\u00eetrise des charges dans un contexte de d\u</w:t>
      </w:r>
    </w:p>
    <w:p>
      <w:pPr>
        <w:spacing w:before="40"/>
        <w:ind w:left="400"/>
      </w:pPr>
      <w:r>
        <w:rPr>
          <w:b/>
          <w:color w:val="0064A0"/>
          <w:sz w:val="18"/>
        </w:rPr>
        <w:t xml:space="preserve">🔮 Perspectives : </w:t>
      </w:r>
      <w:r>
        <w:rPr>
          <w:sz w:val="18"/>
        </w:rPr>
        <w:t>La société anticipe une croissance soutenue grâce à la montée en puissance des départements Équipement et Power, ainsi qu'au développement de l'activité Matériaux appuyée par le nouveau showroom. Les transformations organisationnelles et la maîtrise des charges devraient permettre un retour progress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am\u00e9lioration du r\u00e9sultat net, la soci\u00e9t\u00e9 pr\u00e9sente des d\u00e9fis de tr\u00e9sorerie et une rentabilit\u00e9 tr\u00e8s faible. Les fondamentaux restent solides avec des capitaux propres importants mais n\u00e9cessitent une surveillance."}</w:t>
      </w:r>
    </w:p>
    <w:p>
      <w:pPr>
        <w:spacing w:before="40"/>
        <w:ind w:left="400"/>
      </w:pPr>
      <w:r>
        <w:rPr>
          <w:sz w:val="18"/>
        </w:rPr>
        <w:t>BERNABE CI présente des états financiers de synthèse au 31 décembre 2025 avec un chiffre d'affaires en hausse à 42,45 milliards FCFA contre 49,14 milliards en 2024. La société affiche un résultat net positif de 22,3 millions FCFA en 2025, en amélioration par rapport aux 7,3 millions de 2024. Le total actif s'élève à 49,14 milliards FCFA avec des capitaux propres solides de 17,77 milliards FCFA. La trésorerie reste négative mais s'améliore légèrement. Aucun dividende n'est prévu pour distribution, les bénéfices étant mis en report à nouveau.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'6 016 717 235 FCFA', 'tresorerie_nette': '-16 688 923 003 FCFA', 'endettement_financier': '896 547 706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0,05%</w:t>
            </w:r>
          </w:p>
        </w:tc>
        <w:tc>
          <w:tcPr>
            <w:tcW w:type="dxa" w:w="2160"/>
          </w:tcPr>
          <w:p>
            <w:pPr>
              <w:ind w:left="100"/>
            </w:pPr>
            <w:r/>
            <w:r>
              <w:rPr>
                <w:b/>
                <w:sz w:val="16"/>
              </w:rPr>
              <w:t>total_actif</w:t>
              <w:br/>
            </w:r>
            <w:r>
              <w:rPr>
                <w:sz w:val="18"/>
              </w:rPr>
              <w:t>49 140 780 873 FCFA</w:t>
            </w:r>
          </w:p>
        </w:tc>
      </w:tr>
      <w:tr>
        <w:tc>
          <w:tcPr>
            <w:tcW w:type="dxa" w:w="2160"/>
          </w:tcPr>
          <w:p>
            <w:r/>
            <w:r>
              <w:rPr>
                <w:b/>
                <w:sz w:val="16"/>
              </w:rPr>
              <w:t>resultat_net</w:t>
              <w:br/>
            </w:r>
            <w:r>
              <w:rPr>
                <w:sz w:val="18"/>
              </w:rPr>
              <w:t>22 318 122 FCFA</w:t>
            </w:r>
          </w:p>
        </w:tc>
        <w:tc>
          <w:tcPr>
            <w:tcW w:type="dxa" w:w="2160"/>
          </w:tcPr>
          <w:p>
            <w:r/>
            <w:r>
              <w:rPr>
                <w:b/>
                <w:sz w:val="16"/>
              </w:rPr>
              <w:t>capitaux_propres</w:t>
              <w:br/>
            </w:r>
            <w:r>
              <w:rPr>
                <w:sz w:val="18"/>
              </w:rPr>
              <w:t>17 769 953 951 FCFA</w:t>
            </w:r>
          </w:p>
        </w:tc>
        <w:tc>
          <w:tcPr>
            <w:tcW w:type="dxa" w:w="2160"/>
          </w:tcPr>
          <w:p>
            <w:r/>
            <w:r>
              <w:rPr>
                <w:b/>
                <w:sz w:val="16"/>
              </w:rPr>
              <w:t>chiffre_affaires</w:t>
              <w:br/>
            </w:r>
            <w:r>
              <w:rPr>
                <w:sz w:val="18"/>
              </w:rPr>
              <w:t>42 454 188 321 FCFA</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205% passant de 7,3 à 22,3 millions FCFA</w:t>
      </w:r>
    </w:p>
    <w:p>
      <w:pPr>
        <w:pStyle w:val="ListBullet"/>
        <w:spacing w:before="20" w:after="20"/>
        <w:ind w:left="700"/>
      </w:pPr>
      <w:r>
        <w:rPr>
          <w:sz w:val="18"/>
        </w:rPr>
        <w:t>Chiffre d'affaires stable autour de 42-49 milliards FCFA selon les périodes comparées</w:t>
      </w:r>
    </w:p>
    <w:p>
      <w:pPr>
        <w:pStyle w:val="ListBullet"/>
        <w:spacing w:before="20" w:after="20"/>
        <w:ind w:left="700"/>
      </w:pPr>
      <w:r>
        <w:rPr>
          <w:sz w:val="18"/>
        </w:rPr>
        <w:t>Capitaux propres stables à 17,77 milliards FCFA démontrant une solidité financière</w:t>
      </w:r>
    </w:p>
    <w:p>
      <w:pPr>
        <w:pStyle w:val="ListBullet"/>
        <w:spacing w:before="20" w:after="20"/>
        <w:ind w:left="700"/>
      </w:pPr>
      <w:r>
        <w:rPr>
          <w:sz w:val="18"/>
        </w:rPr>
        <w:t>Trésorerie nette négative de 16,69 milliards FCFA mais en légère amélioration</w:t>
      </w:r>
    </w:p>
    <w:p>
      <w:pPr>
        <w:pStyle w:val="ListBullet"/>
        <w:spacing w:before="20" w:after="20"/>
        <w:ind w:left="700"/>
      </w:pPr>
      <w:r>
        <w:rPr>
          <w:sz w:val="18"/>
        </w:rPr>
        <w:t>Politique de non-distribution de dividendes avec mise en report à nouveau de 13,32 milliards FCFA</w:t>
      </w:r>
    </w:p>
    <w:p>
      <w:pPr>
        <w:pStyle w:val="ListBullet"/>
        <w:spacing w:before="20" w:after="20"/>
        <w:ind w:left="700"/>
      </w:pPr>
      <w:r>
        <w:rPr>
          <w:sz w:val="18"/>
        </w:rPr>
        <w:t>Endettement financier en hausse à 896,5 millions FCFA contre 208,5 millions en 2024</w:t>
      </w:r>
    </w:p>
    <w:p>
      <w:pPr>
        <w:spacing w:before="40"/>
        <w:ind w:left="400"/>
      </w:pPr>
      <w:r>
        <w:rPr>
          <w:b/>
          <w:color w:val="C05000"/>
          <w:sz w:val="18"/>
        </w:rPr>
        <w:t xml:space="preserve">⚠️ Risques : </w:t>
      </w:r>
      <w:r>
        <w:rPr>
          <w:sz w:val="18"/>
        </w:rPr>
        <w:t>["Tr\u00e9sorerie nette fortement n\u00e9gative cr\u00e9ant un risque de liquidit\u00e9 important", "Rentabilit\u00e9 tr\u00e8s faible avec une marge nette de seulement 0,05%", "Augmentation significative de l'endettement financier multipli\u00e9 par plus de 4"]</w:t>
      </w:r>
    </w:p>
    <w:p>
      <w:pPr>
        <w:spacing w:before="40"/>
        <w:ind w:left="400"/>
      </w:pPr>
      <w:r>
        <w:rPr>
          <w:b/>
          <w:color w:val="0064A0"/>
          <w:sz w:val="18"/>
        </w:rPr>
        <w:t xml:space="preserve">🔮 Perspectives : </w:t>
      </w:r>
      <w:r>
        <w:rPr>
          <w:sz w:val="18"/>
        </w:rPr>
        <w:t>L'assemblée générale du 15 juin 2026 devra valider ces comptes et définir la stratégie pour améliorer la génération de cash-flows opérationnels. La société devra gérer attentivement sa trésorerie et optimiser sa rentabilité pour assurer sa pérennité financière.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"Performances exceptionnelles avec une rentabilit\u00e9 qui explose et une croissance soutenue du CA. La ma\u00eetrise des co\u00fbts et les perspectives optimistes justifient un potentiel d'appr\u00e9ciation."}</w:t>
      </w:r>
    </w:p>
    <w:p>
      <w:pPr>
        <w:spacing w:before="40"/>
        <w:ind w:left="400"/>
      </w:pPr>
      <w:r>
        <w:rPr>
          <w:sz w:val="18"/>
        </w:rPr>
        <w:t>BERNABE CI affiche d'excellentes performances au 3ème trimestre 2021 avec un chiffre d'affaires de 33,829 milliards FCFA, en hausse de 15,95% par rapport à 2020. Le résultat net explose de 291,20% à 1,422 milliards FCFA contre 363,52 millions en 2020, témoignant d'une forte amélioration de la rentabilité. Cette croissance s'explique par la reprise post-COVID, la hausse des prix dans la métallurgie et l'expansion dans les groupes électrogènes. La maîtrise des coûts d'exploitation et la baisse des charges financières contribuent à cette performance exceptionnelle. La société vise à maintenir cette dynamique sur le 4ème trimestre avec des mesures d'optimisation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'466,20 millions FCFA', 'marge_exploitation': '6,60%', 'resultat_avant_impot': '1,888 milliards FCFA', 'resultat_exploitation': '2,231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1,422 milliards FCFA (9 mois)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33,829 milliards FCFA (9 mois)</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15,95% à 33,829 milliards FCFA au T3 2021</w:t>
      </w:r>
    </w:p>
    <w:p>
      <w:pPr>
        <w:pStyle w:val="ListBullet"/>
        <w:spacing w:before="20" w:after="20"/>
        <w:ind w:left="700"/>
      </w:pPr>
      <w:r>
        <w:rPr>
          <w:sz w:val="18"/>
        </w:rPr>
        <w:t>Explosion du résultat net de 291,20% à 1,422 milliards FCFA</w:t>
      </w:r>
    </w:p>
    <w:p>
      <w:pPr>
        <w:pStyle w:val="ListBullet"/>
        <w:spacing w:before="20" w:after="20"/>
        <w:ind w:left="700"/>
      </w:pPr>
      <w:r>
        <w:rPr>
          <w:sz w:val="18"/>
        </w:rPr>
        <w:t>Résultat d'exploitation multiplié par 2,3 (128,97% de croissance)</w:t>
      </w:r>
    </w:p>
    <w:p>
      <w:pPr>
        <w:pStyle w:val="ListBullet"/>
        <w:spacing w:before="20" w:after="20"/>
        <w:ind w:left="700"/>
      </w:pPr>
      <w:r>
        <w:rPr>
          <w:sz w:val="18"/>
        </w:rPr>
        <w:t>Amélioration du résultat financier avec réduction des coûts de 25,34%</w:t>
      </w:r>
    </w:p>
    <w:p>
      <w:pPr>
        <w:pStyle w:val="ListBullet"/>
        <w:spacing w:before="20" w:after="20"/>
        <w:ind w:left="700"/>
      </w:pPr>
      <w:r>
        <w:rPr>
          <w:sz w:val="18"/>
        </w:rPr>
        <w:t>Reprise d'activité post-COVID avec hausse des prix dans la métallurgie</w:t>
      </w:r>
    </w:p>
    <w:p>
      <w:pPr>
        <w:pStyle w:val="ListBullet"/>
        <w:spacing w:before="20" w:after="20"/>
        <w:ind w:left="700"/>
      </w:pPr>
      <w:r>
        <w:rPr>
          <w:sz w:val="18"/>
        </w:rPr>
        <w:t>Expansion réussie dans le secteur des groupes électrogènes</w:t>
      </w:r>
    </w:p>
    <w:p>
      <w:pPr>
        <w:spacing w:before="40"/>
        <w:ind w:left="400"/>
      </w:pPr>
      <w:r>
        <w:rPr>
          <w:b/>
          <w:color w:val="C05000"/>
          <w:sz w:val="18"/>
        </w:rPr>
        <w:t xml:space="preserve">⚠️ Risques : </w:t>
      </w:r>
      <w:r>
        <w:rPr>
          <w:sz w:val="18"/>
        </w:rPr>
        <w:t>["D\u00e9pendance \u00e0 l'\u00e9volution de la crise sanitaire COVID-19", "Volatilit\u00e9 des prix des mati\u00e8res premi\u00e8res dans le secteur m\u00e9tallurgique", "Risque de d\u00e9gradation des cr\u00e9ances clients dans un contexte \u00e9conomique incertain"]</w:t>
      </w:r>
    </w:p>
    <w:p>
      <w:pPr>
        <w:spacing w:before="40"/>
        <w:ind w:left="400"/>
      </w:pPr>
      <w:r>
        <w:rPr>
          <w:b/>
          <w:color w:val="0064A0"/>
          <w:sz w:val="18"/>
        </w:rPr>
        <w:t xml:space="preserve">🔮 Perspectives : </w:t>
      </w:r>
      <w:r>
        <w:rPr>
          <w:sz w:val="18"/>
        </w:rPr>
        <w:t>La direction affiche un optimisme prudent pour le T4 2021 avec des objectifs de maintien du niveau d'activité et de rentabilité. Les mesures d'amélioration du cash-flow et de maîtrise des charges devraient soutenir les performances. L'élargissement des gammes et la formation des équipes visent à ren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de la rentabilit\u00e9 et l'am\u00e9lioration des marges sont encourageantes. Cependant, la tr\u00e9sorerie nette n\u00e9gative et l'absence de dividendes incitent \u00e0 la prudence \u00e0 court terme."}</w:t>
      </w:r>
    </w:p>
    <w:p>
      <w:pPr>
        <w:spacing w:before="40"/>
        <w:ind w:left="400"/>
      </w:pPr>
      <w:r>
        <w:rPr>
          <w:sz w:val="18"/>
        </w:rPr>
        <w:t>BERNABE CI affiche une solide performance financière pour l'exercice 2021 avec un chiffre d'affaires en hausse de 12,5% à 44,4 milliards FCFA. Le résultat net a plus que doublé, passant de 629,8 millions à 1,6 milliard FCFA, témoignant d'une amélioration significative de la rentabilité. La marge nette s'établit à 3,6% contre 1,6% en 2020, reflétant une meilleure maîtrise des coûts. La société maintient une structure financière équilibrée avec des capitaux propres renforcés à 17 milliards FCFA. Aucun dividende n'est proposé pour 2021, la société privilégiant le renforcement de ses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'7,98 milliards FCFA', 'tresorerie_nette': '-7,99 milliards FCFA', 'excedent_brut_exploitation': '3,8 milliards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3,6%</w:t>
            </w:r>
          </w:p>
        </w:tc>
        <w:tc>
          <w:tcPr>
            <w:tcW w:type="dxa" w:w="2160"/>
          </w:tcPr>
          <w:p>
            <w:pPr>
              <w:ind w:left="100"/>
            </w:pPr>
            <w:r/>
            <w:r>
              <w:rPr>
                <w:b/>
                <w:sz w:val="16"/>
              </w:rPr>
              <w:t>total_actif</w:t>
              <w:br/>
            </w:r>
            <w:r>
              <w:rPr>
                <w:sz w:val="18"/>
              </w:rPr>
              <w:t>46 milliards FCFA</w:t>
            </w:r>
          </w:p>
        </w:tc>
      </w:tr>
      <w:tr>
        <w:tc>
          <w:tcPr>
            <w:tcW w:type="dxa" w:w="2160"/>
          </w:tcPr>
          <w:p>
            <w:r/>
            <w:r>
              <w:rPr>
                <w:b/>
                <w:sz w:val="16"/>
              </w:rPr>
              <w:t>resultat_net</w:t>
              <w:br/>
            </w:r>
            <w:r>
              <w:rPr>
                <w:sz w:val="18"/>
              </w:rPr>
              <w:t>1,6 milliard FCFA</w:t>
            </w:r>
          </w:p>
        </w:tc>
        <w:tc>
          <w:tcPr>
            <w:tcW w:type="dxa" w:w="2160"/>
          </w:tcPr>
          <w:p>
            <w:r/>
            <w:r>
              <w:rPr>
                <w:b/>
                <w:sz w:val="16"/>
              </w:rPr>
              <w:t>capitaux_propres</w:t>
              <w:br/>
            </w:r>
            <w:r>
              <w:rPr>
                <w:sz w:val="18"/>
              </w:rPr>
              <w:t>17 milliards FCFA</w:t>
            </w:r>
          </w:p>
        </w:tc>
        <w:tc>
          <w:tcPr>
            <w:tcW w:type="dxa" w:w="2160"/>
          </w:tcPr>
          <w:p>
            <w:r/>
            <w:r>
              <w:rPr>
                <w:b/>
                <w:sz w:val="16"/>
              </w:rPr>
              <w:t>chiffre_affaires</w:t>
              <w:br/>
            </w:r>
            <w:r>
              <w:rPr>
                <w:sz w:val="18"/>
              </w:rPr>
              <w:t>44,4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12,5% à 44,4 milliards FCFA</w:t>
      </w:r>
    </w:p>
    <w:p>
      <w:pPr>
        <w:pStyle w:val="ListBullet"/>
        <w:spacing w:before="20" w:after="20"/>
        <w:ind w:left="700"/>
      </w:pPr>
      <w:r>
        <w:rPr>
          <w:sz w:val="18"/>
        </w:rPr>
        <w:t>Doublement du résultat net à 1,6 milliard FCFA (+153,9%)</w:t>
      </w:r>
    </w:p>
    <w:p>
      <w:pPr>
        <w:pStyle w:val="ListBullet"/>
        <w:spacing w:before="20" w:after="20"/>
        <w:ind w:left="700"/>
      </w:pPr>
      <w:r>
        <w:rPr>
          <w:sz w:val="18"/>
        </w:rPr>
        <w:t>Amélioration significative de la marge nette de 1,6% à 3,6%</w:t>
      </w:r>
    </w:p>
    <w:p>
      <w:pPr>
        <w:pStyle w:val="ListBullet"/>
        <w:spacing w:before="20" w:after="20"/>
        <w:ind w:left="700"/>
      </w:pPr>
      <w:r>
        <w:rPr>
          <w:sz w:val="18"/>
        </w:rPr>
        <w:t>Progression de la valeur ajoutée de 24,8% à 7,98 milliards FCFA</w:t>
      </w:r>
    </w:p>
    <w:p>
      <w:pPr>
        <w:pStyle w:val="ListBullet"/>
        <w:spacing w:before="20" w:after="20"/>
        <w:ind w:left="700"/>
      </w:pPr>
      <w:r>
        <w:rPr>
          <w:sz w:val="18"/>
        </w:rPr>
        <w:t>Renforcement des capitaux propres à 17 milliards FCFA (+10,4%)</w:t>
      </w:r>
    </w:p>
    <w:p>
      <w:pPr>
        <w:pStyle w:val="ListBullet"/>
        <w:spacing w:before="20" w:after="20"/>
        <w:ind w:left="700"/>
      </w:pPr>
      <w:r>
        <w:rPr>
          <w:sz w:val="18"/>
        </w:rPr>
        <w:t>Augmentation du besoin en fonds de roulement de 756,8 millions FCFA</w:t>
      </w:r>
    </w:p>
    <w:p>
      <w:pPr>
        <w:spacing w:before="40"/>
        <w:ind w:left="400"/>
      </w:pPr>
      <w:r>
        <w:rPr>
          <w:b/>
          <w:color w:val="C05000"/>
          <w:sz w:val="18"/>
        </w:rPr>
        <w:t xml:space="preserve">⚠️ Risques : </w:t>
      </w:r>
      <w:r>
        <w:rPr>
          <w:sz w:val="18"/>
        </w:rPr>
        <w:t>["Tr\u00e9sorerie nette n\u00e9gative de 7,99 milliards FCFA cr\u00e9ant une d\u00e9pendance aux financements externes", "Augmentation significative du besoin en fonds de roulement pesant sur la liquidit\u00e9", "Endettement financier important avec 9,1 milliards FCFA de dettes de tr\u00e9sorerie"]</w:t>
      </w:r>
    </w:p>
    <w:p>
      <w:pPr>
        <w:spacing w:before="40"/>
        <w:ind w:left="400"/>
      </w:pPr>
      <w:r>
        <w:rPr>
          <w:b/>
          <w:color w:val="0064A0"/>
          <w:sz w:val="18"/>
        </w:rPr>
        <w:t xml:space="preserve">🔮 Perspectives : </w:t>
      </w:r>
      <w:r>
        <w:rPr>
          <w:sz w:val="18"/>
        </w:rPr>
        <w:t>La société devrait poursuivre sa croissance portée par l'amélioration de ses marges opérationnelles et la dynamique de son activité. L'enjeu principal sera la gestion de la trésorerie et l'optimisation du besoin en fonds de roulement pour retrouver un équilibre financier plus sain.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sans r\u00e9serve des commissaires aux comptes t\u00e9moigne de la transparence et de la conformit\u00e9 r\u00e9glementaire de la soci\u00e9t\u00e9. Cependant, l'absence de donn\u00e9es financi\u00e8res d\u00e9taill\u00e9es limite l'\u00e9valuation de la performance op\u00e9rationnelle."}</w:t>
      </w:r>
    </w:p>
    <w:p>
      <w:pPr>
        <w:spacing w:before="40"/>
        <w:ind w:left="400"/>
      </w:pPr>
      <w:r>
        <w:rPr>
          <w:sz w:val="18"/>
        </w:rPr>
        <w:t>Ce document est une attestation des commissaires aux comptes de BERNABE CÔTE D'IVOIRE S.A. pour la période du 1er janvier au 30 juin 2021. Les commissaires aux comptes UNICONSEIL et CCM - Audit &amp; Conseil attestent avoir effectué leurs contrôles selon les normes professionnelles sur le tableau d'activité et de résultat et le rapport semestriel. Ils confirment que la vérification des informations a été effectuée conformément à la norme ISRE 2410 et aux diligences requises par les autorités de régulation. Aucune observation particulière n'a été formulée sur la sincérité des informations présentées. Le document valide la conformité des états financiers semestriels aux normes en vigueur.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 semestre clos au 30 juin 2021</w:t>
      </w:r>
    </w:p>
    <w:p>
      <w:pPr>
        <w:pStyle w:val="ListBullet"/>
        <w:spacing w:before="20" w:after="20"/>
        <w:ind w:left="700"/>
      </w:pPr>
      <w:r>
        <w:rPr>
          <w:sz w:val="18"/>
        </w:rPr>
        <w:t>Contrôles effectués selon les normes de la profession par deux cabinets indépendants</w:t>
      </w:r>
    </w:p>
    <w:p>
      <w:pPr>
        <w:pStyle w:val="ListBullet"/>
        <w:spacing w:before="20" w:after="20"/>
        <w:ind w:left="700"/>
      </w:pPr>
      <w:r>
        <w:rPr>
          <w:sz w:val="18"/>
        </w:rPr>
        <w:t>Examen analytique des données financières présentées dans le tableau d'activité et de résultat</w:t>
      </w:r>
    </w:p>
    <w:p>
      <w:pPr>
        <w:pStyle w:val="ListBullet"/>
        <w:spacing w:before="20" w:after="20"/>
        <w:ind w:left="700"/>
      </w:pPr>
      <w:r>
        <w:rPr>
          <w:sz w:val="18"/>
        </w:rPr>
        <w:t>Vérification conforme à la norme ISRE 2410 relative à l'examen limité d'informations financières intermédiaires</w:t>
      </w:r>
    </w:p>
    <w:p>
      <w:pPr>
        <w:pStyle w:val="ListBullet"/>
        <w:spacing w:before="20" w:after="20"/>
        <w:ind w:left="700"/>
      </w:pPr>
      <w:r>
        <w:rPr>
          <w:sz w:val="18"/>
        </w:rPr>
        <w:t>Respect des diligences requises par le CREPMF pour les émetteurs sur le marché régional UMOA</w:t>
      </w:r>
    </w:p>
    <w:p>
      <w:pPr>
        <w:pStyle w:val="ListBullet"/>
        <w:spacing w:before="20" w:after="20"/>
        <w:ind w:left="700"/>
      </w:pPr>
      <w:r>
        <w:rPr>
          <w:sz w:val="18"/>
        </w:rPr>
        <w:t>Aucune observation formulée sur la sincérité des informations financières présentées</w:t>
      </w:r>
    </w:p>
    <w:p>
      <w:pPr>
        <w:spacing w:before="40"/>
        <w:ind w:left="400"/>
      </w:pPr>
      <w:r>
        <w:rPr>
          <w:b/>
          <w:color w:val="C05000"/>
          <w:sz w:val="18"/>
        </w:rPr>
        <w:t xml:space="preserve">⚠️ Risques : </w:t>
      </w:r>
      <w:r>
        <w:rPr>
          <w:sz w:val="18"/>
        </w:rPr>
        <w:t>["Manque de transparence sur les performances financi\u00e8res d\u00e9taill\u00e9es du semestre", "Absence d'informations sur l'\u00e9volution des indicateurs cl\u00e9s d'activit\u00e9", "D\u00e9pendance aux conditions du march\u00e9 r\u00e9gional UMOA non d\u00e9taill\u00e9es"]</w:t>
      </w:r>
    </w:p>
    <w:p>
      <w:pPr>
        <w:spacing w:before="40"/>
        <w:ind w:left="400"/>
      </w:pPr>
      <w:r>
        <w:rPr>
          <w:b/>
          <w:color w:val="0064A0"/>
          <w:sz w:val="18"/>
        </w:rPr>
        <w:t xml:space="preserve">🔮 Perspectives : </w:t>
      </w:r>
      <w:r>
        <w:rPr>
          <w:sz w:val="18"/>
        </w:rPr>
        <w:t>Les perspectives restent incertaines en l'absence d'indicateurs financiers spécifiques dans cette attestation. La conformité réglementaire attestée constitue néanmoins une base solide pour la poursuite des activités selon les standards du marché régional.</w:t>
      </w:r>
    </w:p>
    <w:p/>
    <w:p>
      <w:r>
        <w:t>════════════════════════════════════════════════════════════════════════════════</w:t>
      </w:r>
    </w:p>
    <w:p>
      <w:r>
        <w:br w:type="page"/>
      </w:r>
    </w:p>
    <w:p>
      <w:pPr>
        <w:pStyle w:val="Heading2"/>
        <w:spacing w:before="360"/>
      </w:pPr>
      <w:r>
        <w:rPr>
          <w:color w:val="0066CC"/>
        </w:rPr>
        <w:t>5. BOAB - BANK OF AFRICA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w:t>
            </w:r>
          </w:p>
          <w:p>
            <w:r>
              <w:rPr>
                <w:b/>
                <w:color w:val="323250"/>
                <w:sz w:val="16"/>
              </w:rPr>
              <w:t xml:space="preserve">Société : </w:t>
            </w:r>
            <w:r>
              <w:rPr>
                <w:color w:val="000000"/>
                <w:sz w:val="16"/>
              </w:rPr>
              <w:t>BANK OF AFRICA BENIN</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405.61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6,035 titres</w:t>
            </w:r>
          </w:p>
        </w:tc>
        <w:tc>
          <w:tcPr>
            <w:tcW w:type="dxa" w:w="2268"/>
            <w:shd w:fill="FFF2CC" w:val="clear"/>
          </w:tcPr>
          <w:p>
            <w:r>
              <w:rPr>
                <w:b/>
                <w:color w:val="503200"/>
                <w:sz w:val="16"/>
              </w:rPr>
              <w:t xml:space="preserve">Cours actuel : </w:t>
            </w:r>
            <w:r>
              <w:rPr>
                <w:color w:val="000000"/>
                <w:sz w:val="17"/>
              </w:rPr>
              <w:t>10,000 FCFA</w:t>
            </w:r>
          </w:p>
          <w:p>
            <w:r>
              <w:rPr>
                <w:b/>
                <w:color w:val="503200"/>
                <w:sz w:val="16"/>
              </w:rPr>
              <w:t xml:space="preserve">Var. 100 jours : </w:t>
            </w:r>
            <w:r>
              <w:rPr>
                <w:b/>
                <w:color w:val="007800"/>
                <w:sz w:val="17"/>
              </w:rPr>
              <w:t>+31.58%</w:t>
            </w:r>
          </w:p>
          <w:p>
            <w:r>
              <w:rPr>
                <w:b/>
                <w:color w:val="503200"/>
                <w:sz w:val="16"/>
              </w:rPr>
              <w:t xml:space="preserve">Plus haut 100j : </w:t>
            </w:r>
            <w:r>
              <w:rPr>
                <w:color w:val="000000"/>
                <w:sz w:val="17"/>
              </w:rPr>
              <w:t>10,350 FCFA</w:t>
            </w:r>
          </w:p>
          <w:p>
            <w:r>
              <w:rPr>
                <w:b/>
                <w:color w:val="503200"/>
                <w:sz w:val="16"/>
              </w:rPr>
              <w:t xml:space="preserve">Plus bas 100j : </w:t>
            </w:r>
            <w:r>
              <w:rPr>
                <w:color w:val="000000"/>
                <w:sz w:val="17"/>
              </w:rPr>
              <w:t>7,400 FCFA</w:t>
            </w:r>
          </w:p>
          <w:p>
            <w:r>
              <w:rPr>
                <w:b/>
                <w:color w:val="503200"/>
                <w:sz w:val="16"/>
              </w:rPr>
              <w:t xml:space="preserve">Volatilité ann. : </w:t>
            </w:r>
            <w:r>
              <w:rPr>
                <w:color w:val="000000"/>
                <w:sz w:val="17"/>
              </w:rPr>
              <w:t>27.2%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6.48% (Moyenne) — μ=8,753 FCFA, σ=567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β=-0.2006 (Contre-cyclique) — Cov=-0.000007, Var(idx)=0.000035, ρ=-0.071,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6,035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σ_j=1.71%/j (Stable) — Vol. annualisée≈27.2%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6976"/>
            <wp:docPr id="7" name="Picture 7"/>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2026-08-28</w:t>
            </w:r>
          </w:p>
        </w:tc>
        <w:tc>
          <w:tcPr>
            <w:tcW w:type="dxa" w:w="1440"/>
            <w:shd w:fill="FFDCE0" w:val="clear"/>
          </w:tcPr>
          <w:p>
            <w:r>
              <w:rPr>
                <w:sz w:val="17"/>
              </w:rPr>
              <w:t>9,254</w:t>
            </w:r>
          </w:p>
        </w:tc>
        <w:tc>
          <w:tcPr>
            <w:tcW w:type="dxa" w:w="1440"/>
            <w:shd w:fill="FFDCE0" w:val="clear"/>
          </w:tcPr>
          <w:p>
            <w:r>
              <w:rPr>
                <w:b/>
                <w:sz w:val="17"/>
              </w:rPr>
              <w:t>9,588</w:t>
            </w:r>
          </w:p>
        </w:tc>
        <w:tc>
          <w:tcPr>
            <w:tcW w:type="dxa" w:w="1440"/>
            <w:shd w:fill="FFDCE0" w:val="clear"/>
          </w:tcPr>
          <w:p>
            <w:r>
              <w:rPr>
                <w:sz w:val="17"/>
              </w:rPr>
              <w:t>9,923</w:t>
            </w:r>
          </w:p>
        </w:tc>
        <w:tc>
          <w:tcPr>
            <w:tcW w:type="dxa" w:w="1440"/>
            <w:shd w:fill="FFDCE0" w:val="clear"/>
          </w:tcPr>
          <w:p>
            <w:r>
              <w:rPr>
                <w:b/>
                <w:color w:val="C00000"/>
                <w:sz w:val="17"/>
              </w:rPr>
              <w:t>-4.1%</w:t>
            </w:r>
          </w:p>
        </w:tc>
      </w:tr>
      <w:tr>
        <w:tc>
          <w:tcPr>
            <w:tcW w:type="dxa" w:w="1440"/>
            <w:shd w:fill="FFDCE0" w:val="clear"/>
          </w:tcPr>
          <w:p>
            <w:r>
              <w:rPr>
                <w:sz w:val="17"/>
              </w:rPr>
              <w:t>J+2  Moyenne</w:t>
            </w:r>
          </w:p>
        </w:tc>
        <w:tc>
          <w:tcPr>
            <w:tcW w:type="dxa" w:w="1440"/>
            <w:shd w:fill="FFDCE0" w:val="clear"/>
          </w:tcPr>
          <w:p>
            <w:r>
              <w:rPr>
                <w:sz w:val="17"/>
              </w:rPr>
              <w:t>2026-08-31</w:t>
            </w:r>
          </w:p>
        </w:tc>
        <w:tc>
          <w:tcPr>
            <w:tcW w:type="dxa" w:w="1440"/>
            <w:shd w:fill="FFDCE0" w:val="clear"/>
          </w:tcPr>
          <w:p>
            <w:r>
              <w:rPr>
                <w:sz w:val="17"/>
              </w:rPr>
              <w:t>8,875</w:t>
            </w:r>
          </w:p>
        </w:tc>
        <w:tc>
          <w:tcPr>
            <w:tcW w:type="dxa" w:w="1440"/>
            <w:shd w:fill="FFDCE0" w:val="clear"/>
          </w:tcPr>
          <w:p>
            <w:r>
              <w:rPr>
                <w:b/>
                <w:sz w:val="17"/>
              </w:rPr>
              <w:t>9,335</w:t>
            </w:r>
          </w:p>
        </w:tc>
        <w:tc>
          <w:tcPr>
            <w:tcW w:type="dxa" w:w="1440"/>
            <w:shd w:fill="FFDCE0" w:val="clear"/>
          </w:tcPr>
          <w:p>
            <w:r>
              <w:rPr>
                <w:sz w:val="17"/>
              </w:rPr>
              <w:t>9,795</w:t>
            </w:r>
          </w:p>
        </w:tc>
        <w:tc>
          <w:tcPr>
            <w:tcW w:type="dxa" w:w="1440"/>
            <w:shd w:fill="FFDCE0" w:val="clear"/>
          </w:tcPr>
          <w:p>
            <w:r>
              <w:rPr>
                <w:b/>
                <w:color w:val="C00000"/>
                <w:sz w:val="17"/>
              </w:rPr>
              <w:t>-6.6%</w:t>
            </w:r>
          </w:p>
        </w:tc>
      </w:tr>
      <w:tr>
        <w:tc>
          <w:tcPr>
            <w:tcW w:type="dxa" w:w="1440"/>
            <w:shd w:fill="FFDCE0" w:val="clear"/>
          </w:tcPr>
          <w:p>
            <w:r>
              <w:rPr>
                <w:sz w:val="17"/>
              </w:rPr>
              <w:t>J+3  Moyenne</w:t>
            </w:r>
          </w:p>
        </w:tc>
        <w:tc>
          <w:tcPr>
            <w:tcW w:type="dxa" w:w="1440"/>
            <w:shd w:fill="FFDCE0" w:val="clear"/>
          </w:tcPr>
          <w:p>
            <w:r>
              <w:rPr>
                <w:sz w:val="17"/>
              </w:rPr>
              <w:t>2026-09-01</w:t>
            </w:r>
          </w:p>
        </w:tc>
        <w:tc>
          <w:tcPr>
            <w:tcW w:type="dxa" w:w="1440"/>
            <w:shd w:fill="FFDCE0" w:val="clear"/>
          </w:tcPr>
          <w:p>
            <w:r>
              <w:rPr>
                <w:sz w:val="17"/>
              </w:rPr>
              <w:t>8,590</w:t>
            </w:r>
          </w:p>
        </w:tc>
        <w:tc>
          <w:tcPr>
            <w:tcW w:type="dxa" w:w="1440"/>
            <w:shd w:fill="FFDCE0" w:val="clear"/>
          </w:tcPr>
          <w:p>
            <w:r>
              <w:rPr>
                <w:b/>
                <w:sz w:val="17"/>
              </w:rPr>
              <w:t>9,142</w:t>
            </w:r>
          </w:p>
        </w:tc>
        <w:tc>
          <w:tcPr>
            <w:tcW w:type="dxa" w:w="1440"/>
            <w:shd w:fill="FFDCE0" w:val="clear"/>
          </w:tcPr>
          <w:p>
            <w:r>
              <w:rPr>
                <w:sz w:val="17"/>
              </w:rPr>
              <w:t>9,693</w:t>
            </w:r>
          </w:p>
        </w:tc>
        <w:tc>
          <w:tcPr>
            <w:tcW w:type="dxa" w:w="1440"/>
            <w:shd w:fill="FFDCE0" w:val="clear"/>
          </w:tcPr>
          <w:p>
            <w:r>
              <w:rPr>
                <w:b/>
                <w:color w:val="C00000"/>
                <w:sz w:val="17"/>
              </w:rPr>
              <w:t>-8.6%</w:t>
            </w:r>
          </w:p>
        </w:tc>
      </w:tr>
      <w:tr>
        <w:tc>
          <w:tcPr>
            <w:tcW w:type="dxa" w:w="1440"/>
            <w:shd w:fill="FFDCE0" w:val="clear"/>
          </w:tcPr>
          <w:p>
            <w:r>
              <w:rPr>
                <w:sz w:val="17"/>
              </w:rPr>
              <w:t>J+4  ⭐</w:t>
            </w:r>
          </w:p>
        </w:tc>
        <w:tc>
          <w:tcPr>
            <w:tcW w:type="dxa" w:w="1440"/>
            <w:shd w:fill="FFDCE0" w:val="clear"/>
          </w:tcPr>
          <w:p>
            <w:r>
              <w:rPr>
                <w:sz w:val="17"/>
              </w:rPr>
              <w:t>2026-09-02</w:t>
            </w:r>
          </w:p>
        </w:tc>
        <w:tc>
          <w:tcPr>
            <w:tcW w:type="dxa" w:w="1440"/>
            <w:shd w:fill="FFDCE0" w:val="clear"/>
          </w:tcPr>
          <w:p>
            <w:r>
              <w:rPr>
                <w:sz w:val="17"/>
              </w:rPr>
              <w:t>8,362</w:t>
            </w:r>
          </w:p>
        </w:tc>
        <w:tc>
          <w:tcPr>
            <w:tcW w:type="dxa" w:w="1440"/>
            <w:shd w:fill="FFDCE0" w:val="clear"/>
          </w:tcPr>
          <w:p>
            <w:r>
              <w:rPr>
                <w:b/>
                <w:sz w:val="17"/>
              </w:rPr>
              <w:t>8,989</w:t>
            </w:r>
          </w:p>
        </w:tc>
        <w:tc>
          <w:tcPr>
            <w:tcW w:type="dxa" w:w="1440"/>
            <w:shd w:fill="FFDCE0" w:val="clear"/>
          </w:tcPr>
          <w:p>
            <w:r>
              <w:rPr>
                <w:sz w:val="17"/>
              </w:rPr>
              <w:t>9,615</w:t>
            </w:r>
          </w:p>
        </w:tc>
        <w:tc>
          <w:tcPr>
            <w:tcW w:type="dxa" w:w="1440"/>
            <w:shd w:fill="FFDCE0" w:val="clear"/>
          </w:tcPr>
          <w:p>
            <w:r>
              <w:rPr>
                <w:b/>
                <w:color w:val="C00000"/>
                <w:sz w:val="17"/>
              </w:rPr>
              <w:t>-10.1%</w:t>
            </w:r>
          </w:p>
        </w:tc>
      </w:tr>
      <w:tr>
        <w:tc>
          <w:tcPr>
            <w:tcW w:type="dxa" w:w="1440"/>
            <w:shd w:fill="FFDCE0" w:val="clear"/>
          </w:tcPr>
          <w:p>
            <w:r>
              <w:rPr>
                <w:sz w:val="17"/>
              </w:rPr>
              <w:t>J+5  ⭐</w:t>
            </w:r>
          </w:p>
        </w:tc>
        <w:tc>
          <w:tcPr>
            <w:tcW w:type="dxa" w:w="1440"/>
            <w:shd w:fill="FFDCE0" w:val="clear"/>
          </w:tcPr>
          <w:p>
            <w:r>
              <w:rPr>
                <w:sz w:val="17"/>
              </w:rPr>
              <w:t>2026-09-03</w:t>
            </w:r>
          </w:p>
        </w:tc>
        <w:tc>
          <w:tcPr>
            <w:tcW w:type="dxa" w:w="1440"/>
            <w:shd w:fill="FFDCE0" w:val="clear"/>
          </w:tcPr>
          <w:p>
            <w:r>
              <w:rPr>
                <w:sz w:val="17"/>
              </w:rPr>
              <w:t>8,163</w:t>
            </w:r>
          </w:p>
        </w:tc>
        <w:tc>
          <w:tcPr>
            <w:tcW w:type="dxa" w:w="1440"/>
            <w:shd w:fill="FFDCE0" w:val="clear"/>
          </w:tcPr>
          <w:p>
            <w:r>
              <w:rPr>
                <w:b/>
                <w:sz w:val="17"/>
              </w:rPr>
              <w:t>8,853</w:t>
            </w:r>
          </w:p>
        </w:tc>
        <w:tc>
          <w:tcPr>
            <w:tcW w:type="dxa" w:w="1440"/>
            <w:shd w:fill="FFDCE0" w:val="clear"/>
          </w:tcPr>
          <w:p>
            <w:r>
              <w:rPr>
                <w:sz w:val="17"/>
              </w:rPr>
              <w:t>9,543</w:t>
            </w:r>
          </w:p>
        </w:tc>
        <w:tc>
          <w:tcPr>
            <w:tcW w:type="dxa" w:w="1440"/>
            <w:shd w:fill="FFDCE0" w:val="clear"/>
          </w:tcPr>
          <w:p>
            <w:r>
              <w:rPr>
                <w:b/>
                <w:color w:val="C00000"/>
                <w:sz w:val="17"/>
              </w:rPr>
              <w:t>-11.5%</w:t>
            </w:r>
          </w:p>
        </w:tc>
      </w:tr>
      <w:tr>
        <w:tc>
          <w:tcPr>
            <w:tcW w:type="dxa" w:w="1440"/>
            <w:shd w:fill="FFDCE0" w:val="clear"/>
          </w:tcPr>
          <w:p>
            <w:r>
              <w:rPr>
                <w:sz w:val="17"/>
              </w:rPr>
              <w:t>J+6  ⭐</w:t>
            </w:r>
          </w:p>
        </w:tc>
        <w:tc>
          <w:tcPr>
            <w:tcW w:type="dxa" w:w="1440"/>
            <w:shd w:fill="FFDCE0" w:val="clear"/>
          </w:tcPr>
          <w:p>
            <w:r>
              <w:rPr>
                <w:sz w:val="17"/>
              </w:rPr>
              <w:t>2026-09-04</w:t>
            </w:r>
          </w:p>
        </w:tc>
        <w:tc>
          <w:tcPr>
            <w:tcW w:type="dxa" w:w="1440"/>
            <w:shd w:fill="FFDCE0" w:val="clear"/>
          </w:tcPr>
          <w:p>
            <w:r>
              <w:rPr>
                <w:sz w:val="17"/>
              </w:rPr>
              <w:t>7,984</w:t>
            </w:r>
          </w:p>
        </w:tc>
        <w:tc>
          <w:tcPr>
            <w:tcW w:type="dxa" w:w="1440"/>
            <w:shd w:fill="FFDCE0" w:val="clear"/>
          </w:tcPr>
          <w:p>
            <w:r>
              <w:rPr>
                <w:b/>
                <w:sz w:val="17"/>
              </w:rPr>
              <w:t>8,728</w:t>
            </w:r>
          </w:p>
        </w:tc>
        <w:tc>
          <w:tcPr>
            <w:tcW w:type="dxa" w:w="1440"/>
            <w:shd w:fill="FFDCE0" w:val="clear"/>
          </w:tcPr>
          <w:p>
            <w:r>
              <w:rPr>
                <w:sz w:val="17"/>
              </w:rPr>
              <w:t>9,473</w:t>
            </w:r>
          </w:p>
        </w:tc>
        <w:tc>
          <w:tcPr>
            <w:tcW w:type="dxa" w:w="1440"/>
            <w:shd w:fill="FFDCE0" w:val="clear"/>
          </w:tcPr>
          <w:p>
            <w:r>
              <w:rPr>
                <w:b/>
                <w:color w:val="C00000"/>
                <w:sz w:val="17"/>
              </w:rPr>
              <w:t>-12.7%</w:t>
            </w:r>
          </w:p>
        </w:tc>
      </w:tr>
      <w:tr>
        <w:tc>
          <w:tcPr>
            <w:tcW w:type="dxa" w:w="1440"/>
            <w:shd w:fill="FFDCE0" w:val="clear"/>
          </w:tcPr>
          <w:p>
            <w:r>
              <w:rPr>
                <w:sz w:val="17"/>
              </w:rPr>
              <w:t>J+7  ⭐</w:t>
            </w:r>
          </w:p>
        </w:tc>
        <w:tc>
          <w:tcPr>
            <w:tcW w:type="dxa" w:w="1440"/>
            <w:shd w:fill="FFDCE0" w:val="clear"/>
          </w:tcPr>
          <w:p>
            <w:r>
              <w:rPr>
                <w:sz w:val="17"/>
              </w:rPr>
              <w:t>2026-09-07</w:t>
            </w:r>
          </w:p>
        </w:tc>
        <w:tc>
          <w:tcPr>
            <w:tcW w:type="dxa" w:w="1440"/>
            <w:shd w:fill="FFDCE0" w:val="clear"/>
          </w:tcPr>
          <w:p>
            <w:r>
              <w:rPr>
                <w:sz w:val="17"/>
              </w:rPr>
              <w:t>7,818</w:t>
            </w:r>
          </w:p>
        </w:tc>
        <w:tc>
          <w:tcPr>
            <w:tcW w:type="dxa" w:w="1440"/>
            <w:shd w:fill="FFDCE0" w:val="clear"/>
          </w:tcPr>
          <w:p>
            <w:r>
              <w:rPr>
                <w:b/>
                <w:sz w:val="17"/>
              </w:rPr>
              <w:t>8,612</w:t>
            </w:r>
          </w:p>
        </w:tc>
        <w:tc>
          <w:tcPr>
            <w:tcW w:type="dxa" w:w="1440"/>
            <w:shd w:fill="FFDCE0" w:val="clear"/>
          </w:tcPr>
          <w:p>
            <w:r>
              <w:rPr>
                <w:sz w:val="17"/>
              </w:rPr>
              <w:t>9,406</w:t>
            </w:r>
          </w:p>
        </w:tc>
        <w:tc>
          <w:tcPr>
            <w:tcW w:type="dxa" w:w="1440"/>
            <w:shd w:fill="FFDCE0" w:val="clear"/>
          </w:tcPr>
          <w:p>
            <w:r>
              <w:rPr>
                <w:b/>
                <w:color w:val="C00000"/>
                <w:sz w:val="17"/>
              </w:rPr>
              <w:t>-13.9%</w:t>
            </w:r>
          </w:p>
        </w:tc>
      </w:tr>
      <w:tr>
        <w:tc>
          <w:tcPr>
            <w:tcW w:type="dxa" w:w="1440"/>
            <w:shd w:fill="FFDCE0" w:val="clear"/>
          </w:tcPr>
          <w:p>
            <w:r>
              <w:rPr>
                <w:sz w:val="17"/>
              </w:rPr>
              <w:t>J+8  ⭐</w:t>
            </w:r>
          </w:p>
        </w:tc>
        <w:tc>
          <w:tcPr>
            <w:tcW w:type="dxa" w:w="1440"/>
            <w:shd w:fill="FFDCE0" w:val="clear"/>
          </w:tcPr>
          <w:p>
            <w:r>
              <w:rPr>
                <w:sz w:val="17"/>
              </w:rPr>
              <w:t>2026-09-08</w:t>
            </w:r>
          </w:p>
        </w:tc>
        <w:tc>
          <w:tcPr>
            <w:tcW w:type="dxa" w:w="1440"/>
            <w:shd w:fill="FFDCE0" w:val="clear"/>
          </w:tcPr>
          <w:p>
            <w:r>
              <w:rPr>
                <w:sz w:val="17"/>
              </w:rPr>
              <w:t>7,665</w:t>
            </w:r>
          </w:p>
        </w:tc>
        <w:tc>
          <w:tcPr>
            <w:tcW w:type="dxa" w:w="1440"/>
            <w:shd w:fill="FFDCE0" w:val="clear"/>
          </w:tcPr>
          <w:p>
            <w:r>
              <w:rPr>
                <w:b/>
                <w:sz w:val="17"/>
              </w:rPr>
              <w:t>8,503</w:t>
            </w:r>
          </w:p>
        </w:tc>
        <w:tc>
          <w:tcPr>
            <w:tcW w:type="dxa" w:w="1440"/>
            <w:shd w:fill="FFDCE0" w:val="clear"/>
          </w:tcPr>
          <w:p>
            <w:r>
              <w:rPr>
                <w:sz w:val="17"/>
              </w:rPr>
              <w:t>9,341</w:t>
            </w:r>
          </w:p>
        </w:tc>
        <w:tc>
          <w:tcPr>
            <w:tcW w:type="dxa" w:w="1440"/>
            <w:shd w:fill="FFDCE0" w:val="clear"/>
          </w:tcPr>
          <w:p>
            <w:r>
              <w:rPr>
                <w:b/>
                <w:color w:val="C00000"/>
                <w:sz w:val="17"/>
              </w:rPr>
              <w:t>-15.0%</w:t>
            </w:r>
          </w:p>
        </w:tc>
      </w:tr>
      <w:tr>
        <w:tc>
          <w:tcPr>
            <w:tcW w:type="dxa" w:w="1440"/>
            <w:shd w:fill="FFDCE0" w:val="clear"/>
          </w:tcPr>
          <w:p>
            <w:r>
              <w:rPr>
                <w:sz w:val="17"/>
              </w:rPr>
              <w:t>J+9  ⭐</w:t>
            </w:r>
          </w:p>
        </w:tc>
        <w:tc>
          <w:tcPr>
            <w:tcW w:type="dxa" w:w="1440"/>
            <w:shd w:fill="FFDCE0" w:val="clear"/>
          </w:tcPr>
          <w:p>
            <w:r>
              <w:rPr>
                <w:sz w:val="17"/>
              </w:rPr>
              <w:t>2026-09-09</w:t>
            </w:r>
          </w:p>
        </w:tc>
        <w:tc>
          <w:tcPr>
            <w:tcW w:type="dxa" w:w="1440"/>
            <w:shd w:fill="FFDCE0" w:val="clear"/>
          </w:tcPr>
          <w:p>
            <w:r>
              <w:rPr>
                <w:sz w:val="17"/>
              </w:rPr>
              <w:t>7,523</w:t>
            </w:r>
          </w:p>
        </w:tc>
        <w:tc>
          <w:tcPr>
            <w:tcW w:type="dxa" w:w="1440"/>
            <w:shd w:fill="FFDCE0" w:val="clear"/>
          </w:tcPr>
          <w:p>
            <w:r>
              <w:rPr>
                <w:b/>
                <w:sz w:val="17"/>
              </w:rPr>
              <w:t>8,401</w:t>
            </w:r>
          </w:p>
        </w:tc>
        <w:tc>
          <w:tcPr>
            <w:tcW w:type="dxa" w:w="1440"/>
            <w:shd w:fill="FFDCE0" w:val="clear"/>
          </w:tcPr>
          <w:p>
            <w:r>
              <w:rPr>
                <w:sz w:val="17"/>
              </w:rPr>
              <w:t>9,279</w:t>
            </w:r>
          </w:p>
        </w:tc>
        <w:tc>
          <w:tcPr>
            <w:tcW w:type="dxa" w:w="1440"/>
            <w:shd w:fill="FFDCE0" w:val="clear"/>
          </w:tcPr>
          <w:p>
            <w:r>
              <w:rPr>
                <w:b/>
                <w:color w:val="C00000"/>
                <w:sz w:val="17"/>
              </w:rPr>
              <w:t>-16.0%</w:t>
            </w:r>
          </w:p>
        </w:tc>
      </w:tr>
      <w:tr>
        <w:tc>
          <w:tcPr>
            <w:tcW w:type="dxa" w:w="1440"/>
            <w:shd w:fill="FFDCE0" w:val="clear"/>
          </w:tcPr>
          <w:p>
            <w:r>
              <w:rPr>
                <w:sz w:val="17"/>
              </w:rPr>
              <w:t>J+10  ⭐</w:t>
            </w:r>
          </w:p>
        </w:tc>
        <w:tc>
          <w:tcPr>
            <w:tcW w:type="dxa" w:w="1440"/>
            <w:shd w:fill="FFDCE0" w:val="clear"/>
          </w:tcPr>
          <w:p>
            <w:r>
              <w:rPr>
                <w:sz w:val="17"/>
              </w:rPr>
              <w:t>2026-09-10</w:t>
            </w:r>
          </w:p>
        </w:tc>
        <w:tc>
          <w:tcPr>
            <w:tcW w:type="dxa" w:w="1440"/>
            <w:shd w:fill="FFDCE0" w:val="clear"/>
          </w:tcPr>
          <w:p>
            <w:r>
              <w:rPr>
                <w:sz w:val="17"/>
              </w:rPr>
              <w:t>7,390</w:t>
            </w:r>
          </w:p>
        </w:tc>
        <w:tc>
          <w:tcPr>
            <w:tcW w:type="dxa" w:w="1440"/>
            <w:shd w:fill="FFDCE0" w:val="clear"/>
          </w:tcPr>
          <w:p>
            <w:r>
              <w:rPr>
                <w:b/>
                <w:sz w:val="17"/>
              </w:rPr>
              <w:t>8,305</w:t>
            </w:r>
          </w:p>
        </w:tc>
        <w:tc>
          <w:tcPr>
            <w:tcW w:type="dxa" w:w="1440"/>
            <w:shd w:fill="FFDCE0" w:val="clear"/>
          </w:tcPr>
          <w:p>
            <w:r>
              <w:rPr>
                <w:sz w:val="17"/>
              </w:rPr>
              <w:t>9,220</w:t>
            </w:r>
          </w:p>
        </w:tc>
        <w:tc>
          <w:tcPr>
            <w:tcW w:type="dxa" w:w="1440"/>
            <w:shd w:fill="FFDCE0" w:val="clear"/>
          </w:tcPr>
          <w:p>
            <w:r>
              <w:rPr>
                <w:b/>
                <w:color w:val="C00000"/>
                <w:sz w:val="17"/>
              </w:rPr>
              <w:t>-17.0%</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84.438 Mds FCFA</w:t>
            </w:r>
          </w:p>
        </w:tc>
        <w:tc>
          <w:tcPr>
            <w:tcW w:type="dxa" w:w="5669"/>
            <w:shd w:fill="FFFFFF" w:val="clear"/>
          </w:tcPr>
          <w:p>
            <w:r>
              <w:rPr>
                <w:color w:val="282828"/>
                <w:sz w:val="15"/>
              </w:rPr>
              <w:t>Représente 8.8%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329.253 Mds FCFA</w:t>
            </w:r>
          </w:p>
        </w:tc>
        <w:tc>
          <w:tcPr>
            <w:tcW w:type="dxa" w:w="5669"/>
            <w:shd w:fill="FFFFFF" w:val="clear"/>
          </w:tcPr>
          <w:p>
            <w:r>
              <w:rPr>
                <w:color w:val="282828"/>
                <w:sz w:val="15"/>
              </w:rPr>
              <w:t>Titres d'État détenus (34.1%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23.165 Mds FCFA</w:t>
            </w:r>
          </w:p>
        </w:tc>
        <w:tc>
          <w:tcPr>
            <w:tcW w:type="dxa" w:w="5669"/>
            <w:shd w:fill="FFFFFF" w:val="clear"/>
          </w:tcPr>
          <w:p>
            <w:r>
              <w:rPr>
                <w:color w:val="282828"/>
                <w:sz w:val="15"/>
              </w:rPr>
              <w:t>Prêts aux autres banques (2.4%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391.724 Mds FCFA</w:t>
            </w:r>
          </w:p>
        </w:tc>
        <w:tc>
          <w:tcPr>
            <w:tcW w:type="dxa" w:w="5669"/>
            <w:shd w:fill="FFFFFF" w:val="clear"/>
          </w:tcPr>
          <w:p>
            <w:r>
              <w:rPr>
                <w:color w:val="282828"/>
                <w:sz w:val="15"/>
              </w:rPr>
              <w:t>Portefeuille crédits (40.6%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2.911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29.215 Mds FCFA</w:t>
            </w:r>
          </w:p>
        </w:tc>
        <w:tc>
          <w:tcPr>
            <w:tcW w:type="dxa" w:w="5669"/>
            <w:shd w:fill="FFFFFF" w:val="clear"/>
          </w:tcPr>
          <w:p>
            <w:r>
              <w:rPr>
                <w:color w:val="282828"/>
                <w:sz w:val="15"/>
              </w:rPr>
              <w:t>Outil industriel (3.0%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54.588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107.603 Mds FCFA</w:t>
            </w:r>
          </w:p>
        </w:tc>
        <w:tc>
          <w:tcPr>
            <w:tcW w:type="dxa" w:w="5669"/>
            <w:shd w:fill="FFFFFF" w:val="clear"/>
          </w:tcPr>
          <w:p>
            <w:r>
              <w:rPr>
                <w:color w:val="282828"/>
                <w:sz w:val="15"/>
              </w:rPr>
              <w:t>Liquidités disponibles (11.2%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964.663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40.561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56.839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117.507 Mds FCFA</w:t>
            </w:r>
          </w:p>
        </w:tc>
        <w:tc>
          <w:tcPr>
            <w:tcW w:type="dxa" w:w="5669"/>
            <w:shd w:fill="FFFFFF" w:val="clear"/>
          </w:tcPr>
          <w:p>
            <w:r>
              <w:rPr>
                <w:color w:val="282828"/>
                <w:sz w:val="15"/>
              </w:rPr>
              <w:t>Fonds propres = 12.2%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121.590 Mds FCFA</w:t>
            </w:r>
          </w:p>
        </w:tc>
        <w:tc>
          <w:tcPr>
            <w:tcW w:type="dxa" w:w="5669"/>
            <w:shd w:fill="FFFFFF" w:val="clear"/>
          </w:tcPr>
          <w:p>
            <w:r>
              <w:rPr>
                <w:color w:val="282828"/>
                <w:sz w:val="15"/>
              </w:rPr>
              <w:t>Capitaux permanents / Actif immobilisé = 2.23x.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116.059 Mds FCFA</w:t>
            </w:r>
          </w:p>
        </w:tc>
        <w:tc>
          <w:tcPr>
            <w:tcW w:type="dxa" w:w="5669"/>
            <w:shd w:fill="FFFFFF" w:val="clear"/>
          </w:tcPr>
          <w:p>
            <w:r>
              <w:rPr>
                <w:color w:val="282828"/>
                <w:sz w:val="15"/>
              </w:rPr>
              <w:t>Refinancement interbancaire (12.0%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711.642 Mds FCFA</w:t>
            </w:r>
          </w:p>
        </w:tc>
        <w:tc>
          <w:tcPr>
            <w:tcW w:type="dxa" w:w="5669"/>
            <w:shd w:fill="FFFFFF" w:val="clear"/>
          </w:tcPr>
          <w:p>
            <w:r>
              <w:rPr>
                <w:color w:val="282828"/>
                <w:sz w:val="15"/>
              </w:rPr>
              <w:t>Dépôts clients = 73.8%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116.059 Mds FCFA</w:t>
            </w:r>
          </w:p>
        </w:tc>
        <w:tc>
          <w:tcPr>
            <w:tcW w:type="dxa" w:w="5669"/>
            <w:shd w:fill="FFFFFF" w:val="clear"/>
          </w:tcPr>
          <w:p>
            <w:r>
              <w:rPr>
                <w:color w:val="282828"/>
                <w:sz w:val="15"/>
              </w:rPr>
              <w:t>Dette financière totale = 99%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847.156 Mds FCFA</w:t>
            </w:r>
          </w:p>
        </w:tc>
        <w:tc>
          <w:tcPr>
            <w:tcW w:type="dxa" w:w="5669"/>
            <w:shd w:fill="FFFFFF" w:val="clear"/>
          </w:tcPr>
          <w:p>
            <w:r>
              <w:rPr>
                <w:color w:val="282828"/>
                <w:sz w:val="15"/>
              </w:rPr>
              <w:t>Dettes totales = 87.8%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51.274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51.274 Mds FCFA</w:t>
            </w:r>
          </w:p>
        </w:tc>
        <w:tc>
          <w:tcPr>
            <w:tcW w:type="dxa" w:w="5669"/>
            <w:shd w:fill="FFFFFF" w:val="clear"/>
          </w:tcPr>
          <w:p>
            <w:r>
              <w:rPr>
                <w:color w:val="282828"/>
                <w:sz w:val="15"/>
              </w:rPr>
              <w:t>Revenu bancaire central (≡ CA). Croissance: 10.2%.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55.728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20.822 Mds FCFA</w:t>
            </w:r>
          </w:p>
        </w:tc>
        <w:tc>
          <w:tcPr>
            <w:tcW w:type="dxa" w:w="5669"/>
            <w:shd w:fill="FFFFFF" w:val="clear"/>
          </w:tcPr>
          <w:p>
            <w:r>
              <w:rPr>
                <w:color w:val="282828"/>
                <w:sz w:val="15"/>
              </w:rPr>
              <w:t>Coût des dépôts collectés (41%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12.339 Mds FCFA</w:t>
            </w:r>
          </w:p>
        </w:tc>
        <w:tc>
          <w:tcPr>
            <w:tcW w:type="dxa" w:w="5669"/>
            <w:shd w:fill="FFFFFF" w:val="clear"/>
          </w:tcPr>
          <w:p>
            <w:r>
              <w:rPr>
                <w:color w:val="282828"/>
                <w:sz w:val="15"/>
              </w:rPr>
              <w:t>Revenus de commissions (24.1%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22.704 Mds FCFA</w:t>
            </w:r>
          </w:p>
        </w:tc>
        <w:tc>
          <w:tcPr>
            <w:tcW w:type="dxa" w:w="5669"/>
            <w:shd w:fill="FFFFFF" w:val="clear"/>
          </w:tcPr>
          <w:p>
            <w:r>
              <w:rPr>
                <w:color w:val="282828"/>
                <w:sz w:val="15"/>
              </w:rPr>
              <w:t>44.3%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25.876 Mds FCFA</w:t>
            </w:r>
          </w:p>
        </w:tc>
        <w:tc>
          <w:tcPr>
            <w:tcW w:type="dxa" w:w="5669"/>
            <w:shd w:fill="FFFFFF" w:val="clear"/>
          </w:tcPr>
          <w:p>
            <w:r>
              <w:rPr>
                <w:color w:val="282828"/>
                <w:sz w:val="15"/>
              </w:rPr>
              <w:t>RBE = 50.5%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21.191 Mds FCFA</w:t>
            </w:r>
          </w:p>
        </w:tc>
        <w:tc>
          <w:tcPr>
            <w:tcW w:type="dxa" w:w="5669"/>
            <w:shd w:fill="FFFFFF" w:val="clear"/>
          </w:tcPr>
          <w:p>
            <w:r>
              <w:rPr>
                <w:color w:val="282828"/>
                <w:sz w:val="15"/>
              </w:rPr>
              <w:t>Profit d'exploitation = 41.3%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4.686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20.107 Mds FCFA</w:t>
            </w:r>
          </w:p>
        </w:tc>
        <w:tc>
          <w:tcPr>
            <w:tcW w:type="dxa" w:w="5669"/>
            <w:shd w:fill="FFFFFF" w:val="clear"/>
          </w:tcPr>
          <w:p>
            <w:r>
              <w:rPr>
                <w:color w:val="282828"/>
                <w:sz w:val="15"/>
              </w:rPr>
              <w:t>Marge nette = 39.2%.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22.801 Mds FCFA</w:t>
            </w:r>
          </w:p>
        </w:tc>
        <w:tc>
          <w:tcPr>
            <w:tcW w:type="dxa" w:w="5669"/>
            <w:shd w:fill="FFFFFF" w:val="clear"/>
          </w:tcPr>
          <w:p>
            <w:r>
              <w:rPr>
                <w:color w:val="282828"/>
                <w:sz w:val="15"/>
              </w:rPr>
              <w:t>CAF = 22.80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-8.456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50.47%</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39.22%</w:t>
            </w:r>
          </w:p>
        </w:tc>
        <w:tc>
          <w:tcPr>
            <w:tcW w:type="dxa" w:w="5669"/>
            <w:shd w:fill="FFFFFF" w:val="clear"/>
          </w:tcPr>
          <w:p>
            <w:r>
              <w:rPr>
                <w:color w:val="282828"/>
                <w:sz w:val="15"/>
              </w:rPr>
              <w:t>Résultat net / revenus = 39.22%.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41.33%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17.11%</w:t>
            </w:r>
          </w:p>
        </w:tc>
        <w:tc>
          <w:tcPr>
            <w:tcW w:type="dxa" w:w="5669"/>
            <w:shd w:fill="FFFFFF" w:val="clear"/>
          </w:tcPr>
          <w:p>
            <w:r>
              <w:rPr>
                <w:color w:val="282828"/>
                <w:sz w:val="15"/>
              </w:rPr>
              <w:t>Résultat net / capitaux propres = 17.11%.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2.08%</w:t>
            </w:r>
          </w:p>
        </w:tc>
        <w:tc>
          <w:tcPr>
            <w:tcW w:type="dxa" w:w="5669"/>
            <w:shd w:fill="FFFFFF" w:val="clear"/>
          </w:tcPr>
          <w:p>
            <w:r>
              <w:rPr>
                <w:color w:val="282828"/>
                <w:sz w:val="15"/>
              </w:rPr>
              <w:t>Résultat net / total actif = 2.08%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5.32%</w:t>
            </w:r>
          </w:p>
        </w:tc>
        <w:tc>
          <w:tcPr>
            <w:tcW w:type="dxa" w:w="5669"/>
            <w:shd w:fill="FFFFFF" w:val="clear"/>
          </w:tcPr>
          <w:p>
            <w:r>
              <w:rPr>
                <w:color w:val="282828"/>
                <w:sz w:val="15"/>
              </w:rPr>
              <w:t>CA / total actif = 5.32x.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49.53%</w:t>
            </w:r>
          </w:p>
        </w:tc>
        <w:tc>
          <w:tcPr>
            <w:tcW w:type="dxa" w:w="5669"/>
            <w:shd w:fill="FFFFFF" w:val="clear"/>
          </w:tcPr>
          <w:p>
            <w:r>
              <w:rPr>
                <w:color w:val="282828"/>
                <w:sz w:val="15"/>
              </w:rPr>
              <w:t>Charges / PNB = 49.53%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22.50%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10.20%</w:t>
            </w:r>
          </w:p>
        </w:tc>
        <w:tc>
          <w:tcPr>
            <w:tcW w:type="dxa" w:w="5669"/>
            <w:shd w:fill="FFFFFF" w:val="clear"/>
          </w:tcPr>
          <w:p>
            <w:r>
              <w:rPr>
                <w:color w:val="282828"/>
                <w:sz w:val="15"/>
              </w:rPr>
              <w:t>Croissance PNB vs exercice précédent = 10.20%.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12.18%</w:t>
            </w:r>
          </w:p>
        </w:tc>
        <w:tc>
          <w:tcPr>
            <w:tcW w:type="dxa" w:w="5669"/>
            <w:shd w:fill="FFFFFF" w:val="clear"/>
          </w:tcPr>
          <w:p>
            <w:r>
              <w:rPr>
                <w:color w:val="282828"/>
                <w:sz w:val="15"/>
              </w:rPr>
              <w:t>Fonds propres / total bilan = 12.18%.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87.82%</w:t>
            </w:r>
          </w:p>
        </w:tc>
        <w:tc>
          <w:tcPr>
            <w:tcW w:type="dxa" w:w="5669"/>
            <w:shd w:fill="FFFFFF" w:val="clear"/>
          </w:tcPr>
          <w:p>
            <w:r>
              <w:rPr>
                <w:color w:val="282828"/>
                <w:sz w:val="15"/>
              </w:rPr>
              <w:t>Dettes financières / total bilan = 87.82%.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98.77%</w:t>
            </w:r>
          </w:p>
        </w:tc>
        <w:tc>
          <w:tcPr>
            <w:tcW w:type="dxa" w:w="5669"/>
            <w:shd w:fill="FFFFFF" w:val="clear"/>
          </w:tcPr>
          <w:p>
            <w:r>
              <w:rPr>
                <w:color w:val="282828"/>
                <w:sz w:val="15"/>
              </w:rPr>
              <w:t>Dettes totales / fonds propres = 98.77%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113.87%</w:t>
            </w:r>
          </w:p>
        </w:tc>
        <w:tc>
          <w:tcPr>
            <w:tcW w:type="dxa" w:w="5669"/>
            <w:shd w:fill="FFFFFF" w:val="clear"/>
          </w:tcPr>
          <w:p>
            <w:r>
              <w:rPr>
                <w:color w:val="282828"/>
                <w:sz w:val="15"/>
              </w:rPr>
              <w:t>Total actif / dettes totales = 113.87x.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215.26%</w:t>
            </w:r>
          </w:p>
        </w:tc>
        <w:tc>
          <w:tcPr>
            <w:tcW w:type="dxa" w:w="5669"/>
            <w:shd w:fill="FFFFFF" w:val="clear"/>
          </w:tcPr>
          <w:p>
            <w:r>
              <w:rPr>
                <w:color w:val="282828"/>
                <w:sz w:val="15"/>
              </w:rPr>
              <w:t>Capitaux permanents / actif immobilisé = 215.26x.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5.1 ans</w:t>
            </w:r>
          </w:p>
        </w:tc>
        <w:tc>
          <w:tcPr>
            <w:tcW w:type="dxa" w:w="5669"/>
            <w:shd w:fill="FFFFFF" w:val="clear"/>
          </w:tcPr>
          <w:p>
            <w:r>
              <w:rPr>
                <w:color w:val="282828"/>
                <w:sz w:val="15"/>
              </w:rPr>
              <w:t>Dettes financières / CAF = 5.1 ans. ⚠️ Remboursement long — endettement fort par rapport au cash.</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101.77%</w:t>
            </w:r>
          </w:p>
        </w:tc>
        <w:tc>
          <w:tcPr>
            <w:tcW w:type="dxa" w:w="5669"/>
            <w:shd w:fill="FFFFFF" w:val="clear"/>
          </w:tcPr>
          <w:p>
            <w:r>
              <w:rPr>
                <w:color w:val="282828"/>
                <w:sz w:val="15"/>
              </w:rPr>
              <w:t>Résultat exploit. / charges financières = 101.77x. ⚠️ Couverture limite — sensible aux hausses de taux.</w:t>
            </w:r>
          </w:p>
        </w:tc>
      </w:tr>
    </w:tbl>
    <w:p/>
    <w:p>
      <w:pPr>
        <w:spacing w:after="120" w:line="276" w:lineRule="auto"/>
      </w:pPr>
      <w:r>
        <w:t>**RAPPORT D'ANALYSE FINANCIÈRE — BOAB (BANK OF AFRICA BÉNIN)**</w:t>
        <w:br/>
        <w:t>**Date de l'analyse : 27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BOAB s'établit à 405,61 milliards FCFA, ce qui en fait l'une des valeurs significatives de la BRVM, reflétant la confiance des investisseurs dans le secteur bancaire béninois. Le BPA de 496 FCFA indique que chaque action génère un bénéfice substantiel, mais le PER de 20,2x est nettement supérieur à la moyenne historique de la BRVM (8-12x), signalant que le marché intègre des attentes de croissance future élevées, voire une certaine surévaluation. Le P/B de 3,45x confirme cette prime, le marché valorisant la banque bien au-delà de sa valeur comptable, ce qui est typique des institutions jugées performantes. Enfin, l'EV/EBITDA de 20,5x, très exigeant, indique que la valeur totale de l'entreprise (capitalisation + dette nette) est élevée par rapport à sa capacité opérationnelle, renforçant l'idée d'une valorisation qui anticipe une amélioration significative des résultats.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BOAB a enregistré une performance remarquable de +31,58%, atteignant un cours actuel de 10 000 FCFA, bien que la dernière séance ait vu un repli de -3,38%. Le titre a évolué dans une fourchette de 7 400 FCFA (plus bas) à 10 350 FCFA (plus haut), démontrant une dynamique haussière soutenue. La moyenne du cours sur la période (8 753 FCFA) est très proche de la médiane (8 780 FCFA), indiquant une distribution relativement symétrique des prix, ce que confirme le skewness de -0,369. L'écart-type de 570 FCFA (CV=6,5%) révèle une dispersion modérée, tandis que le kurtosis de 0,810 (mésokurtique) suggère l'absence de mouvements extrêmes fréquents. La volatilité annualisée de 27,2% classe le titre dans une zone de risque modéré à élevé, cohérente avec une tendance haussière marquée mais ponctuée de corrections.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(10 000 FCFA) est nettement au-dessus de la MM20 (9 069,75 FCFA) et de la MM50 (8 940,6 FCFA), confirmant une tendance haussière solide. La configuration des moyennes mobiles (MM20 &gt; MM50) génère un signal d'achat, indiquant que la dynamique positive est intacte à court et moyen terme.</w:t>
      </w:r>
    </w:p>
    <w:p>
      <w:pPr>
        <w:spacing w:after="120" w:line="276" w:lineRule="auto"/>
      </w:pPr>
      <w:r>
        <w:t>**Bandes de Bollinger** : Le prix se situe près de la borne supérieure (10 221,47 FCFA), ce qui témoigne d'une pression acheteuse soutenue. Cependant, la position proche de la borne supérieure peut signaler une zone de surachat temporaire, d'où une décision neutre. La largeur des bandes reflète une volatilité accrue, cohérente avec la hausse récente.</w:t>
      </w:r>
    </w:p>
    <w:p>
      <w:pPr>
        <w:spacing w:after="120" w:line="276" w:lineRule="auto"/>
      </w:pPr>
      <w:r>
        <w:t>**MACD** : Le MACD (326,64) est nettement au-dessus de sa ligne de signal (164,43), confirmant un momentum haussier robuste. Cette divergence positive indique que la tendance haussière est soutenue par une dynamique de fond, justifiant une décision d'achat.</w:t>
      </w:r>
    </w:p>
    <w:p>
      <w:pPr>
        <w:spacing w:after="120" w:line="276" w:lineRule="auto"/>
      </w:pPr>
      <w:r>
        <w:t>**RSI** : Le RSI à 73,897 est entré en zone de surachat (&gt;70), signalant que le titre est techniquement surévalué à court terme. Cela suggère un risque de correction ou de consolidation, d'où une décision de vente pour les traders à court terme.</w:t>
      </w:r>
    </w:p>
    <w:p>
      <w:pPr>
        <w:spacing w:after="120" w:line="276" w:lineRule="auto"/>
      </w:pPr>
      <w:r>
        <w:t>**Stochastique** : Le %K (79,41) et le %D (93,14) sont tous deux en zone élevée, avec un %D supérieur au %K, indiquant un affaiblissement du momentum haussier. La décision neutre reflète l'incertitude sur la poursuite immédiate de la hausse.</w:t>
      </w:r>
    </w:p>
    <w:p>
      <w:pPr>
        <w:spacing w:after="120" w:line="276" w:lineRule="auto"/>
      </w:pPr>
      <w:r>
        <w:t>**Conclusion technique** : Les indicateurs de tendance (MM, MACD) sont positifs, mais les oscillateurs (RSI, Stochastique) signalent un essoufflement à court terme. Le titre est dans une phase de consolidation potentielle après une forte hausse, mais la tendance de fond reste haussière.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de BOAB révèlent une banque performante : le Produit Net Bancaire (PNB) s'établit à 51,274 milliards FCFA, générant un résultat net de 20,107 milliards FCFA. La rentabilité est excellente avec un ROE de 17,11% et un ROA de 2,08%, bien au-dessus des seuils de référence. Le coefficient d'exploitation de 49,53% démontre une efficacité opérationnelle remarquable (&lt;50% = excellente gestion des charges). Cependant, le coût du risque de 22,50% (provisions/charges financières) est élevé, indiquant une dégradation de la qualité du portefeuille de crédits. Les rapports trimestriels 2025 confirment cette tendance : le T1 2025 (PNB 11,081 Mds, +1,7%) et le S1 2025 (PNB 24,556 Mds, +5,91%) montrent une croissance modérée, mais le T3 2025 (PNB 37,065 Mds, +9%) révèle une accélération, avec un résultat net de 15,880 Mds (+13%). Sur la base de ces tendances, on estime que l'exercice 2025 devrait dépasser les 20 milliards de résultat net, confirmant la solidité de la banque. Le rapport T1 2026 (PNB 12,329 Mds, +11%) suggère une poursuite de la dynamique, avec une amélioration des commissions (+18,9%). La structure financière reste solide avec des dépôts clients de 711,642 Mds FCFA, bien que la contraction des crédits (-8% au S1 2025) soit un point de vigilance. En conclusion, BOAB présente des fondamentaux solides, une rentabilité élevée et une croissance retrouvée, mais le coût du risque et la contraction du bilan nécessitent une surveillance.</w:t>
      </w:r>
    </w:p>
    <w:p>
      <w:pPr>
        <w:spacing w:after="120" w:line="276" w:lineRule="auto"/>
      </w:pPr>
      <w:r>
        <w:t>---</w:t>
      </w:r>
    </w:p>
    <w:p>
      <w:pPr>
        <w:spacing w:after="120" w:line="276" w:lineRule="auto"/>
      </w:pPr>
      <w:r>
        <w:t>### PARTIE 4 : CONCLUSION D'INVESTISSEMENT</w:t>
      </w:r>
    </w:p>
    <w:p>
      <w:pPr>
        <w:spacing w:after="120" w:line="276" w:lineRule="auto"/>
      </w:pPr>
      <w:r>
        <w:t>La valorisation de BOAB (PER 20,2x, P/B 3,45x, EV/EBITDA 20,5x) indique une surévaluation relative par rapport au marché, intégrant des attentes de croissance élevées. Le comportement du cours (+31,58% sur 100 jours) est très favorable, mais la volatilité de 27,2% et le RSI en surachat suggèrent un risque de correction à court terme. Les signaux techniques sont mitigés : la tendance haussière (MM, MACD) est contrebalancée par des oscillateurs en zone de surachat (RSI, Stochastique). Les fondamentaux sont excellents (ROE 17,11%, coefficient d'exploitation 49,53%), avec une croissance du PNB estimée à +10% en 2025 et +11% au T1 2026, malgré un coût du risque élevé. Les prédictions IA (J+1 à J+10) indiquent une trajectoire baissière (de 9 588 à 8 853 FCFA), contredisant la tendance récente et suggérant une correction technique. La convergence entre la surévaluation, les signaux de surachat et les prédictions IA baissières conduit à une recommandation de **CONSERVER**, avec un niveau de confiance **Moyen** et un risque global **Élevé**. L'horizon d'investissement optimal serait de **moyen terme (3-12 mois)**, en attendant une correction du cours pour renforcer la position.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solide du PNB (+11%) et des revenus de commissions, mais croissance limit\u00e9e du r\u00e9sultat net (+1%) qui traduit une pression sur les co\u00fbts. Fondamentaux stables avec une base de d\u00e9p\u00f4ts en progression."}</w:t>
      </w:r>
    </w:p>
    <w:p>
      <w:pPr>
        <w:spacing w:before="40"/>
        <w:ind w:left="400"/>
      </w:pPr>
      <w:r>
        <w:rPr>
          <w:sz w:val="18"/>
        </w:rPr>
        <w:t>Bank of Africa Benin présente des résultats satisfaisants pour le premier trimestre 2026 avec une croissance du PNB de 11% à 12,329 milliards FCFA. Le résultat avant impôt progresse de 3% à 4,951 milliards FCFA tandis que le résultat net n'augmente que de 1% à 4,502 milliards FCFA. Les dépôts de la clientèle affichent une progression de 3,5% pour atteindre 753,7 milliards FCFA sur l'année glissante. L'amélioration du PNB est principalement due à la hausse des commissions (+18,9%) et de la marge nette bancaire (+8,5%). Les créances sur la clientèle restent stables à 386,5 milliards FCFA au cours du trimestre.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'753,7 milliards FCFA', 'creances_clientele': '386,5 milliards FCFA', 'resultat_avant_impot': '4,951 milliards FCFA', 'croissance_commissions': '+18,9%', 'croissance_marge_nette_bancaire': '+8,5%'}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4,502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12,329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PNB de 11% à 12,329 milliards FCFA au T1 2026</w:t>
      </w:r>
    </w:p>
    <w:p>
      <w:pPr>
        <w:pStyle w:val="ListBullet"/>
        <w:spacing w:before="20" w:after="20"/>
        <w:ind w:left="700"/>
      </w:pPr>
      <w:r>
        <w:rPr>
          <w:sz w:val="18"/>
        </w:rPr>
        <w:t>Progression des commissions de +18,9% soutenant la performance</w:t>
      </w:r>
    </w:p>
    <w:p>
      <w:pPr>
        <w:pStyle w:val="ListBullet"/>
        <w:spacing w:before="20" w:after="20"/>
        <w:ind w:left="700"/>
      </w:pPr>
      <w:r>
        <w:rPr>
          <w:sz w:val="18"/>
        </w:rPr>
        <w:t>Hausse de la marge nette bancaire de +8,5%</w:t>
      </w:r>
    </w:p>
    <w:p>
      <w:pPr>
        <w:pStyle w:val="ListBullet"/>
        <w:spacing w:before="20" w:after="20"/>
        <w:ind w:left="700"/>
      </w:pPr>
      <w:r>
        <w:rPr>
          <w:sz w:val="18"/>
        </w:rPr>
        <w:t>Dépôts clientèle en progression de 3,5% sur l'année glissante à 753,7 milliards FCFA</w:t>
      </w:r>
    </w:p>
    <w:p>
      <w:pPr>
        <w:pStyle w:val="ListBullet"/>
        <w:spacing w:before="20" w:after="20"/>
        <w:ind w:left="700"/>
      </w:pPr>
      <w:r>
        <w:rPr>
          <w:sz w:val="18"/>
        </w:rPr>
        <w:t>Créances sur la clientèle stables à 386,5 milliards FCFA</w:t>
      </w:r>
    </w:p>
    <w:p>
      <w:pPr>
        <w:pStyle w:val="ListBullet"/>
        <w:spacing w:before="20" w:after="20"/>
        <w:ind w:left="700"/>
      </w:pPr>
      <w:r>
        <w:rPr>
          <w:sz w:val="18"/>
        </w:rPr>
        <w:t>Résultat net en faible progression de +1% à 4,502 milliards FCFA</w:t>
      </w:r>
    </w:p>
    <w:p>
      <w:pPr>
        <w:spacing w:before="40"/>
        <w:ind w:left="400"/>
      </w:pPr>
      <w:r>
        <w:rPr>
          <w:b/>
          <w:color w:val="C05000"/>
          <w:sz w:val="18"/>
        </w:rPr>
        <w:t xml:space="preserve">⚠️ Risques : </w:t>
      </w:r>
      <w:r>
        <w:rPr>
          <w:sz w:val="18"/>
        </w:rPr>
        <w:t>["Pression sur la rentabilit\u00e9 nette malgr\u00e9 la croissance des revenus", "Stagnation des cr\u00e9ances client\u00e8le pouvant limiter le d\u00e9veloppement futur", "Augmentation apparente de la charge fiscale impactant le r\u00e9sultat net"]</w:t>
      </w:r>
    </w:p>
    <w:p>
      <w:pPr>
        <w:spacing w:before="40"/>
        <w:ind w:left="400"/>
      </w:pPr>
      <w:r>
        <w:rPr>
          <w:b/>
          <w:color w:val="0064A0"/>
          <w:sz w:val="18"/>
        </w:rPr>
        <w:t xml:space="preserve">🔮 Perspectives : </w:t>
      </w:r>
      <w:r>
        <w:rPr>
          <w:sz w:val="18"/>
        </w:rPr>
        <w:t>L'évolution positive des commissions et de la marge nette bancaire laisse entrevoir un potentiel d'amélioration des performances. La stabilité des dépôts clients et la croissance du PNB constituent des bases solides pour la suite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"Obligation souveraine ivoirienne offrant un rendement attractif de 5,90% avec la garantie de l'\u00c9tat. Excellent profil risque/rendement pour les investisseurs recherchant des revenus r\u00e9guliers sur 10 ans."}</w:t>
      </w:r>
    </w:p>
    <w:p>
      <w:pPr>
        <w:spacing w:before="40"/>
        <w:ind w:left="400"/>
      </w:pPr>
      <w:r>
        <w:rPr>
          <w:sz w:val="18"/>
        </w:rPr>
        <w:t>Il s'agit d'un avis de la BRVM concernant la première cotation d'un emprunt obligataire émis par le Trésor Public de Côte d'Ivoire (TPCI 5,90% 2021-2031). L'État ivoirien a levé 165 milliards FCFA via l'émission de 16,5 millions d'obligations à 10 000 FCFA l'unité. L'objectif est de financer les investissements publics prévus au budget 2021. La première cotation en bourse aura lieu le 21 décembre 2021 avec le symbole TPCI.O66. Société Générale Capital Securities West Africa assure l'introduction en bourse de cette obligation souveraine.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{'duree': '10 ans', 'taux_coupon': '5,90%', 'prix_emission': '10 000 FCFA', 'cours_reference': '10 000 FCFA', 'montant_emission': '165 000 000 000 FCFA', 'nombre_obligations': '16 500 000'}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Émission obligataire souveraine de l'État de Côte d'Ivoire d'un montant de 165 milliards FCFA</w:t>
      </w:r>
    </w:p>
    <w:p>
      <w:pPr>
        <w:pStyle w:val="ListBullet"/>
        <w:spacing w:before="20" w:after="20"/>
        <w:ind w:left="700"/>
      </w:pPr>
      <w:r>
        <w:rPr>
          <w:sz w:val="18"/>
        </w:rPr>
        <w:t>Taux d'intérêt attractif de 5,90% sur une durée de 10 ans (2021-2031)</w:t>
      </w:r>
    </w:p>
    <w:p>
      <w:pPr>
        <w:pStyle w:val="ListBullet"/>
        <w:spacing w:before="20" w:after="20"/>
        <w:ind w:left="700"/>
      </w:pPr>
      <w:r>
        <w:rPr>
          <w:sz w:val="18"/>
        </w:rPr>
        <w:t>Prix d'émission fixé à 10 000 FCFA par obligation avec 16,5 millions de titres souscrits</w:t>
      </w:r>
    </w:p>
    <w:p>
      <w:pPr>
        <w:pStyle w:val="ListBullet"/>
        <w:spacing w:before="20" w:after="20"/>
        <w:ind w:left="700"/>
      </w:pPr>
      <w:r>
        <w:rPr>
          <w:sz w:val="18"/>
        </w:rPr>
        <w:t>Financement destiné aux investissements publics inscrits au budget 2021</w:t>
      </w:r>
    </w:p>
    <w:p>
      <w:pPr>
        <w:pStyle w:val="ListBullet"/>
        <w:spacing w:before="20" w:after="20"/>
        <w:ind w:left="700"/>
      </w:pPr>
      <w:r>
        <w:rPr>
          <w:sz w:val="18"/>
        </w:rPr>
        <w:t>Date de jouissance fixée au 5 novembre 2021</w:t>
      </w:r>
    </w:p>
    <w:p>
      <w:pPr>
        <w:pStyle w:val="ListBullet"/>
        <w:spacing w:before="20" w:after="20"/>
        <w:ind w:left="700"/>
      </w:pPr>
      <w:r>
        <w:rPr>
          <w:sz w:val="18"/>
        </w:rPr>
        <w:t>Première cotation prévue le 21 décembre 2021 sur le compartiment obligations de la BRVM</w:t>
      </w:r>
    </w:p>
    <w:p>
      <w:pPr>
        <w:spacing w:before="40"/>
        <w:ind w:left="400"/>
      </w:pPr>
      <w:r>
        <w:rPr>
          <w:b/>
          <w:color w:val="C05000"/>
          <w:sz w:val="18"/>
        </w:rPr>
        <w:t xml:space="preserve">⚠️ Risques : </w:t>
      </w:r>
      <w:r>
        <w:rPr>
          <w:sz w:val="18"/>
        </w:rPr>
        <w:t>["Risque souverain li\u00e9 \u00e0 la capacit\u00e9 de remboursement de l'\u00c9tat ivoirien", "Risque de taux d'int\u00e9r\u00eat pouvant affecter la valorisation des obligations", "Risque de liquidit\u00e9 sur le march\u00e9 secondaire des obligations BRVM"]</w:t>
      </w:r>
    </w:p>
    <w:p>
      <w:pPr>
        <w:spacing w:before="40"/>
        <w:ind w:left="400"/>
      </w:pPr>
      <w:r>
        <w:rPr>
          <w:b/>
          <w:color w:val="0064A0"/>
          <w:sz w:val="18"/>
        </w:rPr>
        <w:t xml:space="preserve">🔮 Perspectives : </w:t>
      </w:r>
      <w:r>
        <w:rPr>
          <w:sz w:val="18"/>
        </w:rPr>
        <w:t>Cette émission reflète les besoins de financement des investissements publics ivoiriens et la confiance du marché régional. Le succès de cette levée pourrait encourager de nouvelles émissions obligataires souveraines sur la BRVM pour financer les projets de développement.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r\u00e9sultat net et la ma\u00eetrise des co\u00fbts t\u00e9moignent d'une gestion efficace. Cependant, la baisse du total actif et des cr\u00e9ances sugg\u00e8re une prudence dans l'expansion qui limite le potentiel de croissance \u00e0 court terme."}</w:t>
      </w:r>
    </w:p>
    <w:p>
      <w:pPr>
        <w:spacing w:before="40"/>
        <w:ind w:left="400"/>
      </w:pPr>
      <w:r>
        <w:rPr>
          <w:sz w:val="18"/>
        </w:rPr>
        <w:t>BOA Bénin affiche une performance solide en 2021 avec un résultat net en hausse de 25% à 16,66 milliards FCFA contre 13,31 milliards en 2020. Le total des actifs a diminué de 2% à 884,43 milliards FCFA, reflétant une optimisation du bilan. Le produit net bancaire reste stable à 45,26 milliards FCFA malgré la baisse des charges d'intérêts. La banque maintient une structure financière solide avec des capitaux propres de 97,19 milliards FCFA. Les créances sur la clientèle représentent toujours le principal poste d'actif avec 395,86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'611 263 316 FCFA', 'depots_clientele': '645 871 763 234 FCFA', 'creances_clientele': '395 861 521 329 FCFA', 'charges_exploitation': '21 655 848 586 FCFA', 'produit_net_bancaire': '45 259 365 692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884 426 057 334 FCFA</w:t>
            </w:r>
          </w:p>
        </w:tc>
      </w:tr>
      <w:tr>
        <w:tc>
          <w:tcPr>
            <w:tcW w:type="dxa" w:w="2160"/>
          </w:tcPr>
          <w:p>
            <w:r/>
            <w:r>
              <w:rPr>
                <w:b/>
                <w:sz w:val="16"/>
              </w:rPr>
              <w:t>resultat_net</w:t>
              <w:br/>
            </w:r>
            <w:r>
              <w:rPr>
                <w:sz w:val="18"/>
              </w:rPr>
              <w:t>16 663 938 680 FCFA</w:t>
            </w:r>
          </w:p>
        </w:tc>
        <w:tc>
          <w:tcPr>
            <w:tcW w:type="dxa" w:w="2160"/>
          </w:tcPr>
          <w:p>
            <w:r/>
            <w:r>
              <w:rPr>
                <w:b/>
                <w:sz w:val="16"/>
              </w:rPr>
              <w:t>capitaux_propres</w:t>
              <w:br/>
            </w:r>
            <w:r>
              <w:rPr>
                <w:sz w:val="18"/>
              </w:rPr>
              <w:t>97 192 147 880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croissance de +25% à 16,66 milliards FCFA</w:t>
      </w:r>
    </w:p>
    <w:p>
      <w:pPr>
        <w:pStyle w:val="ListBullet"/>
        <w:spacing w:before="20" w:after="20"/>
        <w:ind w:left="700"/>
      </w:pPr>
      <w:r>
        <w:rPr>
          <w:sz w:val="18"/>
        </w:rPr>
        <w:t>Produit net bancaire stable à 45,26 milliards FCFA</w:t>
      </w:r>
    </w:p>
    <w:p>
      <w:pPr>
        <w:pStyle w:val="ListBullet"/>
        <w:spacing w:before="20" w:after="20"/>
        <w:ind w:left="700"/>
      </w:pPr>
      <w:r>
        <w:rPr>
          <w:sz w:val="18"/>
        </w:rPr>
        <w:t>Diminution des charges d'exploitation de 2% à 21,66 milliards FCFA</w:t>
      </w:r>
    </w:p>
    <w:p>
      <w:pPr>
        <w:pStyle w:val="ListBullet"/>
        <w:spacing w:before="20" w:after="20"/>
        <w:ind w:left="700"/>
      </w:pPr>
      <w:r>
        <w:rPr>
          <w:sz w:val="18"/>
        </w:rPr>
        <w:t>Réduction significative du coût du risque de 5,49 à 0,61 milliard FCFA</w:t>
      </w:r>
    </w:p>
    <w:p>
      <w:pPr>
        <w:pStyle w:val="ListBullet"/>
        <w:spacing w:before="20" w:after="20"/>
        <w:ind w:left="700"/>
      </w:pPr>
      <w:r>
        <w:rPr>
          <w:sz w:val="18"/>
        </w:rPr>
        <w:t>Baisse des créances sur la clientèle de 2% à 395,86 milliards FCFA</w:t>
      </w:r>
    </w:p>
    <w:p>
      <w:pPr>
        <w:pStyle w:val="ListBullet"/>
        <w:spacing w:before="20" w:after="20"/>
        <w:ind w:left="700"/>
      </w:pPr>
      <w:r>
        <w:rPr>
          <w:sz w:val="18"/>
        </w:rPr>
        <w:t>Augmentation des capitaux propres et ressources assimilées à 97,19 milliards FCFA</w:t>
      </w:r>
    </w:p>
    <w:p>
      <w:pPr>
        <w:spacing w:before="40"/>
        <w:ind w:left="400"/>
      </w:pPr>
      <w:r>
        <w:rPr>
          <w:b/>
          <w:color w:val="C05000"/>
          <w:sz w:val="18"/>
        </w:rPr>
        <w:t xml:space="preserve">⚠️ Risques : </w:t>
      </w:r>
      <w:r>
        <w:rPr>
          <w:sz w:val="18"/>
        </w:rPr>
        <w:t>["Contraction de l'activit\u00e9 de cr\u00e9dit avec une baisse des cr\u00e9ances clients", "R\u00e9duction de la taille du bilan pouvant limiter les opportunit\u00e9s de croissance", "Exposition aux risques souverains et \u00e9conomiques du march\u00e9 b\u00e9ninois"]</w:t>
      </w:r>
    </w:p>
    <w:p>
      <w:pPr>
        <w:spacing w:before="40"/>
        <w:ind w:left="400"/>
      </w:pPr>
      <w:r>
        <w:rPr>
          <w:b/>
          <w:color w:val="0064A0"/>
          <w:sz w:val="18"/>
        </w:rPr>
        <w:t xml:space="preserve">🔮 Perspectives : </w:t>
      </w:r>
      <w:r>
        <w:rPr>
          <w:sz w:val="18"/>
        </w:rPr>
        <w:t>BOA Bénin devrait continuer à bénéficier de sa gestion prudente et efficace des coûts, mais la croissance pourrait être limitée par la stratégie de contraction du bilan. L'amélioration significative du coût du risque offre une marge de manœuvre pour un redéploiement éventuel des activités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conventions intragroupes semblent \u00e9quilibr\u00e9es et conformes \u00e0 la r\u00e9glementation. Le ratio d'encours aux personnes li\u00e9es reste bien en dessous du seuil r\u00e9glementaire de 20%."}</w:t>
      </w:r>
    </w:p>
    <w:p>
      <w:pPr>
        <w:spacing w:before="40"/>
        <w:ind w:left="400"/>
      </w:pPr>
      <w:r>
        <w:rPr>
          <w:sz w:val="18"/>
        </w:rPr>
        <w:t xml:space="preserve">Ce document présente le rapport spécial des commissaires aux comptes de Bank of Africa Benin sur les conventions réglementées pour l'exercice clos le 31 décembre 2021. Il détaille trois conventions principales : une convention d'assistance technique avec BOA Services, une convention de prestation de services avec AISSA, et une convention de garantie avec BOA Group. L'encours total des prêts consentis aux personnes liées s'élève à 8,164 milliards FCFA au 31 décembre 2021. Les conventions visent principalement l'assistance technique, la maintenance informatique et les garanties intragroupes. Le rapport confirme la conformité des procédures avec les exigences réglementaires de l'OHADA et de la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{'garantie_BOA_Group': '20,6 milliards FCFA', 'frais_maintenance_AISSA': '276,6 millions FCFA', 'ratio_encours_fonds_propres': '11,28%', 'charges_assistance_technique': '1,330 milliards FCFA', 'encours_prets_personnes_liees': '8,164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Aucune nouvelle convention soumise à approbation de l'assemblée générale en 2021</w:t>
      </w:r>
    </w:p>
    <w:p>
      <w:pPr>
        <w:pStyle w:val="ListBullet"/>
        <w:spacing w:before="20" w:after="20"/>
        <w:ind w:left="700"/>
      </w:pPr>
      <w:r>
        <w:rPr>
          <w:sz w:val="18"/>
        </w:rPr>
        <w:t>Convention d'assistance technique BOA Services génère 1,330 milliards FCFA de charges pour BOA BENIN</w:t>
      </w:r>
    </w:p>
    <w:p>
      <w:pPr>
        <w:pStyle w:val="ListBullet"/>
        <w:spacing w:before="20" w:after="20"/>
        <w:ind w:left="700"/>
      </w:pPr>
      <w:r>
        <w:rPr>
          <w:sz w:val="18"/>
        </w:rPr>
        <w:t>Frais de maintenance AISSA de 276,6 millions FCFA supportés par BOA BENIN en 2021</w:t>
      </w:r>
    </w:p>
    <w:p>
      <w:pPr>
        <w:pStyle w:val="ListBullet"/>
        <w:spacing w:before="20" w:after="20"/>
        <w:ind w:left="700"/>
      </w:pPr>
      <w:r>
        <w:rPr>
          <w:sz w:val="18"/>
        </w:rPr>
        <w:t>Convention de garantie BOA Group pour 20,6 milliards FCFA sur titres BOA KENYA</w:t>
      </w:r>
    </w:p>
    <w:p>
      <w:pPr>
        <w:pStyle w:val="ListBullet"/>
        <w:spacing w:before="20" w:after="20"/>
        <w:ind w:left="700"/>
      </w:pPr>
      <w:r>
        <w:rPr>
          <w:sz w:val="18"/>
        </w:rPr>
        <w:t>Encours total des prêts aux personnes liées de 8,164 milliards FCFA</w:t>
      </w:r>
    </w:p>
    <w:p>
      <w:pPr>
        <w:pStyle w:val="ListBullet"/>
        <w:spacing w:before="20" w:after="20"/>
        <w:ind w:left="700"/>
      </w:pPr>
      <w:r>
        <w:rPr>
          <w:sz w:val="18"/>
        </w:rPr>
        <w:t>Représente 11,28% des fonds propres effectifs contre norme maximum de 20%</w:t>
      </w:r>
    </w:p>
    <w:p>
      <w:pPr>
        <w:spacing w:before="40"/>
        <w:ind w:left="400"/>
      </w:pPr>
      <w:r>
        <w:rPr>
          <w:b/>
          <w:color w:val="C05000"/>
          <w:sz w:val="18"/>
        </w:rPr>
        <w:t xml:space="preserve">⚠️ Risques : </w:t>
      </w:r>
      <w:r>
        <w:rPr>
          <w:sz w:val="18"/>
        </w:rPr>
        <w:t>["Concentration des risques avec les entit\u00e9s du groupe BOA", "D\u00e9pendance aux services techniques et informatiques externes du groupe", "Exposition via la garantie sur les titres BOA KENYA"]</w:t>
      </w:r>
    </w:p>
    <w:p>
      <w:pPr>
        <w:spacing w:before="40"/>
        <w:ind w:left="400"/>
      </w:pPr>
      <w:r>
        <w:rPr>
          <w:b/>
          <w:color w:val="0064A0"/>
          <w:sz w:val="18"/>
        </w:rPr>
        <w:t xml:space="preserve">🔮 Perspectives : </w:t>
      </w:r>
      <w:r>
        <w:rPr>
          <w:sz w:val="18"/>
        </w:rPr>
        <w:t>Les conventions intragroupes devraient se poursuivre dans un cadre réglementaire maîtrisé. La banque devra continuer à surveiller le respect des ratios prudentiels sur les engagements envers les personnes liées.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rentabilit\u00e9 en am\u00e9lioration avec une marge nette \u00e9lev\u00e9e de 36,8%. Cependant, l'exposition aux risques g\u00e9opolitiques au Mali et Burkina Faso n\u00e9cessite une surveillance accrue."}</w:t>
      </w:r>
    </w:p>
    <w:p>
      <w:pPr>
        <w:spacing w:before="40"/>
        <w:ind w:left="400"/>
      </w:pPr>
      <w:r>
        <w:rPr>
          <w:sz w:val="18"/>
        </w:rPr>
        <w:t>Bank of Africa Bénin présente des résultats solides pour l'exercice 2021 avec un résultat net de 16,66 milliards de FCFA contre 13,31 milliards en 2020, soit une hausse de 25,2%. Le produit net bancaire s'établit à 45,26 milliards de FCFA, restant stable par rapport à 2020. Le total du bilan atteint 884,43 milliards de FCFA contre 902,79 milliards en 2020, marquant une légère contraction. Les créances sur la clientèle représentent 395,86 milliards de FCFA avec un taux de provisionnement élevé de 82% sur les créances en souffrance. La banque fait face à des défis liés à la crise socio-politique au Mali et au Burkina Faso qui impactent ses expositions.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'4,41 milliards de FCFA', 'capital_souscrit': '20,28 milliards de FCFA', 'creances_clientele': '395,86 milliards de FCFA', 'portefeuille_titres': '348,74 milliards de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36,8%</w:t>
            </w:r>
          </w:p>
        </w:tc>
        <w:tc>
          <w:tcPr>
            <w:tcW w:type="dxa" w:w="2160"/>
          </w:tcPr>
          <w:p>
            <w:pPr>
              <w:ind w:left="100"/>
            </w:pPr>
            <w:r/>
            <w:r>
              <w:rPr>
                <w:b/>
                <w:sz w:val="16"/>
              </w:rPr>
              <w:t>total_actif</w:t>
              <w:br/>
            </w:r>
            <w:r>
              <w:rPr>
                <w:sz w:val="18"/>
              </w:rPr>
              <w:t>884,43 milliards de FCFA</w:t>
            </w:r>
          </w:p>
        </w:tc>
      </w:tr>
      <w:tr>
        <w:tc>
          <w:tcPr>
            <w:tcW w:type="dxa" w:w="2160"/>
          </w:tcPr>
          <w:p>
            <w:r/>
            <w:r>
              <w:rPr>
                <w:b/>
                <w:sz w:val="16"/>
              </w:rPr>
              <w:t>resultat_net</w:t>
              <w:br/>
            </w:r>
            <w:r>
              <w:rPr>
                <w:sz w:val="18"/>
              </w:rPr>
              <w:t>16,66 milliards de FCFA</w:t>
            </w:r>
          </w:p>
        </w:tc>
        <w:tc>
          <w:tcPr>
            <w:tcW w:type="dxa" w:w="2160"/>
          </w:tcPr>
          <w:p>
            <w:r/>
            <w:r>
              <w:rPr>
                <w:b/>
                <w:sz w:val="16"/>
              </w:rPr>
              <w:t>capitaux_propres</w:t>
              <w:br/>
            </w:r>
            <w:r>
              <w:rPr>
                <w:sz w:val="18"/>
              </w:rPr>
              <w:t>97,19 milliards de FCFA</w:t>
            </w:r>
          </w:p>
        </w:tc>
        <w:tc>
          <w:tcPr>
            <w:tcW w:type="dxa" w:w="2160"/>
          </w:tcPr>
          <w:p>
            <w:r/>
            <w:r>
              <w:rPr>
                <w:b/>
                <w:sz w:val="16"/>
              </w:rPr>
              <w:t>chiffre_affaires</w:t>
              <w:br/>
            </w:r>
            <w:r>
              <w:rPr>
                <w:sz w:val="18"/>
              </w:rPr>
              <w:t>45,26 milliards de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25,2% à 16,66 milliards de FCFA en 2021</w:t>
      </w:r>
    </w:p>
    <w:p>
      <w:pPr>
        <w:pStyle w:val="ListBullet"/>
        <w:spacing w:before="20" w:after="20"/>
        <w:ind w:left="700"/>
      </w:pPr>
      <w:r>
        <w:rPr>
          <w:sz w:val="18"/>
        </w:rPr>
        <w:t>Stabilité du produit net bancaire à 45,26 milliards de FCFA</w:t>
      </w:r>
    </w:p>
    <w:p>
      <w:pPr>
        <w:pStyle w:val="ListBullet"/>
        <w:spacing w:before="20" w:after="20"/>
        <w:ind w:left="700"/>
      </w:pPr>
      <w:r>
        <w:rPr>
          <w:sz w:val="18"/>
        </w:rPr>
        <w:t>Contraction du total bilan de 2% à 884,43 milliards de FCFA</w:t>
      </w:r>
    </w:p>
    <w:p>
      <w:pPr>
        <w:pStyle w:val="ListBullet"/>
        <w:spacing w:before="20" w:after="20"/>
        <w:ind w:left="700"/>
      </w:pPr>
      <w:r>
        <w:rPr>
          <w:sz w:val="18"/>
        </w:rPr>
        <w:t>Créances sur clientèle de 395,86 milliards de FCFA représentant 45% du bilan</w:t>
      </w:r>
    </w:p>
    <w:p>
      <w:pPr>
        <w:pStyle w:val="ListBullet"/>
        <w:spacing w:before="20" w:after="20"/>
        <w:ind w:left="700"/>
      </w:pPr>
      <w:r>
        <w:rPr>
          <w:sz w:val="18"/>
        </w:rPr>
        <w:t>Provisionnement important sur créances douteuses avec 71,23 milliards de FCFA de créances en souffrance</w:t>
      </w:r>
    </w:p>
    <w:p>
      <w:pPr>
        <w:pStyle w:val="ListBullet"/>
        <w:spacing w:before="20" w:after="20"/>
        <w:ind w:left="700"/>
      </w:pPr>
      <w:r>
        <w:rPr>
          <w:sz w:val="18"/>
        </w:rPr>
        <w:t>Exposition aux risques pays Mali (25,03 milliards) et Burkina Faso (76,25 milliards)</w:t>
      </w:r>
    </w:p>
    <w:p>
      <w:pPr>
        <w:spacing w:before="40"/>
        <w:ind w:left="400"/>
      </w:pPr>
      <w:r>
        <w:rPr>
          <w:b/>
          <w:color w:val="C05000"/>
          <w:sz w:val="18"/>
        </w:rPr>
        <w:t xml:space="preserve">⚠️ Risques : </w:t>
      </w:r>
      <w:r>
        <w:rPr>
          <w:sz w:val="18"/>
        </w:rPr>
        <w:t>["Exposition significative aux crises socio-politiques au Mali et Burkina Faso", "Niveau \u00e9lev\u00e9 des cr\u00e9ances en souffrance (71,23 milliards de FCFA)", "Retard dans l'adoption compl\u00e8te des normes IFRS"]</w:t>
      </w:r>
    </w:p>
    <w:p>
      <w:pPr>
        <w:spacing w:before="40"/>
        <w:ind w:left="400"/>
      </w:pPr>
      <w:r>
        <w:rPr>
          <w:b/>
          <w:color w:val="0064A0"/>
          <w:sz w:val="18"/>
        </w:rPr>
        <w:t xml:space="preserve">🔮 Perspectives : </w:t>
      </w:r>
      <w:r>
        <w:rPr>
          <w:sz w:val="18"/>
        </w:rPr>
        <w:t>La banque devra gérer prudemment ses expositions dans les pays en crise tout en maintenant sa rentabilité. L'impact de la situation géopolitique régionale sur la qualité du portefeuille de crédit sera déterminant pour les performances futures.</w:t>
      </w:r>
    </w:p>
    <w:p/>
    <w:p>
      <w:r>
        <w:t>════════════════════════════════════════════════════════════════════════════════</w:t>
      </w:r>
    </w:p>
    <w:p>
      <w:r>
        <w:br w:type="page"/>
      </w:r>
    </w:p>
    <w:p>
      <w:pPr>
        <w:pStyle w:val="Heading2"/>
        <w:spacing w:before="360"/>
      </w:pPr>
      <w:r>
        <w:rPr>
          <w:color w:val="0066CC"/>
        </w:rPr>
        <w:t>6. BOABF - BANK OF AFRICA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BOABF</w:t>
            </w:r>
          </w:p>
          <w:p>
            <w:r>
              <w:rPr>
                <w:b/>
                <w:color w:val="323250"/>
                <w:sz w:val="16"/>
              </w:rPr>
              <w:t xml:space="preserve">Société : </w:t>
            </w:r>
            <w:r>
              <w:rPr>
                <w:color w:val="000000"/>
                <w:sz w:val="16"/>
              </w:rPr>
              <w:t>BANK OF AFRICA BURKINA FASO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399.96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6,247 titres</w:t>
            </w:r>
          </w:p>
        </w:tc>
        <w:tc>
          <w:tcPr>
            <w:tcW w:type="dxa" w:w="2268"/>
            <w:shd w:fill="FFF2CC" w:val="clear"/>
          </w:tcPr>
          <w:p>
            <w:r>
              <w:rPr>
                <w:b/>
                <w:color w:val="503200"/>
                <w:sz w:val="16"/>
              </w:rPr>
              <w:t xml:space="preserve">Cours actuel : </w:t>
            </w:r>
            <w:r>
              <w:rPr>
                <w:color w:val="000000"/>
                <w:sz w:val="17"/>
              </w:rPr>
              <w:t>9,090 FCFA</w:t>
            </w:r>
          </w:p>
          <w:p>
            <w:r>
              <w:rPr>
                <w:b/>
                <w:color w:val="503200"/>
                <w:sz w:val="16"/>
              </w:rPr>
              <w:t xml:space="preserve">Var. 100 jours : </w:t>
            </w:r>
            <w:r>
              <w:rPr>
                <w:b/>
                <w:color w:val="007800"/>
                <w:sz w:val="17"/>
              </w:rPr>
              <w:t>+63.78%</w:t>
            </w:r>
          </w:p>
          <w:p>
            <w:r>
              <w:rPr>
                <w:b/>
                <w:color w:val="503200"/>
                <w:sz w:val="16"/>
              </w:rPr>
              <w:t xml:space="preserve">Plus haut 100j : </w:t>
            </w:r>
            <w:r>
              <w:rPr>
                <w:color w:val="000000"/>
                <w:sz w:val="17"/>
              </w:rPr>
              <w:t>9,090 FCFA</w:t>
            </w:r>
          </w:p>
          <w:p>
            <w:r>
              <w:rPr>
                <w:b/>
                <w:color w:val="503200"/>
                <w:sz w:val="16"/>
              </w:rPr>
              <w:t xml:space="preserve">Plus bas 100j : </w:t>
            </w:r>
            <w:r>
              <w:rPr>
                <w:color w:val="000000"/>
                <w:sz w:val="17"/>
              </w:rPr>
              <w:t>5,235 FCFA</w:t>
            </w:r>
          </w:p>
          <w:p>
            <w:r>
              <w:rPr>
                <w:b/>
                <w:color w:val="503200"/>
                <w:sz w:val="16"/>
              </w:rPr>
              <w:t xml:space="preserve">Volatilité ann. : </w:t>
            </w:r>
            <w:r>
              <w:rPr>
                <w:color w:val="000000"/>
                <w:sz w:val="17"/>
              </w:rPr>
              <w:t>33.1%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13.90% (Moyenne) — μ=6,117 FCFA, σ=850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β=0.0044 (Défensif) — Cov=0.000000, Var(idx)=0.000035, ρ=0.001,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6,247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σ_j=2.08%/j (Stable) — Vol. annualisée≈33.1%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8" name="Picture 8"/>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2026-08-28</w:t>
            </w:r>
          </w:p>
        </w:tc>
        <w:tc>
          <w:tcPr>
            <w:tcW w:type="dxa" w:w="1440"/>
            <w:shd w:fill="FFDCE0" w:val="clear"/>
          </w:tcPr>
          <w:p>
            <w:r>
              <w:rPr>
                <w:sz w:val="17"/>
              </w:rPr>
              <w:t>8,118</w:t>
            </w:r>
          </w:p>
        </w:tc>
        <w:tc>
          <w:tcPr>
            <w:tcW w:type="dxa" w:w="1440"/>
            <w:shd w:fill="FFDCE0" w:val="clear"/>
          </w:tcPr>
          <w:p>
            <w:r>
              <w:rPr>
                <w:b/>
                <w:sz w:val="17"/>
              </w:rPr>
              <w:t>8,525</w:t>
            </w:r>
          </w:p>
        </w:tc>
        <w:tc>
          <w:tcPr>
            <w:tcW w:type="dxa" w:w="1440"/>
            <w:shd w:fill="FFDCE0" w:val="clear"/>
          </w:tcPr>
          <w:p>
            <w:r>
              <w:rPr>
                <w:sz w:val="17"/>
              </w:rPr>
              <w:t>8,931</w:t>
            </w:r>
          </w:p>
        </w:tc>
        <w:tc>
          <w:tcPr>
            <w:tcW w:type="dxa" w:w="1440"/>
            <w:shd w:fill="FFDCE0" w:val="clear"/>
          </w:tcPr>
          <w:p>
            <w:r>
              <w:rPr>
                <w:b/>
                <w:color w:val="C00000"/>
                <w:sz w:val="17"/>
              </w:rPr>
              <w:t>-6.2%</w:t>
            </w:r>
          </w:p>
        </w:tc>
      </w:tr>
      <w:tr>
        <w:tc>
          <w:tcPr>
            <w:tcW w:type="dxa" w:w="1440"/>
            <w:shd w:fill="FFDCE0" w:val="clear"/>
          </w:tcPr>
          <w:p>
            <w:r>
              <w:rPr>
                <w:sz w:val="17"/>
              </w:rPr>
              <w:t>J+2  Moyenne</w:t>
            </w:r>
          </w:p>
        </w:tc>
        <w:tc>
          <w:tcPr>
            <w:tcW w:type="dxa" w:w="1440"/>
            <w:shd w:fill="FFDCE0" w:val="clear"/>
          </w:tcPr>
          <w:p>
            <w:r>
              <w:rPr>
                <w:sz w:val="17"/>
              </w:rPr>
              <w:t>2026-08-31</w:t>
            </w:r>
          </w:p>
        </w:tc>
        <w:tc>
          <w:tcPr>
            <w:tcW w:type="dxa" w:w="1440"/>
            <w:shd w:fill="FFDCE0" w:val="clear"/>
          </w:tcPr>
          <w:p>
            <w:r>
              <w:rPr>
                <w:sz w:val="17"/>
              </w:rPr>
              <w:t>7,573</w:t>
            </w:r>
          </w:p>
        </w:tc>
        <w:tc>
          <w:tcPr>
            <w:tcW w:type="dxa" w:w="1440"/>
            <w:shd w:fill="FFDCE0" w:val="clear"/>
          </w:tcPr>
          <w:p>
            <w:r>
              <w:rPr>
                <w:b/>
                <w:sz w:val="17"/>
              </w:rPr>
              <w:t>8,121</w:t>
            </w:r>
          </w:p>
        </w:tc>
        <w:tc>
          <w:tcPr>
            <w:tcW w:type="dxa" w:w="1440"/>
            <w:shd w:fill="FFDCE0" w:val="clear"/>
          </w:tcPr>
          <w:p>
            <w:r>
              <w:rPr>
                <w:sz w:val="17"/>
              </w:rPr>
              <w:t>8,668</w:t>
            </w:r>
          </w:p>
        </w:tc>
        <w:tc>
          <w:tcPr>
            <w:tcW w:type="dxa" w:w="1440"/>
            <w:shd w:fill="FFDCE0" w:val="clear"/>
          </w:tcPr>
          <w:p>
            <w:r>
              <w:rPr>
                <w:b/>
                <w:color w:val="C00000"/>
                <w:sz w:val="17"/>
              </w:rPr>
              <w:t>-10.7%</w:t>
            </w:r>
          </w:p>
        </w:tc>
      </w:tr>
      <w:tr>
        <w:tc>
          <w:tcPr>
            <w:tcW w:type="dxa" w:w="1440"/>
            <w:shd w:fill="FFDCE0" w:val="clear"/>
          </w:tcPr>
          <w:p>
            <w:r>
              <w:rPr>
                <w:sz w:val="17"/>
              </w:rPr>
              <w:t>J+3  Moyenne</w:t>
            </w:r>
          </w:p>
        </w:tc>
        <w:tc>
          <w:tcPr>
            <w:tcW w:type="dxa" w:w="1440"/>
            <w:shd w:fill="FFDCE0" w:val="clear"/>
          </w:tcPr>
          <w:p>
            <w:r>
              <w:rPr>
                <w:sz w:val="17"/>
              </w:rPr>
              <w:t>2026-09-01</w:t>
            </w:r>
          </w:p>
        </w:tc>
        <w:tc>
          <w:tcPr>
            <w:tcW w:type="dxa" w:w="1440"/>
            <w:shd w:fill="FFDCE0" w:val="clear"/>
          </w:tcPr>
          <w:p>
            <w:r>
              <w:rPr>
                <w:sz w:val="17"/>
              </w:rPr>
              <w:t>7,193</w:t>
            </w:r>
          </w:p>
        </w:tc>
        <w:tc>
          <w:tcPr>
            <w:tcW w:type="dxa" w:w="1440"/>
            <w:shd w:fill="FFDCE0" w:val="clear"/>
          </w:tcPr>
          <w:p>
            <w:r>
              <w:rPr>
                <w:b/>
                <w:sz w:val="17"/>
              </w:rPr>
              <w:t>7,841</w:t>
            </w:r>
          </w:p>
        </w:tc>
        <w:tc>
          <w:tcPr>
            <w:tcW w:type="dxa" w:w="1440"/>
            <w:shd w:fill="FFDCE0" w:val="clear"/>
          </w:tcPr>
          <w:p>
            <w:r>
              <w:rPr>
                <w:sz w:val="17"/>
              </w:rPr>
              <w:t>8,489</w:t>
            </w:r>
          </w:p>
        </w:tc>
        <w:tc>
          <w:tcPr>
            <w:tcW w:type="dxa" w:w="1440"/>
            <w:shd w:fill="FFDCE0" w:val="clear"/>
          </w:tcPr>
          <w:p>
            <w:r>
              <w:rPr>
                <w:b/>
                <w:color w:val="C00000"/>
                <w:sz w:val="17"/>
              </w:rPr>
              <w:t>-13.7%</w:t>
            </w:r>
          </w:p>
        </w:tc>
      </w:tr>
      <w:tr>
        <w:tc>
          <w:tcPr>
            <w:tcW w:type="dxa" w:w="1440"/>
            <w:shd w:fill="FFDCE0" w:val="clear"/>
          </w:tcPr>
          <w:p>
            <w:r>
              <w:rPr>
                <w:sz w:val="17"/>
              </w:rPr>
              <w:t>J+4  ⭐</w:t>
            </w:r>
          </w:p>
        </w:tc>
        <w:tc>
          <w:tcPr>
            <w:tcW w:type="dxa" w:w="1440"/>
            <w:shd w:fill="FFDCE0" w:val="clear"/>
          </w:tcPr>
          <w:p>
            <w:r>
              <w:rPr>
                <w:sz w:val="17"/>
              </w:rPr>
              <w:t>2026-09-02</w:t>
            </w:r>
          </w:p>
        </w:tc>
        <w:tc>
          <w:tcPr>
            <w:tcW w:type="dxa" w:w="1440"/>
            <w:shd w:fill="FFDCE0" w:val="clear"/>
          </w:tcPr>
          <w:p>
            <w:r>
              <w:rPr>
                <w:sz w:val="17"/>
              </w:rPr>
              <w:t>6,944</w:t>
            </w:r>
          </w:p>
        </w:tc>
        <w:tc>
          <w:tcPr>
            <w:tcW w:type="dxa" w:w="1440"/>
            <w:shd w:fill="FFDCE0" w:val="clear"/>
          </w:tcPr>
          <w:p>
            <w:r>
              <w:rPr>
                <w:b/>
                <w:sz w:val="17"/>
              </w:rPr>
              <w:t>7,676</w:t>
            </w:r>
          </w:p>
        </w:tc>
        <w:tc>
          <w:tcPr>
            <w:tcW w:type="dxa" w:w="1440"/>
            <w:shd w:fill="FFDCE0" w:val="clear"/>
          </w:tcPr>
          <w:p>
            <w:r>
              <w:rPr>
                <w:sz w:val="17"/>
              </w:rPr>
              <w:t>8,408</w:t>
            </w:r>
          </w:p>
        </w:tc>
        <w:tc>
          <w:tcPr>
            <w:tcW w:type="dxa" w:w="1440"/>
            <w:shd w:fill="FFDCE0" w:val="clear"/>
          </w:tcPr>
          <w:p>
            <w:r>
              <w:rPr>
                <w:b/>
                <w:color w:val="C00000"/>
                <w:sz w:val="17"/>
              </w:rPr>
              <w:t>-15.6%</w:t>
            </w:r>
          </w:p>
        </w:tc>
      </w:tr>
      <w:tr>
        <w:tc>
          <w:tcPr>
            <w:tcW w:type="dxa" w:w="1440"/>
            <w:shd w:fill="FFDCE0" w:val="clear"/>
          </w:tcPr>
          <w:p>
            <w:r>
              <w:rPr>
                <w:sz w:val="17"/>
              </w:rPr>
              <w:t>J+5  ⭐</w:t>
            </w:r>
          </w:p>
        </w:tc>
        <w:tc>
          <w:tcPr>
            <w:tcW w:type="dxa" w:w="1440"/>
            <w:shd w:fill="FFDCE0" w:val="clear"/>
          </w:tcPr>
          <w:p>
            <w:r>
              <w:rPr>
                <w:sz w:val="17"/>
              </w:rPr>
              <w:t>2026-09-03</w:t>
            </w:r>
          </w:p>
        </w:tc>
        <w:tc>
          <w:tcPr>
            <w:tcW w:type="dxa" w:w="1440"/>
            <w:shd w:fill="FFDCE0" w:val="clear"/>
          </w:tcPr>
          <w:p>
            <w:r>
              <w:rPr>
                <w:sz w:val="17"/>
              </w:rPr>
              <w:t>6,758</w:t>
            </w:r>
          </w:p>
        </w:tc>
        <w:tc>
          <w:tcPr>
            <w:tcW w:type="dxa" w:w="1440"/>
            <w:shd w:fill="FFDCE0" w:val="clear"/>
          </w:tcPr>
          <w:p>
            <w:r>
              <w:rPr>
                <w:b/>
                <w:sz w:val="17"/>
              </w:rPr>
              <w:t>7,565</w:t>
            </w:r>
          </w:p>
        </w:tc>
        <w:tc>
          <w:tcPr>
            <w:tcW w:type="dxa" w:w="1440"/>
            <w:shd w:fill="FFDCE0" w:val="clear"/>
          </w:tcPr>
          <w:p>
            <w:r>
              <w:rPr>
                <w:sz w:val="17"/>
              </w:rPr>
              <w:t>8,372</w:t>
            </w:r>
          </w:p>
        </w:tc>
        <w:tc>
          <w:tcPr>
            <w:tcW w:type="dxa" w:w="1440"/>
            <w:shd w:fill="FFDCE0" w:val="clear"/>
          </w:tcPr>
          <w:p>
            <w:r>
              <w:rPr>
                <w:b/>
                <w:color w:val="C00000"/>
                <w:sz w:val="17"/>
              </w:rPr>
              <w:t>-16.8%</w:t>
            </w:r>
          </w:p>
        </w:tc>
      </w:tr>
      <w:tr>
        <w:tc>
          <w:tcPr>
            <w:tcW w:type="dxa" w:w="1440"/>
            <w:shd w:fill="FFDCE0" w:val="clear"/>
          </w:tcPr>
          <w:p>
            <w:r>
              <w:rPr>
                <w:sz w:val="17"/>
              </w:rPr>
              <w:t>J+6  ⭐</w:t>
            </w:r>
          </w:p>
        </w:tc>
        <w:tc>
          <w:tcPr>
            <w:tcW w:type="dxa" w:w="1440"/>
            <w:shd w:fill="FFDCE0" w:val="clear"/>
          </w:tcPr>
          <w:p>
            <w:r>
              <w:rPr>
                <w:sz w:val="17"/>
              </w:rPr>
              <w:t>2026-09-04</w:t>
            </w:r>
          </w:p>
        </w:tc>
        <w:tc>
          <w:tcPr>
            <w:tcW w:type="dxa" w:w="1440"/>
            <w:shd w:fill="FFDCE0" w:val="clear"/>
          </w:tcPr>
          <w:p>
            <w:r>
              <w:rPr>
                <w:sz w:val="17"/>
              </w:rPr>
              <w:t>6,602</w:t>
            </w:r>
          </w:p>
        </w:tc>
        <w:tc>
          <w:tcPr>
            <w:tcW w:type="dxa" w:w="1440"/>
            <w:shd w:fill="FFDCE0" w:val="clear"/>
          </w:tcPr>
          <w:p>
            <w:r>
              <w:rPr>
                <w:b/>
                <w:sz w:val="17"/>
              </w:rPr>
              <w:t>7,475</w:t>
            </w:r>
          </w:p>
        </w:tc>
        <w:tc>
          <w:tcPr>
            <w:tcW w:type="dxa" w:w="1440"/>
            <w:shd w:fill="FFDCE0" w:val="clear"/>
          </w:tcPr>
          <w:p>
            <w:r>
              <w:rPr>
                <w:sz w:val="17"/>
              </w:rPr>
              <w:t>8,348</w:t>
            </w:r>
          </w:p>
        </w:tc>
        <w:tc>
          <w:tcPr>
            <w:tcW w:type="dxa" w:w="1440"/>
            <w:shd w:fill="FFDCE0" w:val="clear"/>
          </w:tcPr>
          <w:p>
            <w:r>
              <w:rPr>
                <w:b/>
                <w:color w:val="C00000"/>
                <w:sz w:val="17"/>
              </w:rPr>
              <w:t>-17.8%</w:t>
            </w:r>
          </w:p>
        </w:tc>
      </w:tr>
      <w:tr>
        <w:tc>
          <w:tcPr>
            <w:tcW w:type="dxa" w:w="1440"/>
            <w:shd w:fill="FFDCE0" w:val="clear"/>
          </w:tcPr>
          <w:p>
            <w:r>
              <w:rPr>
                <w:sz w:val="17"/>
              </w:rPr>
              <w:t>J+7  ⭐</w:t>
            </w:r>
          </w:p>
        </w:tc>
        <w:tc>
          <w:tcPr>
            <w:tcW w:type="dxa" w:w="1440"/>
            <w:shd w:fill="FFDCE0" w:val="clear"/>
          </w:tcPr>
          <w:p>
            <w:r>
              <w:rPr>
                <w:sz w:val="17"/>
              </w:rPr>
              <w:t>2026-09-07</w:t>
            </w:r>
          </w:p>
        </w:tc>
        <w:tc>
          <w:tcPr>
            <w:tcW w:type="dxa" w:w="1440"/>
            <w:shd w:fill="FFDCE0" w:val="clear"/>
          </w:tcPr>
          <w:p>
            <w:r>
              <w:rPr>
                <w:sz w:val="17"/>
              </w:rPr>
              <w:t>6,461</w:t>
            </w:r>
          </w:p>
        </w:tc>
        <w:tc>
          <w:tcPr>
            <w:tcW w:type="dxa" w:w="1440"/>
            <w:shd w:fill="FFDCE0" w:val="clear"/>
          </w:tcPr>
          <w:p>
            <w:r>
              <w:rPr>
                <w:b/>
                <w:sz w:val="17"/>
              </w:rPr>
              <w:t>7,394</w:t>
            </w:r>
          </w:p>
        </w:tc>
        <w:tc>
          <w:tcPr>
            <w:tcW w:type="dxa" w:w="1440"/>
            <w:shd w:fill="FFDCE0" w:val="clear"/>
          </w:tcPr>
          <w:p>
            <w:r>
              <w:rPr>
                <w:sz w:val="17"/>
              </w:rPr>
              <w:t>8,327</w:t>
            </w:r>
          </w:p>
        </w:tc>
        <w:tc>
          <w:tcPr>
            <w:tcW w:type="dxa" w:w="1440"/>
            <w:shd w:fill="FFDCE0" w:val="clear"/>
          </w:tcPr>
          <w:p>
            <w:r>
              <w:rPr>
                <w:b/>
                <w:color w:val="C00000"/>
                <w:sz w:val="17"/>
              </w:rPr>
              <w:t>-18.7%</w:t>
            </w:r>
          </w:p>
        </w:tc>
      </w:tr>
      <w:tr>
        <w:tc>
          <w:tcPr>
            <w:tcW w:type="dxa" w:w="1440"/>
            <w:shd w:fill="FFDCE0" w:val="clear"/>
          </w:tcPr>
          <w:p>
            <w:r>
              <w:rPr>
                <w:sz w:val="17"/>
              </w:rPr>
              <w:t>J+8  ⭐</w:t>
            </w:r>
          </w:p>
        </w:tc>
        <w:tc>
          <w:tcPr>
            <w:tcW w:type="dxa" w:w="1440"/>
            <w:shd w:fill="FFDCE0" w:val="clear"/>
          </w:tcPr>
          <w:p>
            <w:r>
              <w:rPr>
                <w:sz w:val="17"/>
              </w:rPr>
              <w:t>2026-09-08</w:t>
            </w:r>
          </w:p>
        </w:tc>
        <w:tc>
          <w:tcPr>
            <w:tcW w:type="dxa" w:w="1440"/>
            <w:shd w:fill="FFDCE0" w:val="clear"/>
          </w:tcPr>
          <w:p>
            <w:r>
              <w:rPr>
                <w:sz w:val="17"/>
              </w:rPr>
              <w:t>6,329</w:t>
            </w:r>
          </w:p>
        </w:tc>
        <w:tc>
          <w:tcPr>
            <w:tcW w:type="dxa" w:w="1440"/>
            <w:shd w:fill="FFDCE0" w:val="clear"/>
          </w:tcPr>
          <w:p>
            <w:r>
              <w:rPr>
                <w:b/>
                <w:sz w:val="17"/>
              </w:rPr>
              <w:t>7,316</w:t>
            </w:r>
          </w:p>
        </w:tc>
        <w:tc>
          <w:tcPr>
            <w:tcW w:type="dxa" w:w="1440"/>
            <w:shd w:fill="FFDCE0" w:val="clear"/>
          </w:tcPr>
          <w:p>
            <w:r>
              <w:rPr>
                <w:sz w:val="17"/>
              </w:rPr>
              <w:t>8,303</w:t>
            </w:r>
          </w:p>
        </w:tc>
        <w:tc>
          <w:tcPr>
            <w:tcW w:type="dxa" w:w="1440"/>
            <w:shd w:fill="FFDCE0" w:val="clear"/>
          </w:tcPr>
          <w:p>
            <w:r>
              <w:rPr>
                <w:b/>
                <w:color w:val="C00000"/>
                <w:sz w:val="17"/>
              </w:rPr>
              <w:t>-19.5%</w:t>
            </w:r>
          </w:p>
        </w:tc>
      </w:tr>
      <w:tr>
        <w:tc>
          <w:tcPr>
            <w:tcW w:type="dxa" w:w="1440"/>
            <w:shd w:fill="FFDCE0" w:val="clear"/>
          </w:tcPr>
          <w:p>
            <w:r>
              <w:rPr>
                <w:sz w:val="17"/>
              </w:rPr>
              <w:t>J+9  ⭐</w:t>
            </w:r>
          </w:p>
        </w:tc>
        <w:tc>
          <w:tcPr>
            <w:tcW w:type="dxa" w:w="1440"/>
            <w:shd w:fill="FFDCE0" w:val="clear"/>
          </w:tcPr>
          <w:p>
            <w:r>
              <w:rPr>
                <w:sz w:val="17"/>
              </w:rPr>
              <w:t>2026-09-09</w:t>
            </w:r>
          </w:p>
        </w:tc>
        <w:tc>
          <w:tcPr>
            <w:tcW w:type="dxa" w:w="1440"/>
            <w:shd w:fill="FFDCE0" w:val="clear"/>
          </w:tcPr>
          <w:p>
            <w:r>
              <w:rPr>
                <w:sz w:val="17"/>
              </w:rPr>
              <w:t>6,205</w:t>
            </w:r>
          </w:p>
        </w:tc>
        <w:tc>
          <w:tcPr>
            <w:tcW w:type="dxa" w:w="1440"/>
            <w:shd w:fill="FFDCE0" w:val="clear"/>
          </w:tcPr>
          <w:p>
            <w:r>
              <w:rPr>
                <w:b/>
                <w:sz w:val="17"/>
              </w:rPr>
              <w:t>7,241</w:t>
            </w:r>
          </w:p>
        </w:tc>
        <w:tc>
          <w:tcPr>
            <w:tcW w:type="dxa" w:w="1440"/>
            <w:shd w:fill="FFDCE0" w:val="clear"/>
          </w:tcPr>
          <w:p>
            <w:r>
              <w:rPr>
                <w:sz w:val="17"/>
              </w:rPr>
              <w:t>8,277</w:t>
            </w:r>
          </w:p>
        </w:tc>
        <w:tc>
          <w:tcPr>
            <w:tcW w:type="dxa" w:w="1440"/>
            <w:shd w:fill="FFDCE0" w:val="clear"/>
          </w:tcPr>
          <w:p>
            <w:r>
              <w:rPr>
                <w:b/>
                <w:color w:val="C00000"/>
                <w:sz w:val="17"/>
              </w:rPr>
              <w:t>-20.3%</w:t>
            </w:r>
          </w:p>
        </w:tc>
      </w:tr>
      <w:tr>
        <w:tc>
          <w:tcPr>
            <w:tcW w:type="dxa" w:w="1440"/>
            <w:shd w:fill="FFDCE0" w:val="clear"/>
          </w:tcPr>
          <w:p>
            <w:r>
              <w:rPr>
                <w:sz w:val="17"/>
              </w:rPr>
              <w:t>J+10  ⭐</w:t>
            </w:r>
          </w:p>
        </w:tc>
        <w:tc>
          <w:tcPr>
            <w:tcW w:type="dxa" w:w="1440"/>
            <w:shd w:fill="FFDCE0" w:val="clear"/>
          </w:tcPr>
          <w:p>
            <w:r>
              <w:rPr>
                <w:sz w:val="17"/>
              </w:rPr>
              <w:t>2026-09-10</w:t>
            </w:r>
          </w:p>
        </w:tc>
        <w:tc>
          <w:tcPr>
            <w:tcW w:type="dxa" w:w="1440"/>
            <w:shd w:fill="FFDCE0" w:val="clear"/>
          </w:tcPr>
          <w:p>
            <w:r>
              <w:rPr>
                <w:sz w:val="17"/>
              </w:rPr>
              <w:t>6,088</w:t>
            </w:r>
          </w:p>
        </w:tc>
        <w:tc>
          <w:tcPr>
            <w:tcW w:type="dxa" w:w="1440"/>
            <w:shd w:fill="FFDCE0" w:val="clear"/>
          </w:tcPr>
          <w:p>
            <w:r>
              <w:rPr>
                <w:b/>
                <w:sz w:val="17"/>
              </w:rPr>
              <w:t>7,169</w:t>
            </w:r>
          </w:p>
        </w:tc>
        <w:tc>
          <w:tcPr>
            <w:tcW w:type="dxa" w:w="1440"/>
            <w:shd w:fill="FFDCE0" w:val="clear"/>
          </w:tcPr>
          <w:p>
            <w:r>
              <w:rPr>
                <w:sz w:val="17"/>
              </w:rPr>
              <w:t>8,250</w:t>
            </w:r>
          </w:p>
        </w:tc>
        <w:tc>
          <w:tcPr>
            <w:tcW w:type="dxa" w:w="1440"/>
            <w:shd w:fill="FFDCE0" w:val="clear"/>
          </w:tcPr>
          <w:p>
            <w:r>
              <w:rPr>
                <w:b/>
                <w:color w:val="C00000"/>
                <w:sz w:val="17"/>
              </w:rPr>
              <w:t>-21.1%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136.292 Mds FCFA</w:t>
            </w:r>
          </w:p>
        </w:tc>
        <w:tc>
          <w:tcPr>
            <w:tcW w:type="dxa" w:w="5669"/>
            <w:shd w:fill="FFFFFF" w:val="clear"/>
          </w:tcPr>
          <w:p>
            <w:r>
              <w:rPr>
                <w:color w:val="282828"/>
                <w:sz w:val="15"/>
              </w:rPr>
              <w:t>Représente 11.9%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271.159 Mds FCFA</w:t>
            </w:r>
          </w:p>
        </w:tc>
        <w:tc>
          <w:tcPr>
            <w:tcW w:type="dxa" w:w="5669"/>
            <w:shd w:fill="FFFFFF" w:val="clear"/>
          </w:tcPr>
          <w:p>
            <w:r>
              <w:rPr>
                <w:color w:val="282828"/>
                <w:sz w:val="15"/>
              </w:rPr>
              <w:t>Titres d'État détenus (23.6% du bilan). Actif très sécurisé, source de liquidité secondaire.</w:t>
            </w:r>
          </w:p>
        </w:tc>
      </w:tr>
      <w:tr>
        <w:tc>
          <w:tcPr>
            <w:tcW w:type="dxa" w:w="2268"/>
            <w:shd w:fill="EEF2F7" w:val="clear"/>
          </w:tcPr>
          <w:p>
            <w:r>
              <w:rPr>
                <w:b/>
                <w:color w:val="1E1E3C"/>
                <w:sz w:val="16"/>
              </w:rPr>
              <w:t>Créances interbancaires</w:t>
            </w:r>
          </w:p>
        </w:tc>
        <w:tc>
          <w:tcPr>
            <w:tcW w:type="dxa" w:w="1984"/>
            <w:shd w:fill="FFEB9C" w:val="clear"/>
          </w:tcPr>
          <w:p>
            <w:r>
              <w:rPr>
                <w:b/>
                <w:color w:val="006400"/>
                <w:sz w:val="17"/>
              </w:rPr>
              <w:t>213.132 Mds FCFA</w:t>
            </w:r>
          </w:p>
        </w:tc>
        <w:tc>
          <w:tcPr>
            <w:tcW w:type="dxa" w:w="5669"/>
            <w:shd w:fill="FFFFFF" w:val="clear"/>
          </w:tcPr>
          <w:p>
            <w:r>
              <w:rPr>
                <w:color w:val="282828"/>
                <w:sz w:val="15"/>
              </w:rPr>
              <w:t>Prêts aux autres banques (18.6% du bilan). ⚠️ Exposition significative — risque de contagion en cas de crise 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474.064 Mds FCFA</w:t>
            </w:r>
          </w:p>
        </w:tc>
        <w:tc>
          <w:tcPr>
            <w:tcW w:type="dxa" w:w="5669"/>
            <w:shd w:fill="FFFFFF" w:val="clear"/>
          </w:tcPr>
          <w:p>
            <w:r>
              <w:rPr>
                <w:color w:val="282828"/>
                <w:sz w:val="15"/>
              </w:rPr>
              <w:t>Portefeuille crédits (41.3%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70.47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14.084 Mds FCFA</w:t>
            </w:r>
          </w:p>
        </w:tc>
        <w:tc>
          <w:tcPr>
            <w:tcW w:type="dxa" w:w="5669"/>
            <w:shd w:fill="FFFFFF" w:val="clear"/>
          </w:tcPr>
          <w:p>
            <w:r>
              <w:rPr>
                <w:color w:val="282828"/>
                <w:sz w:val="15"/>
              </w:rPr>
              <w:t>Outil industriel (1.2%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15.176 Mds FCFA</w:t>
            </w:r>
          </w:p>
        </w:tc>
        <w:tc>
          <w:tcPr>
            <w:tcW w:type="dxa" w:w="5669"/>
            <w:shd w:fill="FFFFFF" w:val="clear"/>
          </w:tcPr>
          <w:p>
            <w:r>
              <w:rPr>
                <w:color w:val="282828"/>
                <w:sz w:val="15"/>
              </w:rPr>
              <w:t>Actif immobilisé = 1.3%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349.424 Mds FCFA</w:t>
            </w:r>
          </w:p>
        </w:tc>
        <w:tc>
          <w:tcPr>
            <w:tcW w:type="dxa" w:w="5669"/>
            <w:shd w:fill="FFFFFF" w:val="clear"/>
          </w:tcPr>
          <w:p>
            <w:r>
              <w:rPr>
                <w:color w:val="282828"/>
                <w:sz w:val="15"/>
              </w:rPr>
              <w:t>Liquidités disponibles (30.4%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1148.675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56.141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126.516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132.166 Mds FCFA</w:t>
            </w:r>
          </w:p>
        </w:tc>
        <w:tc>
          <w:tcPr>
            <w:tcW w:type="dxa" w:w="5669"/>
            <w:shd w:fill="FFFFFF" w:val="clear"/>
          </w:tcPr>
          <w:p>
            <w:r>
              <w:rPr>
                <w:color w:val="282828"/>
                <w:sz w:val="15"/>
              </w:rPr>
              <w:t>Capitaux permanents / Actif immobilisé = 8.71x.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122.224 Mds FCFA</w:t>
            </w:r>
          </w:p>
        </w:tc>
        <w:tc>
          <w:tcPr>
            <w:tcW w:type="dxa" w:w="5669"/>
            <w:shd w:fill="FFFFFF" w:val="clear"/>
          </w:tcPr>
          <w:p>
            <w:r>
              <w:rPr>
                <w:color w:val="282828"/>
                <w:sz w:val="15"/>
              </w:rPr>
              <w:t>Refinancement interbancaire (10.6%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877.822 Mds FCFA</w:t>
            </w:r>
          </w:p>
        </w:tc>
        <w:tc>
          <w:tcPr>
            <w:tcW w:type="dxa" w:w="5669"/>
            <w:shd w:fill="FFFFFF" w:val="clear"/>
          </w:tcPr>
          <w:p>
            <w:r>
              <w:rPr>
                <w:color w:val="282828"/>
                <w:sz w:val="15"/>
              </w:rPr>
              <w:t>Dépôts clients = 76.4%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122.224 Mds FCFA</w:t>
            </w:r>
          </w:p>
        </w:tc>
        <w:tc>
          <w:tcPr>
            <w:tcW w:type="dxa" w:w="5669"/>
            <w:shd w:fill="FFFFFF" w:val="clear"/>
          </w:tcPr>
          <w:p>
            <w:r>
              <w:rPr>
                <w:color w:val="282828"/>
                <w:sz w:val="15"/>
              </w:rPr>
              <w:t>Dette financière totale = 97%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1022.159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57.820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57.820 Mds FCFA</w:t>
            </w:r>
          </w:p>
        </w:tc>
        <w:tc>
          <w:tcPr>
            <w:tcW w:type="dxa" w:w="5669"/>
            <w:shd w:fill="FFFFFF" w:val="clear"/>
          </w:tcPr>
          <w:p>
            <w:r>
              <w:rPr>
                <w:color w:val="282828"/>
                <w:sz w:val="15"/>
              </w:rPr>
              <w:t>Revenu bancaire central (≡ CA). Croissance: 0.6%.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62.860 Mds FCFA</w:t>
            </w:r>
          </w:p>
        </w:tc>
        <w:tc>
          <w:tcPr>
            <w:tcW w:type="dxa" w:w="5669"/>
            <w:shd w:fill="FFFFFF" w:val="clear"/>
          </w:tcPr>
          <w:p>
            <w:r>
              <w:rPr>
                <w:color w:val="282828"/>
                <w:sz w:val="15"/>
              </w:rPr>
              <w:t>Revenus d'intérêts sur crédits (109% du PNB). Principal moteur de revenus de la banque.</w:t>
            </w:r>
          </w:p>
        </w:tc>
      </w:tr>
      <w:tr>
        <w:tc>
          <w:tcPr>
            <w:tcW w:type="dxa" w:w="2268"/>
            <w:shd w:fill="EEF2F7" w:val="clear"/>
          </w:tcPr>
          <w:p>
            <w:r>
              <w:rPr>
                <w:b/>
                <w:color w:val="1E1E3C"/>
                <w:sz w:val="16"/>
              </w:rPr>
              <w:t>Intérêts &amp; charges assimilées</w:t>
            </w:r>
          </w:p>
        </w:tc>
        <w:tc>
          <w:tcPr>
            <w:tcW w:type="dxa" w:w="1984"/>
            <w:shd w:fill="FFEB9C" w:val="clear"/>
          </w:tcPr>
          <w:p>
            <w:r>
              <w:rPr>
                <w:b/>
                <w:color w:val="006400"/>
                <w:sz w:val="17"/>
              </w:rPr>
              <w:t>24.633 Mds FCFA</w:t>
            </w:r>
          </w:p>
        </w:tc>
        <w:tc>
          <w:tcPr>
            <w:tcW w:type="dxa" w:w="5669"/>
            <w:shd w:fill="FFFFFF" w:val="clear"/>
          </w:tcPr>
          <w:p>
            <w:r>
              <w:rPr>
                <w:color w:val="282828"/>
                <w:sz w:val="15"/>
              </w:rPr>
              <w:t>Coût des dépôts collectés (43% du PNB). ⚠️ Charges d'intérêts élevées — pression sur les marges.</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15.017 Mds FCFA</w:t>
            </w:r>
          </w:p>
        </w:tc>
        <w:tc>
          <w:tcPr>
            <w:tcW w:type="dxa" w:w="5669"/>
            <w:shd w:fill="FFFFFF" w:val="clear"/>
          </w:tcPr>
          <w:p>
            <w:r>
              <w:rPr>
                <w:color w:val="282828"/>
                <w:sz w:val="15"/>
              </w:rPr>
              <w:t>Revenus de commissions (26.0%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25.418 Mds FCFA</w:t>
            </w:r>
          </w:p>
        </w:tc>
        <w:tc>
          <w:tcPr>
            <w:tcW w:type="dxa" w:w="5669"/>
            <w:shd w:fill="FFFFFF" w:val="clear"/>
          </w:tcPr>
          <w:p>
            <w:r>
              <w:rPr>
                <w:color w:val="282828"/>
                <w:sz w:val="15"/>
              </w:rPr>
              <w:t>44.0%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30.537 Mds FCFA</w:t>
            </w:r>
          </w:p>
        </w:tc>
        <w:tc>
          <w:tcPr>
            <w:tcW w:type="dxa" w:w="5669"/>
            <w:shd w:fill="FFFFFF" w:val="clear"/>
          </w:tcPr>
          <w:p>
            <w:r>
              <w:rPr>
                <w:color w:val="282828"/>
                <w:sz w:val="15"/>
              </w:rPr>
              <w:t>RBE = 52.8%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22.182 Mds FCFA</w:t>
            </w:r>
          </w:p>
        </w:tc>
        <w:tc>
          <w:tcPr>
            <w:tcW w:type="dxa" w:w="5669"/>
            <w:shd w:fill="FFFFFF" w:val="clear"/>
          </w:tcPr>
          <w:p>
            <w:r>
              <w:rPr>
                <w:color w:val="282828"/>
                <w:sz w:val="15"/>
              </w:rPr>
              <w:t>Profit d'exploitation = 38.4%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8.355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19.252 Mds FCFA</w:t>
            </w:r>
          </w:p>
        </w:tc>
        <w:tc>
          <w:tcPr>
            <w:tcW w:type="dxa" w:w="5669"/>
            <w:shd w:fill="FFFFFF" w:val="clear"/>
          </w:tcPr>
          <w:p>
            <w:r>
              <w:rPr>
                <w:color w:val="282828"/>
                <w:sz w:val="15"/>
              </w:rPr>
              <w:t>Marge nette = 33.3%.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21.117 Mds FCFA</w:t>
            </w:r>
          </w:p>
        </w:tc>
        <w:tc>
          <w:tcPr>
            <w:tcW w:type="dxa" w:w="5669"/>
            <w:shd w:fill="FFFFFF" w:val="clear"/>
          </w:tcPr>
          <w:p>
            <w:r>
              <w:rPr>
                <w:color w:val="282828"/>
                <w:sz w:val="15"/>
              </w:rPr>
              <w:t>CAF = 21.12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227.200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52.81%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33.30%</w:t>
            </w:r>
          </w:p>
        </w:tc>
        <w:tc>
          <w:tcPr>
            <w:tcW w:type="dxa" w:w="5669"/>
            <w:shd w:fill="FFFFFF" w:val="clear"/>
          </w:tcPr>
          <w:p>
            <w:r>
              <w:rPr>
                <w:color w:val="282828"/>
                <w:sz w:val="15"/>
              </w:rPr>
              <w:t>Résultat net / revenus = 33.30%.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38.36%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15.22%</w:t>
            </w:r>
          </w:p>
        </w:tc>
        <w:tc>
          <w:tcPr>
            <w:tcW w:type="dxa" w:w="5669"/>
            <w:shd w:fill="FFFFFF" w:val="clear"/>
          </w:tcPr>
          <w:p>
            <w:r>
              <w:rPr>
                <w:color w:val="282828"/>
                <w:sz w:val="15"/>
              </w:rPr>
              <w:t>Résultat net / capitaux propres = 15.22%.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1.68%</w:t>
            </w:r>
          </w:p>
        </w:tc>
        <w:tc>
          <w:tcPr>
            <w:tcW w:type="dxa" w:w="5669"/>
            <w:shd w:fill="FFFFFF" w:val="clear"/>
          </w:tcPr>
          <w:p>
            <w:r>
              <w:rPr>
                <w:color w:val="282828"/>
                <w:sz w:val="15"/>
              </w:rPr>
              <w:t>Résultat net / total actif = 1.68%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5.03%</w:t>
            </w:r>
          </w:p>
        </w:tc>
        <w:tc>
          <w:tcPr>
            <w:tcW w:type="dxa" w:w="5669"/>
            <w:shd w:fill="FFFFFF" w:val="clear"/>
          </w:tcPr>
          <w:p>
            <w:r>
              <w:rPr>
                <w:color w:val="282828"/>
                <w:sz w:val="15"/>
              </w:rPr>
              <w:t>CA / total actif = 5.03x.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47.19%</w:t>
            </w:r>
          </w:p>
        </w:tc>
        <w:tc>
          <w:tcPr>
            <w:tcW w:type="dxa" w:w="5669"/>
            <w:shd w:fill="FFFFFF" w:val="clear"/>
          </w:tcPr>
          <w:p>
            <w:r>
              <w:rPr>
                <w:color w:val="282828"/>
                <w:sz w:val="15"/>
              </w:rPr>
              <w:t>Charges / PNB = 47.19%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33.92%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0.57%</w:t>
            </w:r>
          </w:p>
        </w:tc>
        <w:tc>
          <w:tcPr>
            <w:tcW w:type="dxa" w:w="5669"/>
            <w:shd w:fill="FFFFFF" w:val="clear"/>
          </w:tcPr>
          <w:p>
            <w:r>
              <w:rPr>
                <w:color w:val="282828"/>
                <w:sz w:val="15"/>
              </w:rPr>
              <w:t>Croissance PNB vs exercice précédent = 0.57%.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11.01%</w:t>
            </w:r>
          </w:p>
        </w:tc>
        <w:tc>
          <w:tcPr>
            <w:tcW w:type="dxa" w:w="5669"/>
            <w:shd w:fill="FFFFFF" w:val="clear"/>
          </w:tcPr>
          <w:p>
            <w:r>
              <w:rPr>
                <w:color w:val="282828"/>
                <w:sz w:val="15"/>
              </w:rPr>
              <w:t>Fonds propres / total bilan = 11.01%.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88.99%</w:t>
            </w:r>
          </w:p>
        </w:tc>
        <w:tc>
          <w:tcPr>
            <w:tcW w:type="dxa" w:w="5669"/>
            <w:shd w:fill="FFFFFF" w:val="clear"/>
          </w:tcPr>
          <w:p>
            <w:r>
              <w:rPr>
                <w:color w:val="282828"/>
                <w:sz w:val="15"/>
              </w:rPr>
              <w:t>Dettes financières / total bilan = 88.99%.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96.61%</w:t>
            </w:r>
          </w:p>
        </w:tc>
        <w:tc>
          <w:tcPr>
            <w:tcW w:type="dxa" w:w="5669"/>
            <w:shd w:fill="FFFFFF" w:val="clear"/>
          </w:tcPr>
          <w:p>
            <w:r>
              <w:rPr>
                <w:color w:val="282828"/>
                <w:sz w:val="15"/>
              </w:rPr>
              <w:t>Dettes totales / fonds propres = 96.61%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112.38%</w:t>
            </w:r>
          </w:p>
        </w:tc>
        <w:tc>
          <w:tcPr>
            <w:tcW w:type="dxa" w:w="5669"/>
            <w:shd w:fill="FFFFFF" w:val="clear"/>
          </w:tcPr>
          <w:p>
            <w:r>
              <w:rPr>
                <w:color w:val="282828"/>
                <w:sz w:val="15"/>
              </w:rPr>
              <w:t>Total actif / dettes totales = 112.38x.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833.63%</w:t>
            </w:r>
          </w:p>
        </w:tc>
        <w:tc>
          <w:tcPr>
            <w:tcW w:type="dxa" w:w="5669"/>
            <w:shd w:fill="FFFFFF" w:val="clear"/>
          </w:tcPr>
          <w:p>
            <w:r>
              <w:rPr>
                <w:color w:val="282828"/>
                <w:sz w:val="15"/>
              </w:rPr>
              <w:t>Capitaux permanents / actif immobilisé = 833.63x.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5.8 ans</w:t>
            </w:r>
          </w:p>
        </w:tc>
        <w:tc>
          <w:tcPr>
            <w:tcW w:type="dxa" w:w="5669"/>
            <w:shd w:fill="FFFFFF" w:val="clear"/>
          </w:tcPr>
          <w:p>
            <w:r>
              <w:rPr>
                <w:color w:val="282828"/>
                <w:sz w:val="15"/>
              </w:rPr>
              <w:t>Dettes financières / CAF = 5.8 ans. ⚠️ Remboursement long — endettement fort par rapport au cash.</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90.05%</w:t>
            </w:r>
          </w:p>
        </w:tc>
        <w:tc>
          <w:tcPr>
            <w:tcW w:type="dxa" w:w="5669"/>
            <w:shd w:fill="FFFFFF" w:val="clear"/>
          </w:tcPr>
          <w:p>
            <w:r>
              <w:rPr>
                <w:color w:val="282828"/>
                <w:sz w:val="15"/>
              </w:rPr>
              <w:t>Résultat exploit. / charges financières = 90.05x. ❌ L'exploitation ne couvre pas les charges financières.</w:t>
            </w:r>
          </w:p>
        </w:tc>
      </w:tr>
    </w:tbl>
    <w:p/>
    <w:p>
      <w:pPr>
        <w:spacing w:after="120" w:line="276" w:lineRule="auto"/>
      </w:pPr>
      <w:r>
        <w:t>**RAPPORT D'ANALYSE FINANCIÈRE — BOA BURKINA FASO (BOABF)**</w:t>
        <w:br/>
        <w:t>**Date de l'analyse : 27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BOABF s'établit à 399,96 milliards FCFA, ce qui en fait l'une des valeurs les plus significatives de la cote, reflétant la confiance des investisseurs dans le secteur bancaire de l'UEMOA. Le BPA de 438 FCFA indique que chaque action génère un bénéfice net substantiel, mais le PER de 20,8x est nettement supérieur à la moyenne historique de la BRVM (8-12x). Ce niveau de valorisation suggère que le marché intègre des attentes de croissance future élevées, ou une possible surévaluation à court terme. Le P/B de 3,16x confirme cette prime, le marché valorisant la société à plus de trois fois sa valeur comptable, ce qui est typique des valeurs de croissance. Enfin, l'EV/EBITDA de 9,7x se situe dans la fourchette haute mais raisonnable (5-10x), indiquant que la valeur totale de l'entreprise reste cohérente avec sa capacité opérationnelle à générer des flux.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BOABF a enregistré une performance exceptionnelle de +63,78%, avec une dernière séance en hausse de 5,70% à 9 090 FCFA. Le titre a évolué dans une fourchette très large, entre un plus bas de 5 235 FCFA et un plus haut de 9 090 FCFA, démontrant une tendance haussière puissante et soutenue. La moyenne du cours sur la période (6 117 FCFA) est nettement inférieure à la médiane (5 645 FCFA) et au mode (5 400 FCFA), ce qui, combiné à un skewness positif de 1,142, indique une distribution asymétrique avec des journées de forte hausse qui tirent la moyenne vers le haut. L'écart-type de 854 FCFA (CV=14%) montre une dispersion modérée, tandis que le kurtosis de 0,420 (mésokurtique) suggère une distribution proche de la normale, sans risque de pics extrêmes. La volatilité annualisée de 33,1% classe le titre comme très volatil (&gt;30%), ce qui implique un risque élevé mais aussi un potentiel de rendement important pour les investisseurs agressifs.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9 090 FCFA se situe très au-dessus de la MM20 (7 442,25 FCFA) et de la MM50 (6 718,5 FCFA), confirmant une tendance haussière robuste à court et moyen terme. L'écart croissant entre le prix et les moyennes indique une accélération du mouvement, mais signale également une possible extension excessive. La décision d'achat est justifiée par la configuration haussière, bien que le risque de correction technique augmente.</w:t>
      </w:r>
    </w:p>
    <w:p>
      <w:pPr>
        <w:spacing w:after="120" w:line="276" w:lineRule="auto"/>
      </w:pPr>
      <w:r>
        <w:t>**Bandes de Bollinger** : Le prix actuel dépasse largement la borne supérieure (8 507,48 FCFA), ce qui est un signal classique de surachat extrême. Cette sortie de canal indique une volatilité exceptionnellement élevée et un momentum très fort, mais historiquement, de telles déviations sont souvent suivies de consolidations. La décision de vente est donc pertinente pour les traders à court terme.</w:t>
      </w:r>
    </w:p>
    <w:p>
      <w:pPr>
        <w:spacing w:after="120" w:line="276" w:lineRule="auto"/>
      </w:pPr>
      <w:r>
        <w:t>**MACD** : Le MACD (438,465) est nettement au-dessus de sa ligne de signal (301,603), confirmant un momentum haussier puissant. La divergence positive s'élargit, ce qui indique que la pression acheteuse reste dominante. La décision d'achat est cohérente avec la dynamique actuelle, mais la prudence est de mise compte tenu de l'ampleur de l'écart.</w:t>
      </w:r>
    </w:p>
    <w:p>
      <w:pPr>
        <w:spacing w:after="120" w:line="276" w:lineRule="auto"/>
      </w:pPr>
      <w:r>
        <w:t>**RSI** : Avec une valeur de 87,95, le RSI est profondément en zone de surachat (&gt;70). Ce niveau extrême indique que le titre est survendu à la hausse et qu'une correction technique est statistiquement probable à court terme. La décision de vente est justifiée, car les acheteurs sont potentiellement épuisés.</w:t>
      </w:r>
    </w:p>
    <w:p>
      <w:pPr>
        <w:spacing w:after="120" w:line="276" w:lineRule="auto"/>
      </w:pPr>
      <w:r>
        <w:t>**Stochastique** : Le %K et le %D sont tous deux à 100,00, un niveau extrême qui confirme la suravaluation technique. Cette configuration indique que le titre est en territoire de surachat maximal depuis plusieurs séances, augmentant le risque de retournement brutal. La décision de vente est clairement justifiée.</w:t>
      </w:r>
    </w:p>
    <w:p>
      <w:pPr>
        <w:spacing w:after="120" w:line="276" w:lineRule="auto"/>
      </w:pPr>
      <w:r>
        <w:t>**Conclusion technique** : Les indicateurs de tendance (MM, MACD) sont positifs, mais les oscillateurs (RSI, Stochastique) et les bandes de Bollinger signalent une surachat extrême. La configuration technique suggère une poursuite possible de la hausse à très court terme, mais avec un risque élevé de correction significative. Un investisseur prudent devrait attendre un repli vers les zones de support (MM20 ou borne supérieure) avant d'envisager un nouvel achat.</w:t>
      </w:r>
    </w:p>
    <w:p>
      <w:pPr>
        <w:spacing w:after="120" w:line="276" w:lineRule="auto"/>
      </w:pPr>
      <w:r>
        <w:t>---</w:t>
      </w:r>
    </w:p>
    <w:p>
      <w:pPr>
        <w:spacing w:after="120" w:line="276" w:lineRule="auto"/>
      </w:pPr>
      <w:r>
        <w:t>### PARTIE 3 : ANALYSE FONDAMENTALE (SECTION CRITIQUE)</w:t>
      </w:r>
    </w:p>
    <w:p>
      <w:pPr>
        <w:spacing w:after="120" w:line="276" w:lineRule="auto"/>
      </w:pPr>
      <w:r>
        <w:t>En 2025, les états financiers annuels de BOABF révèlent une banque solide mais confrontée à des défis majeurs. Le Produit Net Bancaire (PNB) s'établit à 57,82 milliards FCFA, avec un résultat net de 19,25 milliards FCFA, soit une marge nette de 33,3%. Le ROE de 15,22% reste excellent (&gt;15%), et le ROA de 1,68% est correct pour le secteur. Le coefficient d'exploitation de 47,19% témoigne d'une excellente maîtrise des charges, bien en deçà du seuil de 60%. Cependant, le coût du risque de 33,92% est préoccupant, indiquant une dégradation de la qualité du portefeuille de crédits. Les dépôts clientèle (877,82 Mds) couvrent largement les crédits (474,06 Mds), montrant une liquidité abondante mais une transformation limitée. Les rapports trimestriels 2025 confirment cette tendance : le T1 2025 montre un PNB de 14,22 Mds (+2,3%) mais un résultat net en baisse de 16,6% ; le S1 2025 enregistre une chute sévère de 46,5% du résultat net à 8,22 Mds, due à une explosion du coût du risque (+1336%) ; le T3 2025 cumulé affiche un PNB de 43,28 Mds (+0,85%) et un résultat net de 13,45 Mds (-27,7%). Sur la base de ces rapports, on estime que l'exercice 2025 complet devrait montrer une stagnation du PNB et une contraction significative du résultat net, malgré une activité commerciale résiliente. Le rapport T1 2026 (PNB en baisse de 10,75% à 12,69 Mds, résultat net en recul de 12,99% à 4,52 Mds) suggère que la pression sur la rentabilité persiste en 2026, bien que la collecte de dépôts progresse de 6,3%. La banque maintient sa solidité financière, mais la dégradation du coût du risque et la contraction des crédits (-11% en 2025) constituent des points de vigilance majeurs.</w:t>
      </w:r>
    </w:p>
    <w:p>
      <w:pPr>
        <w:spacing w:after="120" w:line="276" w:lineRule="auto"/>
      </w:pPr>
      <w:r>
        <w:t>---</w:t>
      </w:r>
    </w:p>
    <w:p>
      <w:pPr>
        <w:spacing w:after="120" w:line="276" w:lineRule="auto"/>
      </w:pPr>
      <w:r>
        <w:t>### PARTIE 4 : CONCLUSION D'INVESTISSEMENT</w:t>
      </w:r>
    </w:p>
    <w:p>
      <w:pPr>
        <w:spacing w:after="120" w:line="276" w:lineRule="auto"/>
      </w:pPr>
      <w:r>
        <w:t>La synthèse globale révèle une divergence marquée entre la valorisation, le comportement du cours et les fondamentaux. La valorisation (PER 20,8x, P/B 3,16x) indique une surévaluation relative par rapport aux bénéfices actuels et à la moyenne du marché, tandis que la tendance du cours (+63,78% en 100 jours) et les signaux techniques de momentum (MM, MACD) sont fortement positifs. Cependant, les oscillateurs (RSI 87,95, Stochastique 100) signalent un surachat extrême, et les prédictions IA prévoient une correction progressive vers 7 565 FCFA sur 10 jours, confirmant le risque technique. Les fondamentaux, bien que solides (ROE 15,2%, coefficient d'exploitation 47,2%), montrent une dégradation inquiétante de la rentabilité nette (-27,7% sur 9 mois 2025) due au coût du risque. La recommandation finale est **CONSERVER** avec un niveau de confiance **Moyen** et un risque global **Élevé**. Les investisseurs détenant le titre devraient envisager de prendre des bénéfices partiels compte tenu du surachat technique, tandis que les nouveaux entrants devraient attendre une correction vers 7 500-8 000 FCFA pour initier une position. L'horizon d'investissement optimal est le **moyen terme (3-12 mois)**, après stabilisation des indicateurs techniques et confirmation d'une amélioration du coût du risque dans les prochains trimestres.</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20260720   calendrier de paiement des dividendes   exercice 2025</w:t>
      </w:r>
    </w:p>
    <w:p>
      <w:pPr>
        <w:spacing w:before="20"/>
        <w:ind w:left="400"/>
      </w:pPr>
      <w:r>
        <w:rPr>
          <w:color w:val="505050"/>
          <w:sz w:val="17"/>
        </w:rPr>
        <w:t xml:space="preserve">Date : 21/07/2026  |  Catégorie : dividende  |  Impact : </w:t>
      </w:r>
      <w:r>
        <w:rPr>
          <w:b/>
          <w:color w:val="646464"/>
          <w:sz w:val="17"/>
        </w:rPr>
        <w:t>⚪ NEUTRE</w:t>
      </w:r>
    </w:p>
    <w:p>
      <w:pPr>
        <w:spacing w:before="40"/>
        <w:ind w:left="400"/>
      </w:pPr>
      <w:r>
        <w:rPr>
          <w:sz w:val="18"/>
        </w:rPr>
        <w:t>La BRVM publie le calendrier de paiement des dividendes pour l'exercice 2025, listant les dates ex-dividende et de paiement pour 20 sociétés cotées. Le premier dividende est payé par BOA Burkina Faso le 23 avril 2026, et le dernier par Loterie Nationale du Bénin le 3 août 2026. Les montants varient de 0,9184 FCFA à 2127 FCFA par action.</w:t>
      </w:r>
    </w:p>
    <w:p>
      <w:pPr>
        <w:spacing w:before="60"/>
        <w:ind w:left="400"/>
      </w:pPr>
      <w:r>
        <w:rPr>
          <w:b/>
          <w:sz w:val="18"/>
        </w:rPr>
        <w:t>Points clés :</w:t>
      </w:r>
    </w:p>
    <w:p>
      <w:pPr>
        <w:pStyle w:val="ListBullet"/>
        <w:spacing w:before="20" w:after="20"/>
        <w:ind w:left="700"/>
      </w:pPr>
      <w:r>
        <w:rPr>
          <w:sz w:val="18"/>
        </w:rPr>
        <w:t>Le document liste les dividendes de 20 sociétés pour l'exercice 2025.</w:t>
      </w:r>
    </w:p>
    <w:p>
      <w:pPr>
        <w:pStyle w:val="ListBullet"/>
        <w:spacing w:before="20" w:after="20"/>
        <w:ind w:left="700"/>
      </w:pPr>
      <w:r>
        <w:rPr>
          <w:sz w:val="18"/>
        </w:rPr>
        <w:t>Les paiements s'échelonnent du 23 avril au 3 août 2026.</w:t>
      </w:r>
    </w:p>
    <w:p>
      <w:pPr>
        <w:pStyle w:val="ListBullet"/>
        <w:spacing w:before="20" w:after="20"/>
        <w:ind w:left="700"/>
      </w:pPr>
      <w:r>
        <w:rPr>
          <w:sz w:val="18"/>
        </w:rPr>
        <w:t>Les montants nets par action vont de 0,9184 FCFA (ETI TG) à 2127 FCFA (Solibra CI).</w:t>
      </w:r>
    </w:p>
    <w:p>
      <w:pPr>
        <w:pStyle w:val="ListBullet"/>
        <w:spacing w:before="20" w:after="20"/>
        <w:ind w:left="700"/>
      </w:pPr>
      <w:r>
        <w:rPr>
          <w:sz w:val="18"/>
        </w:rPr>
        <w:t>Certains dividendes sont bruts avec une IRVM de 12% pour les personnes physiques et 10% pour les personnes morales.</w:t>
      </w:r>
    </w:p>
    <w:p>
      <w:pPr>
        <w:pStyle w:val="ListBullet"/>
        <w:spacing w:before="20" w:after="20"/>
        <w:ind w:left="700"/>
      </w:pPr>
      <w:r>
        <w:rPr>
          <w:sz w:val="18"/>
        </w:rPr>
        <w:t>Le calendrier précise pour chaque société le numéro d'avis, la date de publication au BOC, la date ex-dividende et la date de paiement.</w:t>
      </w:r>
    </w:p>
    <w:p>
      <w:pPr>
        <w:ind w:left="400"/>
      </w:pPr>
      <w:r>
        <w:rPr>
          <w:color w:val="B4B4B4"/>
          <w:sz w:val="14"/>
        </w:rPr>
        <w:t xml:space="preserve">· · · · · · · · · · · · · · · · · · · · · · · · · · · · · · </w:t>
      </w:r>
    </w:p>
    <w:p>
      <w:pPr>
        <w:spacing w:before="160"/>
      </w:pPr>
      <w:r>
        <w:rPr>
          <w:b/>
          <w:color w:val="0066CC"/>
          <w:sz w:val="20"/>
        </w:rPr>
        <w:t xml:space="preserve">[2] </w:t>
      </w:r>
      <w:r>
        <w:rPr>
          <w:b/>
          <w:sz w:val="20"/>
        </w:rPr>
        <w:t>20260812   calendrier de paiement des dividendes   exercice 2025</w:t>
      </w:r>
    </w:p>
    <w:p>
      <w:pPr>
        <w:spacing w:before="20"/>
        <w:ind w:left="400"/>
      </w:pPr>
      <w:r>
        <w:rPr>
          <w:color w:val="505050"/>
          <w:sz w:val="17"/>
        </w:rPr>
        <w:t xml:space="preserve">Date : 12/08/2026  |  Catégorie : dividende  |  Impact : </w:t>
      </w:r>
      <w:r>
        <w:rPr>
          <w:b/>
          <w:color w:val="646464"/>
          <w:sz w:val="17"/>
        </w:rPr>
        <w:t>⚪ NEUTRE</w:t>
      </w:r>
    </w:p>
    <w:p>
      <w:pPr>
        <w:spacing w:before="40"/>
        <w:ind w:left="400"/>
      </w:pPr>
      <w:r>
        <w:rPr>
          <w:sz w:val="18"/>
        </w:rPr>
        <w:t>Ce document de la BRVM publie le calendrier de paiement des dividendes au titre de l'exercice 2025. Il indique pour chaque société cotée le montant net par action, la date ex-dividende et la date de paiement. Les paiements s'échelonnent de mars à septembre 2026, avec des mentions de dividendes bruts soumis à l'IRVM pour certaines sociétés.</w:t>
      </w:r>
    </w:p>
    <w:p>
      <w:pPr>
        <w:spacing w:before="60"/>
        <w:ind w:left="400"/>
      </w:pPr>
      <w:r>
        <w:rPr>
          <w:b/>
          <w:sz w:val="18"/>
        </w:rPr>
        <w:t>Points clés :</w:t>
      </w:r>
    </w:p>
    <w:p>
      <w:pPr>
        <w:pStyle w:val="ListBullet"/>
        <w:spacing w:before="20" w:after="20"/>
        <w:ind w:left="700"/>
      </w:pPr>
      <w:r>
        <w:rPr>
          <w:sz w:val="18"/>
        </w:rPr>
        <w:t>Calendrier officiel des paiements de dividendes pour l'exercice 2025 publié par la BRVM.</w:t>
      </w:r>
    </w:p>
    <w:p>
      <w:pPr>
        <w:pStyle w:val="ListBullet"/>
        <w:spacing w:before="20" w:after="20"/>
        <w:ind w:left="700"/>
      </w:pPr>
      <w:r>
        <w:rPr>
          <w:sz w:val="18"/>
        </w:rPr>
        <w:t>Plusieurs sociétés cotées sont concernées, notamment BOA Burkina Faso, Sonatel, Ecobank, Orange CI et Nestlé CI.</w:t>
      </w:r>
    </w:p>
    <w:p>
      <w:pPr>
        <w:pStyle w:val="ListBullet"/>
        <w:spacing w:before="20" w:after="20"/>
        <w:ind w:left="700"/>
      </w:pPr>
      <w:r>
        <w:rPr>
          <w:sz w:val="18"/>
        </w:rPr>
        <w:t>Les montants nets par action varient selon les sociétés, de 0,9184 FCFA à 2 606 FCFA.</w:t>
      </w:r>
    </w:p>
    <w:p>
      <w:pPr>
        <w:pStyle w:val="ListBullet"/>
        <w:spacing w:before="20" w:after="20"/>
        <w:ind w:left="700"/>
      </w:pPr>
      <w:r>
        <w:rPr>
          <w:sz w:val="18"/>
        </w:rPr>
        <w:t>Les dates ex-dividende s'étalent du 31 mars 2026 au 12 août 2026.</w:t>
      </w:r>
    </w:p>
    <w:p>
      <w:pPr>
        <w:pStyle w:val="ListBullet"/>
        <w:spacing w:before="20" w:after="20"/>
        <w:ind w:left="700"/>
      </w:pPr>
      <w:r>
        <w:rPr>
          <w:sz w:val="18"/>
        </w:rPr>
        <w:t>Certains dividendes sont bruts, avec un IRVM de 12% pour les personnes physiques et 10% pour les personnes morales.</w:t>
      </w:r>
    </w:p>
    <w:p>
      <w:pPr>
        <w:ind w:left="400"/>
      </w:pPr>
      <w:r>
        <w:rPr>
          <w:color w:val="B4B4B4"/>
          <w:sz w:val="14"/>
        </w:rPr>
        <w:t xml:space="preserve">· · · · · · · · · · · · · · · · · · · · · · · · · · · · · · </w:t>
      </w:r>
    </w:p>
    <w:p>
      <w:pPr>
        <w:spacing w:before="160"/>
      </w:pPr>
      <w:r>
        <w:rPr>
          <w:b/>
          <w:color w:val="0066CC"/>
          <w:sz w:val="20"/>
        </w:rPr>
        <w:t xml:space="preserve">[3] </w:t>
      </w:r>
      <w:r>
        <w:rPr>
          <w:b/>
          <w:sz w:val="20"/>
        </w:rPr>
        <w:t>20260417   calendrier de paiement des dividendes   exercice 2025</w:t>
      </w:r>
    </w:p>
    <w:p>
      <w:pPr>
        <w:spacing w:before="20"/>
        <w:ind w:left="400"/>
      </w:pPr>
      <w:r>
        <w:rPr>
          <w:color w:val="505050"/>
          <w:sz w:val="17"/>
        </w:rPr>
        <w:t xml:space="preserve">Date : 17/04/2026  |  Catégorie : dividende  |  Impact : </w:t>
      </w:r>
      <w:r>
        <w:rPr>
          <w:b/>
          <w:color w:val="008000"/>
          <w:sz w:val="17"/>
        </w:rPr>
        <w:t>🟢 POSITIF</w:t>
      </w:r>
    </w:p>
    <w:p>
      <w:pPr>
        <w:spacing w:before="40"/>
        <w:ind w:left="400"/>
      </w:pPr>
      <w:r>
        <w:rPr>
          <w:sz w:val="18"/>
        </w:rPr>
        <w:t>Calendrier de paiement des dividendes BRVM pour l'année 2025, publié le 17 avril 2026. Le document présente les échéances de versement pour BOA Burkina Faso (397 FCFA/action) et BOA Côte d'Ivoire (594,528 FCFA/action). Les dates ex-dividende et de paiement sont programmées entre avril et mai 2026.</w:t>
      </w:r>
    </w:p>
    <w:p>
      <w:pPr>
        <w:spacing w:before="60"/>
        <w:ind w:left="400"/>
      </w:pPr>
      <w:r>
        <w:rPr>
          <w:b/>
          <w:sz w:val="18"/>
        </w:rPr>
        <w:t>Points clés :</w:t>
      </w:r>
    </w:p>
    <w:p>
      <w:pPr>
        <w:pStyle w:val="ListBullet"/>
        <w:spacing w:before="20" w:after="20"/>
        <w:ind w:left="700"/>
      </w:pPr>
      <w:r>
        <w:rPr>
          <w:sz w:val="18"/>
        </w:rPr>
        <w:t>BOA Burkina Faso verse un dividende de 397 FCFA par action avec paiement le 23/04/2026</w:t>
      </w:r>
    </w:p>
    <w:p>
      <w:pPr>
        <w:pStyle w:val="ListBullet"/>
        <w:spacing w:before="20" w:after="20"/>
        <w:ind w:left="700"/>
      </w:pPr>
      <w:r>
        <w:rPr>
          <w:sz w:val="18"/>
        </w:rPr>
        <w:t>BOA Côte d'Ivoire distribue 594,528 FCFA par action avec paiement le 06/05/2026</w:t>
      </w:r>
    </w:p>
    <w:p>
      <w:pPr>
        <w:pStyle w:val="ListBullet"/>
        <w:spacing w:before="20" w:after="20"/>
        <w:ind w:left="700"/>
      </w:pPr>
      <w:r>
        <w:rPr>
          <w:sz w:val="18"/>
        </w:rPr>
        <w:t>Date ex-dividende fixée au 22/04/2026 pour BOA Burkina Faso et au 05/05/2026 pour BOA Côte d'Ivoire</w:t>
      </w:r>
    </w:p>
    <w:p>
      <w:pPr>
        <w:pStyle w:val="ListBullet"/>
        <w:spacing w:before="20" w:after="20"/>
        <w:ind w:left="700"/>
      </w:pPr>
      <w:r>
        <w:rPr>
          <w:sz w:val="18"/>
        </w:rPr>
        <w:t>Publication des avis respectifs les 31/03/2026 et 17/04/2026 au Bulletin Officiel de la Cote</w:t>
      </w:r>
    </w:p>
    <w:p>
      <w:pPr>
        <w:pStyle w:val="ListBullet"/>
        <w:spacing w:before="20" w:after="20"/>
        <w:ind w:left="700"/>
      </w:pPr>
      <w:r>
        <w:rPr>
          <w:sz w:val="18"/>
        </w:rPr>
        <w:t>Calendrier officiel BRVM établi pour l'exercice 2025 avec références d'avis précises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des revenus et du r\u00e9sultat net, la banque maintient une rentabilit\u00e9 positive et b\u00e9n\u00e9ficie d'une croissance des d\u00e9p\u00f4ts. La situation n\u00e9cessite un suivi attentif de l'\u00e9volution des prochains trimestres."}</w:t>
      </w:r>
    </w:p>
    <w:p>
      <w:pPr>
        <w:spacing w:before="40"/>
        <w:ind w:left="400"/>
      </w:pPr>
      <w:r>
        <w:rPr>
          <w:sz w:val="18"/>
        </w:rPr>
        <w:t>Bank of Africa Burkina Faso clôture le premier trimestre 2026 avec des performances mitigées. Le produit net bancaire s'établit à 12 694 millions FCFA, en baisse de 10,75% par rapport à mars 2025. Le résultat net ressort à 4 520 millions FCFA, en recul de 12,99% sur un an. L'activité commerciale montre des signaux positifs avec une progression des dépôts clientèle de 6,3%. La rentabilité reste néanmoins solide malgré la contraction observée.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'933 233 millions FCFA', 'credits_clientele': '468 561 millions FCFA', 'resultat_avant_impot': '4 951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4 520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12 694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10,75% à 12 694 millions FCFA au 31 mars 2026</w:t>
      </w:r>
    </w:p>
    <w:p>
      <w:pPr>
        <w:pStyle w:val="ListBullet"/>
        <w:spacing w:before="20" w:after="20"/>
        <w:ind w:left="700"/>
      </w:pPr>
      <w:r>
        <w:rPr>
          <w:sz w:val="18"/>
        </w:rPr>
        <w:t>Résultat net en recul de 12,99% à 4 520 millions FCFA</w:t>
      </w:r>
    </w:p>
    <w:p>
      <w:pPr>
        <w:pStyle w:val="ListBullet"/>
        <w:spacing w:before="20" w:after="20"/>
        <w:ind w:left="700"/>
      </w:pPr>
      <w:r>
        <w:rPr>
          <w:sz w:val="18"/>
        </w:rPr>
        <w:t>Progression des dépôts clientèle de 6,3% à 933 233 millions FCFA</w:t>
      </w:r>
    </w:p>
    <w:p>
      <w:pPr>
        <w:pStyle w:val="ListBullet"/>
        <w:spacing w:before="20" w:after="20"/>
        <w:ind w:left="700"/>
      </w:pPr>
      <w:r>
        <w:rPr>
          <w:sz w:val="18"/>
        </w:rPr>
        <w:t>Léger repli des crédits clientèle de -1,2% à 468 561 millions FCFA</w:t>
      </w:r>
    </w:p>
    <w:p>
      <w:pPr>
        <w:pStyle w:val="ListBullet"/>
        <w:spacing w:before="20" w:after="20"/>
        <w:ind w:left="700"/>
      </w:pPr>
      <w:r>
        <w:rPr>
          <w:sz w:val="18"/>
        </w:rPr>
        <w:t>Résultat avant impôt en baisse de 16,91% à 4 951 millions FCFA</w:t>
      </w:r>
    </w:p>
    <w:p>
      <w:pPr>
        <w:pStyle w:val="ListBullet"/>
        <w:spacing w:before="20" w:after="20"/>
        <w:ind w:left="700"/>
      </w:pPr>
      <w:r>
        <w:rPr>
          <w:sz w:val="18"/>
        </w:rPr>
        <w:t>Contraction généralisée des revenus sur une base annuelle glissante</w:t>
      </w:r>
    </w:p>
    <w:p>
      <w:pPr>
        <w:spacing w:before="40"/>
        <w:ind w:left="400"/>
      </w:pPr>
      <w:r>
        <w:rPr>
          <w:b/>
          <w:color w:val="C05000"/>
          <w:sz w:val="18"/>
        </w:rPr>
        <w:t xml:space="preserve">⚠️ Risques : </w:t>
      </w:r>
      <w:r>
        <w:rPr>
          <w:sz w:val="18"/>
        </w:rPr>
        <w:t>["Contraction continue du produit net bancaire impactant la rentabilit\u00e9", "Stagnation des cr\u00e9dits client\u00e8le limitant les opportunit\u00e9s de croissance", "Environnement \u00e9conomique d\u00e9favorable au Burkina Faso"]</w:t>
      </w:r>
    </w:p>
    <w:p>
      <w:pPr>
        <w:spacing w:before="40"/>
        <w:ind w:left="400"/>
      </w:pPr>
      <w:r>
        <w:rPr>
          <w:b/>
          <w:color w:val="0064A0"/>
          <w:sz w:val="18"/>
        </w:rPr>
        <w:t xml:space="preserve">🔮 Perspectives : </w:t>
      </w:r>
      <w:r>
        <w:rPr>
          <w:sz w:val="18"/>
        </w:rPr>
        <w:t>L'évolution de la performance dépendra de la capacité de la banque à redresser son activité de crédit et à maintenir la dynamique de collecte des dépôts. Le contexte économique et sécuritaire au Burkina Faso reste un facteur déterminant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banque affiche une croissance solide de ses indicateurs financiers malgr\u00e9 un environnement difficile. Cependant, les risques s\u00e9curitaires et \u00e9conomiques au Burkina Faso appellent \u00e0 la prudence."}</w:t>
      </w:r>
    </w:p>
    <w:p>
      <w:pPr>
        <w:spacing w:before="40"/>
        <w:ind w:left="400"/>
      </w:pPr>
      <w:r>
        <w:rPr>
          <w:sz w:val="18"/>
        </w:rPr>
        <w:t>Bank of Africa Burkina Faso a publié ses résultats du deuxième semestre 2022, montrant une performance solide malgré le contexte économique difficile. Le produit net bancaire a progressé de 11,4% à 56,646 milliards FCFA, soutenu par le renforcement de la marge bancaire et des commissions. Le résultat net s'établit à 25,477 milliards FCFA, en hausse de 19,9% par rapport à 2021. Le total bilan a augmenté de 8,4% pour atteindre 1 163,300 milliards FCFA fin décembre 2022. La banque maintient sa position sur le marché bancaire burkinabè dans un environnement marqué par l'instabilité sécuritaire et l'inflation.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'642 663 millions FCFA', 'cout_du_risque': '-3 328 millions FCFA', 'frais_generaux': '22 296 millions FCFA', 'depots_clientele': '875 499 millions FCFA', 'resultat_brut_exploitation': '32 632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19,9%</w:t>
            </w:r>
          </w:p>
        </w:tc>
        <w:tc>
          <w:tcPr>
            <w:tcW w:type="dxa" w:w="2160"/>
          </w:tcPr>
          <w:p>
            <w:pPr>
              <w:ind w:left="100"/>
            </w:pPr>
            <w:r/>
            <w:r>
              <w:rPr>
                <w:b/>
                <w:sz w:val="16"/>
              </w:rPr>
              <w:t>total_actif</w:t>
              <w:br/>
            </w:r>
            <w:r>
              <w:rPr>
                <w:sz w:val="18"/>
              </w:rPr>
              <w:t>1 163 300 millions FCFA</w:t>
            </w:r>
          </w:p>
        </w:tc>
      </w:tr>
      <w:tr>
        <w:tc>
          <w:tcPr>
            <w:tcW w:type="dxa" w:w="2160"/>
          </w:tcPr>
          <w:p>
            <w:r/>
            <w:r>
              <w:rPr>
                <w:b/>
                <w:sz w:val="16"/>
              </w:rPr>
              <w:t>resultat_net</w:t>
              <w:br/>
            </w:r>
            <w:r>
              <w:rPr>
                <w:sz w:val="18"/>
              </w:rPr>
              <w:t>25 477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56 646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11,4% à 56,646 milliards FCFA</w:t>
      </w:r>
    </w:p>
    <w:p>
      <w:pPr>
        <w:pStyle w:val="ListBullet"/>
        <w:spacing w:before="20" w:after="20"/>
        <w:ind w:left="700"/>
      </w:pPr>
      <w:r>
        <w:rPr>
          <w:sz w:val="18"/>
        </w:rPr>
        <w:t>Progression du résultat net de 19,9% à 25,477 milliards FCFA</w:t>
      </w:r>
    </w:p>
    <w:p>
      <w:pPr>
        <w:pStyle w:val="ListBullet"/>
        <w:spacing w:before="20" w:after="20"/>
        <w:ind w:left="700"/>
      </w:pPr>
      <w:r>
        <w:rPr>
          <w:sz w:val="18"/>
        </w:rPr>
        <w:t>Hausse du total bilan de 8,4% à 1 163,300 milliards FCFA</w:t>
      </w:r>
    </w:p>
    <w:p>
      <w:pPr>
        <w:pStyle w:val="ListBullet"/>
        <w:spacing w:before="20" w:after="20"/>
        <w:ind w:left="700"/>
      </w:pPr>
      <w:r>
        <w:rPr>
          <w:sz w:val="18"/>
        </w:rPr>
        <w:t>Croissance des dépôts clientèle de 7,3% à 875,499 milliards FCFA</w:t>
      </w:r>
    </w:p>
    <w:p>
      <w:pPr>
        <w:pStyle w:val="ListBullet"/>
        <w:spacing w:before="20" w:after="20"/>
        <w:ind w:left="700"/>
      </w:pPr>
      <w:r>
        <w:rPr>
          <w:sz w:val="18"/>
        </w:rPr>
        <w:t>Encours des crédits nets en progression à 642,663 milliards FCFA</w:t>
      </w:r>
    </w:p>
    <w:p>
      <w:pPr>
        <w:pStyle w:val="ListBullet"/>
        <w:spacing w:before="20" w:after="20"/>
        <w:ind w:left="700"/>
      </w:pPr>
      <w:r>
        <w:rPr>
          <w:sz w:val="18"/>
        </w:rPr>
        <w:t>Amélioration de la marge bancaire à 11,6%</w:t>
      </w:r>
    </w:p>
    <w:p>
      <w:pPr>
        <w:spacing w:before="40"/>
        <w:ind w:left="400"/>
      </w:pPr>
      <w:r>
        <w:rPr>
          <w:b/>
          <w:color w:val="C05000"/>
          <w:sz w:val="18"/>
        </w:rPr>
        <w:t xml:space="preserve">⚠️ Risques : </w:t>
      </w:r>
      <w:r>
        <w:rPr>
          <w:sz w:val="18"/>
        </w:rPr>
        <w:t>["Instabilit\u00e9 s\u00e9curitaire persistante avec les attaques terroristes au Burkina Faso", "Ralentissement \u00e9conomique avec un PIB projet\u00e9 \u00e0 seulement 2,7% en 2022", "Impact de l'inflation induite par la crise russo-ukrainienne sur l'\u00e9conomie locale"]</w:t>
      </w:r>
    </w:p>
    <w:p>
      <w:pPr>
        <w:spacing w:before="40"/>
        <w:ind w:left="400"/>
      </w:pPr>
      <w:r>
        <w:rPr>
          <w:b/>
          <w:color w:val="0064A0"/>
          <w:sz w:val="18"/>
        </w:rPr>
        <w:t xml:space="preserve">🔮 Perspectives : </w:t>
      </w:r>
      <w:r>
        <w:rPr>
          <w:sz w:val="18"/>
        </w:rPr>
        <w:t>Les perspectives dépendront largement de l'évolution de la situation sécuritaire au Burkina Faso et de la stabilisation de l'environnement économique. La banque devra maintenir sa vigilance sur la gestion des risques tout en capitalisant sur sa position de marché établie.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financi\u00e8re solide avec une croissance soutenue de la rentabilit\u00e9 et une expansion \u00e9quilibr\u00e9e du bilan. Le renforcement des capitaux propres et la progression des activit\u00e9s commerciales offrent de bonnes perspectives de d\u00e9veloppement."}</w:t>
      </w:r>
    </w:p>
    <w:p>
      <w:pPr>
        <w:spacing w:before="40"/>
        <w:ind w:left="400"/>
      </w:pPr>
      <w:r>
        <w:rPr>
          <w:sz w:val="18"/>
        </w:rPr>
        <w:t>Bank of Africa Burkina Faso présente des résultats solides pour l'exercice 2022 avec un résultat net en hausse de 20% à 25,48 milliards FCFA. Le total du bilan progresse significativement de 8,4% pour atteindre 1 164 milliards FCFA, témoignant d'une croissance soutenue de l'activité. Le produit net bancaire s'élève à 56,65 milliards FCFA contre 50,83 milliards en 2021, soit une progression de 11,5%. Les créances sur la clientèle augmentent de 11,3% à 642,66 milliards FCFA, confirmant le dynamisme commercial. Les capitaux propres se renforcent à 70,59 milliards FCFA grâce à la mise en réserve d'une partie des bénéfices.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None, 'depots_clientele': '875 498 676 380 FCFA', 'credits_clientele': '642 663 190 334 FCFA', 'produit_net_bancaire': '56 645 788 278 FCFA', 'coefficient_exploitation':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1 163 299 866 414 FCFA</w:t>
            </w:r>
          </w:p>
        </w:tc>
      </w:tr>
      <w:tr>
        <w:tc>
          <w:tcPr>
            <w:tcW w:type="dxa" w:w="2160"/>
          </w:tcPr>
          <w:p>
            <w:r/>
            <w:r>
              <w:rPr>
                <w:b/>
                <w:sz w:val="16"/>
              </w:rPr>
              <w:t>resultat_net</w:t>
              <w:br/>
            </w:r>
            <w:r>
              <w:rPr>
                <w:sz w:val="18"/>
              </w:rPr>
              <w:t>25 476 935 672 FCFA</w:t>
            </w:r>
          </w:p>
        </w:tc>
        <w:tc>
          <w:tcPr>
            <w:tcW w:type="dxa" w:w="2160"/>
          </w:tcPr>
          <w:p>
            <w:r/>
            <w:r>
              <w:rPr>
                <w:b/>
                <w:sz w:val="16"/>
              </w:rPr>
              <w:t>capitaux_propres</w:t>
              <w:br/>
            </w:r>
            <w:r>
              <w:rPr>
                <w:sz w:val="18"/>
              </w:rPr>
              <w:t>70 590 372 043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25,48 milliards FCFA en 2022</w:t>
      </w:r>
    </w:p>
    <w:p>
      <w:pPr>
        <w:pStyle w:val="ListBullet"/>
        <w:spacing w:before="20" w:after="20"/>
        <w:ind w:left="700"/>
      </w:pPr>
      <w:r>
        <w:rPr>
          <w:sz w:val="18"/>
        </w:rPr>
        <w:t>Progression du total bilan de 8,4% à 1 164 milliards FCFA</w:t>
      </w:r>
    </w:p>
    <w:p>
      <w:pPr>
        <w:pStyle w:val="ListBullet"/>
        <w:spacing w:before="20" w:after="20"/>
        <w:ind w:left="700"/>
      </w:pPr>
      <w:r>
        <w:rPr>
          <w:sz w:val="18"/>
        </w:rPr>
        <w:t>Amélioration du produit net bancaire de 11,5% à 56,65 milliards FCFA</w:t>
      </w:r>
    </w:p>
    <w:p>
      <w:pPr>
        <w:pStyle w:val="ListBullet"/>
        <w:spacing w:before="20" w:after="20"/>
        <w:ind w:left="700"/>
      </w:pPr>
      <w:r>
        <w:rPr>
          <w:sz w:val="18"/>
        </w:rPr>
        <w:t>Hausse des crédits clientèle de 11,3% à 642,66 milliards FCFA</w:t>
      </w:r>
    </w:p>
    <w:p>
      <w:pPr>
        <w:pStyle w:val="ListBullet"/>
        <w:spacing w:before="20" w:after="20"/>
        <w:ind w:left="700"/>
      </w:pPr>
      <w:r>
        <w:rPr>
          <w:sz w:val="18"/>
        </w:rPr>
        <w:t>Renforcement des capitaux propres à 70,59 milliards FCFA</w:t>
      </w:r>
    </w:p>
    <w:p>
      <w:pPr>
        <w:pStyle w:val="ListBullet"/>
        <w:spacing w:before="20" w:after="20"/>
        <w:ind w:left="700"/>
      </w:pPr>
      <w:r>
        <w:rPr>
          <w:sz w:val="18"/>
        </w:rPr>
        <w:t>Augmentation des dépôts clientèle de 7,3% à 875,50 milliards FCFA</w:t>
      </w:r>
    </w:p>
    <w:p>
      <w:pPr>
        <w:spacing w:before="40"/>
        <w:ind w:left="400"/>
      </w:pPr>
      <w:r>
        <w:rPr>
          <w:b/>
          <w:color w:val="C05000"/>
          <w:sz w:val="18"/>
        </w:rPr>
        <w:t xml:space="preserve">⚠️ Risques : </w:t>
      </w:r>
      <w:r>
        <w:rPr>
          <w:sz w:val="18"/>
        </w:rPr>
        <w:t>["Concentration g\u00e9ographique sur le march\u00e9 burkinab\u00e9 expos\u00e9 \u00e0 l'instabilit\u00e9 s\u00e9curitaire", "Risque de cr\u00e9dit li\u00e9 \u00e0 la forte croissance des encours de pr\u00eats", "Volatilit\u00e9 potentielle des revenus de march\u00e9 et commissions"]</w:t>
      </w:r>
    </w:p>
    <w:p>
      <w:pPr>
        <w:spacing w:before="40"/>
        <w:ind w:left="400"/>
      </w:pPr>
      <w:r>
        <w:rPr>
          <w:b/>
          <w:color w:val="0064A0"/>
          <w:sz w:val="18"/>
        </w:rPr>
        <w:t xml:space="preserve">🔮 Perspectives : </w:t>
      </w:r>
      <w:r>
        <w:rPr>
          <w:sz w:val="18"/>
        </w:rPr>
        <w:t>La dynamique positive de croissance devrait se poursuivre en 2023 portée par l'expansion du portefeuille crédit et le développement des services bancaires. Toutefois, l'environnement sécuritaire et économique régional nécessite une surveillance accrue des risques opérationnels et de crédit.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avec une croissance \u00e0 deux chiffres sur tous les indicateurs cl\u00e9s. Cependant, le contexte s\u00e9curitaire difficile au Burkina Faso repr\u00e9sente un facteur de risque \u00e0 surveiller."}</w:t>
      </w:r>
    </w:p>
    <w:p>
      <w:pPr>
        <w:spacing w:before="40"/>
        <w:ind w:left="400"/>
      </w:pPr>
      <w:r>
        <w:rPr>
          <w:sz w:val="18"/>
        </w:rPr>
        <w:t>Bank of Africa Burkina Faso a publié des résultats solides pour le premier trimestre 2023, avec une croissance significative de tous ses indicateurs clés. Le Produit Net Bancaire a progressé de 21,4% à 14,669 milliards FCFA, soutenu par une amélioration de la marge nette bancaire à 18,9%. Le résultat net a augmenté de 13,4% pour atteindre 6,821 milliards FCFA, témoignant d'une gestion efficace dans un environnement sécuritaire difficile. Le total bilan s'établit à 1,075 milliards FCFA contre 1,163 milliards fin 2022, avec des encours clients dynamiques. La banque maintient sa performance malgré le contexte sécuritaire national tendu au Burkina Faso.</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{'encours_depots': '818,818 millions FCFA', 'encours_credits': '625,430 millions FCFA', 'resultat_avant_impots': '7,929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18,9%</w:t>
            </w:r>
          </w:p>
        </w:tc>
        <w:tc>
          <w:tcPr>
            <w:tcW w:type="dxa" w:w="2160"/>
          </w:tcPr>
          <w:p>
            <w:pPr>
              <w:ind w:left="100"/>
            </w:pPr>
            <w:r/>
            <w:r>
              <w:rPr>
                <w:b/>
                <w:sz w:val="16"/>
              </w:rPr>
              <w:t>total_actif</w:t>
              <w:br/>
            </w:r>
            <w:r>
              <w:rPr>
                <w:sz w:val="18"/>
              </w:rPr>
              <w:t>1,075 milliards FCFA</w:t>
            </w:r>
          </w:p>
        </w:tc>
      </w:tr>
      <w:tr>
        <w:tc>
          <w:tcPr>
            <w:tcW w:type="dxa" w:w="2160"/>
          </w:tcPr>
          <w:p>
            <w:r/>
            <w:r>
              <w:rPr>
                <w:b/>
                <w:sz w:val="16"/>
              </w:rPr>
              <w:t>resultat_net</w:t>
              <w:br/>
            </w:r>
            <w:r>
              <w:rPr>
                <w:sz w:val="18"/>
              </w:rPr>
              <w:t>6,821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14,669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21,4% à 14,669 milliards FCFA au T1 2023</w:t>
      </w:r>
    </w:p>
    <w:p>
      <w:pPr>
        <w:pStyle w:val="ListBullet"/>
        <w:spacing w:before="20" w:after="20"/>
        <w:ind w:left="700"/>
      </w:pPr>
      <w:r>
        <w:rPr>
          <w:sz w:val="18"/>
        </w:rPr>
        <w:t>Amélioration de la marge nette bancaire à 18,9%</w:t>
      </w:r>
    </w:p>
    <w:p>
      <w:pPr>
        <w:pStyle w:val="ListBullet"/>
        <w:spacing w:before="20" w:after="20"/>
        <w:ind w:left="700"/>
      </w:pPr>
      <w:r>
        <w:rPr>
          <w:sz w:val="18"/>
        </w:rPr>
        <w:t>Progression du résultat net de 13,4% à 6,821 milliards FCFA</w:t>
      </w:r>
    </w:p>
    <w:p>
      <w:pPr>
        <w:pStyle w:val="ListBullet"/>
        <w:spacing w:before="20" w:after="20"/>
        <w:ind w:left="700"/>
      </w:pPr>
      <w:r>
        <w:rPr>
          <w:sz w:val="18"/>
        </w:rPr>
        <w:t>Résultat avant impôts en hausse de 13,68% à 7,929 milliards FCFA</w:t>
      </w:r>
    </w:p>
    <w:p>
      <w:pPr>
        <w:pStyle w:val="ListBullet"/>
        <w:spacing w:before="20" w:after="20"/>
        <w:ind w:left="700"/>
      </w:pPr>
      <w:r>
        <w:rPr>
          <w:sz w:val="18"/>
        </w:rPr>
        <w:t>Total bilan de 1,075 milliards FCFA fin mars 2023</w:t>
      </w:r>
    </w:p>
    <w:p>
      <w:pPr>
        <w:pStyle w:val="ListBullet"/>
        <w:spacing w:before="20" w:after="20"/>
        <w:ind w:left="700"/>
      </w:pPr>
      <w:r>
        <w:rPr>
          <w:sz w:val="18"/>
        </w:rPr>
        <w:t>Encours dépôts clients de 818,818 millions FCFA et crédits de 625,430 millions FCFA</w:t>
      </w:r>
    </w:p>
    <w:p>
      <w:pPr>
        <w:spacing w:before="40"/>
        <w:ind w:left="400"/>
      </w:pPr>
      <w:r>
        <w:rPr>
          <w:b/>
          <w:color w:val="C05000"/>
          <w:sz w:val="18"/>
        </w:rPr>
        <w:t xml:space="preserve">⚠️ Risques : </w:t>
      </w:r>
      <w:r>
        <w:rPr>
          <w:sz w:val="18"/>
        </w:rPr>
        <w:t>["Instabilit\u00e9 s\u00e9curitaire au Burkina Faso impactant l'environnement des affaires", "Contexte politique de transition pouvant affecter l'activit\u00e9 \u00e9conomique", "Risque de cr\u00e9dit potentiellement accru dans un environnement incertain"]</w:t>
      </w:r>
    </w:p>
    <w:p>
      <w:pPr>
        <w:spacing w:before="40"/>
        <w:ind w:left="400"/>
      </w:pPr>
      <w:r>
        <w:rPr>
          <w:b/>
          <w:color w:val="0064A0"/>
          <w:sz w:val="18"/>
        </w:rPr>
        <w:t xml:space="preserve">🔮 Perspectives : </w:t>
      </w:r>
      <w:r>
        <w:rPr>
          <w:sz w:val="18"/>
        </w:rPr>
        <w:t>Les fondamentaux solides de la banque et sa capacité à maintenir sa croissance malgré les difficultés sécuritaires sont encourageants. La poursuite de l'amélioration de la marge nette bancaire devrait soutenir la rentabilité, sous réserve d'une stabilisation progressive du contexte sécuritaire natio</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exceptionnelle avec une croissance \u00e0 deux chiffres de tous ses indicateurs cl\u00e9s et une am\u00e9lioration drastique de la gestion des risques. Malgr\u00e9 le contexte difficile au Burkina Faso, BOA BF maintient sa position dominante et d\u00e9montre sa r\u00e9silience."}</w:t>
      </w:r>
    </w:p>
    <w:p>
      <w:pPr>
        <w:spacing w:before="40"/>
        <w:ind w:left="400"/>
      </w:pPr>
      <w:r>
        <w:rPr>
          <w:sz w:val="18"/>
        </w:rPr>
        <w:t>Bank of Africa Burkina Faso affiche une performance solide au premier semestre 2023 avec une croissance généralisée de ses indicateurs clés. Le Produit Net Bancaire progresse de 15,14% à 29,85 milliards FCFA, soutenu par l'amélioration de la marge bancaire et des commissions. Le résultat net bondit de 23,38% à 15,09 milliards FCFA, reflétant une amélioration significative de la rentabilité. La banque maintient sa position de leader sur le marché bancaire burkinabè malgré un contexte économique difficile. Le coût du risque s'améliore drastiquement, passant de -890 millions à -138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'-138 millions FCFA', 'frais_generaux': '11,86 milliards FCFA', 'collecte_ressources': '823,83 milliards FCFA', 'encours_credits_nets': '631,15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50,51%</w:t>
            </w:r>
          </w:p>
        </w:tc>
        <w:tc>
          <w:tcPr>
            <w:tcW w:type="dxa" w:w="2160"/>
          </w:tcPr>
          <w:p>
            <w:pPr>
              <w:ind w:left="100"/>
            </w:pPr>
            <w:r/>
            <w:r>
              <w:rPr>
                <w:b/>
                <w:sz w:val="16"/>
              </w:rPr>
              <w:t>total_actif</w:t>
              <w:br/>
            </w:r>
            <w:r>
              <w:rPr>
                <w:sz w:val="18"/>
              </w:rPr>
              <w:t>1,132 milliards FCFA</w:t>
            </w:r>
          </w:p>
        </w:tc>
      </w:tr>
      <w:tr>
        <w:tc>
          <w:tcPr>
            <w:tcW w:type="dxa" w:w="2160"/>
          </w:tcPr>
          <w:p>
            <w:r/>
            <w:r>
              <w:rPr>
                <w:b/>
                <w:sz w:val="16"/>
              </w:rPr>
              <w:t>resultat_net</w:t>
              <w:br/>
            </w:r>
            <w:r>
              <w:rPr>
                <w:sz w:val="18"/>
              </w:rPr>
              <w:t>15,09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29,85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de 15,14% à 29,85 milliards FCFA</w:t>
      </w:r>
    </w:p>
    <w:p>
      <w:pPr>
        <w:pStyle w:val="ListBullet"/>
        <w:spacing w:before="20" w:after="20"/>
        <w:ind w:left="700"/>
      </w:pPr>
      <w:r>
        <w:rPr>
          <w:sz w:val="18"/>
        </w:rPr>
        <w:t>Résultat net en hausse de 23,38% à 15,09 milliards FCFA</w:t>
      </w:r>
    </w:p>
    <w:p>
      <w:pPr>
        <w:pStyle w:val="ListBullet"/>
        <w:spacing w:before="20" w:after="20"/>
        <w:ind w:left="700"/>
      </w:pPr>
      <w:r>
        <w:rPr>
          <w:sz w:val="18"/>
        </w:rPr>
        <w:t>Amélioration spectaculaire du coût du risque de 84,54%</w:t>
      </w:r>
    </w:p>
    <w:p>
      <w:pPr>
        <w:pStyle w:val="ListBullet"/>
        <w:spacing w:before="20" w:after="20"/>
        <w:ind w:left="700"/>
      </w:pPr>
      <w:r>
        <w:rPr>
          <w:sz w:val="18"/>
        </w:rPr>
        <w:t>Progression du résultat brut d'exploitation de 18,69% à 17,99 milliards FCFA</w:t>
      </w:r>
    </w:p>
    <w:p>
      <w:pPr>
        <w:pStyle w:val="ListBullet"/>
        <w:spacing w:before="20" w:after="20"/>
        <w:ind w:left="700"/>
      </w:pPr>
      <w:r>
        <w:rPr>
          <w:sz w:val="18"/>
        </w:rPr>
        <w:t>Maintien de la position de leader sur le marché bancaire burkinabè</w:t>
      </w:r>
    </w:p>
    <w:p>
      <w:pPr>
        <w:pStyle w:val="ListBullet"/>
        <w:spacing w:before="20" w:after="20"/>
        <w:ind w:left="700"/>
      </w:pPr>
      <w:r>
        <w:rPr>
          <w:sz w:val="18"/>
        </w:rPr>
        <w:t>Total bilan stable à 1,132 milliards FCFA contre 1,163 milliards fin 2022</w:t>
      </w:r>
    </w:p>
    <w:p>
      <w:pPr>
        <w:spacing w:before="40"/>
        <w:ind w:left="400"/>
      </w:pPr>
      <w:r>
        <w:rPr>
          <w:b/>
          <w:color w:val="C05000"/>
          <w:sz w:val="18"/>
        </w:rPr>
        <w:t xml:space="preserve">⚠️ Risques : </w:t>
      </w:r>
      <w:r>
        <w:rPr>
          <w:sz w:val="18"/>
        </w:rPr>
        <w:t>["Instabilit\u00e9 politique et s\u00e9curitaire au Burkina Faso affectant l'activit\u00e9 \u00e9conomique", "Baisse des d\u00e9p\u00f4ts clients et contraction du bilan", "Exposition au risque de cr\u00e9dit dans un environnement \u00e9conomique incertain"]</w:t>
      </w:r>
    </w:p>
    <w:p>
      <w:pPr>
        <w:spacing w:before="40"/>
        <w:ind w:left="400"/>
      </w:pPr>
      <w:r>
        <w:rPr>
          <w:b/>
          <w:color w:val="0064A0"/>
          <w:sz w:val="18"/>
        </w:rPr>
        <w:t xml:space="preserve">🔮 Perspectives : </w:t>
      </w:r>
      <w:r>
        <w:rPr>
          <w:sz w:val="18"/>
        </w:rPr>
        <w:t>Les perspectives restent positives compte tenu de la solidité des fondamentaux de la banque et de sa capacité d'adaptation au contexte local. La banque devrait continuer à bénéficier de sa position de leader tout en maintenant une gestion prudente des risques. L'évolution dépendra largement de la st</w:t>
      </w:r>
    </w:p>
    <w:p/>
    <w:p>
      <w:r>
        <w:t>════════════════════════════════════════════════════════════════════════════════</w:t>
      </w:r>
    </w:p>
    <w:p>
      <w:r>
        <w:br w:type="page"/>
      </w:r>
    </w:p>
    <w:p>
      <w:pPr>
        <w:pStyle w:val="Heading2"/>
        <w:spacing w:before="360"/>
      </w:pPr>
      <w:r>
        <w:rPr>
          <w:color w:val="0066CC"/>
        </w:rPr>
        <w:t>7. BOAC - BANK OF AFRICA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BOAC</w:t>
            </w:r>
          </w:p>
          <w:p>
            <w:r>
              <w:rPr>
                <w:b/>
                <w:color w:val="323250"/>
                <w:sz w:val="16"/>
              </w:rPr>
              <w:t xml:space="preserve">Société : </w:t>
            </w:r>
            <w:r>
              <w:rPr>
                <w:color w:val="000000"/>
                <w:sz w:val="16"/>
              </w:rPr>
              <w:t>BANK OF AFRICA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508.00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12,526 titres</w:t>
            </w:r>
          </w:p>
        </w:tc>
        <w:tc>
          <w:tcPr>
            <w:tcW w:type="dxa" w:w="2268"/>
            <w:shd w:fill="FFF2CC" w:val="clear"/>
          </w:tcPr>
          <w:p>
            <w:r>
              <w:rPr>
                <w:b/>
                <w:color w:val="503200"/>
                <w:sz w:val="16"/>
              </w:rPr>
              <w:t xml:space="preserve">Cours actuel : </w:t>
            </w:r>
            <w:r>
              <w:rPr>
                <w:color w:val="000000"/>
                <w:sz w:val="17"/>
              </w:rPr>
              <w:t>12,700 FCFA</w:t>
            </w:r>
          </w:p>
          <w:p>
            <w:r>
              <w:rPr>
                <w:b/>
                <w:color w:val="503200"/>
                <w:sz w:val="16"/>
              </w:rPr>
              <w:t xml:space="preserve">Var. 100 jours : </w:t>
            </w:r>
            <w:r>
              <w:rPr>
                <w:b/>
                <w:color w:val="007800"/>
                <w:sz w:val="17"/>
              </w:rPr>
              <w:t>+49.41%</w:t>
            </w:r>
          </w:p>
          <w:p>
            <w:r>
              <w:rPr>
                <w:b/>
                <w:color w:val="503200"/>
                <w:sz w:val="16"/>
              </w:rPr>
              <w:t xml:space="preserve">Plus haut 100j : </w:t>
            </w:r>
            <w:r>
              <w:rPr>
                <w:color w:val="000000"/>
                <w:sz w:val="17"/>
              </w:rPr>
              <w:t>13,450 FCFA</w:t>
            </w:r>
          </w:p>
          <w:p>
            <w:r>
              <w:rPr>
                <w:b/>
                <w:color w:val="503200"/>
                <w:sz w:val="16"/>
              </w:rPr>
              <w:t xml:space="preserve">Plus bas 100j : </w:t>
            </w:r>
            <w:r>
              <w:rPr>
                <w:color w:val="000000"/>
                <w:sz w:val="17"/>
              </w:rPr>
              <w:t>8,380 FCFA</w:t>
            </w:r>
          </w:p>
          <w:p>
            <w:r>
              <w:rPr>
                <w:b/>
                <w:color w:val="503200"/>
                <w:sz w:val="16"/>
              </w:rPr>
              <w:t xml:space="preserve">Volatilité ann. : </w:t>
            </w:r>
            <w:r>
              <w:rPr>
                <w:color w:val="000000"/>
                <w:sz w:val="17"/>
              </w:rPr>
              <w:t>25.4%</w:t>
            </w:r>
          </w:p>
        </w:tc>
        <w:tc>
          <w:tcPr>
            <w:tcW w:type="dxa" w:w="2835"/>
            <w:shd w:fill="FCE4D6" w:val="clear"/>
          </w:tcPr>
          <w:p>
            <w:r>
              <w:rPr>
                <w:b/>
                <w:color w:val="500000"/>
                <w:sz w:val="16"/>
              </w:rPr>
              <w:t xml:space="preserve">Recommandation : </w:t>
            </w:r>
            <w:r>
              <w:rPr>
                <w:b/>
                <w:color w:val="646400"/>
                <w:sz w:val="19"/>
              </w:rPr>
              <w:t>CONSERVER ⚠️</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15.3/100 → Faible</w:t>
      </w:r>
    </w:p>
    <w:p>
      <w:pPr>
        <w:spacing w:before="40" w:after="80"/>
      </w:pPr>
      <w:r>
        <w:rPr>
          <w:rFonts w:ascii="Courier New" w:hAnsi="Courier New"/>
          <w:color w:val="006400"/>
          <w:sz w:val="18"/>
        </w:rPr>
        <w:t>███░░░░░░░░░░░░░░░░░  15.3/100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14.73% (Moyenne) — μ=9,682 FCFA, σ=1,426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β=0.0567 (Défensif) — Cov=0.000002, Var(idx)=0.000035, ρ=0.021,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12,526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σ_j=1.60%/j (Stable) — Vol. annualisée≈25.4%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616976"/>
            <wp:docPr id="9" name="Picture 9"/>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2026-08-28</w:t>
            </w:r>
          </w:p>
        </w:tc>
        <w:tc>
          <w:tcPr>
            <w:tcW w:type="dxa" w:w="1440"/>
            <w:shd w:fill="FFDCE0" w:val="clear"/>
          </w:tcPr>
          <w:p>
            <w:r>
              <w:rPr>
                <w:sz w:val="17"/>
              </w:rPr>
              <w:t>11,573</w:t>
            </w:r>
          </w:p>
        </w:tc>
        <w:tc>
          <w:tcPr>
            <w:tcW w:type="dxa" w:w="1440"/>
            <w:shd w:fill="FFDCE0" w:val="clear"/>
          </w:tcPr>
          <w:p>
            <w:r>
              <w:rPr>
                <w:b/>
                <w:sz w:val="17"/>
              </w:rPr>
              <w:t>11,990</w:t>
            </w:r>
          </w:p>
        </w:tc>
        <w:tc>
          <w:tcPr>
            <w:tcW w:type="dxa" w:w="1440"/>
            <w:shd w:fill="FFDCE0" w:val="clear"/>
          </w:tcPr>
          <w:p>
            <w:r>
              <w:rPr>
                <w:sz w:val="17"/>
              </w:rPr>
              <w:t>12,406</w:t>
            </w:r>
          </w:p>
        </w:tc>
        <w:tc>
          <w:tcPr>
            <w:tcW w:type="dxa" w:w="1440"/>
            <w:shd w:fill="FFDCE0" w:val="clear"/>
          </w:tcPr>
          <w:p>
            <w:r>
              <w:rPr>
                <w:b/>
                <w:color w:val="C00000"/>
                <w:sz w:val="17"/>
              </w:rPr>
              <w:t>-5.6%</w:t>
            </w:r>
          </w:p>
        </w:tc>
      </w:tr>
      <w:tr>
        <w:tc>
          <w:tcPr>
            <w:tcW w:type="dxa" w:w="1440"/>
            <w:shd w:fill="FFDCE0" w:val="clear"/>
          </w:tcPr>
          <w:p>
            <w:r>
              <w:rPr>
                <w:sz w:val="17"/>
              </w:rPr>
              <w:t>J+2  Moyenne</w:t>
            </w:r>
          </w:p>
        </w:tc>
        <w:tc>
          <w:tcPr>
            <w:tcW w:type="dxa" w:w="1440"/>
            <w:shd w:fill="FFDCE0" w:val="clear"/>
          </w:tcPr>
          <w:p>
            <w:r>
              <w:rPr>
                <w:sz w:val="17"/>
              </w:rPr>
              <w:t>2026-08-31</w:t>
            </w:r>
          </w:p>
        </w:tc>
        <w:tc>
          <w:tcPr>
            <w:tcW w:type="dxa" w:w="1440"/>
            <w:shd w:fill="FFDCE0" w:val="clear"/>
          </w:tcPr>
          <w:p>
            <w:r>
              <w:rPr>
                <w:sz w:val="17"/>
              </w:rPr>
              <w:t>10,886</w:t>
            </w:r>
          </w:p>
        </w:tc>
        <w:tc>
          <w:tcPr>
            <w:tcW w:type="dxa" w:w="1440"/>
            <w:shd w:fill="FFDCE0" w:val="clear"/>
          </w:tcPr>
          <w:p>
            <w:r>
              <w:rPr>
                <w:b/>
                <w:sz w:val="17"/>
              </w:rPr>
              <w:t>11,448</w:t>
            </w:r>
          </w:p>
        </w:tc>
        <w:tc>
          <w:tcPr>
            <w:tcW w:type="dxa" w:w="1440"/>
            <w:shd w:fill="FFDCE0" w:val="clear"/>
          </w:tcPr>
          <w:p>
            <w:r>
              <w:rPr>
                <w:sz w:val="17"/>
              </w:rPr>
              <w:t>12,010</w:t>
            </w:r>
          </w:p>
        </w:tc>
        <w:tc>
          <w:tcPr>
            <w:tcW w:type="dxa" w:w="1440"/>
            <w:shd w:fill="FFDCE0" w:val="clear"/>
          </w:tcPr>
          <w:p>
            <w:r>
              <w:rPr>
                <w:b/>
                <w:color w:val="C00000"/>
                <w:sz w:val="17"/>
              </w:rPr>
              <w:t>-9.9%</w:t>
            </w:r>
          </w:p>
        </w:tc>
      </w:tr>
      <w:tr>
        <w:tc>
          <w:tcPr>
            <w:tcW w:type="dxa" w:w="1440"/>
            <w:shd w:fill="FFDCE0" w:val="clear"/>
          </w:tcPr>
          <w:p>
            <w:r>
              <w:rPr>
                <w:sz w:val="17"/>
              </w:rPr>
              <w:t>J+3  Moyenne</w:t>
            </w:r>
          </w:p>
        </w:tc>
        <w:tc>
          <w:tcPr>
            <w:tcW w:type="dxa" w:w="1440"/>
            <w:shd w:fill="FFDCE0" w:val="clear"/>
          </w:tcPr>
          <w:p>
            <w:r>
              <w:rPr>
                <w:sz w:val="17"/>
              </w:rPr>
              <w:t>2026-09-01</w:t>
            </w:r>
          </w:p>
        </w:tc>
        <w:tc>
          <w:tcPr>
            <w:tcW w:type="dxa" w:w="1440"/>
            <w:shd w:fill="FFDCE0" w:val="clear"/>
          </w:tcPr>
          <w:p>
            <w:r>
              <w:rPr>
                <w:sz w:val="17"/>
              </w:rPr>
              <w:t>10,268</w:t>
            </w:r>
          </w:p>
        </w:tc>
        <w:tc>
          <w:tcPr>
            <w:tcW w:type="dxa" w:w="1440"/>
            <w:shd w:fill="FFDCE0" w:val="clear"/>
          </w:tcPr>
          <w:p>
            <w:r>
              <w:rPr>
                <w:b/>
                <w:sz w:val="17"/>
              </w:rPr>
              <w:t>10,925</w:t>
            </w:r>
          </w:p>
        </w:tc>
        <w:tc>
          <w:tcPr>
            <w:tcW w:type="dxa" w:w="1440"/>
            <w:shd w:fill="FFDCE0" w:val="clear"/>
          </w:tcPr>
          <w:p>
            <w:r>
              <w:rPr>
                <w:sz w:val="17"/>
              </w:rPr>
              <w:t>11,583</w:t>
            </w:r>
          </w:p>
        </w:tc>
        <w:tc>
          <w:tcPr>
            <w:tcW w:type="dxa" w:w="1440"/>
            <w:shd w:fill="FFDCE0" w:val="clear"/>
          </w:tcPr>
          <w:p>
            <w:r>
              <w:rPr>
                <w:b/>
                <w:color w:val="C00000"/>
                <w:sz w:val="17"/>
              </w:rPr>
              <w:t>-14.0%</w:t>
            </w:r>
          </w:p>
        </w:tc>
      </w:tr>
      <w:tr>
        <w:tc>
          <w:tcPr>
            <w:tcW w:type="dxa" w:w="1440"/>
            <w:shd w:fill="FFDCE0" w:val="clear"/>
          </w:tcPr>
          <w:p>
            <w:r>
              <w:rPr>
                <w:sz w:val="17"/>
              </w:rPr>
              <w:t>J+4  ⭐</w:t>
            </w:r>
          </w:p>
        </w:tc>
        <w:tc>
          <w:tcPr>
            <w:tcW w:type="dxa" w:w="1440"/>
            <w:shd w:fill="FFDCE0" w:val="clear"/>
          </w:tcPr>
          <w:p>
            <w:r>
              <w:rPr>
                <w:sz w:val="17"/>
              </w:rPr>
              <w:t>2026-09-02</w:t>
            </w:r>
          </w:p>
        </w:tc>
        <w:tc>
          <w:tcPr>
            <w:tcW w:type="dxa" w:w="1440"/>
            <w:shd w:fill="FFDCE0" w:val="clear"/>
          </w:tcPr>
          <w:p>
            <w:r>
              <w:rPr>
                <w:sz w:val="17"/>
              </w:rPr>
              <w:t>9,744</w:t>
            </w:r>
          </w:p>
        </w:tc>
        <w:tc>
          <w:tcPr>
            <w:tcW w:type="dxa" w:w="1440"/>
            <w:shd w:fill="FFDCE0" w:val="clear"/>
          </w:tcPr>
          <w:p>
            <w:r>
              <w:rPr>
                <w:b/>
                <w:sz w:val="17"/>
              </w:rPr>
              <w:t>10,472</w:t>
            </w:r>
          </w:p>
        </w:tc>
        <w:tc>
          <w:tcPr>
            <w:tcW w:type="dxa" w:w="1440"/>
            <w:shd w:fill="FFDCE0" w:val="clear"/>
          </w:tcPr>
          <w:p>
            <w:r>
              <w:rPr>
                <w:sz w:val="17"/>
              </w:rPr>
              <w:t>11,199</w:t>
            </w:r>
          </w:p>
        </w:tc>
        <w:tc>
          <w:tcPr>
            <w:tcW w:type="dxa" w:w="1440"/>
            <w:shd w:fill="FFDCE0" w:val="clear"/>
          </w:tcPr>
          <w:p>
            <w:r>
              <w:rPr>
                <w:b/>
                <w:color w:val="C00000"/>
                <w:sz w:val="17"/>
              </w:rPr>
              <w:t>-17.5%</w:t>
            </w:r>
          </w:p>
        </w:tc>
      </w:tr>
      <w:tr>
        <w:tc>
          <w:tcPr>
            <w:tcW w:type="dxa" w:w="1440"/>
            <w:shd w:fill="FFDCE0" w:val="clear"/>
          </w:tcPr>
          <w:p>
            <w:r>
              <w:rPr>
                <w:sz w:val="17"/>
              </w:rPr>
              <w:t>J+5  ⭐</w:t>
            </w:r>
          </w:p>
        </w:tc>
        <w:tc>
          <w:tcPr>
            <w:tcW w:type="dxa" w:w="1440"/>
            <w:shd w:fill="FFDCE0" w:val="clear"/>
          </w:tcPr>
          <w:p>
            <w:r>
              <w:rPr>
                <w:sz w:val="17"/>
              </w:rPr>
              <w:t>2026-09-03</w:t>
            </w:r>
          </w:p>
        </w:tc>
        <w:tc>
          <w:tcPr>
            <w:tcW w:type="dxa" w:w="1440"/>
            <w:shd w:fill="FFDCE0" w:val="clear"/>
          </w:tcPr>
          <w:p>
            <w:r>
              <w:rPr>
                <w:sz w:val="17"/>
              </w:rPr>
              <w:t>9,299</w:t>
            </w:r>
          </w:p>
        </w:tc>
        <w:tc>
          <w:tcPr>
            <w:tcW w:type="dxa" w:w="1440"/>
            <w:shd w:fill="FFDCE0" w:val="clear"/>
          </w:tcPr>
          <w:p>
            <w:r>
              <w:rPr>
                <w:b/>
                <w:sz w:val="17"/>
              </w:rPr>
              <w:t>10,082</w:t>
            </w:r>
          </w:p>
        </w:tc>
        <w:tc>
          <w:tcPr>
            <w:tcW w:type="dxa" w:w="1440"/>
            <w:shd w:fill="FFDCE0" w:val="clear"/>
          </w:tcPr>
          <w:p>
            <w:r>
              <w:rPr>
                <w:sz w:val="17"/>
              </w:rPr>
              <w:t>10,866</w:t>
            </w:r>
          </w:p>
        </w:tc>
        <w:tc>
          <w:tcPr>
            <w:tcW w:type="dxa" w:w="1440"/>
            <w:shd w:fill="FFDCE0" w:val="clear"/>
          </w:tcPr>
          <w:p>
            <w:r>
              <w:rPr>
                <w:b/>
                <w:color w:val="C00000"/>
                <w:sz w:val="17"/>
              </w:rPr>
              <w:t>-20.6%</w:t>
            </w:r>
          </w:p>
        </w:tc>
      </w:tr>
      <w:tr>
        <w:tc>
          <w:tcPr>
            <w:tcW w:type="dxa" w:w="1440"/>
            <w:shd w:fill="FFDCE0" w:val="clear"/>
          </w:tcPr>
          <w:p>
            <w:r>
              <w:rPr>
                <w:sz w:val="17"/>
              </w:rPr>
              <w:t>J+6  ⭐</w:t>
            </w:r>
          </w:p>
        </w:tc>
        <w:tc>
          <w:tcPr>
            <w:tcW w:type="dxa" w:w="1440"/>
            <w:shd w:fill="FFDCE0" w:val="clear"/>
          </w:tcPr>
          <w:p>
            <w:r>
              <w:rPr>
                <w:sz w:val="17"/>
              </w:rPr>
              <w:t>2026-09-04</w:t>
            </w:r>
          </w:p>
        </w:tc>
        <w:tc>
          <w:tcPr>
            <w:tcW w:type="dxa" w:w="1440"/>
            <w:shd w:fill="FFDCE0" w:val="clear"/>
          </w:tcPr>
          <w:p>
            <w:r>
              <w:rPr>
                <w:sz w:val="17"/>
              </w:rPr>
              <w:t>8,918</w:t>
            </w:r>
          </w:p>
        </w:tc>
        <w:tc>
          <w:tcPr>
            <w:tcW w:type="dxa" w:w="1440"/>
            <w:shd w:fill="FFDCE0" w:val="clear"/>
          </w:tcPr>
          <w:p>
            <w:r>
              <w:rPr>
                <w:b/>
                <w:sz w:val="17"/>
              </w:rPr>
              <w:t>9,748</w:t>
            </w:r>
          </w:p>
        </w:tc>
        <w:tc>
          <w:tcPr>
            <w:tcW w:type="dxa" w:w="1440"/>
            <w:shd w:fill="FFDCE0" w:val="clear"/>
          </w:tcPr>
          <w:p>
            <w:r>
              <w:rPr>
                <w:sz w:val="17"/>
              </w:rPr>
              <w:t>10,577</w:t>
            </w:r>
          </w:p>
        </w:tc>
        <w:tc>
          <w:tcPr>
            <w:tcW w:type="dxa" w:w="1440"/>
            <w:shd w:fill="FFDCE0" w:val="clear"/>
          </w:tcPr>
          <w:p>
            <w:r>
              <w:rPr>
                <w:b/>
                <w:color w:val="C00000"/>
                <w:sz w:val="17"/>
              </w:rPr>
              <w:t>-23.2%</w:t>
            </w:r>
          </w:p>
        </w:tc>
      </w:tr>
      <w:tr>
        <w:tc>
          <w:tcPr>
            <w:tcW w:type="dxa" w:w="1440"/>
            <w:shd w:fill="FFDCE0" w:val="clear"/>
          </w:tcPr>
          <w:p>
            <w:r>
              <w:rPr>
                <w:sz w:val="17"/>
              </w:rPr>
              <w:t>J+7  ⭐</w:t>
            </w:r>
          </w:p>
        </w:tc>
        <w:tc>
          <w:tcPr>
            <w:tcW w:type="dxa" w:w="1440"/>
            <w:shd w:fill="FFDCE0" w:val="clear"/>
          </w:tcPr>
          <w:p>
            <w:r>
              <w:rPr>
                <w:sz w:val="17"/>
              </w:rPr>
              <w:t>2026-09-07</w:t>
            </w:r>
          </w:p>
        </w:tc>
        <w:tc>
          <w:tcPr>
            <w:tcW w:type="dxa" w:w="1440"/>
            <w:shd w:fill="FFDCE0" w:val="clear"/>
          </w:tcPr>
          <w:p>
            <w:r>
              <w:rPr>
                <w:sz w:val="17"/>
              </w:rPr>
              <w:t>8,589</w:t>
            </w:r>
          </w:p>
        </w:tc>
        <w:tc>
          <w:tcPr>
            <w:tcW w:type="dxa" w:w="1440"/>
            <w:shd w:fill="FFDCE0" w:val="clear"/>
          </w:tcPr>
          <w:p>
            <w:r>
              <w:rPr>
                <w:b/>
                <w:sz w:val="17"/>
              </w:rPr>
              <w:t>9,458</w:t>
            </w:r>
          </w:p>
        </w:tc>
        <w:tc>
          <w:tcPr>
            <w:tcW w:type="dxa" w:w="1440"/>
            <w:shd w:fill="FFDCE0" w:val="clear"/>
          </w:tcPr>
          <w:p>
            <w:r>
              <w:rPr>
                <w:sz w:val="17"/>
              </w:rPr>
              <w:t>10,328</w:t>
            </w:r>
          </w:p>
        </w:tc>
        <w:tc>
          <w:tcPr>
            <w:tcW w:type="dxa" w:w="1440"/>
            <w:shd w:fill="FFDCE0" w:val="clear"/>
          </w:tcPr>
          <w:p>
            <w:r>
              <w:rPr>
                <w:b/>
                <w:color w:val="C00000"/>
                <w:sz w:val="17"/>
              </w:rPr>
              <w:t>-25.5%</w:t>
            </w:r>
          </w:p>
        </w:tc>
      </w:tr>
      <w:tr>
        <w:tc>
          <w:tcPr>
            <w:tcW w:type="dxa" w:w="1440"/>
            <w:shd w:fill="FFDCE0" w:val="clear"/>
          </w:tcPr>
          <w:p>
            <w:r>
              <w:rPr>
                <w:sz w:val="17"/>
              </w:rPr>
              <w:t>J+8  ⭐</w:t>
            </w:r>
          </w:p>
        </w:tc>
        <w:tc>
          <w:tcPr>
            <w:tcW w:type="dxa" w:w="1440"/>
            <w:shd w:fill="FFDCE0" w:val="clear"/>
          </w:tcPr>
          <w:p>
            <w:r>
              <w:rPr>
                <w:sz w:val="17"/>
              </w:rPr>
              <w:t>2026-09-08</w:t>
            </w:r>
          </w:p>
        </w:tc>
        <w:tc>
          <w:tcPr>
            <w:tcW w:type="dxa" w:w="1440"/>
            <w:shd w:fill="FFDCE0" w:val="clear"/>
          </w:tcPr>
          <w:p>
            <w:r>
              <w:rPr>
                <w:sz w:val="17"/>
              </w:rPr>
              <w:t>8,302</w:t>
            </w:r>
          </w:p>
        </w:tc>
        <w:tc>
          <w:tcPr>
            <w:tcW w:type="dxa" w:w="1440"/>
            <w:shd w:fill="FFDCE0" w:val="clear"/>
          </w:tcPr>
          <w:p>
            <w:r>
              <w:rPr>
                <w:b/>
                <w:sz w:val="17"/>
              </w:rPr>
              <w:t>9,206</w:t>
            </w:r>
          </w:p>
        </w:tc>
        <w:tc>
          <w:tcPr>
            <w:tcW w:type="dxa" w:w="1440"/>
            <w:shd w:fill="FFDCE0" w:val="clear"/>
          </w:tcPr>
          <w:p>
            <w:r>
              <w:rPr>
                <w:sz w:val="17"/>
              </w:rPr>
              <w:t>10,111</w:t>
            </w:r>
          </w:p>
        </w:tc>
        <w:tc>
          <w:tcPr>
            <w:tcW w:type="dxa" w:w="1440"/>
            <w:shd w:fill="FFDCE0" w:val="clear"/>
          </w:tcPr>
          <w:p>
            <w:r>
              <w:rPr>
                <w:b/>
                <w:color w:val="C00000"/>
                <w:sz w:val="17"/>
              </w:rPr>
              <w:t>-27.5%</w:t>
            </w:r>
          </w:p>
        </w:tc>
      </w:tr>
      <w:tr>
        <w:tc>
          <w:tcPr>
            <w:tcW w:type="dxa" w:w="1440"/>
            <w:shd w:fill="FFDCE0" w:val="clear"/>
          </w:tcPr>
          <w:p>
            <w:r>
              <w:rPr>
                <w:sz w:val="17"/>
              </w:rPr>
              <w:t>J+9  ⭐</w:t>
            </w:r>
          </w:p>
        </w:tc>
        <w:tc>
          <w:tcPr>
            <w:tcW w:type="dxa" w:w="1440"/>
            <w:shd w:fill="FFDCE0" w:val="clear"/>
          </w:tcPr>
          <w:p>
            <w:r>
              <w:rPr>
                <w:sz w:val="17"/>
              </w:rPr>
              <w:t>2026-09-09</w:t>
            </w:r>
          </w:p>
        </w:tc>
        <w:tc>
          <w:tcPr>
            <w:tcW w:type="dxa" w:w="1440"/>
            <w:shd w:fill="FFDCE0" w:val="clear"/>
          </w:tcPr>
          <w:p>
            <w:r>
              <w:rPr>
                <w:sz w:val="17"/>
              </w:rPr>
              <w:t>8,048</w:t>
            </w:r>
          </w:p>
        </w:tc>
        <w:tc>
          <w:tcPr>
            <w:tcW w:type="dxa" w:w="1440"/>
            <w:shd w:fill="FFDCE0" w:val="clear"/>
          </w:tcPr>
          <w:p>
            <w:r>
              <w:rPr>
                <w:b/>
                <w:sz w:val="17"/>
              </w:rPr>
              <w:t>8,984</w:t>
            </w:r>
          </w:p>
        </w:tc>
        <w:tc>
          <w:tcPr>
            <w:tcW w:type="dxa" w:w="1440"/>
            <w:shd w:fill="FFDCE0" w:val="clear"/>
          </w:tcPr>
          <w:p>
            <w:r>
              <w:rPr>
                <w:sz w:val="17"/>
              </w:rPr>
              <w:t>9,921</w:t>
            </w:r>
          </w:p>
        </w:tc>
        <w:tc>
          <w:tcPr>
            <w:tcW w:type="dxa" w:w="1440"/>
            <w:shd w:fill="FFDCE0" w:val="clear"/>
          </w:tcPr>
          <w:p>
            <w:r>
              <w:rPr>
                <w:b/>
                <w:color w:val="C00000"/>
                <w:sz w:val="17"/>
              </w:rPr>
              <w:t>-29.3%</w:t>
            </w:r>
          </w:p>
        </w:tc>
      </w:tr>
      <w:tr>
        <w:tc>
          <w:tcPr>
            <w:tcW w:type="dxa" w:w="1440"/>
            <w:shd w:fill="FFDCE0" w:val="clear"/>
          </w:tcPr>
          <w:p>
            <w:r>
              <w:rPr>
                <w:sz w:val="17"/>
              </w:rPr>
              <w:t>J+10  ⭐</w:t>
            </w:r>
          </w:p>
        </w:tc>
        <w:tc>
          <w:tcPr>
            <w:tcW w:type="dxa" w:w="1440"/>
            <w:shd w:fill="FFDCE0" w:val="clear"/>
          </w:tcPr>
          <w:p>
            <w:r>
              <w:rPr>
                <w:sz w:val="17"/>
              </w:rPr>
              <w:t>2026-09-10</w:t>
            </w:r>
          </w:p>
        </w:tc>
        <w:tc>
          <w:tcPr>
            <w:tcW w:type="dxa" w:w="1440"/>
            <w:shd w:fill="FFDCE0" w:val="clear"/>
          </w:tcPr>
          <w:p>
            <w:r>
              <w:rPr>
                <w:sz w:val="17"/>
              </w:rPr>
              <w:t>7,822</w:t>
            </w:r>
          </w:p>
        </w:tc>
        <w:tc>
          <w:tcPr>
            <w:tcW w:type="dxa" w:w="1440"/>
            <w:shd w:fill="FFDCE0" w:val="clear"/>
          </w:tcPr>
          <w:p>
            <w:r>
              <w:rPr>
                <w:b/>
                <w:sz w:val="17"/>
              </w:rPr>
              <w:t>8,788</w:t>
            </w:r>
          </w:p>
        </w:tc>
        <w:tc>
          <w:tcPr>
            <w:tcW w:type="dxa" w:w="1440"/>
            <w:shd w:fill="FFDCE0" w:val="clear"/>
          </w:tcPr>
          <w:p>
            <w:r>
              <w:rPr>
                <w:sz w:val="17"/>
              </w:rPr>
              <w:t>9,753</w:t>
            </w:r>
          </w:p>
        </w:tc>
        <w:tc>
          <w:tcPr>
            <w:tcW w:type="dxa" w:w="1440"/>
            <w:shd w:fill="FFDCE0" w:val="clear"/>
          </w:tcPr>
          <w:p>
            <w:r>
              <w:rPr>
                <w:b/>
                <w:color w:val="C00000"/>
                <w:sz w:val="17"/>
              </w:rPr>
              <w:t>-30.8%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257.451 Mds FCFA</w:t>
            </w:r>
          </w:p>
        </w:tc>
        <w:tc>
          <w:tcPr>
            <w:tcW w:type="dxa" w:w="5669"/>
            <w:shd w:fill="FFFFFF" w:val="clear"/>
          </w:tcPr>
          <w:p>
            <w:r>
              <w:rPr>
                <w:color w:val="282828"/>
                <w:sz w:val="15"/>
              </w:rPr>
              <w:t>Représente 23.3%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307.925 Mds FCFA</w:t>
            </w:r>
          </w:p>
        </w:tc>
        <w:tc>
          <w:tcPr>
            <w:tcW w:type="dxa" w:w="5669"/>
            <w:shd w:fill="FFFFFF" w:val="clear"/>
          </w:tcPr>
          <w:p>
            <w:r>
              <w:rPr>
                <w:color w:val="282828"/>
                <w:sz w:val="15"/>
              </w:rPr>
              <w:t>Titres d'État détenus (27.9%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70.451 Mds FCFA</w:t>
            </w:r>
          </w:p>
        </w:tc>
        <w:tc>
          <w:tcPr>
            <w:tcW w:type="dxa" w:w="5669"/>
            <w:shd w:fill="FFFFFF" w:val="clear"/>
          </w:tcPr>
          <w:p>
            <w:r>
              <w:rPr>
                <w:color w:val="282828"/>
                <w:sz w:val="15"/>
              </w:rPr>
              <w:t>Prêts aux autres banques (6.4%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430.433 Mds FCFA</w:t>
            </w:r>
          </w:p>
        </w:tc>
        <w:tc>
          <w:tcPr>
            <w:tcW w:type="dxa" w:w="5669"/>
            <w:shd w:fill="FFFFFF" w:val="clear"/>
          </w:tcPr>
          <w:p>
            <w:r>
              <w:rPr>
                <w:color w:val="282828"/>
                <w:sz w:val="15"/>
              </w:rPr>
              <w:t>Portefeuille crédits (39.0% du bilan). ✅ Concentration saine sur le métier de crédit.</w:t>
            </w:r>
          </w:p>
        </w:tc>
      </w:tr>
      <w:tr>
        <w:tc>
          <w:tcPr>
            <w:tcW w:type="dxa" w:w="2268"/>
            <w:shd w:fill="EEF2F7" w:val="clear"/>
          </w:tcPr>
          <w:p>
            <w:r>
              <w:rPr>
                <w:b/>
                <w:color w:val="1E1E3C"/>
                <w:sz w:val="16"/>
              </w:rPr>
              <w:t>Actif circulant</w:t>
            </w:r>
          </w:p>
        </w:tc>
        <w:tc>
          <w:tcPr>
            <w:tcW w:type="dxa" w:w="1984"/>
            <w:shd w:fill="C6EFCE" w:val="clear"/>
          </w:tcPr>
          <w:p>
            <w:r>
              <w:rPr>
                <w:b/>
                <w:color w:val="006400"/>
                <w:sz w:val="17"/>
              </w:rPr>
              <w:t>1087.426 Mds FCFA</w:t>
            </w:r>
          </w:p>
        </w:tc>
        <w:tc>
          <w:tcPr>
            <w:tcW w:type="dxa" w:w="5669"/>
            <w:shd w:fill="FFFFFF" w:val="clear"/>
          </w:tcPr>
          <w:p>
            <w:r>
              <w:rPr>
                <w:color w:val="282828"/>
                <w:sz w:val="15"/>
              </w:rPr>
              <w:t>Ratio actif circ./passif circ. = 36.84x.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1.343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10.555 Mds FCFA</w:t>
            </w:r>
          </w:p>
        </w:tc>
        <w:tc>
          <w:tcPr>
            <w:tcW w:type="dxa" w:w="5669"/>
            <w:shd w:fill="FFFFFF" w:val="clear"/>
          </w:tcPr>
          <w:p>
            <w:r>
              <w:rPr>
                <w:color w:val="282828"/>
                <w:sz w:val="15"/>
              </w:rPr>
              <w:t>Outil industriel (1.0%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15.880 Mds FCFA</w:t>
            </w:r>
          </w:p>
        </w:tc>
        <w:tc>
          <w:tcPr>
            <w:tcW w:type="dxa" w:w="5669"/>
            <w:shd w:fill="FFFFFF" w:val="clear"/>
          </w:tcPr>
          <w:p>
            <w:r>
              <w:rPr>
                <w:color w:val="282828"/>
                <w:sz w:val="15"/>
              </w:rPr>
              <w:t>Actif immobilisé = 1.4%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257.451 Mds FCFA</w:t>
            </w:r>
          </w:p>
        </w:tc>
        <w:tc>
          <w:tcPr>
            <w:tcW w:type="dxa" w:w="5669"/>
            <w:shd w:fill="FFFFFF" w:val="clear"/>
          </w:tcPr>
          <w:p>
            <w:r>
              <w:rPr>
                <w:color w:val="282828"/>
                <w:sz w:val="15"/>
              </w:rPr>
              <w:t>Liquidités disponibles (23.3%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1103.306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51.709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127.340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132.161 Mds FCFA</w:t>
            </w:r>
          </w:p>
        </w:tc>
        <w:tc>
          <w:tcPr>
            <w:tcW w:type="dxa" w:w="5669"/>
            <w:shd w:fill="FFFFFF" w:val="clear"/>
          </w:tcPr>
          <w:p>
            <w:r>
              <w:rPr>
                <w:color w:val="282828"/>
                <w:sz w:val="15"/>
              </w:rPr>
              <w:t>Capitaux permanents / Actif immobilisé = 8.32x.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95.901 Mds FCFA</w:t>
            </w:r>
          </w:p>
        </w:tc>
        <w:tc>
          <w:tcPr>
            <w:tcW w:type="dxa" w:w="5669"/>
            <w:shd w:fill="FFFFFF" w:val="clear"/>
          </w:tcPr>
          <w:p>
            <w:r>
              <w:rPr>
                <w:color w:val="282828"/>
                <w:sz w:val="15"/>
              </w:rPr>
              <w:t>Refinancement interbancaire (8.7%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850.548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totales</w:t>
            </w:r>
          </w:p>
        </w:tc>
        <w:tc>
          <w:tcPr>
            <w:tcW w:type="dxa" w:w="1984"/>
            <w:shd w:fill="FFC7CE" w:val="clear"/>
          </w:tcPr>
          <w:p>
            <w:r>
              <w:rPr>
                <w:b/>
                <w:color w:val="006400"/>
                <w:sz w:val="17"/>
              </w:rPr>
              <w:t>975.966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73.545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73.545 Mds FCFA</w:t>
            </w:r>
          </w:p>
        </w:tc>
        <w:tc>
          <w:tcPr>
            <w:tcW w:type="dxa" w:w="5669"/>
            <w:shd w:fill="FFFFFF" w:val="clear"/>
          </w:tcPr>
          <w:p>
            <w:r>
              <w:rPr>
                <w:color w:val="282828"/>
                <w:sz w:val="15"/>
              </w:rPr>
              <w:t>Revenu bancaire central (≡ CA). Croissance: 1.1%.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59.439 Mds FCFA</w:t>
            </w:r>
          </w:p>
        </w:tc>
        <w:tc>
          <w:tcPr>
            <w:tcW w:type="dxa" w:w="5669"/>
            <w:shd w:fill="FFFFFF" w:val="clear"/>
          </w:tcPr>
          <w:p>
            <w:r>
              <w:rPr>
                <w:color w:val="282828"/>
                <w:sz w:val="15"/>
              </w:rPr>
              <w:t>Revenus d'intérêts sur crédits (81%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-18.500 Mds FCFA</w:t>
            </w:r>
          </w:p>
        </w:tc>
        <w:tc>
          <w:tcPr>
            <w:tcW w:type="dxa" w:w="5669"/>
            <w:shd w:fill="FFFFFF" w:val="clear"/>
          </w:tcPr>
          <w:p>
            <w:r>
              <w:rPr>
                <w:color w:val="282828"/>
                <w:sz w:val="15"/>
              </w:rPr>
              <w:t>Coût des dépôts collectés (-25%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24.092 Mds FCFA</w:t>
            </w:r>
          </w:p>
        </w:tc>
        <w:tc>
          <w:tcPr>
            <w:tcW w:type="dxa" w:w="5669"/>
            <w:shd w:fill="FFFFFF" w:val="clear"/>
          </w:tcPr>
          <w:p>
            <w:r>
              <w:rPr>
                <w:color w:val="282828"/>
                <w:sz w:val="15"/>
              </w:rPr>
              <w:t>Revenus de commissions (32.8%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-25.499 Mds FCFA</w:t>
            </w:r>
          </w:p>
        </w:tc>
        <w:tc>
          <w:tcPr>
            <w:tcW w:type="dxa" w:w="5669"/>
            <w:shd w:fill="FFFFFF" w:val="clear"/>
          </w:tcPr>
          <w:p>
            <w:r>
              <w:rPr>
                <w:color w:val="282828"/>
                <w:sz w:val="15"/>
              </w:rPr>
              <w:t>-34.7%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-1.489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48.046 Mds FCFA</w:t>
            </w:r>
          </w:p>
        </w:tc>
        <w:tc>
          <w:tcPr>
            <w:tcW w:type="dxa" w:w="5669"/>
            <w:shd w:fill="FFFFFF" w:val="clear"/>
          </w:tcPr>
          <w:p>
            <w:r>
              <w:rPr>
                <w:color w:val="282828"/>
                <w:sz w:val="15"/>
              </w:rPr>
              <w:t>VA = 4804600000000.0%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48.046 Mds FCFA</w:t>
            </w:r>
          </w:p>
        </w:tc>
        <w:tc>
          <w:tcPr>
            <w:tcW w:type="dxa" w:w="5669"/>
            <w:shd w:fill="FFFFFF" w:val="clear"/>
          </w:tcPr>
          <w:p>
            <w:r>
              <w:rPr>
                <w:color w:val="282828"/>
                <w:sz w:val="15"/>
              </w:rPr>
              <w:t>EBE = 65.3%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46.557 Mds FCFA</w:t>
            </w:r>
          </w:p>
        </w:tc>
        <w:tc>
          <w:tcPr>
            <w:tcW w:type="dxa" w:w="5669"/>
            <w:shd w:fill="FFFFFF" w:val="clear"/>
          </w:tcPr>
          <w:p>
            <w:r>
              <w:rPr>
                <w:color w:val="282828"/>
                <w:sz w:val="15"/>
              </w:rPr>
              <w:t>RBE = 63.3%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41.655 Mds FCFA</w:t>
            </w:r>
          </w:p>
        </w:tc>
        <w:tc>
          <w:tcPr>
            <w:tcW w:type="dxa" w:w="5669"/>
            <w:shd w:fill="FFFFFF" w:val="clear"/>
          </w:tcPr>
          <w:p>
            <w:r>
              <w:rPr>
                <w:color w:val="282828"/>
                <w:sz w:val="15"/>
              </w:rPr>
              <w:t>Profit d'exploitation = 56.6%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-4.902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35.540 Mds FCFA</w:t>
            </w:r>
          </w:p>
        </w:tc>
        <w:tc>
          <w:tcPr>
            <w:tcW w:type="dxa" w:w="5669"/>
            <w:shd w:fill="FFFFFF" w:val="clear"/>
          </w:tcPr>
          <w:p>
            <w:r>
              <w:rPr>
                <w:color w:val="282828"/>
                <w:sz w:val="15"/>
              </w:rPr>
              <w:t>Marge nette = 48.3%.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41.931 Mds FCFA</w:t>
            </w:r>
          </w:p>
        </w:tc>
        <w:tc>
          <w:tcPr>
            <w:tcW w:type="dxa" w:w="5669"/>
            <w:shd w:fill="FFFFFF" w:val="clear"/>
          </w:tcPr>
          <w:p>
            <w:r>
              <w:rPr>
                <w:color w:val="282828"/>
                <w:sz w:val="15"/>
              </w:rPr>
              <w:t>CAF = 41.93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116.281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161.550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48.32%</w:t>
            </w:r>
          </w:p>
        </w:tc>
        <w:tc>
          <w:tcPr>
            <w:tcW w:type="dxa" w:w="5669"/>
            <w:shd w:fill="FFFFFF" w:val="clear"/>
          </w:tcPr>
          <w:p>
            <w:r>
              <w:rPr>
                <w:color w:val="282828"/>
                <w:sz w:val="15"/>
              </w:rPr>
              <w:t>Résultat net / revenus = 48.32%.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56.64%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27.91%</w:t>
            </w:r>
          </w:p>
        </w:tc>
        <w:tc>
          <w:tcPr>
            <w:tcW w:type="dxa" w:w="5669"/>
            <w:shd w:fill="FFFFFF" w:val="clear"/>
          </w:tcPr>
          <w:p>
            <w:r>
              <w:rPr>
                <w:color w:val="282828"/>
                <w:sz w:val="15"/>
              </w:rPr>
              <w:t>Résultat net / capitaux propres = 27.91%.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3.22%</w:t>
            </w:r>
          </w:p>
        </w:tc>
        <w:tc>
          <w:tcPr>
            <w:tcW w:type="dxa" w:w="5669"/>
            <w:shd w:fill="FFFFFF" w:val="clear"/>
          </w:tcPr>
          <w:p>
            <w:r>
              <w:rPr>
                <w:color w:val="282828"/>
                <w:sz w:val="15"/>
              </w:rPr>
              <w:t>Résultat net / total actif = 3.22%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6.67%</w:t>
            </w:r>
          </w:p>
        </w:tc>
        <w:tc>
          <w:tcPr>
            <w:tcW w:type="dxa" w:w="5669"/>
            <w:shd w:fill="FFFFFF" w:val="clear"/>
          </w:tcPr>
          <w:p>
            <w:r>
              <w:rPr>
                <w:color w:val="282828"/>
                <w:sz w:val="15"/>
              </w:rPr>
              <w:t>CA / total actif = 6.67x.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36.70%</w:t>
            </w:r>
          </w:p>
        </w:tc>
        <w:tc>
          <w:tcPr>
            <w:tcW w:type="dxa" w:w="5669"/>
            <w:shd w:fill="FFFFFF" w:val="clear"/>
          </w:tcPr>
          <w:p>
            <w:r>
              <w:rPr>
                <w:color w:val="282828"/>
                <w:sz w:val="15"/>
              </w:rPr>
              <w:t>Charges / PNB = 36.70%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6.67%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1.13%</w:t>
            </w:r>
          </w:p>
        </w:tc>
        <w:tc>
          <w:tcPr>
            <w:tcW w:type="dxa" w:w="5669"/>
            <w:shd w:fill="FFFFFF" w:val="clear"/>
          </w:tcPr>
          <w:p>
            <w:r>
              <w:rPr>
                <w:color w:val="282828"/>
                <w:sz w:val="15"/>
              </w:rPr>
              <w:t>Croissance PNB vs exercice précédent = 1.13%.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3684.07%</w:t>
            </w:r>
          </w:p>
        </w:tc>
        <w:tc>
          <w:tcPr>
            <w:tcW w:type="dxa" w:w="5669"/>
            <w:shd w:fill="FFFFFF" w:val="clear"/>
          </w:tcPr>
          <w:p>
            <w:r>
              <w:rPr>
                <w:color w:val="282828"/>
                <w:sz w:val="15"/>
              </w:rPr>
              <w:t>Actif circulant / passif circulant = 3684.07x.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872.21%</w:t>
            </w:r>
          </w:p>
        </w:tc>
        <w:tc>
          <w:tcPr>
            <w:tcW w:type="dxa" w:w="5669"/>
            <w:shd w:fill="FFFFFF" w:val="clear"/>
          </w:tcPr>
          <w:p>
            <w:r>
              <w:rPr>
                <w:color w:val="282828"/>
                <w:sz w:val="15"/>
              </w:rPr>
              <w:t>Trésorerie / passif circulant = 872.21x.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3684.07%</w:t>
            </w:r>
          </w:p>
        </w:tc>
        <w:tc>
          <w:tcPr>
            <w:tcW w:type="dxa" w:w="5669"/>
            <w:shd w:fill="FFFFFF" w:val="clear"/>
          </w:tcPr>
          <w:p>
            <w:r>
              <w:rPr>
                <w:color w:val="282828"/>
                <w:sz w:val="15"/>
              </w:rPr>
              <w:t>(Actif circ. - stocks) / passif circ. = 3684.07x.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832.25%</w:t>
            </w:r>
          </w:p>
        </w:tc>
        <w:tc>
          <w:tcPr>
            <w:tcW w:type="dxa" w:w="5669"/>
            <w:shd w:fill="FFFFFF" w:val="clear"/>
          </w:tcPr>
          <w:p>
            <w:r>
              <w:rPr>
                <w:color w:val="282828"/>
                <w:sz w:val="15"/>
              </w:rPr>
              <w:t>Capitaux permanents / actif immobilisé = 832.25x.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225.16%</w:t>
            </w:r>
          </w:p>
        </w:tc>
        <w:tc>
          <w:tcPr>
            <w:tcW w:type="dxa" w:w="5669"/>
            <w:shd w:fill="FFFFFF" w:val="clear"/>
          </w:tcPr>
          <w:p>
            <w:r>
              <w:rPr>
                <w:color w:val="282828"/>
                <w:sz w:val="15"/>
              </w:rPr>
              <w:t>Résultat exploit. / charges financières = 225.16x. ✅ Couverture satisfaisante.</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BOAC s'établit à 508 milliards FCFA, positionnant le titre parmi les valeurs moyennes du marché BRVM. Avec un BPA de 888 FCFA, le PER de 14,3x se situe au-dessus de la moyenne historique de la place (~8-12x), indiquant que les investisseurs acceptent de payer une prime pour la qualité de la banque, mais cette prime reste mesurée. Le P/B de 3,99x confirme cette lecture : le marché valorise les capitaux propres près de 4 fois leur valeur comptable, ce qui est caractéristique d'une société à forte rentabilité (ROE &gt; 27%) et à laquelle le marché accorde une prime de croissance. En revanche, l'EV/EBITDA de 27,5x est particulièrement exigeant, signalant que la valeur totale de l'entreprise (dette incluse) est élevée par rapport à sa capacité opérationnelle. Cette combinaison de ratios suggère une valorisation globalement correcte mais déjà largement anticipée par le marché.</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BOAC a enregistré une progression spectaculaire de +49,41%, passant d'un plus bas de 8 380 FCFA à un plus haut de 13 450 FCFA, avant de se stabiliser à 12 700 FCFA, avec un léger repli de -1,24% lors de la dernière séance. La moyenne du cours sur la période (9 682 FCFA) est nettement supérieure à la médiane (9 095 FCFA), ce qui, combiné à un skewness positif de 1,415, révèle une distribution asymétrique : la plupart des séances se sont déroulées sous la moyenne, mais quelques fortes hausses récentes ont tiré le cours vers le haut. L'écart-type de 1 433 FCFA (CV = 14,8%) indique une dispersion modérée, tandis que le kurtosis de 0,730 (mésokurtique) suggère une distribution proche de la normale, sans risque extrême de pics. La volatilité annualisée de 25,4% classe le titre dans une zone modérée (15-30%), reflétant une dynamique haussière soutenue mais non excessive.</w:t>
      </w:r>
    </w:p>
    <w:p>
      <w:pPr>
        <w:spacing w:after="120" w:line="276" w:lineRule="auto" w:before="240"/>
      </w:pPr>
      <w:r>
        <w:rPr>
          <w:b/>
          <w:color w:val="003366"/>
          <w:sz w:val="24"/>
        </w:rPr>
        <w:t>**PARTIE 2 : ANALYSE TECHNIQUE DÉTAILLÉE**</w:t>
      </w:r>
    </w:p>
    <w:p>
      <w:pPr>
        <w:spacing w:after="120" w:line="276" w:lineRule="auto"/>
      </w:pPr>
      <w:r>
        <w:t>**Moyennes Mobiles** : Le cours actuel (12 700 FCFA) se positionne nettement au-dessus de la MM20 (12 266 FCFA) et de la MM50 (10 642 FCFA), confirmant une tendance haussière de court et moyen terme. L'écart positif entre les deux moyennes (+1 624 FCFA) témoigne d'un momentum acheteur solide, justifiant la décision d'achat.</w:t>
      </w:r>
    </w:p>
    <w:p>
      <w:pPr>
        <w:spacing w:after="120" w:line="276" w:lineRule="auto"/>
      </w:pPr>
      <w:r>
        <w:t>**Bandes de Bollinger** : Le prix évolue à 12 700 FCFA, entre la borne inférieure (10 486 FCFA) et la borne supérieure (14 046 FCFA), mais plus près de cette dernière. Cette position indique une volatilité modérée avec une tendance haussière en cours, sans atteindre la zone de surachat extrême. La décision neutre reflète un équilibre entre momentum positif et risque de correction.</w:t>
      </w:r>
    </w:p>
    <w:p>
      <w:pPr>
        <w:spacing w:after="120" w:line="276" w:lineRule="auto"/>
      </w:pPr>
      <w:r>
        <w:t>**MACD** : Le MACD (735,2) est inférieur à sa ligne de signal (787,9), signalant un ralentissement du momentum haussier à très court terme. Cette configuration suggère une possible consolidation ou correction technique après la forte progression, justifiant la décision de vente.</w:t>
      </w:r>
    </w:p>
    <w:p>
      <w:pPr>
        <w:spacing w:after="120" w:line="276" w:lineRule="auto"/>
      </w:pPr>
      <w:r>
        <w:t>**RSI** : À 71,15, le RSI entre en zone de surachat (&gt;70), indiquant que le titre est techniquement surévalué à court terme. Cette situation appelle à la prudence, car elle précède souvent une phase de correction ou de consolidation, d'où la décision de vente.</w:t>
      </w:r>
    </w:p>
    <w:p>
      <w:pPr>
        <w:spacing w:after="120" w:line="276" w:lineRule="auto"/>
      </w:pPr>
      <w:r>
        <w:t>**Stochastique** : Le %K (59,5) est inférieur au %D (67,5), montrant un croisement baissier potentiel en cours. Cette configuration signale un affaiblissement du momentum haussier, mais sans signal extrême, justifiant la décision neutre.</w:t>
      </w:r>
    </w:p>
    <w:p>
      <w:pPr>
        <w:spacing w:after="120" w:line="276" w:lineRule="auto"/>
      </w:pPr>
      <w:r>
        <w:t>**Conclusion technique** : Les indicateurs sont partagés entre une tendance haussière de fond (MM) et des signaux de surachat à court terme (RSI, MACD). La prudence est de mise : le titre pourrait consolider avant de poursuivre sa progression, mais la tendance de fond reste positive.</w:t>
      </w:r>
    </w:p>
    <w:p>
      <w:pPr>
        <w:spacing w:after="120" w:line="276" w:lineRule="auto" w:before="240"/>
      </w:pPr>
      <w:r>
        <w:rPr>
          <w:b/>
          <w:color w:val="003366"/>
          <w:sz w:val="24"/>
        </w:rPr>
        <w:t>**PARTIE 3 : ANALYSE FONDAMENTALE (SECTION CRITIQUE)**</w:t>
      </w:r>
    </w:p>
    <w:p>
      <w:pPr>
        <w:spacing w:after="120" w:line="276" w:lineRule="auto"/>
      </w:pPr>
      <w:r>
        <w:t>En 2025, les données structurées annuelles de BOAC révèlent une banque performante : le Produit Net Bancaire s'établit à 73,545 milliards FCFA, générant un résultat net de 35,540 milliards FCFA, soit une marge nette exceptionnelle de 48,3%. Le ROE de 27,9% et le ROA de 3,2% confirment une rentabilité remarquable, bien au-dessus des standards du secteur bancaire ouest-africain. Le coefficient d'exploitation de 36,7% témoigne d'une excellente maîtrise des coûts, tandis que le coût du risque de 6,67% reste élevé, signalant un portefeuille de crédits sous tension. Les dépôts clientèle (850,5 milliards FCFA) représentent près du double des créances sur la clientèle (430,4 milliards FCFA), illustrant une transformation bancaire saine. Les rapports trimestriels 2025 montrent une évolution contrastée : le T1 affichait une croissance solide (PNB +4,93%, résultat net +14,59%), mais le S1 et le T3 ont révélé une stagnation de l'activité (PNB quasi stable à 36,21 puis 53,49 milliards FCFA), avec un résultat net cumulé de 26,63 milliards FCFA sur 9 mois. Sur la base de ces tendances, on estime que le résultat net annuel 2025 devrait se situer entre 34 et 36 milliards FCFA, en légère progression par rapport aux 32 milliards de 2024. La banque a néanmoins communiqué des objectifs triennaux ambitieux (croissance du PNB de +11,6% d'ici 2027), soutenus par une collecte de dépôts dynamique (+10,28% au T3 2025).</w:t>
      </w:r>
    </w:p>
    <w:p>
      <w:pPr>
        <w:spacing w:after="120" w:line="276" w:lineRule="auto" w:before="240"/>
      </w:pPr>
      <w:r>
        <w:rPr>
          <w:b/>
          <w:color w:val="003366"/>
          <w:sz w:val="24"/>
        </w:rPr>
        <w:t>**PARTIE 4 : CONCLUSION D'INVESTISSEMENT**</w:t>
      </w:r>
    </w:p>
    <w:p>
      <w:pPr>
        <w:spacing w:after="120" w:line="276" w:lineRule="auto"/>
      </w:pPr>
      <w:r>
        <w:t>La valorisation de BOAC (PER 14,3x, P/B 3,99x, EV/EBITDA 27,5x) apparaît exigeante mais justifiée par une rentabilité exceptionnelle (ROE 27,9%). Le comportement du cours sur 100 jours (+49,41%) avec une volatilité modérée (25,4%) et une distribution asymétrique positive reflète une dynamique haussière solide, mais les statistiques suggèrent un risque de consolidation. Les signaux techniques sont mitigés : la tendance de fond reste haussière (MM), mais le RSI surachaté et le MACD baissier indiquent un essoufflement à court terme. Les fondamentaux sont solides avec une banque rentable et bien capitalisée, mais la stagnation du PNB sur 9 mois et le coût du risque élevé tempèrent l'enthousiasme. Les prédictions IA (12 000 à 10 000 FCFA sur 10 jours) confirment un scénario de correction technique après la forte hausse. La convergence entre les signaux techniques de surachat et les prédictions IA suggère une consolidation probable. **Recommandation : CONSERVER** avec un niveau de confiance **Moyen** et un risque global **Moyen**. L'horizon d'investissement optimal est le **moyen terme (3-12 mois)**, en attendant une meilleure opportunité d'entrée après correction ou confirmation d'une reprise de la croissance du PNB.</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du r\u00e9sultat net (+23,66%) et l'am\u00e9lioration du profil de risque dans un contexte de reprise \u00e9conomique favorable justifient un positionnement haussier. Les perspectives prometteuses en termes de cr\u00e9dits renforcent cette recommandation."}</w:t>
      </w:r>
    </w:p>
    <w:p>
      <w:pPr>
        <w:spacing w:before="40"/>
        <w:ind w:left="400"/>
      </w:pPr>
      <w:r>
        <w:rPr>
          <w:sz w:val="18"/>
        </w:rPr>
        <w:t>Bank of Africa Côte d'Ivoire affiche des résultats solides au premier semestre 2021 avec un résultat net de 9 043 millions FCFA, en progression de 23,66% par rapport à juin 2020. Les dépôts clients ont fortement augmenté de 20,26% pour atteindre 548 102 millions FCFA, témoignant d'une confiance accrue. Les crédits nets à la clientèle ont progressé modérément de 1,91% à 306 520 millions FCFA. Le coût du risque s'est considérablement amélioré, passant de -2 342 millions FCFA à +442 millions FCFA grâce à une reprise sur un client. La banque bénéficie du contexte de reprise économique en Côte d'Ivoire avec une croissance du PIB prévue à 6,5%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'306 520 millions FCFA', 'cout_du_risque': '442 millions FCFA', 'frais_generaux': '10 483 millions FCFA', 'depots_clientele': '548 102 millions FCFA', 'produit_net_bancaire': '20 399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9 043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23,66% à 9 043 millions FCFA au S1 2021</w:t>
      </w:r>
    </w:p>
    <w:p>
      <w:pPr>
        <w:pStyle w:val="ListBullet"/>
        <w:spacing w:before="20" w:after="20"/>
        <w:ind w:left="700"/>
      </w:pPr>
      <w:r>
        <w:rPr>
          <w:sz w:val="18"/>
        </w:rPr>
        <w:t>Croissance exceptionnelle des dépôts clients de +20,26% atteignant 548 102 millions FCFA</w:t>
      </w:r>
    </w:p>
    <w:p>
      <w:pPr>
        <w:pStyle w:val="ListBullet"/>
        <w:spacing w:before="20" w:after="20"/>
        <w:ind w:left="700"/>
      </w:pPr>
      <w:r>
        <w:rPr>
          <w:sz w:val="18"/>
        </w:rPr>
        <w:t>Amélioration spectaculaire du coût du risque grâce à une reprise sur créances</w:t>
      </w:r>
    </w:p>
    <w:p>
      <w:pPr>
        <w:pStyle w:val="ListBullet"/>
        <w:spacing w:before="20" w:after="20"/>
        <w:ind w:left="700"/>
      </w:pPr>
      <w:r>
        <w:rPr>
          <w:sz w:val="18"/>
        </w:rPr>
        <w:t>Progression modérée des crédits nets de +1,91% reflétant une politique prudente</w:t>
      </w:r>
    </w:p>
    <w:p>
      <w:pPr>
        <w:pStyle w:val="ListBullet"/>
        <w:spacing w:before="20" w:after="20"/>
        <w:ind w:left="700"/>
      </w:pPr>
      <w:r>
        <w:rPr>
          <w:sz w:val="18"/>
        </w:rPr>
        <w:t>Lancement du Pack Business et participation aux programmes immobiliers</w:t>
      </w:r>
    </w:p>
    <w:p>
      <w:pPr>
        <w:pStyle w:val="ListBullet"/>
        <w:spacing w:before="20" w:after="20"/>
        <w:ind w:left="700"/>
      </w:pPr>
      <w:r>
        <w:rPr>
          <w:sz w:val="18"/>
        </w:rPr>
        <w:t>Baisse de la marge bancaire à 8,9% due à la concurrence sur le marché Corporate</w:t>
      </w:r>
    </w:p>
    <w:p>
      <w:pPr>
        <w:spacing w:before="40"/>
        <w:ind w:left="400"/>
      </w:pPr>
      <w:r>
        <w:rPr>
          <w:b/>
          <w:color w:val="C05000"/>
          <w:sz w:val="18"/>
        </w:rPr>
        <w:t xml:space="preserve">⚠️ Risques : </w:t>
      </w:r>
      <w:r>
        <w:rPr>
          <w:sz w:val="18"/>
        </w:rPr>
        <w:t>["Concurrence accrue sur le segment Corporate affectant la marge bancaire", "Exposition au risque de cr\u00e9dit malgr\u00e9 l'am\u00e9lioration r\u00e9cente", "D\u00e9pendance \u00e0 la conjoncture \u00e9conomique ivoirienne et aux politiques gouvernementales"]</w:t>
      </w:r>
    </w:p>
    <w:p>
      <w:pPr>
        <w:spacing w:before="40"/>
        <w:ind w:left="400"/>
      </w:pPr>
      <w:r>
        <w:rPr>
          <w:b/>
          <w:color w:val="0064A0"/>
          <w:sz w:val="18"/>
        </w:rPr>
        <w:t xml:space="preserve">🔮 Perspectives : </w:t>
      </w:r>
      <w:r>
        <w:rPr>
          <w:sz w:val="18"/>
        </w:rPr>
        <w:t>Les résultats futurs devraient être soutenus par la croissance économique ivoirienne prévue à 6,5% et des perspectives prometteuses en matière de crédits. La banque devrait bénéficier de la poursuite des réformes structurelles et du maintien de la stabilité socio-politique du pays.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montre une croissance solide de ses actifs et une am\u00e9lioration de sa collecte de d\u00e9p\u00f4ts. La structure financi\u00e8re reste saine avec un ratio de fonds propres convenable."}</w:t>
      </w:r>
    </w:p>
    <w:p>
      <w:pPr>
        <w:spacing w:before="40"/>
        <w:ind w:left="400"/>
      </w:pPr>
      <w:r>
        <w:rPr>
          <w:sz w:val="18"/>
        </w:rPr>
        <w:t>BOA Côte d'Ivoire présente des états financiers pour l'exercice se clôturant au 30/06/2021 comparé au 31/12/2020. Le total de l'actif de la banque s'élève à 739,837 millions FCFA au 30/06/2021 contre 686,536 millions FCFA fin 2020, soit une croissance de 7,8%. Le résultat net de l'exercice atteint 9,043 millions FCFA au 30/06/2021 contre 14,216 millions FCFA sur l'exercice précédent. Les créances sur la clientèle constituent le principal poste d'actif avec 306,520 millions FCFA. La banque maintient une structure bilancielle solide avec des capitaux propres et ressources assimilées de 62,372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{'reserves': '31,910 millions FCFA', 'capital_souscrit': '20,000 millions FCFA', 'depots_clientele': '548,102 millions FCFA', 'creances_clientele': '306,520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739,837 millions FCFA</w:t>
            </w:r>
          </w:p>
        </w:tc>
      </w:tr>
      <w:tr>
        <w:tc>
          <w:tcPr>
            <w:tcW w:type="dxa" w:w="2160"/>
          </w:tcPr>
          <w:p>
            <w:r/>
            <w:r>
              <w:rPr>
                <w:b/>
                <w:sz w:val="16"/>
              </w:rPr>
              <w:t>resultat_net</w:t>
              <w:br/>
            </w:r>
            <w:r>
              <w:rPr>
                <w:sz w:val="18"/>
              </w:rPr>
              <w:t>9,043 millions FCFA</w:t>
            </w:r>
          </w:p>
        </w:tc>
        <w:tc>
          <w:tcPr>
            <w:tcW w:type="dxa" w:w="2160"/>
          </w:tcPr>
          <w:p>
            <w:r/>
            <w:r>
              <w:rPr>
                <w:b/>
                <w:sz w:val="16"/>
              </w:rPr>
              <w:t>capitaux_propres</w:t>
              <w:br/>
            </w:r>
            <w:r>
              <w:rPr>
                <w:sz w:val="18"/>
              </w:rPr>
              <w:t>62,372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7,8% passant de 686,536 à 739,837 millions FCFA</w:t>
      </w:r>
    </w:p>
    <w:p>
      <w:pPr>
        <w:pStyle w:val="ListBullet"/>
        <w:spacing w:before="20" w:after="20"/>
        <w:ind w:left="700"/>
      </w:pPr>
      <w:r>
        <w:rPr>
          <w:sz w:val="18"/>
        </w:rPr>
        <w:t>Baisse du résultat net de 36,4% à 9,043 millions FCFA contre 14,216 millions FCFA</w:t>
      </w:r>
    </w:p>
    <w:p>
      <w:pPr>
        <w:pStyle w:val="ListBullet"/>
        <w:spacing w:before="20" w:after="20"/>
        <w:ind w:left="700"/>
      </w:pPr>
      <w:r>
        <w:rPr>
          <w:sz w:val="18"/>
        </w:rPr>
        <w:t>Stabilité des créances clientèle à 306,520 millions FCFA (légère hausse de 1,9%)</w:t>
      </w:r>
    </w:p>
    <w:p>
      <w:pPr>
        <w:pStyle w:val="ListBullet"/>
        <w:spacing w:before="20" w:after="20"/>
        <w:ind w:left="700"/>
      </w:pPr>
      <w:r>
        <w:rPr>
          <w:sz w:val="18"/>
        </w:rPr>
        <w:t>Progression significative des dettes à l'égard de la clientèle de 18,1% à 548,102 millions FCFA</w:t>
      </w:r>
    </w:p>
    <w:p>
      <w:pPr>
        <w:pStyle w:val="ListBullet"/>
        <w:spacing w:before="20" w:after="20"/>
        <w:ind w:left="700"/>
      </w:pPr>
      <w:r>
        <w:rPr>
          <w:sz w:val="18"/>
        </w:rPr>
        <w:t>Augmentation des réserves de 28,5% atteignant 31,910 millions FCFA</w:t>
      </w:r>
    </w:p>
    <w:p>
      <w:pPr>
        <w:pStyle w:val="ListBullet"/>
        <w:spacing w:before="20" w:after="20"/>
        <w:ind w:left="700"/>
      </w:pPr>
      <w:r>
        <w:rPr>
          <w:sz w:val="18"/>
        </w:rPr>
        <w:t>Maintien du capital souscrit stable à 20,000 millions FCFA</w:t>
      </w:r>
    </w:p>
    <w:p>
      <w:pPr>
        <w:spacing w:before="40"/>
        <w:ind w:left="400"/>
      </w:pPr>
      <w:r>
        <w:rPr>
          <w:b/>
          <w:color w:val="C05000"/>
          <w:sz w:val="18"/>
        </w:rPr>
        <w:t xml:space="preserve">⚠️ Risques : </w:t>
      </w:r>
      <w:r>
        <w:rPr>
          <w:sz w:val="18"/>
        </w:rPr>
        <w:t>["D\u00e9t\u00e9rioration significative de la rentabilit\u00e9 avec une chute de 36% du r\u00e9sultat net", "Concentration du portefeuille de cr\u00e9ances qui reste stable malgr\u00e9 la croissance des d\u00e9p\u00f4ts", "Augmentation importante des engagements hors bilan qui accro\u00eet l'exposit</w:t>
      </w:r>
    </w:p>
    <w:p>
      <w:pPr>
        <w:spacing w:before="40"/>
        <w:ind w:left="400"/>
      </w:pPr>
      <w:r>
        <w:rPr>
          <w:b/>
          <w:color w:val="0064A0"/>
          <w:sz w:val="18"/>
        </w:rPr>
        <w:t xml:space="preserve">🔮 Perspectives : </w:t>
      </w:r>
      <w:r>
        <w:rPr>
          <w:sz w:val="18"/>
        </w:rPr>
        <w:t>La forte croissance des dépôts clientèle (+18%) offre un potentiel de développement de l'activité de crédit. La banque devra optimiser sa rentabilité tout en maintenant sa croissance dans un environnement économique post-COVID en amélioration.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commerciale avec une croissance des d\u00e9p\u00f4ts de 20% et une rentabilit\u00e9 en forte progression (+29,1%). La ma\u00eetrise des co\u00fbts et l'am\u00e9lioration du coefficient d'exploitation renforcent l'attractivit\u00e9 du titre."}</w:t>
      </w:r>
    </w:p>
    <w:p>
      <w:pPr>
        <w:spacing w:before="40"/>
        <w:ind w:left="400"/>
      </w:pPr>
      <w:r>
        <w:rPr>
          <w:sz w:val="18"/>
        </w:rPr>
        <w:t>Bank of Africa Côte d'Ivoire affiche une performance solide au 3ème trimestre 2021 avec une forte croissance de la collecte de dépôts (+20%). Le produit net bancaire progresse de 4,6% à 32,122 millions FCFA grâce à l'augmentation des commissions (+27,6%). Les frais généraux restent maîtrisés avec une hausse limitée à 6,2%, permettant une amélioration du coefficient d'exploitation. Le résultat net bondit de 29,1% à 15,213 millions FCFA, témoignant d'une gestion efficace. Les perspectives restent favorables avec une tendance haussière attendue au dernier trimestre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'115 millions FCFA', 'frais_generaux': '15,641 millions FCFA', 'depot_clientele': '546,717 millions FCFA', 'credit_net_clientele': '306,613 millions FCFA', 'produit_net_bancaire': '32,122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15,213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de la clientèle de +20% atteignant 546,717 millions FCFA</w:t>
      </w:r>
    </w:p>
    <w:p>
      <w:pPr>
        <w:pStyle w:val="ListBullet"/>
        <w:spacing w:before="20" w:after="20"/>
        <w:ind w:left="700"/>
      </w:pPr>
      <w:r>
        <w:rPr>
          <w:sz w:val="18"/>
        </w:rPr>
        <w:t>Progression modérée des crédits nets à la clientèle (+1,9% à 306,613 millions FCFA)</w:t>
      </w:r>
    </w:p>
    <w:p>
      <w:pPr>
        <w:pStyle w:val="ListBullet"/>
        <w:spacing w:before="20" w:after="20"/>
        <w:ind w:left="700"/>
      </w:pPr>
      <w:r>
        <w:rPr>
          <w:sz w:val="18"/>
        </w:rPr>
        <w:t>Hausse significative du produit net bancaire de +4,6% à 32,122 millions FCFA</w:t>
      </w:r>
    </w:p>
    <w:p>
      <w:pPr>
        <w:pStyle w:val="ListBullet"/>
        <w:spacing w:before="20" w:after="20"/>
        <w:ind w:left="700"/>
      </w:pPr>
      <w:r>
        <w:rPr>
          <w:sz w:val="18"/>
        </w:rPr>
        <w:t>Explosion des commissions et divers de +27,6%</w:t>
      </w:r>
    </w:p>
    <w:p>
      <w:pPr>
        <w:pStyle w:val="ListBullet"/>
        <w:spacing w:before="20" w:after="20"/>
        <w:ind w:left="700"/>
      </w:pPr>
      <w:r>
        <w:rPr>
          <w:sz w:val="18"/>
        </w:rPr>
        <w:t>Maîtrise des frais généraux avec une augmentation limitée à +6,2%</w:t>
      </w:r>
    </w:p>
    <w:p>
      <w:pPr>
        <w:pStyle w:val="ListBullet"/>
        <w:spacing w:before="20" w:after="20"/>
        <w:ind w:left="700"/>
      </w:pPr>
      <w:r>
        <w:rPr>
          <w:sz w:val="18"/>
        </w:rPr>
        <w:t>Amélioration spectaculaire du coût du risque (-103,3%)</w:t>
      </w:r>
    </w:p>
    <w:p>
      <w:pPr>
        <w:spacing w:before="40"/>
        <w:ind w:left="400"/>
      </w:pPr>
      <w:r>
        <w:rPr>
          <w:b/>
          <w:color w:val="C05000"/>
          <w:sz w:val="18"/>
        </w:rPr>
        <w:t xml:space="preserve">⚠️ Risques : </w:t>
      </w:r>
      <w:r>
        <w:rPr>
          <w:sz w:val="18"/>
        </w:rPr>
        <w:t>["Croissance limit\u00e9e des cr\u00e9dits (+1,9%) pouvant impacter la future g\u00e9n\u00e9ration de revenus", "Exposition au risque de cr\u00e9dit dans un contexte \u00e9conomique post-COVID", "D\u00e9pendance \u00e0 l'\u00e9volution des taux d'int\u00e9r\u00eat et de la conjoncture \u00e9conomiqu</w:t>
      </w:r>
    </w:p>
    <w:p>
      <w:pPr>
        <w:spacing w:before="40"/>
        <w:ind w:left="400"/>
      </w:pPr>
      <w:r>
        <w:rPr>
          <w:b/>
          <w:color w:val="0064A0"/>
          <w:sz w:val="18"/>
        </w:rPr>
        <w:t xml:space="preserve">🔮 Perspectives : </w:t>
      </w:r>
      <w:r>
        <w:rPr>
          <w:sz w:val="18"/>
        </w:rPr>
        <w:t>La direction anticipe le maintien de la tendance haussière observée sur les neuf premiers mois pour le dernier trimestre 2021. Cette dynamique positive devrait se poursuivre sauf survenance d'un événement défavorable majeur, consolidant ainsi les performances annuelles de la banque.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des d\u00e9p\u00f4ts et cr\u00e9dits t\u00e9moigne d'une activit\u00e9 commerciale soutenue. Les perspectives prometteuses annonc\u00e9es par la direction justifient une position d'attente."}</w:t>
      </w:r>
    </w:p>
    <w:p>
      <w:pPr>
        <w:spacing w:before="40"/>
        <w:ind w:left="400"/>
      </w:pPr>
      <w:r>
        <w:rPr>
          <w:sz w:val="18"/>
        </w:rPr>
        <w:t>BOA Côte d'Ivoire présente des résultats mitigés au premier trimestre 2022 avec une croissance modeste des dépôts clients (+0,5%) et des crédits nets (+1,3%). Le produit net bancaire reste stable à 10,615 millions FCFA mais le résultat net chute de 8% à 5,141 millions FCFA comparé au T1 2021. Cette baisse s'explique principalement par une hausse de 7,8% des charges d'exploitation qui impacte négativement la rentabilité. Malgré cette contre-performance trimestrielle, la banque maintient des perspectives prometteuses pour les trimestres suivants. L'activité commerciale reste dynamique avec une progression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'303,685 millions FCFA', 'depots_clientele': '549,615 millions FCFA', 'produit_net_bancaire': '10,615 millions FCFA', 'resultat_avant_impots': '5,391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hausse de 0,5% à 549,615 millions FCFA</w:t>
      </w:r>
    </w:p>
    <w:p>
      <w:pPr>
        <w:pStyle w:val="ListBullet"/>
        <w:spacing w:before="20" w:after="20"/>
        <w:ind w:left="700"/>
      </w:pPr>
      <w:r>
        <w:rPr>
          <w:sz w:val="18"/>
        </w:rPr>
        <w:t>Crédits nets à la clientèle progressent de 1,3% à 303,685 millions FCFA</w:t>
      </w:r>
    </w:p>
    <w:p>
      <w:pPr>
        <w:pStyle w:val="ListBullet"/>
        <w:spacing w:before="20" w:after="20"/>
        <w:ind w:left="700"/>
      </w:pPr>
      <w:r>
        <w:rPr>
          <w:sz w:val="18"/>
        </w:rPr>
        <w:t>Produit net bancaire stable à 10,615 millions FCFA (+0,9%)</w:t>
      </w:r>
    </w:p>
    <w:p>
      <w:pPr>
        <w:pStyle w:val="ListBullet"/>
        <w:spacing w:before="20" w:after="20"/>
        <w:ind w:left="700"/>
      </w:pPr>
      <w:r>
        <w:rPr>
          <w:sz w:val="18"/>
        </w:rPr>
        <w:t>Résultat net en baisse de 8% à 5,141 millions FCFA</w:t>
      </w:r>
    </w:p>
    <w:p>
      <w:pPr>
        <w:pStyle w:val="ListBullet"/>
        <w:spacing w:before="20" w:after="20"/>
        <w:ind w:left="700"/>
      </w:pPr>
      <w:r>
        <w:rPr>
          <w:sz w:val="18"/>
        </w:rPr>
        <w:t>Résultat avant impôts recule de 6,1% à 5,391 millions FCFA</w:t>
      </w:r>
    </w:p>
    <w:p>
      <w:pPr>
        <w:pStyle w:val="ListBullet"/>
        <w:spacing w:before="20" w:after="20"/>
        <w:ind w:left="700"/>
      </w:pPr>
      <w:r>
        <w:rPr>
          <w:sz w:val="18"/>
        </w:rPr>
        <w:t>Charges d'exploitation en hausse de 7,8% pénalisant la rentabilité</w:t>
      </w:r>
    </w:p>
    <w:p>
      <w:pPr>
        <w:spacing w:before="40"/>
        <w:ind w:left="400"/>
      </w:pPr>
      <w:r>
        <w:rPr>
          <w:b/>
          <w:color w:val="C05000"/>
          <w:sz w:val="18"/>
        </w:rPr>
        <w:t xml:space="preserve">⚠️ Risques : </w:t>
      </w:r>
      <w:r>
        <w:rPr>
          <w:sz w:val="18"/>
        </w:rPr>
        <w:t>["Hausse continue des charges d'exploitation impactant la rentabilit\u00e9", "Pression sur les marges dans un environnement concurrentiel", "Risque de cr\u00e9dit li\u00e9 \u00e0 la croissance des encours de pr\u00eats"]</w:t>
      </w:r>
    </w:p>
    <w:p>
      <w:pPr>
        <w:spacing w:before="40"/>
        <w:ind w:left="400"/>
      </w:pPr>
      <w:r>
        <w:rPr>
          <w:b/>
          <w:color w:val="0064A0"/>
          <w:sz w:val="18"/>
        </w:rPr>
        <w:t xml:space="preserve">🔮 Perspectives : </w:t>
      </w:r>
      <w:r>
        <w:rPr>
          <w:sz w:val="18"/>
        </w:rPr>
        <w:t>La banque anticipe des résultats meilleurs pour les trimestres à venir avec des perspectives prometteuses en matière de crédit. La croissance de l'activité commerciale devrait se poursuivre mais la maîtrise des charges d'exploitation reste un enjeu clé pour améliorer la rentabilité.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banque maintient une croissance de son PNB et am\u00e9liore sa gestion des risques. Les perspectives de cr\u00e9dit restent prometteuses dans un contexte \u00e9conomique qui devrait s'am\u00e9liorer."}</w:t>
      </w:r>
    </w:p>
    <w:p>
      <w:pPr>
        <w:spacing w:before="40"/>
        <w:ind w:left="400"/>
      </w:pPr>
      <w:r>
        <w:rPr>
          <w:sz w:val="18"/>
        </w:rPr>
        <w:t>BOA Côte d'Ivoire affiche des résultats mitigés au premier semestre 2022 avec une croissance des dépôts de la clientèle (+1,6%) et des crédits nets (+1,3%). Le produit net bancaire progresse de 7,3% à 21,8 milliards de FCFA, soutenu par la hausse des produits sur titres de placement. Cependant, le résultat net recule de 5,2% à 8,57 milliards de FCFA en raison de l'augmentation des frais généraux (+11,5%). La banque évolue dans un contexte économique mondial incertain marqué par la guerre en Ukraine et le ralentissement de la croissance. Les perspectives restent néanmoins prometteuses avec des opportunités de crédit à saisir.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'303,6 milliards FCFA', 'frais_generaux': '11,69 milliards FCFA', 'cout_net_risque': '-379 millions FCFA', 'depots_clientele': '556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8,57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21,88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Dépôts de la clientèle en progression à 556 milliards de FCFA (+1,6%)</w:t>
      </w:r>
    </w:p>
    <w:p>
      <w:pPr>
        <w:pStyle w:val="ListBullet"/>
        <w:spacing w:before="20" w:after="20"/>
        <w:ind w:left="700"/>
      </w:pPr>
      <w:r>
        <w:rPr>
          <w:sz w:val="18"/>
        </w:rPr>
        <w:t>Crédits nets à la clientèle de 303,6 milliards de FCFA (+1,3%)</w:t>
      </w:r>
    </w:p>
    <w:p>
      <w:pPr>
        <w:pStyle w:val="ListBullet"/>
        <w:spacing w:before="20" w:after="20"/>
        <w:ind w:left="700"/>
      </w:pPr>
      <w:r>
        <w:rPr>
          <w:sz w:val="18"/>
        </w:rPr>
        <w:t>Produit net bancaire en hausse de 7,3% à 21,88 milliards de FCFA</w:t>
      </w:r>
    </w:p>
    <w:p>
      <w:pPr>
        <w:pStyle w:val="ListBullet"/>
        <w:spacing w:before="20" w:after="20"/>
        <w:ind w:left="700"/>
      </w:pPr>
      <w:r>
        <w:rPr>
          <w:sz w:val="18"/>
        </w:rPr>
        <w:t>Résultat net en baisse de 5,2% à 8,57 milliards de FCFA</w:t>
      </w:r>
    </w:p>
    <w:p>
      <w:pPr>
        <w:pStyle w:val="ListBullet"/>
        <w:spacing w:before="20" w:after="20"/>
        <w:ind w:left="700"/>
      </w:pPr>
      <w:r>
        <w:rPr>
          <w:sz w:val="18"/>
        </w:rPr>
        <w:t>Hausse significative des frais généraux (+11,5%)</w:t>
      </w:r>
    </w:p>
    <w:p>
      <w:pPr>
        <w:pStyle w:val="ListBullet"/>
        <w:spacing w:before="20" w:after="20"/>
        <w:ind w:left="700"/>
      </w:pPr>
      <w:r>
        <w:rPr>
          <w:sz w:val="18"/>
        </w:rPr>
        <w:t>Amélioration du coût net du risque (-20,4%)</w:t>
      </w:r>
    </w:p>
    <w:p>
      <w:pPr>
        <w:spacing w:before="40"/>
        <w:ind w:left="400"/>
      </w:pPr>
      <w:r>
        <w:rPr>
          <w:b/>
          <w:color w:val="C05000"/>
          <w:sz w:val="18"/>
        </w:rPr>
        <w:t xml:space="preserve">⚠️ Risques : </w:t>
      </w:r>
      <w:r>
        <w:rPr>
          <w:sz w:val="18"/>
        </w:rPr>
        <w:t>["Hausse continue des frais g\u00e9n\u00e9raux impactant la rentabilit\u00e9", "Contexte \u00e9conomique mondial incertain li\u00e9 \u00e0 la guerre en Ukraine", "Ralentissement de la croissance \u00e9conomique en C\u00f4te d'Ivoire"]</w:t>
      </w:r>
    </w:p>
    <w:p>
      <w:pPr>
        <w:spacing w:before="40"/>
        <w:ind w:left="400"/>
      </w:pPr>
      <w:r>
        <w:rPr>
          <w:b/>
          <w:color w:val="0064A0"/>
          <w:sz w:val="18"/>
        </w:rPr>
        <w:t xml:space="preserve">🔮 Perspectives : </w:t>
      </w:r>
      <w:r>
        <w:rPr>
          <w:sz w:val="18"/>
        </w:rPr>
        <w:t>Les résultats des trimestres à venir devraient être meilleurs avec des perspectives prometteuses en termes de crédit. La découverte d'importantes réserves de pétrole et de gaz ainsi que les réformes du plan national de développement 2021-25 devraient stimuler la croissance à moyen terme.</w:t>
      </w:r>
    </w:p>
    <w:p/>
    <w:p>
      <w:r>
        <w:t>════════════════════════════════════════════════════════════════════════════════</w:t>
      </w:r>
    </w:p>
    <w:p>
      <w:r>
        <w:br w:type="page"/>
      </w:r>
    </w:p>
    <w:p>
      <w:pPr>
        <w:pStyle w:val="Heading2"/>
        <w:spacing w:before="360"/>
      </w:pPr>
      <w:r>
        <w:rPr>
          <w:color w:val="0066CC"/>
        </w:rPr>
        <w:t>8. BOAM - BANK OF AFRICA MALI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BOAM</w:t>
            </w:r>
          </w:p>
          <w:p>
            <w:r>
              <w:rPr>
                <w:b/>
                <w:color w:val="323250"/>
                <w:sz w:val="16"/>
              </w:rPr>
              <w:t xml:space="preserve">Société : </w:t>
            </w:r>
            <w:r>
              <w:rPr>
                <w:color w:val="000000"/>
                <w:sz w:val="16"/>
              </w:rPr>
              <w:t>BANK OF AFRICA MALI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182.54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6,169 titres</w:t>
            </w:r>
          </w:p>
        </w:tc>
        <w:tc>
          <w:tcPr>
            <w:tcW w:type="dxa" w:w="2268"/>
            <w:shd w:fill="FFF2CC" w:val="clear"/>
          </w:tcPr>
          <w:p>
            <w:r>
              <w:rPr>
                <w:b/>
                <w:color w:val="503200"/>
                <w:sz w:val="16"/>
              </w:rPr>
              <w:t xml:space="preserve">Cours actuel : </w:t>
            </w:r>
            <w:r>
              <w:rPr>
                <w:color w:val="000000"/>
                <w:sz w:val="17"/>
              </w:rPr>
              <w:t>6,650 FCFA</w:t>
            </w:r>
          </w:p>
          <w:p>
            <w:r>
              <w:rPr>
                <w:b/>
                <w:color w:val="503200"/>
                <w:sz w:val="16"/>
              </w:rPr>
              <w:t xml:space="preserve">Var. 100 jours : </w:t>
            </w:r>
            <w:r>
              <w:rPr>
                <w:b/>
                <w:color w:val="007800"/>
                <w:sz w:val="17"/>
              </w:rPr>
              <w:t>+42.09%</w:t>
            </w:r>
          </w:p>
          <w:p>
            <w:r>
              <w:rPr>
                <w:b/>
                <w:color w:val="503200"/>
                <w:sz w:val="16"/>
              </w:rPr>
              <w:t xml:space="preserve">Plus haut 100j : </w:t>
            </w:r>
            <w:r>
              <w:rPr>
                <w:color w:val="000000"/>
                <w:sz w:val="17"/>
              </w:rPr>
              <w:t>6,700 FCFA</w:t>
            </w:r>
          </w:p>
          <w:p>
            <w:r>
              <w:rPr>
                <w:b/>
                <w:color w:val="503200"/>
                <w:sz w:val="16"/>
              </w:rPr>
              <w:t xml:space="preserve">Plus bas 100j : </w:t>
            </w:r>
            <w:r>
              <w:rPr>
                <w:color w:val="000000"/>
                <w:sz w:val="17"/>
              </w:rPr>
              <w:t>4,425 FCFA</w:t>
            </w:r>
          </w:p>
          <w:p>
            <w:r>
              <w:rPr>
                <w:b/>
                <w:color w:val="503200"/>
                <w:sz w:val="16"/>
              </w:rPr>
              <w:t xml:space="preserve">Volatilité ann. : </w:t>
            </w:r>
            <w:r>
              <w:rPr>
                <w:color w:val="000000"/>
                <w:sz w:val="17"/>
              </w:rPr>
              <w:t>32.2%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11.46% (Moyenne) — μ=5,124 FCFA, σ=587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β=0.3487 (Défensif) — Cov=0.000012, Var(idx)=0.000035, ρ=0.102,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6,169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σ_j=2.03%/j (Stable) — Vol. annualisée≈32.2%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0" name="Picture 10"/>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2026-08-28</w:t>
            </w:r>
          </w:p>
        </w:tc>
        <w:tc>
          <w:tcPr>
            <w:tcW w:type="dxa" w:w="1440"/>
            <w:shd w:fill="FFDCE0" w:val="clear"/>
          </w:tcPr>
          <w:p>
            <w:r>
              <w:rPr>
                <w:sz w:val="17"/>
              </w:rPr>
              <w:t>6,291</w:t>
            </w:r>
          </w:p>
        </w:tc>
        <w:tc>
          <w:tcPr>
            <w:tcW w:type="dxa" w:w="1440"/>
            <w:shd w:fill="FFDCE0" w:val="clear"/>
          </w:tcPr>
          <w:p>
            <w:r>
              <w:rPr>
                <w:b/>
                <w:sz w:val="17"/>
              </w:rPr>
              <w:t>6,481</w:t>
            </w:r>
          </w:p>
        </w:tc>
        <w:tc>
          <w:tcPr>
            <w:tcW w:type="dxa" w:w="1440"/>
            <w:shd w:fill="FFDCE0" w:val="clear"/>
          </w:tcPr>
          <w:p>
            <w:r>
              <w:rPr>
                <w:sz w:val="17"/>
              </w:rPr>
              <w:t>6,671</w:t>
            </w:r>
          </w:p>
        </w:tc>
        <w:tc>
          <w:tcPr>
            <w:tcW w:type="dxa" w:w="1440"/>
            <w:shd w:fill="FFDCE0" w:val="clear"/>
          </w:tcPr>
          <w:p>
            <w:r>
              <w:rPr>
                <w:b/>
                <w:color w:val="C00000"/>
                <w:sz w:val="17"/>
              </w:rPr>
              <w:t>-2.5%</w:t>
            </w:r>
          </w:p>
        </w:tc>
      </w:tr>
      <w:tr>
        <w:tc>
          <w:tcPr>
            <w:tcW w:type="dxa" w:w="1440"/>
            <w:shd w:fill="FFDCE0" w:val="clear"/>
          </w:tcPr>
          <w:p>
            <w:r>
              <w:rPr>
                <w:sz w:val="17"/>
              </w:rPr>
              <w:t>J+2  ⭐⭐⭐</w:t>
            </w:r>
          </w:p>
        </w:tc>
        <w:tc>
          <w:tcPr>
            <w:tcW w:type="dxa" w:w="1440"/>
            <w:shd w:fill="FFDCE0" w:val="clear"/>
          </w:tcPr>
          <w:p>
            <w:r>
              <w:rPr>
                <w:sz w:val="17"/>
              </w:rPr>
              <w:t>2026-08-31</w:t>
            </w:r>
          </w:p>
        </w:tc>
        <w:tc>
          <w:tcPr>
            <w:tcW w:type="dxa" w:w="1440"/>
            <w:shd w:fill="FFDCE0" w:val="clear"/>
          </w:tcPr>
          <w:p>
            <w:r>
              <w:rPr>
                <w:sz w:val="17"/>
              </w:rPr>
              <w:t>6,037</w:t>
            </w:r>
          </w:p>
        </w:tc>
        <w:tc>
          <w:tcPr>
            <w:tcW w:type="dxa" w:w="1440"/>
            <w:shd w:fill="FFDCE0" w:val="clear"/>
          </w:tcPr>
          <w:p>
            <w:r>
              <w:rPr>
                <w:b/>
                <w:sz w:val="17"/>
              </w:rPr>
              <w:t>6,298</w:t>
            </w:r>
          </w:p>
        </w:tc>
        <w:tc>
          <w:tcPr>
            <w:tcW w:type="dxa" w:w="1440"/>
            <w:shd w:fill="FFDCE0" w:val="clear"/>
          </w:tcPr>
          <w:p>
            <w:r>
              <w:rPr>
                <w:sz w:val="17"/>
              </w:rPr>
              <w:t>6,560</w:t>
            </w:r>
          </w:p>
        </w:tc>
        <w:tc>
          <w:tcPr>
            <w:tcW w:type="dxa" w:w="1440"/>
            <w:shd w:fill="FFDCE0" w:val="clear"/>
          </w:tcPr>
          <w:p>
            <w:r>
              <w:rPr>
                <w:b/>
                <w:color w:val="C00000"/>
                <w:sz w:val="17"/>
              </w:rPr>
              <w:t>-5.3%</w:t>
            </w:r>
          </w:p>
        </w:tc>
      </w:tr>
      <w:tr>
        <w:tc>
          <w:tcPr>
            <w:tcW w:type="dxa" w:w="1440"/>
            <w:shd w:fill="FFDCE0" w:val="clear"/>
          </w:tcPr>
          <w:p>
            <w:r>
              <w:rPr>
                <w:sz w:val="17"/>
              </w:rPr>
              <w:t>J+3  ⭐⭐⭐</w:t>
            </w:r>
          </w:p>
        </w:tc>
        <w:tc>
          <w:tcPr>
            <w:tcW w:type="dxa" w:w="1440"/>
            <w:shd w:fill="FFDCE0" w:val="clear"/>
          </w:tcPr>
          <w:p>
            <w:r>
              <w:rPr>
                <w:sz w:val="17"/>
              </w:rPr>
              <w:t>2026-09-01</w:t>
            </w:r>
          </w:p>
        </w:tc>
        <w:tc>
          <w:tcPr>
            <w:tcW w:type="dxa" w:w="1440"/>
            <w:shd w:fill="FFDCE0" w:val="clear"/>
          </w:tcPr>
          <w:p>
            <w:r>
              <w:rPr>
                <w:sz w:val="17"/>
              </w:rPr>
              <w:t>5,832</w:t>
            </w:r>
          </w:p>
        </w:tc>
        <w:tc>
          <w:tcPr>
            <w:tcW w:type="dxa" w:w="1440"/>
            <w:shd w:fill="FFDCE0" w:val="clear"/>
          </w:tcPr>
          <w:p>
            <w:r>
              <w:rPr>
                <w:b/>
                <w:sz w:val="17"/>
              </w:rPr>
              <w:t>6,144</w:t>
            </w:r>
          </w:p>
        </w:tc>
        <w:tc>
          <w:tcPr>
            <w:tcW w:type="dxa" w:w="1440"/>
            <w:shd w:fill="FFDCE0" w:val="clear"/>
          </w:tcPr>
          <w:p>
            <w:r>
              <w:rPr>
                <w:sz w:val="17"/>
              </w:rPr>
              <w:t>6,456</w:t>
            </w:r>
          </w:p>
        </w:tc>
        <w:tc>
          <w:tcPr>
            <w:tcW w:type="dxa" w:w="1440"/>
            <w:shd w:fill="FFDCE0" w:val="clear"/>
          </w:tcPr>
          <w:p>
            <w:r>
              <w:rPr>
                <w:b/>
                <w:color w:val="C00000"/>
                <w:sz w:val="17"/>
              </w:rPr>
              <w:t>-7.6%</w:t>
            </w:r>
          </w:p>
        </w:tc>
      </w:tr>
      <w:tr>
        <w:tc>
          <w:tcPr>
            <w:tcW w:type="dxa" w:w="1440"/>
            <w:shd w:fill="FFDCE0" w:val="clear"/>
          </w:tcPr>
          <w:p>
            <w:r>
              <w:rPr>
                <w:sz w:val="17"/>
              </w:rPr>
              <w:t>J+4  Moyenne</w:t>
            </w:r>
          </w:p>
        </w:tc>
        <w:tc>
          <w:tcPr>
            <w:tcW w:type="dxa" w:w="1440"/>
            <w:shd w:fill="FFDCE0" w:val="clear"/>
          </w:tcPr>
          <w:p>
            <w:r>
              <w:rPr>
                <w:sz w:val="17"/>
              </w:rPr>
              <w:t>2026-09-02</w:t>
            </w:r>
          </w:p>
        </w:tc>
        <w:tc>
          <w:tcPr>
            <w:tcW w:type="dxa" w:w="1440"/>
            <w:shd w:fill="FFDCE0" w:val="clear"/>
          </w:tcPr>
          <w:p>
            <w:r>
              <w:rPr>
                <w:sz w:val="17"/>
              </w:rPr>
              <w:t>5,664</w:t>
            </w:r>
          </w:p>
        </w:tc>
        <w:tc>
          <w:tcPr>
            <w:tcW w:type="dxa" w:w="1440"/>
            <w:shd w:fill="FFDCE0" w:val="clear"/>
          </w:tcPr>
          <w:p>
            <w:r>
              <w:rPr>
                <w:b/>
                <w:sz w:val="17"/>
              </w:rPr>
              <w:t>6,018</w:t>
            </w:r>
          </w:p>
        </w:tc>
        <w:tc>
          <w:tcPr>
            <w:tcW w:type="dxa" w:w="1440"/>
            <w:shd w:fill="FFDCE0" w:val="clear"/>
          </w:tcPr>
          <w:p>
            <w:r>
              <w:rPr>
                <w:sz w:val="17"/>
              </w:rPr>
              <w:t>6,371</w:t>
            </w:r>
          </w:p>
        </w:tc>
        <w:tc>
          <w:tcPr>
            <w:tcW w:type="dxa" w:w="1440"/>
            <w:shd w:fill="FFDCE0" w:val="clear"/>
          </w:tcPr>
          <w:p>
            <w:r>
              <w:rPr>
                <w:b/>
                <w:color w:val="C00000"/>
                <w:sz w:val="17"/>
              </w:rPr>
              <w:t>-9.5%</w:t>
            </w:r>
          </w:p>
        </w:tc>
      </w:tr>
      <w:tr>
        <w:tc>
          <w:tcPr>
            <w:tcW w:type="dxa" w:w="1440"/>
            <w:shd w:fill="FFDCE0" w:val="clear"/>
          </w:tcPr>
          <w:p>
            <w:r>
              <w:rPr>
                <w:sz w:val="17"/>
              </w:rPr>
              <w:t>J+5  Moyenne</w:t>
            </w:r>
          </w:p>
        </w:tc>
        <w:tc>
          <w:tcPr>
            <w:tcW w:type="dxa" w:w="1440"/>
            <w:shd w:fill="FFDCE0" w:val="clear"/>
          </w:tcPr>
          <w:p>
            <w:r>
              <w:rPr>
                <w:sz w:val="17"/>
              </w:rPr>
              <w:t>2026-09-03</w:t>
            </w:r>
          </w:p>
        </w:tc>
        <w:tc>
          <w:tcPr>
            <w:tcW w:type="dxa" w:w="1440"/>
            <w:shd w:fill="FFDCE0" w:val="clear"/>
          </w:tcPr>
          <w:p>
            <w:r>
              <w:rPr>
                <w:sz w:val="17"/>
              </w:rPr>
              <w:t>5,522</w:t>
            </w:r>
          </w:p>
        </w:tc>
        <w:tc>
          <w:tcPr>
            <w:tcW w:type="dxa" w:w="1440"/>
            <w:shd w:fill="FFDCE0" w:val="clear"/>
          </w:tcPr>
          <w:p>
            <w:r>
              <w:rPr>
                <w:b/>
                <w:sz w:val="17"/>
              </w:rPr>
              <w:t>5,910</w:t>
            </w:r>
          </w:p>
        </w:tc>
        <w:tc>
          <w:tcPr>
            <w:tcW w:type="dxa" w:w="1440"/>
            <w:shd w:fill="FFDCE0" w:val="clear"/>
          </w:tcPr>
          <w:p>
            <w:r>
              <w:rPr>
                <w:sz w:val="17"/>
              </w:rPr>
              <w:t>6,298</w:t>
            </w:r>
          </w:p>
        </w:tc>
        <w:tc>
          <w:tcPr>
            <w:tcW w:type="dxa" w:w="1440"/>
            <w:shd w:fill="FFDCE0" w:val="clear"/>
          </w:tcPr>
          <w:p>
            <w:r>
              <w:rPr>
                <w:b/>
                <w:color w:val="C00000"/>
                <w:sz w:val="17"/>
              </w:rPr>
              <w:t>-11.1%</w:t>
            </w:r>
          </w:p>
        </w:tc>
      </w:tr>
      <w:tr>
        <w:tc>
          <w:tcPr>
            <w:tcW w:type="dxa" w:w="1440"/>
            <w:shd w:fill="FFDCE0" w:val="clear"/>
          </w:tcPr>
          <w:p>
            <w:r>
              <w:rPr>
                <w:sz w:val="17"/>
              </w:rPr>
              <w:t>J+6  Moyenne</w:t>
            </w:r>
          </w:p>
        </w:tc>
        <w:tc>
          <w:tcPr>
            <w:tcW w:type="dxa" w:w="1440"/>
            <w:shd w:fill="FFDCE0" w:val="clear"/>
          </w:tcPr>
          <w:p>
            <w:r>
              <w:rPr>
                <w:sz w:val="17"/>
              </w:rPr>
              <w:t>2026-09-04</w:t>
            </w:r>
          </w:p>
        </w:tc>
        <w:tc>
          <w:tcPr>
            <w:tcW w:type="dxa" w:w="1440"/>
            <w:shd w:fill="FFDCE0" w:val="clear"/>
          </w:tcPr>
          <w:p>
            <w:r>
              <w:rPr>
                <w:sz w:val="17"/>
              </w:rPr>
              <w:t>5,395</w:t>
            </w:r>
          </w:p>
        </w:tc>
        <w:tc>
          <w:tcPr>
            <w:tcW w:type="dxa" w:w="1440"/>
            <w:shd w:fill="FFDCE0" w:val="clear"/>
          </w:tcPr>
          <w:p>
            <w:r>
              <w:rPr>
                <w:b/>
                <w:sz w:val="17"/>
              </w:rPr>
              <w:t>5,813</w:t>
            </w:r>
          </w:p>
        </w:tc>
        <w:tc>
          <w:tcPr>
            <w:tcW w:type="dxa" w:w="1440"/>
            <w:shd w:fill="FFDCE0" w:val="clear"/>
          </w:tcPr>
          <w:p>
            <w:r>
              <w:rPr>
                <w:sz w:val="17"/>
              </w:rPr>
              <w:t>6,231</w:t>
            </w:r>
          </w:p>
        </w:tc>
        <w:tc>
          <w:tcPr>
            <w:tcW w:type="dxa" w:w="1440"/>
            <w:shd w:fill="FFDCE0" w:val="clear"/>
          </w:tcPr>
          <w:p>
            <w:r>
              <w:rPr>
                <w:b/>
                <w:color w:val="C00000"/>
                <w:sz w:val="17"/>
              </w:rPr>
              <w:t>-12.6%</w:t>
            </w:r>
          </w:p>
        </w:tc>
      </w:tr>
      <w:tr>
        <w:tc>
          <w:tcPr>
            <w:tcW w:type="dxa" w:w="1440"/>
            <w:shd w:fill="FFDCE0" w:val="clear"/>
          </w:tcPr>
          <w:p>
            <w:r>
              <w:rPr>
                <w:sz w:val="17"/>
              </w:rPr>
              <w:t>J+7  Moyenne</w:t>
            </w:r>
          </w:p>
        </w:tc>
        <w:tc>
          <w:tcPr>
            <w:tcW w:type="dxa" w:w="1440"/>
            <w:shd w:fill="FFDCE0" w:val="clear"/>
          </w:tcPr>
          <w:p>
            <w:r>
              <w:rPr>
                <w:sz w:val="17"/>
              </w:rPr>
              <w:t>2026-09-07</w:t>
            </w:r>
          </w:p>
        </w:tc>
        <w:tc>
          <w:tcPr>
            <w:tcW w:type="dxa" w:w="1440"/>
            <w:shd w:fill="FFDCE0" w:val="clear"/>
          </w:tcPr>
          <w:p>
            <w:r>
              <w:rPr>
                <w:sz w:val="17"/>
              </w:rPr>
              <w:t>5,279</w:t>
            </w:r>
          </w:p>
        </w:tc>
        <w:tc>
          <w:tcPr>
            <w:tcW w:type="dxa" w:w="1440"/>
            <w:shd w:fill="FFDCE0" w:val="clear"/>
          </w:tcPr>
          <w:p>
            <w:r>
              <w:rPr>
                <w:b/>
                <w:sz w:val="17"/>
              </w:rPr>
              <w:t>5,724</w:t>
            </w:r>
          </w:p>
        </w:tc>
        <w:tc>
          <w:tcPr>
            <w:tcW w:type="dxa" w:w="1440"/>
            <w:shd w:fill="FFDCE0" w:val="clear"/>
          </w:tcPr>
          <w:p>
            <w:r>
              <w:rPr>
                <w:sz w:val="17"/>
              </w:rPr>
              <w:t>6,168</w:t>
            </w:r>
          </w:p>
        </w:tc>
        <w:tc>
          <w:tcPr>
            <w:tcW w:type="dxa" w:w="1440"/>
            <w:shd w:fill="FFDCE0" w:val="clear"/>
          </w:tcPr>
          <w:p>
            <w:r>
              <w:rPr>
                <w:b/>
                <w:color w:val="C00000"/>
                <w:sz w:val="17"/>
              </w:rPr>
              <w:t>-13.9%</w:t>
            </w:r>
          </w:p>
        </w:tc>
      </w:tr>
      <w:tr>
        <w:tc>
          <w:tcPr>
            <w:tcW w:type="dxa" w:w="1440"/>
            <w:shd w:fill="FFDCE0" w:val="clear"/>
          </w:tcPr>
          <w:p>
            <w:r>
              <w:rPr>
                <w:sz w:val="17"/>
              </w:rPr>
              <w:t>J+8  Moyenne</w:t>
            </w:r>
          </w:p>
        </w:tc>
        <w:tc>
          <w:tcPr>
            <w:tcW w:type="dxa" w:w="1440"/>
            <w:shd w:fill="FFDCE0" w:val="clear"/>
          </w:tcPr>
          <w:p>
            <w:r>
              <w:rPr>
                <w:sz w:val="17"/>
              </w:rPr>
              <w:t>2026-09-08</w:t>
            </w:r>
          </w:p>
        </w:tc>
        <w:tc>
          <w:tcPr>
            <w:tcW w:type="dxa" w:w="1440"/>
            <w:shd w:fill="FFDCE0" w:val="clear"/>
          </w:tcPr>
          <w:p>
            <w:r>
              <w:rPr>
                <w:sz w:val="17"/>
              </w:rPr>
              <w:t>5,172</w:t>
            </w:r>
          </w:p>
        </w:tc>
        <w:tc>
          <w:tcPr>
            <w:tcW w:type="dxa" w:w="1440"/>
            <w:shd w:fill="FFDCE0" w:val="clear"/>
          </w:tcPr>
          <w:p>
            <w:r>
              <w:rPr>
                <w:b/>
                <w:sz w:val="17"/>
              </w:rPr>
              <w:t>5,641</w:t>
            </w:r>
          </w:p>
        </w:tc>
        <w:tc>
          <w:tcPr>
            <w:tcW w:type="dxa" w:w="1440"/>
            <w:shd w:fill="FFDCE0" w:val="clear"/>
          </w:tcPr>
          <w:p>
            <w:r>
              <w:rPr>
                <w:sz w:val="17"/>
              </w:rPr>
              <w:t>6,109</w:t>
            </w:r>
          </w:p>
        </w:tc>
        <w:tc>
          <w:tcPr>
            <w:tcW w:type="dxa" w:w="1440"/>
            <w:shd w:fill="FFDCE0" w:val="clear"/>
          </w:tcPr>
          <w:p>
            <w:r>
              <w:rPr>
                <w:b/>
                <w:color w:val="C00000"/>
                <w:sz w:val="17"/>
              </w:rPr>
              <w:t>-15.2%</w:t>
            </w:r>
          </w:p>
        </w:tc>
      </w:tr>
      <w:tr>
        <w:tc>
          <w:tcPr>
            <w:tcW w:type="dxa" w:w="1440"/>
            <w:shd w:fill="FFDCE0" w:val="clear"/>
          </w:tcPr>
          <w:p>
            <w:r>
              <w:rPr>
                <w:sz w:val="17"/>
              </w:rPr>
              <w:t>J+9  Moyenne</w:t>
            </w:r>
          </w:p>
        </w:tc>
        <w:tc>
          <w:tcPr>
            <w:tcW w:type="dxa" w:w="1440"/>
            <w:shd w:fill="FFDCE0" w:val="clear"/>
          </w:tcPr>
          <w:p>
            <w:r>
              <w:rPr>
                <w:sz w:val="17"/>
              </w:rPr>
              <w:t>2026-09-09</w:t>
            </w:r>
          </w:p>
        </w:tc>
        <w:tc>
          <w:tcPr>
            <w:tcW w:type="dxa" w:w="1440"/>
            <w:shd w:fill="FFDCE0" w:val="clear"/>
          </w:tcPr>
          <w:p>
            <w:r>
              <w:rPr>
                <w:sz w:val="17"/>
              </w:rPr>
              <w:t>5,073</w:t>
            </w:r>
          </w:p>
        </w:tc>
        <w:tc>
          <w:tcPr>
            <w:tcW w:type="dxa" w:w="1440"/>
            <w:shd w:fill="FFDCE0" w:val="clear"/>
          </w:tcPr>
          <w:p>
            <w:r>
              <w:rPr>
                <w:b/>
                <w:sz w:val="17"/>
              </w:rPr>
              <w:t>5,563</w:t>
            </w:r>
          </w:p>
        </w:tc>
        <w:tc>
          <w:tcPr>
            <w:tcW w:type="dxa" w:w="1440"/>
            <w:shd w:fill="FFDCE0" w:val="clear"/>
          </w:tcPr>
          <w:p>
            <w:r>
              <w:rPr>
                <w:sz w:val="17"/>
              </w:rPr>
              <w:t>6,053</w:t>
            </w:r>
          </w:p>
        </w:tc>
        <w:tc>
          <w:tcPr>
            <w:tcW w:type="dxa" w:w="1440"/>
            <w:shd w:fill="FFDCE0" w:val="clear"/>
          </w:tcPr>
          <w:p>
            <w:r>
              <w:rPr>
                <w:b/>
                <w:color w:val="C00000"/>
                <w:sz w:val="17"/>
              </w:rPr>
              <w:t>-16.3%</w:t>
            </w:r>
          </w:p>
        </w:tc>
      </w:tr>
      <w:tr>
        <w:tc>
          <w:tcPr>
            <w:tcW w:type="dxa" w:w="1440"/>
            <w:shd w:fill="FFDCE0" w:val="clear"/>
          </w:tcPr>
          <w:p>
            <w:r>
              <w:rPr>
                <w:sz w:val="17"/>
              </w:rPr>
              <w:t>J+10  Moyenne</w:t>
            </w:r>
          </w:p>
        </w:tc>
        <w:tc>
          <w:tcPr>
            <w:tcW w:type="dxa" w:w="1440"/>
            <w:shd w:fill="FFDCE0" w:val="clear"/>
          </w:tcPr>
          <w:p>
            <w:r>
              <w:rPr>
                <w:sz w:val="17"/>
              </w:rPr>
              <w:t>2026-09-10</w:t>
            </w:r>
          </w:p>
        </w:tc>
        <w:tc>
          <w:tcPr>
            <w:tcW w:type="dxa" w:w="1440"/>
            <w:shd w:fill="FFDCE0" w:val="clear"/>
          </w:tcPr>
          <w:p>
            <w:r>
              <w:rPr>
                <w:sz w:val="17"/>
              </w:rPr>
              <w:t>4,980</w:t>
            </w:r>
          </w:p>
        </w:tc>
        <w:tc>
          <w:tcPr>
            <w:tcW w:type="dxa" w:w="1440"/>
            <w:shd w:fill="FFDCE0" w:val="clear"/>
          </w:tcPr>
          <w:p>
            <w:r>
              <w:rPr>
                <w:b/>
                <w:sz w:val="17"/>
              </w:rPr>
              <w:t>5,490</w:t>
            </w:r>
          </w:p>
        </w:tc>
        <w:tc>
          <w:tcPr>
            <w:tcW w:type="dxa" w:w="1440"/>
            <w:shd w:fill="FFDCE0" w:val="clear"/>
          </w:tcPr>
          <w:p>
            <w:r>
              <w:rPr>
                <w:sz w:val="17"/>
              </w:rPr>
              <w:t>6,000</w:t>
            </w:r>
          </w:p>
        </w:tc>
        <w:tc>
          <w:tcPr>
            <w:tcW w:type="dxa" w:w="1440"/>
            <w:shd w:fill="FFDCE0" w:val="clear"/>
          </w:tcPr>
          <w:p>
            <w:r>
              <w:rPr>
                <w:b/>
                <w:color w:val="C00000"/>
                <w:sz w:val="17"/>
              </w:rPr>
              <w:t>-17.4%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87.939 Mds FCFA</w:t>
            </w:r>
          </w:p>
        </w:tc>
        <w:tc>
          <w:tcPr>
            <w:tcW w:type="dxa" w:w="5669"/>
            <w:shd w:fill="FFFFFF" w:val="clear"/>
          </w:tcPr>
          <w:p>
            <w:r>
              <w:rPr>
                <w:color w:val="282828"/>
                <w:sz w:val="15"/>
              </w:rPr>
              <w:t>Représente 14.8%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185.699 Mds FCFA</w:t>
            </w:r>
          </w:p>
        </w:tc>
        <w:tc>
          <w:tcPr>
            <w:tcW w:type="dxa" w:w="5669"/>
            <w:shd w:fill="FFFFFF" w:val="clear"/>
          </w:tcPr>
          <w:p>
            <w:r>
              <w:rPr>
                <w:color w:val="282828"/>
                <w:sz w:val="15"/>
              </w:rPr>
              <w:t>Titres d'État détenus (31.3%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18.780 Mds FCFA</w:t>
            </w:r>
          </w:p>
        </w:tc>
        <w:tc>
          <w:tcPr>
            <w:tcW w:type="dxa" w:w="5669"/>
            <w:shd w:fill="FFFFFF" w:val="clear"/>
          </w:tcPr>
          <w:p>
            <w:r>
              <w:rPr>
                <w:color w:val="282828"/>
                <w:sz w:val="15"/>
              </w:rPr>
              <w:t>Prêts aux autres banques (3.2%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253.648 Mds FCFA</w:t>
            </w:r>
          </w:p>
        </w:tc>
        <w:tc>
          <w:tcPr>
            <w:tcW w:type="dxa" w:w="5669"/>
            <w:shd w:fill="FFFFFF" w:val="clear"/>
          </w:tcPr>
          <w:p>
            <w:r>
              <w:rPr>
                <w:color w:val="282828"/>
                <w:sz w:val="15"/>
              </w:rPr>
              <w:t>Portefeuille crédits (42.7%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438.61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23.047 Mds FCFA</w:t>
            </w:r>
          </w:p>
        </w:tc>
        <w:tc>
          <w:tcPr>
            <w:tcW w:type="dxa" w:w="5669"/>
            <w:shd w:fill="FFFFFF" w:val="clear"/>
          </w:tcPr>
          <w:p>
            <w:r>
              <w:rPr>
                <w:color w:val="282828"/>
                <w:sz w:val="15"/>
              </w:rPr>
              <w:t>Outil industriel (3.9%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24.960 Mds FCFA</w:t>
            </w:r>
          </w:p>
        </w:tc>
        <w:tc>
          <w:tcPr>
            <w:tcW w:type="dxa" w:w="5669"/>
            <w:shd w:fill="FFFFFF" w:val="clear"/>
          </w:tcPr>
          <w:p>
            <w:r>
              <w:rPr>
                <w:color w:val="282828"/>
                <w:sz w:val="15"/>
              </w:rPr>
              <w:t>Actif immobilisé = 4.2%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106.718 Mds FCFA</w:t>
            </w:r>
          </w:p>
        </w:tc>
        <w:tc>
          <w:tcPr>
            <w:tcW w:type="dxa" w:w="5669"/>
            <w:shd w:fill="FFFFFF" w:val="clear"/>
          </w:tcPr>
          <w:p>
            <w:r>
              <w:rPr>
                <w:color w:val="282828"/>
                <w:sz w:val="15"/>
              </w:rPr>
              <w:t>Liquidités disponibles (18.0%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593.455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27.450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9.704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49.820 Mds FCFA</w:t>
            </w:r>
          </w:p>
        </w:tc>
        <w:tc>
          <w:tcPr>
            <w:tcW w:type="dxa" w:w="5669"/>
            <w:shd w:fill="FFFFFF" w:val="clear"/>
          </w:tcPr>
          <w:p>
            <w:r>
              <w:rPr>
                <w:color w:val="282828"/>
                <w:sz w:val="15"/>
              </w:rPr>
              <w:t>Fonds propres = 8.4%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60.598 Mds FCFA</w:t>
            </w:r>
          </w:p>
        </w:tc>
        <w:tc>
          <w:tcPr>
            <w:tcW w:type="dxa" w:w="5669"/>
            <w:shd w:fill="FFFFFF" w:val="clear"/>
          </w:tcPr>
          <w:p>
            <w:r>
              <w:rPr>
                <w:color w:val="282828"/>
                <w:sz w:val="15"/>
              </w:rPr>
              <w:t>Capitaux permanents / Actif immobilisé = 2.43x.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20.350 Mds FCFA</w:t>
            </w:r>
          </w:p>
        </w:tc>
        <w:tc>
          <w:tcPr>
            <w:tcW w:type="dxa" w:w="5669"/>
            <w:shd w:fill="FFFFFF" w:val="clear"/>
          </w:tcPr>
          <w:p>
            <w:r>
              <w:rPr>
                <w:color w:val="282828"/>
                <w:sz w:val="15"/>
              </w:rPr>
              <w:t>Refinancement interbancaire (3.4%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502.890 Mds FCFA</w:t>
            </w:r>
          </w:p>
        </w:tc>
        <w:tc>
          <w:tcPr>
            <w:tcW w:type="dxa" w:w="5669"/>
            <w:shd w:fill="FFFFFF" w:val="clear"/>
          </w:tcPr>
          <w:p>
            <w:r>
              <w:rPr>
                <w:color w:val="282828"/>
                <w:sz w:val="15"/>
              </w:rPr>
              <w:t>Dépôts clients = 84.7%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7.218 Mds FCFA</w:t>
            </w:r>
          </w:p>
        </w:tc>
        <w:tc>
          <w:tcPr>
            <w:tcW w:type="dxa" w:w="5669"/>
            <w:shd w:fill="FFFFFF" w:val="clear"/>
          </w:tcPr>
          <w:p>
            <w:r>
              <w:rPr>
                <w:color w:val="282828"/>
                <w:sz w:val="15"/>
              </w:rPr>
              <w:t>Dette LT/MT = 14%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27.568 Mds FCFA</w:t>
            </w:r>
          </w:p>
        </w:tc>
        <w:tc>
          <w:tcPr>
            <w:tcW w:type="dxa" w:w="5669"/>
            <w:shd w:fill="FFFFFF" w:val="clear"/>
          </w:tcPr>
          <w:p>
            <w:r>
              <w:rPr>
                <w:color w:val="282828"/>
                <w:sz w:val="15"/>
              </w:rPr>
              <w:t>Dette financière totale = 55%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543.635 Mds FCFA</w:t>
            </w:r>
          </w:p>
        </w:tc>
        <w:tc>
          <w:tcPr>
            <w:tcW w:type="dxa" w:w="5669"/>
            <w:shd w:fill="FFFFFF" w:val="clear"/>
          </w:tcPr>
          <w:p>
            <w:r>
              <w:rPr>
                <w:color w:val="282828"/>
                <w:sz w:val="15"/>
              </w:rPr>
              <w:t>Dettes totales = 91.6%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37.996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37.996 Mds FCFA</w:t>
            </w:r>
          </w:p>
        </w:tc>
        <w:tc>
          <w:tcPr>
            <w:tcW w:type="dxa" w:w="5669"/>
            <w:shd w:fill="FFFFFF" w:val="clear"/>
          </w:tcPr>
          <w:p>
            <w:r>
              <w:rPr>
                <w:color w:val="282828"/>
                <w:sz w:val="15"/>
              </w:rPr>
              <w:t>Revenu bancaire central (≡ CA). Croissance: 5.1%.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33.306 Mds FCFA</w:t>
            </w:r>
          </w:p>
        </w:tc>
        <w:tc>
          <w:tcPr>
            <w:tcW w:type="dxa" w:w="5669"/>
            <w:shd w:fill="FFFFFF" w:val="clear"/>
          </w:tcPr>
          <w:p>
            <w:r>
              <w:rPr>
                <w:color w:val="282828"/>
                <w:sz w:val="15"/>
              </w:rPr>
              <w:t>Revenus d'intérêts sur crédits (88%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10.578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11.289 Mds FCFA</w:t>
            </w:r>
          </w:p>
        </w:tc>
        <w:tc>
          <w:tcPr>
            <w:tcW w:type="dxa" w:w="5669"/>
            <w:shd w:fill="FFFFFF" w:val="clear"/>
          </w:tcPr>
          <w:p>
            <w:r>
              <w:rPr>
                <w:color w:val="282828"/>
                <w:sz w:val="15"/>
              </w:rPr>
              <w:t>Revenus de commissions (29.7%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19.678 Mds FCFA</w:t>
            </w:r>
          </w:p>
        </w:tc>
        <w:tc>
          <w:tcPr>
            <w:tcW w:type="dxa" w:w="5669"/>
            <w:shd w:fill="FFFFFF" w:val="clear"/>
          </w:tcPr>
          <w:p>
            <w:r>
              <w:rPr>
                <w:color w:val="282828"/>
                <w:sz w:val="15"/>
              </w:rPr>
              <w:t>51.8%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4.314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14.004 Mds FCFA</w:t>
            </w:r>
          </w:p>
        </w:tc>
        <w:tc>
          <w:tcPr>
            <w:tcW w:type="dxa" w:w="5669"/>
            <w:shd w:fill="FFFFFF" w:val="clear"/>
          </w:tcPr>
          <w:p>
            <w:r>
              <w:rPr>
                <w:color w:val="282828"/>
                <w:sz w:val="15"/>
              </w:rPr>
              <w:t>RBE = 36.9%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9.414 Mds FCFA</w:t>
            </w:r>
          </w:p>
        </w:tc>
        <w:tc>
          <w:tcPr>
            <w:tcW w:type="dxa" w:w="5669"/>
            <w:shd w:fill="FFFFFF" w:val="clear"/>
          </w:tcPr>
          <w:p>
            <w:r>
              <w:rPr>
                <w:color w:val="282828"/>
                <w:sz w:val="15"/>
              </w:rPr>
              <w:t>Profit d'exploitation = 24.8%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4.590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11.081 Mds FCFA</w:t>
            </w:r>
          </w:p>
        </w:tc>
        <w:tc>
          <w:tcPr>
            <w:tcW w:type="dxa" w:w="5669"/>
            <w:shd w:fill="FFFFFF" w:val="clear"/>
          </w:tcPr>
          <w:p>
            <w:r>
              <w:rPr>
                <w:color w:val="282828"/>
                <w:sz w:val="15"/>
              </w:rPr>
              <w:t>Marge nette = 29.2%.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15.396 Mds FCFA</w:t>
            </w:r>
          </w:p>
        </w:tc>
        <w:tc>
          <w:tcPr>
            <w:tcW w:type="dxa" w:w="5669"/>
            <w:shd w:fill="FFFFFF" w:val="clear"/>
          </w:tcPr>
          <w:p>
            <w:r>
              <w:rPr>
                <w:color w:val="282828"/>
                <w:sz w:val="15"/>
              </w:rPr>
              <w:t>CAF = 15.40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86.368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36.86%</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29.16%</w:t>
            </w:r>
          </w:p>
        </w:tc>
        <w:tc>
          <w:tcPr>
            <w:tcW w:type="dxa" w:w="5669"/>
            <w:shd w:fill="FFFFFF" w:val="clear"/>
          </w:tcPr>
          <w:p>
            <w:r>
              <w:rPr>
                <w:color w:val="282828"/>
                <w:sz w:val="15"/>
              </w:rPr>
              <w:t>Résultat net / revenus = 29.16%.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24.78%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22.24%</w:t>
            </w:r>
          </w:p>
        </w:tc>
        <w:tc>
          <w:tcPr>
            <w:tcW w:type="dxa" w:w="5669"/>
            <w:shd w:fill="FFFFFF" w:val="clear"/>
          </w:tcPr>
          <w:p>
            <w:r>
              <w:rPr>
                <w:color w:val="282828"/>
                <w:sz w:val="15"/>
              </w:rPr>
              <w:t>Résultat net / capitaux propres = 22.24%.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1.87%</w:t>
            </w:r>
          </w:p>
        </w:tc>
        <w:tc>
          <w:tcPr>
            <w:tcW w:type="dxa" w:w="5669"/>
            <w:shd w:fill="FFFFFF" w:val="clear"/>
          </w:tcPr>
          <w:p>
            <w:r>
              <w:rPr>
                <w:color w:val="282828"/>
                <w:sz w:val="15"/>
              </w:rPr>
              <w:t>Résultat net / total actif = 1.87%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6.40%</w:t>
            </w:r>
          </w:p>
        </w:tc>
        <w:tc>
          <w:tcPr>
            <w:tcW w:type="dxa" w:w="5669"/>
            <w:shd w:fill="FFFFFF" w:val="clear"/>
          </w:tcPr>
          <w:p>
            <w:r>
              <w:rPr>
                <w:color w:val="282828"/>
                <w:sz w:val="15"/>
              </w:rPr>
              <w:t>CA / total actif = 6.40x.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63.14%</w:t>
            </w:r>
          </w:p>
        </w:tc>
        <w:tc>
          <w:tcPr>
            <w:tcW w:type="dxa" w:w="5669"/>
            <w:shd w:fill="FFFFFF" w:val="clear"/>
          </w:tcPr>
          <w:p>
            <w:r>
              <w:rPr>
                <w:color w:val="282828"/>
                <w:sz w:val="15"/>
              </w:rPr>
              <w:t>Charges / PNB = 63.14%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43.39%</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5.08%</w:t>
            </w:r>
          </w:p>
        </w:tc>
        <w:tc>
          <w:tcPr>
            <w:tcW w:type="dxa" w:w="5669"/>
            <w:shd w:fill="FFFFFF" w:val="clear"/>
          </w:tcPr>
          <w:p>
            <w:r>
              <w:rPr>
                <w:color w:val="282828"/>
                <w:sz w:val="15"/>
              </w:rPr>
              <w:t>Croissance PNB vs exercice précédent = 5.08%.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8.39%</w:t>
            </w:r>
          </w:p>
        </w:tc>
        <w:tc>
          <w:tcPr>
            <w:tcW w:type="dxa" w:w="5669"/>
            <w:shd w:fill="FFFFFF" w:val="clear"/>
          </w:tcPr>
          <w:p>
            <w:r>
              <w:rPr>
                <w:color w:val="282828"/>
                <w:sz w:val="15"/>
              </w:rPr>
              <w:t>Fonds propres / total bilan = 8.39%.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91.61%</w:t>
            </w:r>
          </w:p>
        </w:tc>
        <w:tc>
          <w:tcPr>
            <w:tcW w:type="dxa" w:w="5669"/>
            <w:shd w:fill="FFFFFF" w:val="clear"/>
          </w:tcPr>
          <w:p>
            <w:r>
              <w:rPr>
                <w:color w:val="282828"/>
                <w:sz w:val="15"/>
              </w:rPr>
              <w:t>Dettes financières / total bilan = 91.61%.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55.33%</w:t>
            </w:r>
          </w:p>
        </w:tc>
        <w:tc>
          <w:tcPr>
            <w:tcW w:type="dxa" w:w="5669"/>
            <w:shd w:fill="FFFFFF" w:val="clear"/>
          </w:tcPr>
          <w:p>
            <w:r>
              <w:rPr>
                <w:color w:val="282828"/>
                <w:sz w:val="15"/>
              </w:rPr>
              <w:t>Dettes totales / fonds propres = 55.33%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109.16%</w:t>
            </w:r>
          </w:p>
        </w:tc>
        <w:tc>
          <w:tcPr>
            <w:tcW w:type="dxa" w:w="5669"/>
            <w:shd w:fill="FFFFFF" w:val="clear"/>
          </w:tcPr>
          <w:p>
            <w:r>
              <w:rPr>
                <w:color w:val="282828"/>
                <w:sz w:val="15"/>
              </w:rPr>
              <w:t>Total actif / dettes totales = 109.16x.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199.60%</w:t>
            </w:r>
          </w:p>
        </w:tc>
        <w:tc>
          <w:tcPr>
            <w:tcW w:type="dxa" w:w="5669"/>
            <w:shd w:fill="FFFFFF" w:val="clear"/>
          </w:tcPr>
          <w:p>
            <w:r>
              <w:rPr>
                <w:color w:val="282828"/>
                <w:sz w:val="15"/>
              </w:rPr>
              <w:t>Capitaux permanents / actif immobilisé = 199.60x.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89.00%</w:t>
            </w:r>
          </w:p>
        </w:tc>
        <w:tc>
          <w:tcPr>
            <w:tcW w:type="dxa" w:w="5669"/>
            <w:shd w:fill="FFFFFF" w:val="clear"/>
          </w:tcPr>
          <w:p>
            <w:r>
              <w:rPr>
                <w:color w:val="282828"/>
                <w:sz w:val="15"/>
              </w:rPr>
              <w:t>Résultat exploit. / charges financières = 89.00x.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BOAM s'établit à 182,54 milliards FCFA, un niveau qui la positionne parmi les valeurs moyennes du marché BRVM, avec un flottant potentiellement limité. Le BPA de 404 FCFA indique que chaque action génère un bénéfice substantiel, justifiant un PER de 16,5x. Ce ratio est supérieur à la moyenne historique de la BRVM (8-12x), signifiant que les investisseurs acceptent de payer une prime pour la croissance et la résilience de la banque. Le P/B de 3,66x confirme cette prime, le marché valorisant la société à plus de 3,6 fois ses capitaux propres, ce qui reflète une forte confiance dans la création de valeur future. Enfin, l'EV/EBITDA de 8,8x, dans la fourchette haute des 5-10x, indique que la valeur totale de l'entreprise (dette incluse) reste raisonnable par rapport à sa capacité opérationnelle, suggérant une valorisation globalement soutenue mais non excessive.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BOAM a enregistré une performance spectaculaire de +42,09%, avec une légère consolidation de -0,75% lors de la dernière séance, signe d'un essoufflement potentiel à court terme. Le cours a évolué dans un range de 4 425 FCFA (plus bas) à 6 700 FCFA (plus haut), démontrant une dynamique haussière très forte. La moyenne (5 124 FCFA) étant supérieure à la médiane (4 915 FCFA), la distribution des prix est asymétrique, avec un skewness positif (0,919) indiquant que le titre a passé plus de journées sous sa moyenne, mais avec des mouvements de hausse plus amples. L'écart-type de 590 FCFA (CV=11,5%) montre une dispersion modérée, tandis que le kurtosis de -0,226 (mésokurtique) suggère une absence de pics ou de creux extrêmes. La volatilité annualisée de 32,2% est élevée, signalant un risque de marché important mais également un potentiel de rendement accru pour les investisseurs tolérants au risque.</w:t>
      </w:r>
    </w:p>
    <w:p>
      <w:pPr>
        <w:spacing w:after="120" w:line="276" w:lineRule="auto" w:before="240"/>
      </w:pPr>
      <w:r>
        <w:rPr>
          <w:b/>
          <w:color w:val="003366"/>
          <w:sz w:val="24"/>
        </w:rPr>
        <w:t>**PARTIE 2 : ANALYSE TECHNIQUE DÉTAILLÉE**</w:t>
      </w:r>
    </w:p>
    <w:p>
      <w:pPr>
        <w:spacing w:after="120" w:line="276" w:lineRule="auto"/>
      </w:pPr>
      <w:r>
        <w:t>**Moyennes Mobiles** : Le cours actuel (6 650 FCFA) se situe nettement au-dessus de la MM20 (6 028,5 FCFA) et de la MM50 (5 530,7 FCFA), confirmant une tendance haussière solide. L'écart positif entre le prix et les moyennes indique une dynamique d'achat soutenue, justifiant la décision d'achat.</w:t>
      </w:r>
    </w:p>
    <w:p>
      <w:pPr>
        <w:spacing w:after="120" w:line="276" w:lineRule="auto"/>
      </w:pPr>
      <w:r>
        <w:t>**Bandes de Bollinger** : Le prix évolue proche de la borne supérieure (6 794,9 FCFA), ce qui témoigne d'une pression acheteuse intense. Cependant, cette position proche de la borne supérieure peut signaler une condition de surachat temporaire, expliquant la décision neutre, car le marché pourrait consolider avant de poursuivre sa hausse.</w:t>
      </w:r>
    </w:p>
    <w:p>
      <w:pPr>
        <w:spacing w:after="120" w:line="276" w:lineRule="auto"/>
      </w:pPr>
      <w:r>
        <w:t>**MACD** : Le MACD (302,8) est largement supérieur à sa ligne de signal (249,3), indiquant un momentum haussier très fort. Cette divergence positive confirme la tendance haussière en cours et suggère que la pression acheteuse reste dominante, justifiant la décision d'achat.</w:t>
      </w:r>
    </w:p>
    <w:p>
      <w:pPr>
        <w:spacing w:after="120" w:line="276" w:lineRule="auto"/>
      </w:pPr>
      <w:r>
        <w:t>**RSI** : Avec une valeur de 92,1, le RSI est profondément en zone de surachat (au-dessus de 70). Cela signale que le titre est techniquement surévalué à court terme et qu'un repli correctif est probable, justifiant la décision de vente pour les traders à court terme.</w:t>
      </w:r>
    </w:p>
    <w:p>
      <w:pPr>
        <w:spacing w:after="120" w:line="276" w:lineRule="auto"/>
      </w:pPr>
      <w:r>
        <w:t>**Stochastique** : Le %K (95,5) et le %D (98,5) sont tous deux à des niveaux extrêmement élevés, confirmant la surachat. Le fait que %K soit inférieur à %D suggère un croisement baissier potentiel imminent, renforçant la décision de vente.</w:t>
      </w:r>
    </w:p>
    <w:p>
      <w:pPr>
        <w:spacing w:after="120" w:line="276" w:lineRule="auto"/>
      </w:pPr>
      <w:r>
        <w:t>**Conclusion technique** : Les indicateurs de tendance (MM, MACD) sont haussiers, mais les oscillateurs (RSI, Stochastique) sont en surachat extrême. Cette divergence suggère que la tendance de fond reste positive, mais qu'un repli technique est très probable à court terme. La prudence est donc de mise pour les nouveaux achats, tandis que les investisseurs existants pourraient sécuriser des gains partiels.</w:t>
      </w:r>
    </w:p>
    <w:p>
      <w:pPr>
        <w:spacing w:after="120" w:line="276" w:lineRule="auto" w:before="240"/>
      </w:pPr>
      <w:r>
        <w:rPr>
          <w:b/>
          <w:color w:val="003366"/>
          <w:sz w:val="24"/>
        </w:rPr>
        <w:t>**PARTIE 3 : ANALYSE FONDAMENTALE (SECTION CRITIQUE)**</w:t>
      </w:r>
    </w:p>
    <w:p>
      <w:pPr>
        <w:spacing w:after="120" w:line="276" w:lineRule="auto"/>
      </w:pPr>
      <w:r>
        <w:t>En 2025, les états financiers annuels de BOAM font état d'un Produit Net Bancaire (PNB) de 37,996 milliards FCFA, en croissance de 5,08%, et d'un résultat net de 11,081 milliards FCFA. La banque affiche un ROE exceptionnel de 22,24% et un ROA de 1,87%, démontrant une excellente rentabilité des fonds propres et une bonne efficacité de l'utilisation des actifs. Le coefficient d'exploitation de 63,14% reste légèrement au-dessus du seuil d'efficacité de 60%, mais s'améliore. Le coût du risque est élevé (43,39%), reflétant un risque de crédit significatif, bien que les rapports trimestriels montrent une nette amélioration. Les dépôts clientèle (502,89 Mds) couvrent largement les créances sur la clientèle (253,65 Mds), indiquant une transformation saine. Les rapports trimestriels de 2025 confirment cette dynamique : le T1 montre un résultat net en hausse de 91,18%, le S1 de +28,8% et le T3 de +26,2%, porté par une baisse du coût du risque et une maîtrise des charges. On estime que l'exercice 2025 devrait confirmer une croissance à deux chiffres du résultat net, consolidant la solidité financière de la banque.</w:t>
      </w:r>
    </w:p>
    <w:p>
      <w:pPr>
        <w:spacing w:after="120" w:line="276" w:lineRule="auto" w:before="240"/>
      </w:pPr>
      <w:r>
        <w:rPr>
          <w:b/>
          <w:color w:val="003366"/>
          <w:sz w:val="24"/>
        </w:rPr>
        <w:t>**PARTIE 4 : CONCLUSION D'INVESTISSEMENT**</w:t>
      </w:r>
    </w:p>
    <w:p>
      <w:pPr>
        <w:spacing w:after="120" w:line="276" w:lineRule="auto"/>
      </w:pPr>
      <w:r>
        <w:t>La valorisation de BOAM (PER 16,5x, P/B 3,66x) est exigeante mais justifiée par une rentabilité supérieure (ROE &gt;22%), reflétant une prime de croissance méritée. Le comportement du cours (+42% en 100 jours) et la volatilité élevée (32,2%) indiquent un intérêt marqué des investisseurs, mais les statistiques (skewness positif) suggèrent un risque de consolidation. Les signaux techniques sont mitigés : la tendance de fond (MM, MACD) est haussière, mais les oscillateurs (RSI, Stochastique) sont en surachat extrême, annonçant un repli probable. Les fondamentaux sont robustes, avec une croissance soutenue du PNB et une explosion du résultat net grâce à une gestion rigoureuse des risques. Les prédictions IA (6 481 à 5 910 FCFA sur 10 jours) confirment cette anticipation de correction, contredisant la tendance haussière récente. En synthèse, la convergence entre la surachat technique et les prédictions IA suggère une pause dans la hausse. **Recommandation finale : CONSERVER**, avec un niveau de confiance **Moyen**, un risque global **Élevé** (volatilité et surachat), et un horizon d'investissement optimal à **moyen terme (3-12 mois)** pour capitaliser sur la solidité fondamentale après une éventuelle correction.</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contexte difficile, BOA Mali d\u00e9montre une bonne r\u00e9silience avec un r\u00e9sultat net en croissance et une am\u00e9lioration significative du co\u00fbt du risque. Les perspectives s'am\u00e9liorent avec la lev\u00e9e de l'embargo permettant la reprise des activit\u00e9s de march\u00e9."}</w:t>
      </w:r>
    </w:p>
    <w:p>
      <w:pPr>
        <w:spacing w:before="40"/>
        <w:ind w:left="400"/>
      </w:pPr>
      <w:r>
        <w:rPr>
          <w:sz w:val="18"/>
        </w:rPr>
        <w:t>Bank of Africa Mali présente des résultats mitigés pour le premier semestre 2022, marqués par un contexte difficile lié à la guerre en Ukraine, l'embargo de la CEDEAO et la crise multidimensionnelle au Mali. Le Produit Net Bancaire a reculé de 7,2% à 16 701 MFCFA, principalement en raison de l'impossibilité d'investir dans les opérations sur titres durant l'embargo. Malgré cette baisse des revenus, la banque a maintenu une gestion prudente avec une maîtrise des charges d'exploitation (+1,7% seulement). Le coût du risque s'est nettement amélioré (-27,4%), permettant au résultat net de progresser légèrement de 3,2% à 1 786 MFCFA. La levée de l'embargo ouvre de meilleures perspectives pour le s</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'4 873 MFCFA', 'frais_generaux': '9 852 MFCFA', 'croissance_credits': '3%', 'evolution_ressources': '-2%', 'resultat_brut_exploitation': '6 848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1 786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16 701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7,2% à 16 701 MFCFA au S1 2022</w:t>
      </w:r>
    </w:p>
    <w:p>
      <w:pPr>
        <w:pStyle w:val="ListBullet"/>
        <w:spacing w:before="20" w:after="20"/>
        <w:ind w:left="700"/>
      </w:pPr>
      <w:r>
        <w:rPr>
          <w:sz w:val="18"/>
        </w:rPr>
        <w:t>Résultat net en hausse de 3,2% à 1 786 MFCFA malgré le contexte difficile</w:t>
      </w:r>
    </w:p>
    <w:p>
      <w:pPr>
        <w:pStyle w:val="ListBullet"/>
        <w:spacing w:before="20" w:after="20"/>
        <w:ind w:left="700"/>
      </w:pPr>
      <w:r>
        <w:rPr>
          <w:sz w:val="18"/>
        </w:rPr>
        <w:t>Forte amélioration du coût du risque (-27,4% à 4 873 MFCFA)</w:t>
      </w:r>
    </w:p>
    <w:p>
      <w:pPr>
        <w:pStyle w:val="ListBullet"/>
        <w:spacing w:before="20" w:after="20"/>
        <w:ind w:left="700"/>
      </w:pPr>
      <w:r>
        <w:rPr>
          <w:sz w:val="18"/>
        </w:rPr>
        <w:t>Maîtrise des charges d'exploitation avec une progression limitée à 1,7%</w:t>
      </w:r>
    </w:p>
    <w:p>
      <w:pPr>
        <w:pStyle w:val="ListBullet"/>
        <w:spacing w:before="20" w:after="20"/>
        <w:ind w:left="700"/>
      </w:pPr>
      <w:r>
        <w:rPr>
          <w:sz w:val="18"/>
        </w:rPr>
        <w:t>Impact négatif de l'embargo CEDEAO sur les opérations sur titres durant le S1</w:t>
      </w:r>
    </w:p>
    <w:p>
      <w:pPr>
        <w:pStyle w:val="ListBullet"/>
        <w:spacing w:before="20" w:after="20"/>
        <w:ind w:left="700"/>
      </w:pPr>
      <w:r>
        <w:rPr>
          <w:sz w:val="18"/>
        </w:rPr>
        <w:t>Croissance modérée des crédits clientèle de 3% et repli des ressources de 2%</w:t>
      </w:r>
    </w:p>
    <w:p>
      <w:pPr>
        <w:spacing w:before="40"/>
        <w:ind w:left="400"/>
      </w:pPr>
      <w:r>
        <w:rPr>
          <w:b/>
          <w:color w:val="C05000"/>
          <w:sz w:val="18"/>
        </w:rPr>
        <w:t xml:space="preserve">⚠️ Risques : </w:t>
      </w:r>
      <w:r>
        <w:rPr>
          <w:sz w:val="18"/>
        </w:rPr>
        <w:t>["Persistance de l'instabilit\u00e9 politique et s\u00e9curitaire au Mali depuis 2012", "Vuln\u00e9rabilit\u00e9 aux chocs externes (guerre Ukraine, inflation mondiale)", "Concentration des risques sur le secteur public et parapublic malien"]</w:t>
      </w:r>
    </w:p>
    <w:p>
      <w:pPr>
        <w:spacing w:before="40"/>
        <w:ind w:left="400"/>
      </w:pPr>
      <w:r>
        <w:rPr>
          <w:b/>
          <w:color w:val="0064A0"/>
          <w:sz w:val="18"/>
        </w:rPr>
        <w:t xml:space="preserve">🔮 Perspectives : </w:t>
      </w:r>
      <w:r>
        <w:rPr>
          <w:sz w:val="18"/>
        </w:rPr>
        <w:t>La levée de l'embargo CEDEAO en juillet 2022 devrait permettre une nette amélioration des performances au second semestre avec la reprise des activités de marché. La banque ambitionne de rattraper le retard sur la marge bancaire et de finir l'exercice 2022 sur une note positive. Les perspectives à m</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dans un contexte difficile avec am\u00e9lioration des principaux indicateurs. La capacit\u00e9 de maintenir la rentabilit\u00e9 malgr\u00e9 les sanctions et l'embargo d\u00e9montre la r\u00e9silience du mod\u00e8le d'affaires."}</w:t>
      </w:r>
    </w:p>
    <w:p>
      <w:pPr>
        <w:spacing w:before="40"/>
        <w:ind w:left="400"/>
      </w:pPr>
      <w:r>
        <w:rPr>
          <w:sz w:val="18"/>
        </w:rPr>
        <w:t>BOA Mali affiche une performance financière résiliente au 3ème trimestre 2022 malgré un contexte difficile marqué par la pandémie Covid, l'inflation mondiale et les sanctions sous-régionales. La banque a maintenu un Produit Net Bancaire stable de 25 372 MFCFA avec une hausse de 19,7% des commissions compensant la baisse de la marge bancaire. Le total bilan progresse de 5,8% pour atteindre 616 384 MXOF au 30/09/2022. Les frais généraux sont bien maîtrisés avec une baisse de 3% sur l'année glissante. Le résultat net s'améliore de 5% pour s'établir à 2 898 MFCFA au 30 septembre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'18 300 000 000 FCFA', 'cout_du_risque': '7 039 MFCFA', 'frais_generaux': '15 164 MFCFA', 'resultat_exploitation': '3 169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11,4%</w:t>
            </w:r>
          </w:p>
        </w:tc>
        <w:tc>
          <w:tcPr>
            <w:tcW w:type="dxa" w:w="2160"/>
          </w:tcPr>
          <w:p>
            <w:pPr>
              <w:ind w:left="100"/>
            </w:pPr>
            <w:r/>
            <w:r>
              <w:rPr>
                <w:b/>
                <w:sz w:val="16"/>
              </w:rPr>
              <w:t>total_actif</w:t>
              <w:br/>
            </w:r>
            <w:r>
              <w:rPr>
                <w:sz w:val="18"/>
              </w:rPr>
              <w:t>616 384 MXOF</w:t>
            </w:r>
          </w:p>
        </w:tc>
      </w:tr>
      <w:tr>
        <w:tc>
          <w:tcPr>
            <w:tcW w:type="dxa" w:w="2160"/>
          </w:tcPr>
          <w:p>
            <w:r/>
            <w:r>
              <w:rPr>
                <w:b/>
                <w:sz w:val="16"/>
              </w:rPr>
              <w:t>resultat_net</w:t>
              <w:br/>
            </w:r>
            <w:r>
              <w:rPr>
                <w:sz w:val="18"/>
              </w:rPr>
              <w:t>2 898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25 372 MFCFA (PNB)</w:t>
            </w:r>
          </w:p>
        </w:tc>
        <w:tc>
          <w:tcPr>
            <w:tcW w:type="dxa" w:w="2160"/>
          </w:tcPr>
          <w:p/>
        </w:tc>
      </w:tr>
    </w:tbl>
    <w:p/>
    <w:p>
      <w:pPr>
        <w:spacing w:before="60"/>
        <w:ind w:left="400"/>
      </w:pPr>
      <w:r>
        <w:rPr>
          <w:b/>
          <w:sz w:val="18"/>
        </w:rPr>
        <w:t>Points clés :</w:t>
      </w:r>
    </w:p>
    <w:p>
      <w:pPr>
        <w:pStyle w:val="ListBullet"/>
        <w:spacing w:before="20" w:after="20"/>
        <w:ind w:left="700"/>
      </w:pPr>
      <w:r>
        <w:rPr>
          <w:sz w:val="18"/>
        </w:rPr>
        <w:t>Hausse de 5,8% du total bilan à 616 384 MXOF au 30/09/2022</w:t>
      </w:r>
    </w:p>
    <w:p>
      <w:pPr>
        <w:pStyle w:val="ListBullet"/>
        <w:spacing w:before="20" w:after="20"/>
        <w:ind w:left="700"/>
      </w:pPr>
      <w:r>
        <w:rPr>
          <w:sz w:val="18"/>
        </w:rPr>
        <w:t>Progression de 19,7% des commissions sur l'année glissante</w:t>
      </w:r>
    </w:p>
    <w:p>
      <w:pPr>
        <w:pStyle w:val="ListBullet"/>
        <w:spacing w:before="20" w:after="20"/>
        <w:ind w:left="700"/>
      </w:pPr>
      <w:r>
        <w:rPr>
          <w:sz w:val="18"/>
        </w:rPr>
        <w:t>Maintien du PNB stable à 25 372 MFCFA malgré la baisse de la marge bancaire</w:t>
      </w:r>
    </w:p>
    <w:p>
      <w:pPr>
        <w:pStyle w:val="ListBullet"/>
        <w:spacing w:before="20" w:after="20"/>
        <w:ind w:left="700"/>
      </w:pPr>
      <w:r>
        <w:rPr>
          <w:sz w:val="18"/>
        </w:rPr>
        <w:t>Maîtrise des coûts avec une baisse de 3% des frais généraux</w:t>
      </w:r>
    </w:p>
    <w:p>
      <w:pPr>
        <w:pStyle w:val="ListBullet"/>
        <w:spacing w:before="20" w:after="20"/>
        <w:ind w:left="700"/>
      </w:pPr>
      <w:r>
        <w:rPr>
          <w:sz w:val="18"/>
        </w:rPr>
        <w:t>Amélioration de 5% du résultat net à 2 898 MFCFA</w:t>
      </w:r>
    </w:p>
    <w:p>
      <w:pPr>
        <w:pStyle w:val="ListBullet"/>
        <w:spacing w:before="20" w:after="20"/>
        <w:ind w:left="700"/>
      </w:pPr>
      <w:r>
        <w:rPr>
          <w:sz w:val="18"/>
        </w:rPr>
        <w:t>Réduction de 4% du coût du risque témoignant d'une meilleure gestion des créances</w:t>
      </w:r>
    </w:p>
    <w:p>
      <w:pPr>
        <w:spacing w:before="40"/>
        <w:ind w:left="400"/>
      </w:pPr>
      <w:r>
        <w:rPr>
          <w:b/>
          <w:color w:val="C05000"/>
          <w:sz w:val="18"/>
        </w:rPr>
        <w:t xml:space="preserve">⚠️ Risques : </w:t>
      </w:r>
      <w:r>
        <w:rPr>
          <w:sz w:val="18"/>
        </w:rPr>
        <w:t>["Impact prolong\u00e9 des sanctions CEDEAO et UEMOA sur l'activit\u00e9 bancaire", "Persistance de l'inflation mondiale et de l'instabilit\u00e9 g\u00e9opolitique", "Effets r\u00e9siduels de la pand\u00e9mie Covid sur l'\u00e9conomie malienne"]</w:t>
      </w:r>
    </w:p>
    <w:p>
      <w:pPr>
        <w:spacing w:before="40"/>
        <w:ind w:left="400"/>
      </w:pPr>
      <w:r>
        <w:rPr>
          <w:b/>
          <w:color w:val="0064A0"/>
          <w:sz w:val="18"/>
        </w:rPr>
        <w:t xml:space="preserve">🔮 Perspectives : </w:t>
      </w:r>
      <w:r>
        <w:rPr>
          <w:sz w:val="18"/>
        </w:rPr>
        <w:t>L'outlook reste prudent compte tenu du maintien probable des sanctions et de l'incertitude géopolitique régionale. La banque devra continuer à s'appuyer sur la diversification de ses revenus, notamment les commissions, pour compenser la pression sur les marges. La maîtrise des coûts et la gestion ri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"L'am\u00e9lioration du r\u00e9sultat net et la forte r\u00e9duction des provisions sont positives. Cependant, la baisse du total actif et la stabilit\u00e9 du PNB sugg\u00e8rent une croissance limit\u00e9e n\u00e9cessitant surveillance."}</w:t>
      </w:r>
    </w:p>
    <w:p>
      <w:pPr>
        <w:spacing w:before="40"/>
        <w:ind w:left="400"/>
      </w:pPr>
      <w:r>
        <w:rPr>
          <w:sz w:val="18"/>
        </w:rPr>
        <w:t>Bank of Africa Mali SA présente des résultats financiers contrastés pour 2022 avec une légère baisse du total actif de 581,5 à 576,8 milliards FCFA. Le résultat net s'améliore significativement, passant de 2,1 à 2,5 milliards FCFA, soit une hausse de 17,4%. Le produit net bancaire reste stable autour de 35,3 milliards FCFA malgré une légère baisse des revenus d'intérêts. La banque maintient une structure financière solide avec 34,5 milliards FCFA de capitaux propres. Les provisions ont été drastiquement réduites de 19,4 à 3,7 milliards FCFA, contribuant positivement au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{'provisions': '3,7 milliards FCFA', 'depots_clientele': '425,0 milliards FCFA', 'creances_clientele': '268,9 milliards FCFA', 'produit_net_bancaire': '35,3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576,8 milliards FCFA</w:t>
            </w:r>
          </w:p>
        </w:tc>
      </w:tr>
      <w:tr>
        <w:tc>
          <w:tcPr>
            <w:tcW w:type="dxa" w:w="2160"/>
          </w:tcPr>
          <w:p>
            <w:r/>
            <w:r>
              <w:rPr>
                <w:b/>
                <w:sz w:val="16"/>
              </w:rPr>
              <w:t>resultat_net</w:t>
              <w:br/>
            </w:r>
            <w:r>
              <w:rPr>
                <w:sz w:val="18"/>
              </w:rPr>
              <w:t>2,46 milliards FCFA</w:t>
            </w:r>
          </w:p>
        </w:tc>
        <w:tc>
          <w:tcPr>
            <w:tcW w:type="dxa" w:w="2160"/>
          </w:tcPr>
          <w:p>
            <w:r/>
            <w:r>
              <w:rPr>
                <w:b/>
                <w:sz w:val="16"/>
              </w:rPr>
              <w:t>capitaux_propres</w:t>
              <w:br/>
            </w:r>
            <w:r>
              <w:rPr>
                <w:sz w:val="18"/>
              </w:rPr>
              <w:t>34,5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Amélioration du résultat net de 17,4% atteignant 2,46 milliards FCFA en 2022</w:t>
      </w:r>
    </w:p>
    <w:p>
      <w:pPr>
        <w:pStyle w:val="ListBullet"/>
        <w:spacing w:before="20" w:after="20"/>
        <w:ind w:left="700"/>
      </w:pPr>
      <w:r>
        <w:rPr>
          <w:sz w:val="18"/>
        </w:rPr>
        <w:t>Réduction significative des provisions de 19,4 à 3,7 milliards FCFA (-81%)</w:t>
      </w:r>
    </w:p>
    <w:p>
      <w:pPr>
        <w:pStyle w:val="ListBullet"/>
        <w:spacing w:before="20" w:after="20"/>
        <w:ind w:left="700"/>
      </w:pPr>
      <w:r>
        <w:rPr>
          <w:sz w:val="18"/>
        </w:rPr>
        <w:t>Baisse du total actif de 0,8% à 576,8 milliards FCFA</w:t>
      </w:r>
    </w:p>
    <w:p>
      <w:pPr>
        <w:pStyle w:val="ListBullet"/>
        <w:spacing w:before="20" w:after="20"/>
        <w:ind w:left="700"/>
      </w:pPr>
      <w:r>
        <w:rPr>
          <w:sz w:val="18"/>
        </w:rPr>
        <w:t>Stabilité du produit net bancaire autour de 35,3 milliards FCFA</w:t>
      </w:r>
    </w:p>
    <w:p>
      <w:pPr>
        <w:pStyle w:val="ListBullet"/>
        <w:spacing w:before="20" w:after="20"/>
        <w:ind w:left="700"/>
      </w:pPr>
      <w:r>
        <w:rPr>
          <w:sz w:val="18"/>
        </w:rPr>
        <w:t>Diminution des créances sur la clientèle de 262,3 à 268,9 milliards FCFA</w:t>
      </w:r>
    </w:p>
    <w:p>
      <w:pPr>
        <w:pStyle w:val="ListBullet"/>
        <w:spacing w:before="20" w:after="20"/>
        <w:ind w:left="700"/>
      </w:pPr>
      <w:r>
        <w:rPr>
          <w:sz w:val="18"/>
        </w:rPr>
        <w:t>Forte hausse des immobilisations corporelles de 38,7 à 20,3 milliards FCFA</w:t>
      </w:r>
    </w:p>
    <w:p>
      <w:pPr>
        <w:spacing w:before="40"/>
        <w:ind w:left="400"/>
      </w:pPr>
      <w:r>
        <w:rPr>
          <w:b/>
          <w:color w:val="C05000"/>
          <w:sz w:val="18"/>
        </w:rPr>
        <w:t xml:space="preserve">⚠️ Risques : </w:t>
      </w:r>
      <w:r>
        <w:rPr>
          <w:sz w:val="18"/>
        </w:rPr>
        <w:t>["Stagnation de la croissance avec une baisse du total actif", "Concentration g\u00e9ographique sur le march\u00e9 malien", "Volatilit\u00e9 potentielle des provisions de cr\u00e9dit"]</w:t>
      </w:r>
    </w:p>
    <w:p>
      <w:pPr>
        <w:spacing w:before="40"/>
        <w:ind w:left="400"/>
      </w:pPr>
      <w:r>
        <w:rPr>
          <w:b/>
          <w:color w:val="0064A0"/>
          <w:sz w:val="18"/>
        </w:rPr>
        <w:t xml:space="preserve">🔮 Perspectives : </w:t>
      </w:r>
      <w:r>
        <w:rPr>
          <w:sz w:val="18"/>
        </w:rPr>
        <w:t>La banque devrait bénéficier de la normalisation de ses provisions et maintenir sa rentabilité. La croissance dépendra de sa capacité à développer son portefeuille de crédits et à diversifier ses sources de revenus dans un environnement économique malien en évolution.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 environnement difficile, la banque d\u00e9montre une capacit\u00e9 de r\u00e9sistance avec une rentabilit\u00e9 en am\u00e9lioration et une bonne ma\u00eetrise des co\u00fbts. L'augmentation du co\u00fbt du risque reste pr\u00e9occupante mais la performance op\u00e9rationnelle globale justifie une position neutre."}</w:t>
      </w:r>
    </w:p>
    <w:p>
      <w:pPr>
        <w:spacing w:before="40"/>
        <w:ind w:left="400"/>
      </w:pPr>
      <w:r>
        <w:rPr>
          <w:sz w:val="18"/>
        </w:rPr>
        <w:t xml:space="preserve">Bank of Africa Mali (BOA-MALI) présente des résultats mitigés pour l'exercice 2022 avec une légère baisse du produit net bancaire de 0,3% à 35,3 milliards FCFA. Malgré un contexte économique difficile marqué par l'inflation et les sanctions internationales, la banque améliore sa rentabilité avec un résultat net en hausse de 17,4% à 2,46 milliards FCFA. La maîtrise des frais généraux (-1,4%) et l'amélioration du coefficient net d'exploitation à 59,3% témoignent d'une gestion opérationnelle efficace. Toutefois, le coût du risque augmente significativement de 8,7% reflétant la dégradation de l'environnement économique. Les activités se sont déroulées dans un contexte perturbé par les sanctions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'13 261 millions FCFA', 'frais_generaux': '20 921 millions FCFA', 'resultat_avant_impot': '2 860 millions FCFA', 'coefficient_net_exploitation': '59,3%'}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2 460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35 307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stable à 35,3 milliards FCFA (-0,3%) soutenu par une croissance des commissions de 19,7%</w:t>
      </w:r>
    </w:p>
    <w:p>
      <w:pPr>
        <w:pStyle w:val="ListBullet"/>
        <w:spacing w:before="20" w:after="20"/>
        <w:ind w:left="700"/>
      </w:pPr>
      <w:r>
        <w:rPr>
          <w:sz w:val="18"/>
        </w:rPr>
        <w:t>Résultat net en forte hausse de 17,4% à 2,46 milliards FCFA malgré un environnement difficile</w:t>
      </w:r>
    </w:p>
    <w:p>
      <w:pPr>
        <w:pStyle w:val="ListBullet"/>
        <w:spacing w:before="20" w:after="20"/>
        <w:ind w:left="700"/>
      </w:pPr>
      <w:r>
        <w:rPr>
          <w:sz w:val="18"/>
        </w:rPr>
        <w:t>Amélioration du coefficient net d'exploitation de 700 points de base à 59,3%</w:t>
      </w:r>
    </w:p>
    <w:p>
      <w:pPr>
        <w:pStyle w:val="ListBullet"/>
        <w:spacing w:before="20" w:after="20"/>
        <w:ind w:left="700"/>
      </w:pPr>
      <w:r>
        <w:rPr>
          <w:sz w:val="18"/>
        </w:rPr>
        <w:t>Maîtrise des frais généraux avec une baisse de 1,4% à 20,9 milliards FCFA</w:t>
      </w:r>
    </w:p>
    <w:p>
      <w:pPr>
        <w:pStyle w:val="ListBullet"/>
        <w:spacing w:before="20" w:after="20"/>
        <w:ind w:left="700"/>
      </w:pPr>
      <w:r>
        <w:rPr>
          <w:sz w:val="18"/>
        </w:rPr>
        <w:t>Augmentation significative du coût du risque (+8,7%) à 13,3 milliards FCFA</w:t>
      </w:r>
    </w:p>
    <w:p>
      <w:pPr>
        <w:pStyle w:val="ListBullet"/>
        <w:spacing w:before="20" w:after="20"/>
        <w:ind w:left="700"/>
      </w:pPr>
      <w:r>
        <w:rPr>
          <w:sz w:val="18"/>
        </w:rPr>
        <w:t>Contexte opérationnel difficile avec sanctions économiques et conjoncture mondiale défavorable</w:t>
      </w:r>
    </w:p>
    <w:p>
      <w:pPr>
        <w:spacing w:before="40"/>
        <w:ind w:left="400"/>
      </w:pPr>
      <w:r>
        <w:rPr>
          <w:b/>
          <w:color w:val="C05000"/>
          <w:sz w:val="18"/>
        </w:rPr>
        <w:t xml:space="preserve">⚠️ Risques : </w:t>
      </w:r>
      <w:r>
        <w:rPr>
          <w:sz w:val="18"/>
        </w:rPr>
        <w:t>["Environnement \u00e9conomique et politique instable au Mali avec maintien des sanctions internationales", "Augmentation significative du co\u00fbt du risque (+8,7%) indiquant une d\u00e9gradation de la qualit\u00e9 du portefeuille de cr\u00e9dit", "Conjoncture \u00e9conomique mondiale d\u00e9favor</w:t>
      </w:r>
    </w:p>
    <w:p>
      <w:pPr>
        <w:spacing w:before="40"/>
        <w:ind w:left="400"/>
      </w:pPr>
      <w:r>
        <w:rPr>
          <w:b/>
          <w:color w:val="0064A0"/>
          <w:sz w:val="18"/>
        </w:rPr>
        <w:t xml:space="preserve">🔮 Perspectives : </w:t>
      </w:r>
      <w:r>
        <w:rPr>
          <w:sz w:val="18"/>
        </w:rPr>
        <w:t>L'environnement opérationnel devrait rester difficile en 2023 avec la persistance des défis économiques et géopolitiques au Mali. La banque devra maintenir sa politique prudentielle de gestion des risques tout en cherchant à préserver sa rentabilité dans un contexte de marché contraint.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"BOA MALI d\u00e9montre une bonne r\u00e9silience avec des r\u00e9sultats en croissance malgr\u00e9 un environnement difficile. La progression de tous les indicateurs financiers t\u00e9moigne d'une gestion solide, mais le contexte s\u00e9curitaire malien reste pr\u00e9occupant."}</w:t>
      </w:r>
    </w:p>
    <w:p>
      <w:pPr>
        <w:spacing w:before="40"/>
        <w:ind w:left="400"/>
      </w:pPr>
      <w:r>
        <w:rPr>
          <w:sz w:val="18"/>
        </w:rPr>
        <w:t>BOA MALI affiche des résultats solides au 1er trimestre 2023 malgré un contexte économique difficile marqué par la crise russo-ukrainienne et les tensions sécuritaires au Mali. Le produit net bancaire progresse de 3% à 8 405 millions FCFA grâce à la bonne tenue des activités génératrices de commissions. Le résultat brut d'exploitation enregistre une forte hausse de 7% à 3 540 millions FCFA, témoignant d'une maîtrise efficace des charges d'exploitation. Le résultat net ressort à 1 578 millions FCFA, en progression de 5,9% par rapport au premier trimestre 2022. La banque démontre sa résilience face aux défis macroéconomiques régionaux, notamment le durcissement de la politique monétaire commun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{'croissance_pnb': '3%', 'croissance_rbe': '7%', 'resultat_avant_impot': '1 678 millions FCFA', 'croissance_resultat_net': '5,9%', 'resultat_brut_exploitation': '3 540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1 578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8 405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3% à 8 405 millions FCFA au T1 2023</w:t>
      </w:r>
    </w:p>
    <w:p>
      <w:pPr>
        <w:pStyle w:val="ListBullet"/>
        <w:spacing w:before="20" w:after="20"/>
        <w:ind w:left="700"/>
      </w:pPr>
      <w:r>
        <w:rPr>
          <w:sz w:val="18"/>
        </w:rPr>
        <w:t>Forte progression du résultat brut d'exploitation de 7% grâce à la maîtrise des coûts</w:t>
      </w:r>
    </w:p>
    <w:p>
      <w:pPr>
        <w:pStyle w:val="ListBullet"/>
        <w:spacing w:before="20" w:after="20"/>
        <w:ind w:left="700"/>
      </w:pPr>
      <w:r>
        <w:rPr>
          <w:sz w:val="18"/>
        </w:rPr>
        <w:t>Résultat net en hausse de 5,9% à 1 578 millions FCFA</w:t>
      </w:r>
    </w:p>
    <w:p>
      <w:pPr>
        <w:pStyle w:val="ListBullet"/>
        <w:spacing w:before="20" w:after="20"/>
        <w:ind w:left="700"/>
      </w:pPr>
      <w:r>
        <w:rPr>
          <w:sz w:val="18"/>
        </w:rPr>
        <w:t>Contexte économique défavorable avec la persistance de la crise sécuritaire au Mali</w:t>
      </w:r>
    </w:p>
    <w:p>
      <w:pPr>
        <w:pStyle w:val="ListBullet"/>
        <w:spacing w:before="20" w:after="20"/>
        <w:ind w:left="700"/>
      </w:pPr>
      <w:r>
        <w:rPr>
          <w:sz w:val="18"/>
        </w:rPr>
        <w:t>Impact de la crise russo-ukrainienne sur l'inflation et les conditions financières internationales</w:t>
      </w:r>
    </w:p>
    <w:p>
      <w:pPr>
        <w:pStyle w:val="ListBullet"/>
        <w:spacing w:before="20" w:after="20"/>
        <w:ind w:left="700"/>
      </w:pPr>
      <w:r>
        <w:rPr>
          <w:sz w:val="18"/>
        </w:rPr>
        <w:t>Durcissement de la politique monétaire communautaire pesant sur le secteur bancaire</w:t>
      </w:r>
    </w:p>
    <w:p>
      <w:pPr>
        <w:spacing w:before="40"/>
        <w:ind w:left="400"/>
      </w:pPr>
      <w:r>
        <w:rPr>
          <w:b/>
          <w:color w:val="C05000"/>
          <w:sz w:val="18"/>
        </w:rPr>
        <w:t xml:space="preserve">⚠️ Risques : </w:t>
      </w:r>
      <w:r>
        <w:rPr>
          <w:sz w:val="18"/>
        </w:rPr>
        <w:t>["Persistance de la crise s\u00e9curitaire au Mali impactant l'activit\u00e9 \u00e9conomique", "Durcissement de la politique mon\u00e9taire communautaire pesant sur la rentabilit\u00e9", "Impact de l'inflation mondiale sur les co\u00fbts op\u00e9rationnels et le pouvoir d'achat des clients"]</w:t>
      </w:r>
    </w:p>
    <w:p>
      <w:pPr>
        <w:spacing w:before="40"/>
        <w:ind w:left="400"/>
      </w:pPr>
      <w:r>
        <w:rPr>
          <w:b/>
          <w:color w:val="0064A0"/>
          <w:sz w:val="18"/>
        </w:rPr>
        <w:t xml:space="preserve">🔮 Perspectives : </w:t>
      </w:r>
      <w:r>
        <w:rPr>
          <w:sz w:val="18"/>
        </w:rPr>
        <w:t>Les perspectives restent modérées compte tenu du contexte géopolitique et sécuritaire régional. La banque devra continuer à faire preuve de résilience face aux défis macroéconomiques tout en capitalisant sur ses activités génératrices de commissions pour maintenir sa croissance.</w:t>
      </w:r>
    </w:p>
    <w:p/>
    <w:p>
      <w:r>
        <w:t>════════════════════════════════════════════════════════════════════════════════</w:t>
      </w:r>
    </w:p>
    <w:p>
      <w:r>
        <w:br w:type="page"/>
      </w:r>
    </w:p>
    <w:p>
      <w:pPr>
        <w:pStyle w:val="Heading2"/>
        <w:spacing w:before="360"/>
      </w:pPr>
      <w:r>
        <w:rPr>
          <w:color w:val="0066CC"/>
        </w:rPr>
        <w:t>9. BOAN - BANK OF AFRICA NIGER</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BOAN</w:t>
            </w:r>
          </w:p>
          <w:p>
            <w:r>
              <w:rPr>
                <w:b/>
                <w:color w:val="323250"/>
                <w:sz w:val="16"/>
              </w:rPr>
              <w:t xml:space="preserve">Société : </w:t>
            </w:r>
            <w:r>
              <w:rPr>
                <w:color w:val="000000"/>
                <w:sz w:val="16"/>
              </w:rPr>
              <w:t>BANK OF AFRICA NIGER</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117.42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10,381 titres</w:t>
            </w:r>
          </w:p>
        </w:tc>
        <w:tc>
          <w:tcPr>
            <w:tcW w:type="dxa" w:w="2268"/>
            <w:shd w:fill="FFF2CC" w:val="clear"/>
          </w:tcPr>
          <w:p>
            <w:r>
              <w:rPr>
                <w:b/>
                <w:color w:val="503200"/>
                <w:sz w:val="16"/>
              </w:rPr>
              <w:t xml:space="preserve">Cours actuel : </w:t>
            </w:r>
            <w:r>
              <w:rPr>
                <w:color w:val="000000"/>
                <w:sz w:val="17"/>
              </w:rPr>
              <w:t>5,645 FCFA</w:t>
            </w:r>
          </w:p>
          <w:p>
            <w:r>
              <w:rPr>
                <w:b/>
                <w:color w:val="503200"/>
                <w:sz w:val="16"/>
              </w:rPr>
              <w:t xml:space="preserve">Var. 100 jours : </w:t>
            </w:r>
            <w:r>
              <w:rPr>
                <w:b/>
                <w:color w:val="007800"/>
                <w:sz w:val="17"/>
              </w:rPr>
              <w:t>+109.07%</w:t>
            </w:r>
          </w:p>
          <w:p>
            <w:r>
              <w:rPr>
                <w:b/>
                <w:color w:val="503200"/>
                <w:sz w:val="16"/>
              </w:rPr>
              <w:t xml:space="preserve">Plus haut 100j : </w:t>
            </w:r>
            <w:r>
              <w:rPr>
                <w:color w:val="000000"/>
                <w:sz w:val="17"/>
              </w:rPr>
              <w:t>5,645 FCFA</w:t>
            </w:r>
          </w:p>
          <w:p>
            <w:r>
              <w:rPr>
                <w:b/>
                <w:color w:val="503200"/>
                <w:sz w:val="16"/>
              </w:rPr>
              <w:t xml:space="preserve">Plus bas 100j : </w:t>
            </w:r>
            <w:r>
              <w:rPr>
                <w:color w:val="000000"/>
                <w:sz w:val="17"/>
              </w:rPr>
              <w:t>2,660 FCFA</w:t>
            </w:r>
          </w:p>
          <w:p>
            <w:r>
              <w:rPr>
                <w:b/>
                <w:color w:val="503200"/>
                <w:sz w:val="16"/>
              </w:rPr>
              <w:t xml:space="preserve">Volatilité ann. : </w:t>
            </w:r>
            <w:r>
              <w:rPr>
                <w:color w:val="000000"/>
                <w:sz w:val="17"/>
              </w:rPr>
              <w:t>39.9%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26.1/100 → Moyen</w:t>
      </w:r>
    </w:p>
    <w:p>
      <w:pPr>
        <w:spacing w:before="40" w:after="80"/>
      </w:pPr>
      <w:r>
        <w:rPr>
          <w:rFonts w:ascii="Courier New" w:hAnsi="Courier New"/>
          <w:color w:val="825A00"/>
          <w:sz w:val="18"/>
        </w:rPr>
        <w:t>█████░░░░░░░░░░░░░░░  26.1/100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20.49% (Élevée) — μ=4,121 FCFA, σ=845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β=0.1051 (Défensif) — Cov=0.000004, Var(idx)=0.000035, ρ=0.025,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10,381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σ_j=2.52%/j (Stable) — Vol. annualisée≈39.9%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2026-08-28</w:t>
            </w:r>
          </w:p>
        </w:tc>
        <w:tc>
          <w:tcPr>
            <w:tcW w:type="dxa" w:w="1440"/>
            <w:shd w:fill="FFDCE0" w:val="clear"/>
          </w:tcPr>
          <w:p>
            <w:r>
              <w:rPr>
                <w:sz w:val="17"/>
              </w:rPr>
              <w:t>5,262</w:t>
            </w:r>
          </w:p>
        </w:tc>
        <w:tc>
          <w:tcPr>
            <w:tcW w:type="dxa" w:w="1440"/>
            <w:shd w:fill="FFDCE0" w:val="clear"/>
          </w:tcPr>
          <w:p>
            <w:r>
              <w:rPr>
                <w:b/>
                <w:sz w:val="17"/>
              </w:rPr>
              <w:t>5,473</w:t>
            </w:r>
          </w:p>
        </w:tc>
        <w:tc>
          <w:tcPr>
            <w:tcW w:type="dxa" w:w="1440"/>
            <w:shd w:fill="FFDCE0" w:val="clear"/>
          </w:tcPr>
          <w:p>
            <w:r>
              <w:rPr>
                <w:sz w:val="17"/>
              </w:rPr>
              <w:t>5,684</w:t>
            </w:r>
          </w:p>
        </w:tc>
        <w:tc>
          <w:tcPr>
            <w:tcW w:type="dxa" w:w="1440"/>
            <w:shd w:fill="FFDCE0" w:val="clear"/>
          </w:tcPr>
          <w:p>
            <w:r>
              <w:rPr>
                <w:b/>
                <w:color w:val="C00000"/>
                <w:sz w:val="17"/>
              </w:rPr>
              <w:t>-3.0%</w:t>
            </w:r>
          </w:p>
        </w:tc>
      </w:tr>
      <w:tr>
        <w:tc>
          <w:tcPr>
            <w:tcW w:type="dxa" w:w="1440"/>
            <w:shd w:fill="FFDCE0" w:val="clear"/>
          </w:tcPr>
          <w:p>
            <w:r>
              <w:rPr>
                <w:sz w:val="17"/>
              </w:rPr>
              <w:t>J+2  ⭐</w:t>
            </w:r>
          </w:p>
        </w:tc>
        <w:tc>
          <w:tcPr>
            <w:tcW w:type="dxa" w:w="1440"/>
            <w:shd w:fill="FFDCE0" w:val="clear"/>
          </w:tcPr>
          <w:p>
            <w:r>
              <w:rPr>
                <w:sz w:val="17"/>
              </w:rPr>
              <w:t>2026-08-31</w:t>
            </w:r>
          </w:p>
        </w:tc>
        <w:tc>
          <w:tcPr>
            <w:tcW w:type="dxa" w:w="1440"/>
            <w:shd w:fill="FFDCE0" w:val="clear"/>
          </w:tcPr>
          <w:p>
            <w:r>
              <w:rPr>
                <w:sz w:val="17"/>
              </w:rPr>
              <w:t>5,189</w:t>
            </w:r>
          </w:p>
        </w:tc>
        <w:tc>
          <w:tcPr>
            <w:tcW w:type="dxa" w:w="1440"/>
            <w:shd w:fill="FFDCE0" w:val="clear"/>
          </w:tcPr>
          <w:p>
            <w:r>
              <w:rPr>
                <w:b/>
                <w:sz w:val="17"/>
              </w:rPr>
              <w:t>5,488</w:t>
            </w:r>
          </w:p>
        </w:tc>
        <w:tc>
          <w:tcPr>
            <w:tcW w:type="dxa" w:w="1440"/>
            <w:shd w:fill="FFDCE0" w:val="clear"/>
          </w:tcPr>
          <w:p>
            <w:r>
              <w:rPr>
                <w:sz w:val="17"/>
              </w:rPr>
              <w:t>5,787</w:t>
            </w:r>
          </w:p>
        </w:tc>
        <w:tc>
          <w:tcPr>
            <w:tcW w:type="dxa" w:w="1440"/>
            <w:shd w:fill="FFDCE0" w:val="clear"/>
          </w:tcPr>
          <w:p>
            <w:r>
              <w:rPr>
                <w:b/>
                <w:color w:val="C00000"/>
                <w:sz w:val="17"/>
              </w:rPr>
              <w:t>-2.8%</w:t>
            </w:r>
          </w:p>
        </w:tc>
      </w:tr>
      <w:tr>
        <w:tc>
          <w:tcPr>
            <w:tcW w:type="dxa" w:w="1440"/>
            <w:shd w:fill="FFDCE0" w:val="clear"/>
          </w:tcPr>
          <w:p>
            <w:r>
              <w:rPr>
                <w:sz w:val="17"/>
              </w:rPr>
              <w:t>J+3  ⭐</w:t>
            </w:r>
          </w:p>
        </w:tc>
        <w:tc>
          <w:tcPr>
            <w:tcW w:type="dxa" w:w="1440"/>
            <w:shd w:fill="FFDCE0" w:val="clear"/>
          </w:tcPr>
          <w:p>
            <w:r>
              <w:rPr>
                <w:sz w:val="17"/>
              </w:rPr>
              <w:t>2026-09-01</w:t>
            </w:r>
          </w:p>
        </w:tc>
        <w:tc>
          <w:tcPr>
            <w:tcW w:type="dxa" w:w="1440"/>
            <w:shd w:fill="FFDCE0" w:val="clear"/>
          </w:tcPr>
          <w:p>
            <w:r>
              <w:rPr>
                <w:sz w:val="17"/>
              </w:rPr>
              <w:t>5,112</w:t>
            </w:r>
          </w:p>
        </w:tc>
        <w:tc>
          <w:tcPr>
            <w:tcW w:type="dxa" w:w="1440"/>
            <w:shd w:fill="FFDCE0" w:val="clear"/>
          </w:tcPr>
          <w:p>
            <w:r>
              <w:rPr>
                <w:b/>
                <w:sz w:val="17"/>
              </w:rPr>
              <w:t>5,477</w:t>
            </w:r>
          </w:p>
        </w:tc>
        <w:tc>
          <w:tcPr>
            <w:tcW w:type="dxa" w:w="1440"/>
            <w:shd w:fill="FFDCE0" w:val="clear"/>
          </w:tcPr>
          <w:p>
            <w:r>
              <w:rPr>
                <w:sz w:val="17"/>
              </w:rPr>
              <w:t>5,842</w:t>
            </w:r>
          </w:p>
        </w:tc>
        <w:tc>
          <w:tcPr>
            <w:tcW w:type="dxa" w:w="1440"/>
            <w:shd w:fill="FFDCE0" w:val="clear"/>
          </w:tcPr>
          <w:p>
            <w:r>
              <w:rPr>
                <w:b/>
                <w:color w:val="C00000"/>
                <w:sz w:val="17"/>
              </w:rPr>
              <w:t>-3.0%</w:t>
            </w:r>
          </w:p>
        </w:tc>
      </w:tr>
      <w:tr>
        <w:tc>
          <w:tcPr>
            <w:tcW w:type="dxa" w:w="1440"/>
            <w:shd w:fill="FFDCE0" w:val="clear"/>
          </w:tcPr>
          <w:p>
            <w:r>
              <w:rPr>
                <w:sz w:val="17"/>
              </w:rPr>
              <w:t>J+4  ⭐</w:t>
            </w:r>
          </w:p>
        </w:tc>
        <w:tc>
          <w:tcPr>
            <w:tcW w:type="dxa" w:w="1440"/>
            <w:shd w:fill="FFDCE0" w:val="clear"/>
          </w:tcPr>
          <w:p>
            <w:r>
              <w:rPr>
                <w:sz w:val="17"/>
              </w:rPr>
              <w:t>2026-09-02</w:t>
            </w:r>
          </w:p>
        </w:tc>
        <w:tc>
          <w:tcPr>
            <w:tcW w:type="dxa" w:w="1440"/>
            <w:shd w:fill="FFDCE0" w:val="clear"/>
          </w:tcPr>
          <w:p>
            <w:r>
              <w:rPr>
                <w:sz w:val="17"/>
              </w:rPr>
              <w:t>5,041</w:t>
            </w:r>
          </w:p>
        </w:tc>
        <w:tc>
          <w:tcPr>
            <w:tcW w:type="dxa" w:w="1440"/>
            <w:shd w:fill="FFDCE0" w:val="clear"/>
          </w:tcPr>
          <w:p>
            <w:r>
              <w:rPr>
                <w:b/>
                <w:sz w:val="17"/>
              </w:rPr>
              <w:t>5,462</w:t>
            </w:r>
          </w:p>
        </w:tc>
        <w:tc>
          <w:tcPr>
            <w:tcW w:type="dxa" w:w="1440"/>
            <w:shd w:fill="FFDCE0" w:val="clear"/>
          </w:tcPr>
          <w:p>
            <w:r>
              <w:rPr>
                <w:sz w:val="17"/>
              </w:rPr>
              <w:t>5,883</w:t>
            </w:r>
          </w:p>
        </w:tc>
        <w:tc>
          <w:tcPr>
            <w:tcW w:type="dxa" w:w="1440"/>
            <w:shd w:fill="FFDCE0" w:val="clear"/>
          </w:tcPr>
          <w:p>
            <w:r>
              <w:rPr>
                <w:b/>
                <w:color w:val="C00000"/>
                <w:sz w:val="17"/>
              </w:rPr>
              <w:t>-3.2%</w:t>
            </w:r>
          </w:p>
        </w:tc>
      </w:tr>
      <w:tr>
        <w:tc>
          <w:tcPr>
            <w:tcW w:type="dxa" w:w="1440"/>
            <w:shd w:fill="FFDCE0" w:val="clear"/>
          </w:tcPr>
          <w:p>
            <w:r>
              <w:rPr>
                <w:sz w:val="17"/>
              </w:rPr>
              <w:t>J+5  ⭐</w:t>
            </w:r>
          </w:p>
        </w:tc>
        <w:tc>
          <w:tcPr>
            <w:tcW w:type="dxa" w:w="1440"/>
            <w:shd w:fill="FFDCE0" w:val="clear"/>
          </w:tcPr>
          <w:p>
            <w:r>
              <w:rPr>
                <w:sz w:val="17"/>
              </w:rPr>
              <w:t>2026-09-03</w:t>
            </w:r>
          </w:p>
        </w:tc>
        <w:tc>
          <w:tcPr>
            <w:tcW w:type="dxa" w:w="1440"/>
            <w:shd w:fill="FFDCE0" w:val="clear"/>
          </w:tcPr>
          <w:p>
            <w:r>
              <w:rPr>
                <w:sz w:val="17"/>
              </w:rPr>
              <w:t>4,978</w:t>
            </w:r>
          </w:p>
        </w:tc>
        <w:tc>
          <w:tcPr>
            <w:tcW w:type="dxa" w:w="1440"/>
            <w:shd w:fill="FFDCE0" w:val="clear"/>
          </w:tcPr>
          <w:p>
            <w:r>
              <w:rPr>
                <w:b/>
                <w:sz w:val="17"/>
              </w:rPr>
              <w:t>5,447</w:t>
            </w:r>
          </w:p>
        </w:tc>
        <w:tc>
          <w:tcPr>
            <w:tcW w:type="dxa" w:w="1440"/>
            <w:shd w:fill="FFDCE0" w:val="clear"/>
          </w:tcPr>
          <w:p>
            <w:r>
              <w:rPr>
                <w:sz w:val="17"/>
              </w:rPr>
              <w:t>5,916</w:t>
            </w:r>
          </w:p>
        </w:tc>
        <w:tc>
          <w:tcPr>
            <w:tcW w:type="dxa" w:w="1440"/>
            <w:shd w:fill="FFDCE0" w:val="clear"/>
          </w:tcPr>
          <w:p>
            <w:r>
              <w:rPr>
                <w:b/>
                <w:color w:val="C00000"/>
                <w:sz w:val="17"/>
              </w:rPr>
              <w:t>-3.5%</w:t>
            </w:r>
          </w:p>
        </w:tc>
      </w:tr>
      <w:tr>
        <w:tc>
          <w:tcPr>
            <w:tcW w:type="dxa" w:w="1440"/>
            <w:shd w:fill="FFDCE0" w:val="clear"/>
          </w:tcPr>
          <w:p>
            <w:r>
              <w:rPr>
                <w:sz w:val="17"/>
              </w:rPr>
              <w:t>J+6  ⭐</w:t>
            </w:r>
          </w:p>
        </w:tc>
        <w:tc>
          <w:tcPr>
            <w:tcW w:type="dxa" w:w="1440"/>
            <w:shd w:fill="FFDCE0" w:val="clear"/>
          </w:tcPr>
          <w:p>
            <w:r>
              <w:rPr>
                <w:sz w:val="17"/>
              </w:rPr>
              <w:t>2026-09-04</w:t>
            </w:r>
          </w:p>
        </w:tc>
        <w:tc>
          <w:tcPr>
            <w:tcW w:type="dxa" w:w="1440"/>
            <w:shd w:fill="FFDCE0" w:val="clear"/>
          </w:tcPr>
          <w:p>
            <w:r>
              <w:rPr>
                <w:sz w:val="17"/>
              </w:rPr>
              <w:t>4,920</w:t>
            </w:r>
          </w:p>
        </w:tc>
        <w:tc>
          <w:tcPr>
            <w:tcW w:type="dxa" w:w="1440"/>
            <w:shd w:fill="FFDCE0" w:val="clear"/>
          </w:tcPr>
          <w:p>
            <w:r>
              <w:rPr>
                <w:b/>
                <w:sz w:val="17"/>
              </w:rPr>
              <w:t>5,433</w:t>
            </w:r>
          </w:p>
        </w:tc>
        <w:tc>
          <w:tcPr>
            <w:tcW w:type="dxa" w:w="1440"/>
            <w:shd w:fill="FFDCE0" w:val="clear"/>
          </w:tcPr>
          <w:p>
            <w:r>
              <w:rPr>
                <w:sz w:val="17"/>
              </w:rPr>
              <w:t>5,945</w:t>
            </w:r>
          </w:p>
        </w:tc>
        <w:tc>
          <w:tcPr>
            <w:tcW w:type="dxa" w:w="1440"/>
            <w:shd w:fill="FFDCE0" w:val="clear"/>
          </w:tcPr>
          <w:p>
            <w:r>
              <w:rPr>
                <w:b/>
                <w:color w:val="C00000"/>
                <w:sz w:val="17"/>
              </w:rPr>
              <w:t>-3.8%</w:t>
            </w:r>
          </w:p>
        </w:tc>
      </w:tr>
      <w:tr>
        <w:tc>
          <w:tcPr>
            <w:tcW w:type="dxa" w:w="1440"/>
            <w:shd w:fill="FFDCE0" w:val="clear"/>
          </w:tcPr>
          <w:p>
            <w:r>
              <w:rPr>
                <w:sz w:val="17"/>
              </w:rPr>
              <w:t>J+7  ⭐</w:t>
            </w:r>
          </w:p>
        </w:tc>
        <w:tc>
          <w:tcPr>
            <w:tcW w:type="dxa" w:w="1440"/>
            <w:shd w:fill="FFDCE0" w:val="clear"/>
          </w:tcPr>
          <w:p>
            <w:r>
              <w:rPr>
                <w:sz w:val="17"/>
              </w:rPr>
              <w:t>2026-09-07</w:t>
            </w:r>
          </w:p>
        </w:tc>
        <w:tc>
          <w:tcPr>
            <w:tcW w:type="dxa" w:w="1440"/>
            <w:shd w:fill="FFDCE0" w:val="clear"/>
          </w:tcPr>
          <w:p>
            <w:r>
              <w:rPr>
                <w:sz w:val="17"/>
              </w:rPr>
              <w:t>4,866</w:t>
            </w:r>
          </w:p>
        </w:tc>
        <w:tc>
          <w:tcPr>
            <w:tcW w:type="dxa" w:w="1440"/>
            <w:shd w:fill="FFDCE0" w:val="clear"/>
          </w:tcPr>
          <w:p>
            <w:r>
              <w:rPr>
                <w:b/>
                <w:sz w:val="17"/>
              </w:rPr>
              <w:t>5,418</w:t>
            </w:r>
          </w:p>
        </w:tc>
        <w:tc>
          <w:tcPr>
            <w:tcW w:type="dxa" w:w="1440"/>
            <w:shd w:fill="FFDCE0" w:val="clear"/>
          </w:tcPr>
          <w:p>
            <w:r>
              <w:rPr>
                <w:sz w:val="17"/>
              </w:rPr>
              <w:t>5,970</w:t>
            </w:r>
          </w:p>
        </w:tc>
        <w:tc>
          <w:tcPr>
            <w:tcW w:type="dxa" w:w="1440"/>
            <w:shd w:fill="FFDCE0" w:val="clear"/>
          </w:tcPr>
          <w:p>
            <w:r>
              <w:rPr>
                <w:b/>
                <w:color w:val="C00000"/>
                <w:sz w:val="17"/>
              </w:rPr>
              <w:t>-4.0%</w:t>
            </w:r>
          </w:p>
        </w:tc>
      </w:tr>
      <w:tr>
        <w:tc>
          <w:tcPr>
            <w:tcW w:type="dxa" w:w="1440"/>
            <w:shd w:fill="FFDCE0" w:val="clear"/>
          </w:tcPr>
          <w:p>
            <w:r>
              <w:rPr>
                <w:sz w:val="17"/>
              </w:rPr>
              <w:t>J+8  ⭐</w:t>
            </w:r>
          </w:p>
        </w:tc>
        <w:tc>
          <w:tcPr>
            <w:tcW w:type="dxa" w:w="1440"/>
            <w:shd w:fill="FFDCE0" w:val="clear"/>
          </w:tcPr>
          <w:p>
            <w:r>
              <w:rPr>
                <w:sz w:val="17"/>
              </w:rPr>
              <w:t>2026-09-08</w:t>
            </w:r>
          </w:p>
        </w:tc>
        <w:tc>
          <w:tcPr>
            <w:tcW w:type="dxa" w:w="1440"/>
            <w:shd w:fill="FFDCE0" w:val="clear"/>
          </w:tcPr>
          <w:p>
            <w:r>
              <w:rPr>
                <w:sz w:val="17"/>
              </w:rPr>
              <w:t>4,816</w:t>
            </w:r>
          </w:p>
        </w:tc>
        <w:tc>
          <w:tcPr>
            <w:tcW w:type="dxa" w:w="1440"/>
            <w:shd w:fill="FFDCE0" w:val="clear"/>
          </w:tcPr>
          <w:p>
            <w:r>
              <w:rPr>
                <w:b/>
                <w:sz w:val="17"/>
              </w:rPr>
              <w:t>5,404</w:t>
            </w:r>
          </w:p>
        </w:tc>
        <w:tc>
          <w:tcPr>
            <w:tcW w:type="dxa" w:w="1440"/>
            <w:shd w:fill="FFDCE0" w:val="clear"/>
          </w:tcPr>
          <w:p>
            <w:r>
              <w:rPr>
                <w:sz w:val="17"/>
              </w:rPr>
              <w:t>5,993</w:t>
            </w:r>
          </w:p>
        </w:tc>
        <w:tc>
          <w:tcPr>
            <w:tcW w:type="dxa" w:w="1440"/>
            <w:shd w:fill="FFDCE0" w:val="clear"/>
          </w:tcPr>
          <w:p>
            <w:r>
              <w:rPr>
                <w:b/>
                <w:color w:val="C00000"/>
                <w:sz w:val="17"/>
              </w:rPr>
              <w:t>-4.3%</w:t>
            </w:r>
          </w:p>
        </w:tc>
      </w:tr>
      <w:tr>
        <w:tc>
          <w:tcPr>
            <w:tcW w:type="dxa" w:w="1440"/>
            <w:shd w:fill="FFDCE0" w:val="clear"/>
          </w:tcPr>
          <w:p>
            <w:r>
              <w:rPr>
                <w:sz w:val="17"/>
              </w:rPr>
              <w:t>J+9  ⭐</w:t>
            </w:r>
          </w:p>
        </w:tc>
        <w:tc>
          <w:tcPr>
            <w:tcW w:type="dxa" w:w="1440"/>
            <w:shd w:fill="FFDCE0" w:val="clear"/>
          </w:tcPr>
          <w:p>
            <w:r>
              <w:rPr>
                <w:sz w:val="17"/>
              </w:rPr>
              <w:t>2026-09-09</w:t>
            </w:r>
          </w:p>
        </w:tc>
        <w:tc>
          <w:tcPr>
            <w:tcW w:type="dxa" w:w="1440"/>
            <w:shd w:fill="FFDCE0" w:val="clear"/>
          </w:tcPr>
          <w:p>
            <w:r>
              <w:rPr>
                <w:sz w:val="17"/>
              </w:rPr>
              <w:t>4,768</w:t>
            </w:r>
          </w:p>
        </w:tc>
        <w:tc>
          <w:tcPr>
            <w:tcW w:type="dxa" w:w="1440"/>
            <w:shd w:fill="FFDCE0" w:val="clear"/>
          </w:tcPr>
          <w:p>
            <w:r>
              <w:rPr>
                <w:b/>
                <w:sz w:val="17"/>
              </w:rPr>
              <w:t>5,391</w:t>
            </w:r>
          </w:p>
        </w:tc>
        <w:tc>
          <w:tcPr>
            <w:tcW w:type="dxa" w:w="1440"/>
            <w:shd w:fill="FFDCE0" w:val="clear"/>
          </w:tcPr>
          <w:p>
            <w:r>
              <w:rPr>
                <w:sz w:val="17"/>
              </w:rPr>
              <w:t>6,013</w:t>
            </w:r>
          </w:p>
        </w:tc>
        <w:tc>
          <w:tcPr>
            <w:tcW w:type="dxa" w:w="1440"/>
            <w:shd w:fill="FFDCE0" w:val="clear"/>
          </w:tcPr>
          <w:p>
            <w:r>
              <w:rPr>
                <w:b/>
                <w:color w:val="C00000"/>
                <w:sz w:val="17"/>
              </w:rPr>
              <w:t>-4.5%</w:t>
            </w:r>
          </w:p>
        </w:tc>
      </w:tr>
      <w:tr>
        <w:tc>
          <w:tcPr>
            <w:tcW w:type="dxa" w:w="1440"/>
            <w:shd w:fill="FFDCE0" w:val="clear"/>
          </w:tcPr>
          <w:p>
            <w:r>
              <w:rPr>
                <w:sz w:val="17"/>
              </w:rPr>
              <w:t>J+10  ⭐</w:t>
            </w:r>
          </w:p>
        </w:tc>
        <w:tc>
          <w:tcPr>
            <w:tcW w:type="dxa" w:w="1440"/>
            <w:shd w:fill="FFDCE0" w:val="clear"/>
          </w:tcPr>
          <w:p>
            <w:r>
              <w:rPr>
                <w:sz w:val="17"/>
              </w:rPr>
              <w:t>2026-09-10</w:t>
            </w:r>
          </w:p>
        </w:tc>
        <w:tc>
          <w:tcPr>
            <w:tcW w:type="dxa" w:w="1440"/>
            <w:shd w:fill="FFDCE0" w:val="clear"/>
          </w:tcPr>
          <w:p>
            <w:r>
              <w:rPr>
                <w:sz w:val="17"/>
              </w:rPr>
              <w:t>4,722</w:t>
            </w:r>
          </w:p>
        </w:tc>
        <w:tc>
          <w:tcPr>
            <w:tcW w:type="dxa" w:w="1440"/>
            <w:shd w:fill="FFDCE0" w:val="clear"/>
          </w:tcPr>
          <w:p>
            <w:r>
              <w:rPr>
                <w:b/>
                <w:sz w:val="17"/>
              </w:rPr>
              <w:t>5,377</w:t>
            </w:r>
          </w:p>
        </w:tc>
        <w:tc>
          <w:tcPr>
            <w:tcW w:type="dxa" w:w="1440"/>
            <w:shd w:fill="FFDCE0" w:val="clear"/>
          </w:tcPr>
          <w:p>
            <w:r>
              <w:rPr>
                <w:sz w:val="17"/>
              </w:rPr>
              <w:t>6,032</w:t>
            </w:r>
          </w:p>
        </w:tc>
        <w:tc>
          <w:tcPr>
            <w:tcW w:type="dxa" w:w="1440"/>
            <w:shd w:fill="FFDCE0" w:val="clear"/>
          </w:tcPr>
          <w:p>
            <w:r>
              <w:rPr>
                <w:b/>
                <w:color w:val="C00000"/>
                <w:sz w:val="17"/>
              </w:rPr>
              <w:t>-4.8%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12.535 Mds FCFA</w:t>
            </w:r>
          </w:p>
        </w:tc>
        <w:tc>
          <w:tcPr>
            <w:tcW w:type="dxa" w:w="5669"/>
            <w:shd w:fill="FFFFFF" w:val="clear"/>
          </w:tcPr>
          <w:p>
            <w:r>
              <w:rPr>
                <w:color w:val="282828"/>
                <w:sz w:val="15"/>
              </w:rPr>
              <w:t>Représente 4.3%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118.824 Mds FCFA</w:t>
            </w:r>
          </w:p>
        </w:tc>
        <w:tc>
          <w:tcPr>
            <w:tcW w:type="dxa" w:w="5669"/>
            <w:shd w:fill="FFFFFF" w:val="clear"/>
          </w:tcPr>
          <w:p>
            <w:r>
              <w:rPr>
                <w:color w:val="282828"/>
                <w:sz w:val="15"/>
              </w:rPr>
              <w:t>Titres d'État détenus (40.7%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8.362 Mds FCFA</w:t>
            </w:r>
          </w:p>
        </w:tc>
        <w:tc>
          <w:tcPr>
            <w:tcW w:type="dxa" w:w="5669"/>
            <w:shd w:fill="FFFFFF" w:val="clear"/>
          </w:tcPr>
          <w:p>
            <w:r>
              <w:rPr>
                <w:color w:val="282828"/>
                <w:sz w:val="15"/>
              </w:rPr>
              <w:t>Prêts aux autres banques (2.9%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128.447 Mds FCFA</w:t>
            </w:r>
          </w:p>
        </w:tc>
        <w:tc>
          <w:tcPr>
            <w:tcW w:type="dxa" w:w="5669"/>
            <w:shd w:fill="FFFFFF" w:val="clear"/>
          </w:tcPr>
          <w:p>
            <w:r>
              <w:rPr>
                <w:color w:val="282828"/>
                <w:sz w:val="15"/>
              </w:rPr>
              <w:t>Portefeuille crédits (44.0%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462.00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14.655 Mds FCFA</w:t>
            </w:r>
          </w:p>
        </w:tc>
        <w:tc>
          <w:tcPr>
            <w:tcW w:type="dxa" w:w="5669"/>
            <w:shd w:fill="FFFFFF" w:val="clear"/>
          </w:tcPr>
          <w:p>
            <w:r>
              <w:rPr>
                <w:color w:val="282828"/>
                <w:sz w:val="15"/>
              </w:rPr>
              <w:t>Outil industriel (5.0%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16.615 Mds FCFA</w:t>
            </w:r>
          </w:p>
        </w:tc>
        <w:tc>
          <w:tcPr>
            <w:tcW w:type="dxa" w:w="5669"/>
            <w:shd w:fill="FFFFFF" w:val="clear"/>
          </w:tcPr>
          <w:p>
            <w:r>
              <w:rPr>
                <w:color w:val="282828"/>
                <w:sz w:val="15"/>
              </w:rPr>
              <w:t>Actif immobilisé = 5.7%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20.897 Mds FCFA</w:t>
            </w:r>
          </w:p>
        </w:tc>
        <w:tc>
          <w:tcPr>
            <w:tcW w:type="dxa" w:w="5669"/>
            <w:shd w:fill="FFFFFF" w:val="clear"/>
          </w:tcPr>
          <w:p>
            <w:r>
              <w:rPr>
                <w:color w:val="282828"/>
                <w:sz w:val="15"/>
              </w:rPr>
              <w:t>Liquidités disponibles (7.2%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291.750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20.800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16.676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36.064 Mds FCFA</w:t>
            </w:r>
          </w:p>
        </w:tc>
        <w:tc>
          <w:tcPr>
            <w:tcW w:type="dxa" w:w="5669"/>
            <w:shd w:fill="FFFFFF" w:val="clear"/>
          </w:tcPr>
          <w:p>
            <w:r>
              <w:rPr>
                <w:color w:val="282828"/>
                <w:sz w:val="15"/>
              </w:rPr>
              <w:t>Fonds propres = 12.4%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39.757 Mds FCFA</w:t>
            </w:r>
          </w:p>
        </w:tc>
        <w:tc>
          <w:tcPr>
            <w:tcW w:type="dxa" w:w="5669"/>
            <w:shd w:fill="FFFFFF" w:val="clear"/>
          </w:tcPr>
          <w:p>
            <w:r>
              <w:rPr>
                <w:color w:val="282828"/>
                <w:sz w:val="15"/>
              </w:rPr>
              <w:t>Capitaux permanents / Actif immobilisé = 2.39x.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64.413 Mds FCFA</w:t>
            </w:r>
          </w:p>
        </w:tc>
        <w:tc>
          <w:tcPr>
            <w:tcW w:type="dxa" w:w="5669"/>
            <w:shd w:fill="FFFFFF" w:val="clear"/>
          </w:tcPr>
          <w:p>
            <w:r>
              <w:rPr>
                <w:color w:val="282828"/>
                <w:sz w:val="15"/>
              </w:rPr>
              <w:t>Refinancement interbancaire (22.1%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183.280 Mds FCFA</w:t>
            </w:r>
          </w:p>
        </w:tc>
        <w:tc>
          <w:tcPr>
            <w:tcW w:type="dxa" w:w="5669"/>
            <w:shd w:fill="FFFFFF" w:val="clear"/>
          </w:tcPr>
          <w:p>
            <w:r>
              <w:rPr>
                <w:color w:val="282828"/>
                <w:sz w:val="15"/>
              </w:rPr>
              <w:t>Dépôts clients = 62.8%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64.413 Mds FCFA</w:t>
            </w:r>
          </w:p>
        </w:tc>
        <w:tc>
          <w:tcPr>
            <w:tcW w:type="dxa" w:w="5669"/>
            <w:shd w:fill="FFFFFF" w:val="clear"/>
          </w:tcPr>
          <w:p>
            <w:r>
              <w:rPr>
                <w:color w:val="282828"/>
                <w:sz w:val="15"/>
              </w:rPr>
              <w:t>Dette financière totale = 179%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255.686 Mds FCFA</w:t>
            </w:r>
          </w:p>
        </w:tc>
        <w:tc>
          <w:tcPr>
            <w:tcW w:type="dxa" w:w="5669"/>
            <w:shd w:fill="FFFFFF" w:val="clear"/>
          </w:tcPr>
          <w:p>
            <w:r>
              <w:rPr>
                <w:color w:val="282828"/>
                <w:sz w:val="15"/>
              </w:rPr>
              <w:t>Dettes totales = 87.6%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21.125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21.125 Mds FCFA</w:t>
            </w:r>
          </w:p>
        </w:tc>
        <w:tc>
          <w:tcPr>
            <w:tcW w:type="dxa" w:w="5669"/>
            <w:shd w:fill="FFFFFF" w:val="clear"/>
          </w:tcPr>
          <w:p>
            <w:r>
              <w:rPr>
                <w:color w:val="282828"/>
                <w:sz w:val="15"/>
              </w:rPr>
              <w:t>Revenu bancaire central (≡ CA). Croissance: -1.2%.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21.108 Mds FCFA</w:t>
            </w:r>
          </w:p>
        </w:tc>
        <w:tc>
          <w:tcPr>
            <w:tcW w:type="dxa" w:w="5669"/>
            <w:shd w:fill="FFFFFF" w:val="clear"/>
          </w:tcPr>
          <w:p>
            <w:r>
              <w:rPr>
                <w:color w:val="282828"/>
                <w:sz w:val="15"/>
              </w:rPr>
              <w:t>Revenus d'intérêts sur crédits (100%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6.377 Mds FCFA</w:t>
            </w:r>
          </w:p>
        </w:tc>
        <w:tc>
          <w:tcPr>
            <w:tcW w:type="dxa" w:w="5669"/>
            <w:shd w:fill="FFFFFF" w:val="clear"/>
          </w:tcPr>
          <w:p>
            <w:r>
              <w:rPr>
                <w:color w:val="282828"/>
                <w:sz w:val="15"/>
              </w:rPr>
              <w:t>Coût des dépôts collectés (30%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4.076 Mds FCFA</w:t>
            </w:r>
          </w:p>
        </w:tc>
        <w:tc>
          <w:tcPr>
            <w:tcW w:type="dxa" w:w="5669"/>
            <w:shd w:fill="FFFFFF" w:val="clear"/>
          </w:tcPr>
          <w:p>
            <w:r>
              <w:rPr>
                <w:color w:val="282828"/>
                <w:sz w:val="15"/>
              </w:rPr>
              <w:t>Revenus de commissions (19.3% des revenus). Diversification bienvenue du modèle.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12.746 Mds FCFA</w:t>
            </w:r>
          </w:p>
        </w:tc>
        <w:tc>
          <w:tcPr>
            <w:tcW w:type="dxa" w:w="5669"/>
            <w:shd w:fill="FFFFFF" w:val="clear"/>
          </w:tcPr>
          <w:p>
            <w:r>
              <w:rPr>
                <w:color w:val="282828"/>
                <w:sz w:val="15"/>
              </w:rPr>
              <w:t>60.3%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2.965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5.414 Mds FCFA</w:t>
            </w:r>
          </w:p>
        </w:tc>
        <w:tc>
          <w:tcPr>
            <w:tcW w:type="dxa" w:w="5669"/>
            <w:shd w:fill="FFFFFF" w:val="clear"/>
          </w:tcPr>
          <w:p>
            <w:r>
              <w:rPr>
                <w:color w:val="282828"/>
                <w:sz w:val="15"/>
              </w:rPr>
              <w:t>RBE = 25.6%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1.122 Mds FCFA</w:t>
            </w:r>
          </w:p>
        </w:tc>
        <w:tc>
          <w:tcPr>
            <w:tcW w:type="dxa" w:w="5669"/>
            <w:shd w:fill="FFFFFF" w:val="clear"/>
          </w:tcPr>
          <w:p>
            <w:r>
              <w:rPr>
                <w:color w:val="282828"/>
                <w:sz w:val="15"/>
              </w:rPr>
              <w:t>Profit d'exploitation = 5.3%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4.292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409.00 M FCFA</w:t>
            </w:r>
          </w:p>
        </w:tc>
        <w:tc>
          <w:tcPr>
            <w:tcW w:type="dxa" w:w="5669"/>
            <w:shd w:fill="FFFFFF" w:val="clear"/>
          </w:tcPr>
          <w:p>
            <w:r>
              <w:rPr>
                <w:color w:val="282828"/>
                <w:sz w:val="15"/>
              </w:rPr>
              <w:t>Marge nette = 1.9%.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3.374 Mds FCFA</w:t>
            </w:r>
          </w:p>
        </w:tc>
        <w:tc>
          <w:tcPr>
            <w:tcW w:type="dxa" w:w="5669"/>
            <w:shd w:fill="FFFFFF" w:val="clear"/>
          </w:tcPr>
          <w:p>
            <w:r>
              <w:rPr>
                <w:color w:val="282828"/>
                <w:sz w:val="15"/>
              </w:rPr>
              <w:t>CAF = 3.37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-43.516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25.63%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1.94%</w:t>
            </w:r>
          </w:p>
        </w:tc>
        <w:tc>
          <w:tcPr>
            <w:tcW w:type="dxa" w:w="5669"/>
            <w:shd w:fill="FFFFFF" w:val="clear"/>
          </w:tcPr>
          <w:p>
            <w:r>
              <w:rPr>
                <w:color w:val="282828"/>
                <w:sz w:val="15"/>
              </w:rPr>
              <w:t>Résultat net / revenus = 1.94%.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5.31%</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1.13%</w:t>
            </w:r>
          </w:p>
        </w:tc>
        <w:tc>
          <w:tcPr>
            <w:tcW w:type="dxa" w:w="5669"/>
            <w:shd w:fill="FFFFFF" w:val="clear"/>
          </w:tcPr>
          <w:p>
            <w:r>
              <w:rPr>
                <w:color w:val="282828"/>
                <w:sz w:val="15"/>
              </w:rPr>
              <w:t>Résultat net / capitaux propres = 1.13%.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0.14%</w:t>
            </w:r>
          </w:p>
        </w:tc>
        <w:tc>
          <w:tcPr>
            <w:tcW w:type="dxa" w:w="5669"/>
            <w:shd w:fill="FFFFFF" w:val="clear"/>
          </w:tcPr>
          <w:p>
            <w:r>
              <w:rPr>
                <w:color w:val="282828"/>
                <w:sz w:val="15"/>
              </w:rPr>
              <w:t>Résultat net / total actif = 0.14%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7.24%</w:t>
            </w:r>
          </w:p>
        </w:tc>
        <w:tc>
          <w:tcPr>
            <w:tcW w:type="dxa" w:w="5669"/>
            <w:shd w:fill="FFFFFF" w:val="clear"/>
          </w:tcPr>
          <w:p>
            <w:r>
              <w:rPr>
                <w:color w:val="282828"/>
                <w:sz w:val="15"/>
              </w:rPr>
              <w:t>CA / total actif = 7.24x.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74.37%</w:t>
            </w:r>
          </w:p>
        </w:tc>
        <w:tc>
          <w:tcPr>
            <w:tcW w:type="dxa" w:w="5669"/>
            <w:shd w:fill="FFFFFF" w:val="clear"/>
          </w:tcPr>
          <w:p>
            <w:r>
              <w:rPr>
                <w:color w:val="282828"/>
                <w:sz w:val="15"/>
              </w:rPr>
              <w:t>Charges / PNB = 74.37%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67.30%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-1.19%</w:t>
            </w:r>
          </w:p>
        </w:tc>
        <w:tc>
          <w:tcPr>
            <w:tcW w:type="dxa" w:w="5669"/>
            <w:shd w:fill="FFFFFF" w:val="clear"/>
          </w:tcPr>
          <w:p>
            <w:r>
              <w:rPr>
                <w:color w:val="282828"/>
                <w:sz w:val="15"/>
              </w:rPr>
              <w:t>Croissance PNB vs exercice précédent = -1.19%.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12.36%</w:t>
            </w:r>
          </w:p>
        </w:tc>
        <w:tc>
          <w:tcPr>
            <w:tcW w:type="dxa" w:w="5669"/>
            <w:shd w:fill="FFFFFF" w:val="clear"/>
          </w:tcPr>
          <w:p>
            <w:r>
              <w:rPr>
                <w:color w:val="282828"/>
                <w:sz w:val="15"/>
              </w:rPr>
              <w:t>Fonds propres / total bilan = 12.36%.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87.64%</w:t>
            </w:r>
          </w:p>
        </w:tc>
        <w:tc>
          <w:tcPr>
            <w:tcW w:type="dxa" w:w="5669"/>
            <w:shd w:fill="FFFFFF" w:val="clear"/>
          </w:tcPr>
          <w:p>
            <w:r>
              <w:rPr>
                <w:color w:val="282828"/>
                <w:sz w:val="15"/>
              </w:rPr>
              <w:t>Dettes financières / total bilan = 87.64%.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178.61%</w:t>
            </w:r>
          </w:p>
        </w:tc>
        <w:tc>
          <w:tcPr>
            <w:tcW w:type="dxa" w:w="5669"/>
            <w:shd w:fill="FFFFFF" w:val="clear"/>
          </w:tcPr>
          <w:p>
            <w:r>
              <w:rPr>
                <w:color w:val="282828"/>
                <w:sz w:val="15"/>
              </w:rPr>
              <w:t>Dettes totales / fonds propres = 178.61%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114.10%</w:t>
            </w:r>
          </w:p>
        </w:tc>
        <w:tc>
          <w:tcPr>
            <w:tcW w:type="dxa" w:w="5669"/>
            <w:shd w:fill="FFFFFF" w:val="clear"/>
          </w:tcPr>
          <w:p>
            <w:r>
              <w:rPr>
                <w:color w:val="282828"/>
                <w:sz w:val="15"/>
              </w:rPr>
              <w:t>Total actif / dettes totales = 114.10x.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217.06%</w:t>
            </w:r>
          </w:p>
        </w:tc>
        <w:tc>
          <w:tcPr>
            <w:tcW w:type="dxa" w:w="5669"/>
            <w:shd w:fill="FFFFFF" w:val="clear"/>
          </w:tcPr>
          <w:p>
            <w:r>
              <w:rPr>
                <w:color w:val="282828"/>
                <w:sz w:val="15"/>
              </w:rPr>
              <w:t>Capitaux permanents / actif immobilisé = 217.06x.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19.1 ans</w:t>
            </w:r>
          </w:p>
        </w:tc>
        <w:tc>
          <w:tcPr>
            <w:tcW w:type="dxa" w:w="5669"/>
            <w:shd w:fill="FFFFFF" w:val="clear"/>
          </w:tcPr>
          <w:p>
            <w:r>
              <w:rPr>
                <w:color w:val="282828"/>
                <w:sz w:val="15"/>
              </w:rPr>
              <w:t>Dettes financières / CAF = 19.1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17.59%</w:t>
            </w:r>
          </w:p>
        </w:tc>
        <w:tc>
          <w:tcPr>
            <w:tcW w:type="dxa" w:w="5669"/>
            <w:shd w:fill="FFFFFF" w:val="clear"/>
          </w:tcPr>
          <w:p>
            <w:r>
              <w:rPr>
                <w:color w:val="282828"/>
                <w:sz w:val="15"/>
              </w:rPr>
              <w:t>Résultat exploit. / charges financières = 17.59x. ❌ L'exploitation ne couvre pas les charges financières.</w:t>
            </w:r>
          </w:p>
        </w:tc>
      </w:tr>
    </w:tbl>
    <w:p/>
    <w:p>
      <w:pPr>
        <w:spacing w:after="120" w:line="276" w:lineRule="auto"/>
      </w:pPr>
      <w:r>
        <w:t>**RAPPORT D'ANALYSE FINANCIÈRE — BOA NIGER (BOAN)**</w:t>
        <w:br/>
        <w:t>**Date : 27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BOAN s'établit à 117,42 milliards FCFA, un niveau substantiel qui la positionne parmi les valeurs moyennes du compartiment bancaire de la BRVM. Le BPA de 20 FCFA par action est extrêmement faible, reflétant la chute brutale des bénéfices en 2025. Le PER de 287,1x est considérablement supérieur à la moyenne du marché BRVM (8-12x), indiquant une valorisation très exigeante qui ne repose pas sur les bénéfices actuels mais sur des anticipations de redressement. Le P/B de 3,26x, bien que dans la fourchette de 2-4x, valorise la société à plus de trois fois ses capitaux propres, ce qui laisse peu de marge de sécurité. Enfin, l'EV/EBITDA de 41,6x, très supérieur au seuil de 15x jugé exigeant, confirme que le marché intègre une forte prime de croissance future, ce qui rend le titre vulnérable à toute déception.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BOAN a enregistré une progression spectaculaire de +109,07%, avec une dernière séance en hausse de +5,42% à 5 645 FCFA, son plus haut sur la période. Le cours a évolué dans une fourchette très large de 2 660 à 5 645 FCFA, soit un range de plus de 112%, témoignant d'un intérêt spéculatif intense. La moyenne (4 121 FCFA) est supérieure à la médiane (3 750 FCFA), indiquant une distribution légèrement asymétrique avec des valeurs extrêmes tirant la moyenne vers le haut. L'écart-type de 849 FCFA (CV=20,6%) révèle une dispersion modérée des prix autour de la moyenne. Le kurtosis négatif (-1,206) signale une distribution aplatie, suggérant l'absence de mouvements extrêmes fréquents, tandis que le skewness positif (0,198) confirme une légère asymétrie vers les hausses. La volatilité annualisée de 39,9% classe le titre dans la catégorie des valeurs à forte volatilité (&gt;30%), ce qui implique un risque élevé mais aussi un potentiel de gains significatifs pour les investisseurs aguerris.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5 645 FCFA se situe nettement au-dessus de la MM20 (5 219,5 FCFA) et de la MM50 (4 823,9 FCFA), confirmant une tendance haussière robuste à court et moyen terme. L'écart positif entre le prix et les moyennes mobiles indique une dynamique positive, justifiant la décision d'achat.</w:t>
      </w:r>
    </w:p>
    <w:p>
      <w:pPr>
        <w:spacing w:after="120" w:line="276" w:lineRule="auto"/>
      </w:pPr>
      <w:r>
        <w:t>**Bandes de Bollinger :** Le prix a franchi la borne supérieure (5 486,3 FCFA), signalant une condition de surachat extrême. Cette sortie des bandes suggère une volatilité accrue et un écart temporaire par rapport à la moyenne, ce qui justifie la décision de vente par prudence, car un retour vers la moyenne est statistiquement probable.</w:t>
      </w:r>
    </w:p>
    <w:p>
      <w:pPr>
        <w:spacing w:after="120" w:line="276" w:lineRule="auto"/>
      </w:pPr>
      <w:r>
        <w:t>**MACD :** Le MACD (142,355) est supérieur à sa ligne de signal (133,232), confirmant un momentum haussier positif. La divergence positive indique que la tendance haussière conserve de la vigueur, justifiant la décision d'achat, bien que l'écart relativement faible suggère un essoufflement potentiel.</w:t>
      </w:r>
    </w:p>
    <w:p>
      <w:pPr>
        <w:spacing w:after="120" w:line="276" w:lineRule="auto"/>
      </w:pPr>
      <w:r>
        <w:t>**RSI :** À 87,013, le RSI est profondément en zone de surachat (&gt;70), signalant que le titre est surévalué à court terme. Cette lecture justifie la décision de vente, car un repli technique est hautement probable après une telle extension haussière.</w:t>
      </w:r>
    </w:p>
    <w:p>
      <w:pPr>
        <w:spacing w:after="120" w:line="276" w:lineRule="auto"/>
      </w:pPr>
      <w:r>
        <w:t>**Stochastique :** Le %K et le %D sont tous deux à 100,0, indiquant une condition de surachat extrême et sans précédent. Cette configuration justifie la décision de vente, car elle suggère que le mouvement haussier est arrivé à son paroxysme et qu'un retournement est imminent.</w:t>
      </w:r>
    </w:p>
    <w:p>
      <w:pPr>
        <w:spacing w:after="120" w:line="276" w:lineRule="auto"/>
      </w:pPr>
      <w:r>
        <w:t>**Conclusion technique :** Les indicateurs sont fortement divergents : les moyennes mobiles et le MACD restent positifs, mais le RSI, le Stochastique et les Bandes de Bollinger signalent tous un surachat extrême. Cette configuration suggère qu'un repli technique est probable à court terme, mais que la tendance de fond reste haussière. Les investisseurs devraient donc faire preuve de prudence et attendre un éventuel pullback avant d'envisager de nouvelles positions.</w:t>
      </w:r>
    </w:p>
    <w:p>
      <w:pPr>
        <w:spacing w:after="120" w:line="276" w:lineRule="auto"/>
      </w:pPr>
      <w:r>
        <w:t>---</w:t>
      </w:r>
    </w:p>
    <w:p>
      <w:pPr>
        <w:spacing w:after="120" w:line="276" w:lineRule="auto"/>
      </w:pPr>
      <w:r>
        <w:t>### PARTIE 3 : ANALYSE FONDAMENTALE (SECTION CRITIQUE)</w:t>
      </w:r>
    </w:p>
    <w:p>
      <w:pPr>
        <w:spacing w:after="120" w:line="276" w:lineRule="auto"/>
      </w:pPr>
      <w:r>
        <w:t>En 2025, BOAN a enregistré un Produit Net Bancaire de 21,125 milliards FCFA, en légère baisse de 1,2% par rapport à 2024 (21,380 milliards FCFA), et un résultat net de seulement 409 millions FCFA, en chute vertigineuse de 91,8% par rapport aux 5,002 milliards FCFA de 2024. Le ROE s'effondre à 1,13% et le ROA à 0,14%, contre respectivement 11,39% et 1,49% en 2024. Le coefficient d'exploitation de 74,37% est très élevé, indiquant une inefficacité opérationnelle préoccupante. Le coût du risque de 67,30% des charges financières reflète un portefeuille de crédits fortement dégradé, avec un taux de créances en souffrance de 24% (vs 12% en moyenne UEMOA). Les dépôts clientèle (183,28 milliards FCFA) couvrent les créances sur la clientèle (128,447 milliards FCFA), mais la contraction volontaire des crédits (-20,9%) témoigne d'une stratégie défensive. Selon le rapport annuel 2025 (analysé le 26/03/2026), la banque a subi une erreur comptable de 1,821 milliard FCFA et un contexte macroéconomique difficile (sanctions post-coup d'État). Cependant, le rapport du T1 2026 (publié en 2026) montre un net redressement : résultat net de 1 467,3 millions FCFA (+28,9%), PNB de 5 170 millions FCFA (+7,9%), et coefficient d'exploitation amélioré à 56,2%. Sur cette base, on estime que l'exercice 2026 pourrait voir un PNB d'environ 22,3 milliards FCFA et un résultat net de 5 à 7 milliards FCFA, conformément au budget prévisionnel de la banque.</w:t>
      </w:r>
    </w:p>
    <w:p>
      <w:pPr>
        <w:spacing w:after="120" w:line="276" w:lineRule="auto"/>
      </w:pPr>
      <w:r>
        <w:t>---</w:t>
      </w:r>
    </w:p>
    <w:p>
      <w:pPr>
        <w:spacing w:after="120" w:line="276" w:lineRule="auto"/>
      </w:pPr>
      <w:r>
        <w:t>### PARTIE 4 : CONCLUSION D'INVESTISSEMENT</w:t>
      </w:r>
    </w:p>
    <w:p>
      <w:pPr>
        <w:spacing w:after="120" w:line="276" w:lineRule="auto"/>
      </w:pPr>
      <w:r>
        <w:t>La valorisation de BOAN est extrêmement exigeante (PER de 287x, EV/EBITDA de 41,6x, P/B de 3,26x), suggérant une surévaluation manifeste par rapport aux bénéfices actuels. Le comportement du cours, avec une hausse de +109% en 100 jours et une volatilité de 39,9%, témoigne d'un enthousiasme spéculatif qui contraste fortement avec la dégradation des fondamentaux. Les signaux techniques sont contradictoires : la tendance de fond reste haussière (MM, MACD), mais les indicateurs de surachat (RSI à 87, Stochastique à 100, sortie des Bandes de Bollinger) signalent un repli imminent. Les fondamentaux, bien que très dégradés en 2025, montrent des signes de redressement encourageants au T1 2026, avec une amélioration notable de la rentabilité et de l'efficacité opérationnelle. Les prédictions IA (5 473 à 5 447 FCFA sur 10 jours) suggèrent une légère correction, confirmant les signaux de surachat. **Recommandation finale : VENTE** pour les investisseurs à court terme, avec un niveau de confiance **Moyen** et un risque global **Élevé**. Pour les investisseurs à moyen-long terme, une stratégie de conservation avec un suivi rigoureux des indicateurs de redressement (coût du risque, ROE, croissance du PNB) est recommandée. Horizon d'investissement optimal : moyen terme (3-12 mois) pour évaluer la concrétisation du plan de relance 2026.</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am\u00e9lioration de la rentabilit\u00e9 (+28,9% du r\u00e9sultat net) et l'excellente ma\u00eetrise des co\u00fbts op\u00e9rationnels d\u00e9montrent une gestion efficace. La strat\u00e9gie d'assainissement du portefeuille, bien que temporairement co\u00fbteuse, renforce les perspectives long terme."}</w:t>
      </w:r>
    </w:p>
    <w:p>
      <w:pPr>
        <w:spacing w:before="40"/>
        <w:ind w:left="400"/>
      </w:pPr>
      <w:r>
        <w:rPr>
          <w:sz w:val="18"/>
        </w:rPr>
        <w:t>BOA-NIGER affiche une performance remarquable au T1 2026 avec un résultat net en forte progression de 28,9% à 1 467,3 millions FCFA. Le produit net bancaire progresse de 7,9% à 5 170 millions FCFA, porté par l'amélioration du rendement des crédits. La maîtrise des frais généraux (-9,1%) améliore significativement le coefficient d'exploitation à 56,2%. Malgré une hausse du coût du risque liée à l'assainissement du portefeuille, le résultat brut d'exploitation bondit de 42,2%. La banque s'inscrit dans une dynamique positive avec trois priorités stratégiques claires pour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'673,1 millions FCFA', 'coefficient_exploitation': '56,2%', 'resultat_brut_exploitation': '2 262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1 467,3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5 170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28,9% à 1 467,3 millions FCFA au T1 2026</w:t>
      </w:r>
    </w:p>
    <w:p>
      <w:pPr>
        <w:pStyle w:val="ListBullet"/>
        <w:spacing w:before="20" w:after="20"/>
        <w:ind w:left="700"/>
      </w:pPr>
      <w:r>
        <w:rPr>
          <w:sz w:val="18"/>
        </w:rPr>
        <w:t>Produit net bancaire en progression de 7,9% à 5 170 millions FCFA</w:t>
      </w:r>
    </w:p>
    <w:p>
      <w:pPr>
        <w:pStyle w:val="ListBullet"/>
        <w:spacing w:before="20" w:after="20"/>
        <w:ind w:left="700"/>
      </w:pPr>
      <w:r>
        <w:rPr>
          <w:sz w:val="18"/>
        </w:rPr>
        <w:t>Excellente maîtrise des frais généraux avec une baisse de 9,1%</w:t>
      </w:r>
    </w:p>
    <w:p>
      <w:pPr>
        <w:pStyle w:val="ListBullet"/>
        <w:spacing w:before="20" w:after="20"/>
        <w:ind w:left="700"/>
      </w:pPr>
      <w:r>
        <w:rPr>
          <w:sz w:val="18"/>
        </w:rPr>
        <w:t>Amélioration du coefficient d'exploitation de 66,8% à 56,2%</w:t>
      </w:r>
    </w:p>
    <w:p>
      <w:pPr>
        <w:pStyle w:val="ListBullet"/>
        <w:spacing w:before="20" w:after="20"/>
        <w:ind w:left="700"/>
      </w:pPr>
      <w:r>
        <w:rPr>
          <w:sz w:val="18"/>
        </w:rPr>
        <w:t>Résultat brut d'exploitation en forte hausse de 42,2%</w:t>
      </w:r>
    </w:p>
    <w:p>
      <w:pPr>
        <w:pStyle w:val="ListBullet"/>
        <w:spacing w:before="20" w:after="20"/>
        <w:ind w:left="700"/>
      </w:pPr>
      <w:r>
        <w:rPr>
          <w:sz w:val="18"/>
        </w:rPr>
        <w:t>Coût du risque en augmentation de 104,3% dans le cadre de l'assainissement du portefeuille</w:t>
      </w:r>
    </w:p>
    <w:p>
      <w:pPr>
        <w:spacing w:before="40"/>
        <w:ind w:left="400"/>
      </w:pPr>
      <w:r>
        <w:rPr>
          <w:b/>
          <w:color w:val="C05000"/>
          <w:sz w:val="18"/>
        </w:rPr>
        <w:t xml:space="preserve">⚠️ Risques : </w:t>
      </w:r>
      <w:r>
        <w:rPr>
          <w:sz w:val="18"/>
        </w:rPr>
        <w:t>["Hausse significative du co\u00fbt du risque (+104,3%) li\u00e9e \u00e0 l'assainissement du portefeuille", "Environnement \u00e9conomique contraignant au Niger", "D\u00e9pendance \u00e0 la poursuite de l'am\u00e9lioration du rendement des cr\u00e9dits"]</w:t>
      </w:r>
    </w:p>
    <w:p>
      <w:pPr>
        <w:spacing w:before="40"/>
        <w:ind w:left="400"/>
      </w:pPr>
      <w:r>
        <w:rPr>
          <w:b/>
          <w:color w:val="0064A0"/>
          <w:sz w:val="18"/>
        </w:rPr>
        <w:t xml:space="preserve">🔮 Perspectives : </w:t>
      </w:r>
      <w:r>
        <w:rPr>
          <w:sz w:val="18"/>
        </w:rPr>
        <w:t>Les résultats du T1 2026 confirment une tendance globalement favorable avec un PNB en hausse de 8% attendu sur l'année. La bonne maîtrise des charges d'exploitation couplée à l'amélioration du rendement des crédits laisse entrevoir une évolution positive sur l'ensemble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chute du r\u00e9sultat net, la banque d\u00e9montre une gestion prudente avec une croissance des d\u00e9p\u00f4ts et une politique s\u00e9lective de cr\u00e9dit. La provision exceptionnelle t\u00e9moigne d'une approche responsable face aux risques sectoriels."}</w:t>
      </w:r>
    </w:p>
    <w:p>
      <w:pPr>
        <w:spacing w:before="40"/>
        <w:ind w:left="400"/>
      </w:pPr>
      <w:r>
        <w:rPr>
          <w:sz w:val="18"/>
        </w:rPr>
        <w:t>BOA Niger présente des résultats contrastés au 2ème semestre 2025 avec une croissance des dépôts de +4% à 189,9 milliards FCFA qui surperforme le secteur. Les crédits subissent une contraction significative de -20,9% à 128,4 milliards FCFA dans le cadre d'une politique sélective de réduction des risques. Le produit net bancaire recule légèrement de -1,2% à 21,1 milliards FCFA mais reste résilient compte tenu du contexte. Les charges générales augmentent de 6,5% impactant la rentabilité opérationnelle qui chute de -13,5%. Le résultat net s'effondre de -91,8% à 409 millions FCFA suite à une provision exceptionnelle de 4,8 milliards FCFA liée au niveau de risque élevé du secteur.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'189 867 millions FCFA', 'credits': '128 447 millions FCFA', 'cout_du_risque': '6 016 millions FCFA', 'frais_generaux': '13 988,2 millions FCFA', 'produit_net_bancaire': '21 125 millions FCFA', 'resultat_brut_exploitation': '7 137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dépôts de +4% à 189,9 milliards FCFA, surperformant le secteur financier nigérien</w:t>
      </w:r>
    </w:p>
    <w:p>
      <w:pPr>
        <w:pStyle w:val="ListBullet"/>
        <w:spacing w:before="20" w:after="20"/>
        <w:ind w:left="700"/>
      </w:pPr>
      <w:r>
        <w:rPr>
          <w:sz w:val="18"/>
        </w:rPr>
        <w:t>Contraction volontaire des crédits de -20,9% à 128,4 milliards FCFA pour réduire l'exposition au risque</w:t>
      </w:r>
    </w:p>
    <w:p>
      <w:pPr>
        <w:pStyle w:val="ListBullet"/>
        <w:spacing w:before="20" w:after="20"/>
        <w:ind w:left="700"/>
      </w:pPr>
      <w:r>
        <w:rPr>
          <w:sz w:val="18"/>
        </w:rPr>
        <w:t>Produit net bancaire en baisse modérée de -1,2% à 21,1 milliards FCFA malgré le contexte difficile</w:t>
      </w:r>
    </w:p>
    <w:p>
      <w:pPr>
        <w:pStyle w:val="ListBullet"/>
        <w:spacing w:before="20" w:after="20"/>
        <w:ind w:left="700"/>
      </w:pPr>
      <w:r>
        <w:rPr>
          <w:sz w:val="18"/>
        </w:rPr>
        <w:t>Augmentation des charges générales de 6,5% à 13,99 milliards FCFA impactant la rentabilité</w:t>
      </w:r>
    </w:p>
    <w:p>
      <w:pPr>
        <w:pStyle w:val="ListBullet"/>
        <w:spacing w:before="20" w:after="20"/>
        <w:ind w:left="700"/>
      </w:pPr>
      <w:r>
        <w:rPr>
          <w:sz w:val="18"/>
        </w:rPr>
        <w:t>Résultat brut d'exploitation en recul de -13,5% à 7,1 milliards FCFA</w:t>
      </w:r>
    </w:p>
    <w:p>
      <w:pPr>
        <w:pStyle w:val="ListBullet"/>
        <w:spacing w:before="20" w:after="20"/>
        <w:ind w:left="700"/>
      </w:pPr>
      <w:r>
        <w:rPr>
          <w:sz w:val="18"/>
        </w:rPr>
        <w:t>Provision exceptionnelle de 4,8 milliards FCFA passée sur l'exercice compte tenu du risque sectoriel élevé</w:t>
      </w:r>
    </w:p>
    <w:p>
      <w:pPr>
        <w:spacing w:before="40"/>
        <w:ind w:left="400"/>
      </w:pPr>
      <w:r>
        <w:rPr>
          <w:b/>
          <w:color w:val="C05000"/>
          <w:sz w:val="18"/>
        </w:rPr>
        <w:t xml:space="preserve">⚠️ Risques : </w:t>
      </w:r>
      <w:r>
        <w:rPr>
          <w:sz w:val="18"/>
        </w:rPr>
        <w:t>["Environnement \u00e9conomique nig\u00e9rien difficile avec un taux de sinistralit\u00e9 sectoriel de 24%", "Contraction continue du march\u00e9 du cr\u00e9dit impactant la g\u00e9n\u00e9ration de revenus", "Augmentation des charges op\u00e9rationnelles pesant sur la rentabilit\u00e9"]</w:t>
      </w:r>
    </w:p>
    <w:p>
      <w:pPr>
        <w:spacing w:before="40"/>
        <w:ind w:left="400"/>
      </w:pPr>
      <w:r>
        <w:rPr>
          <w:b/>
          <w:color w:val="0064A0"/>
          <w:sz w:val="18"/>
        </w:rPr>
        <w:t xml:space="preserve">🔮 Perspectives : </w:t>
      </w:r>
      <w:r>
        <w:rPr>
          <w:sz w:val="18"/>
        </w:rPr>
        <w:t>La stratégie de réduction sélective des risques devrait permettre une amélioration progressive de la qualité du portefeuille crédit. La capacité à préserver la confiance des déposants constitue un atout pour la reprise future de l'activité de crédit.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en hausse de 26,6% et une nette am\u00e9lioration du co\u00fbt du risque. La banque d\u00e9montre une gestion efficace avec un coefficient d'exploitation en am\u00e9lioration et une position dominante sur le march\u00e9 nig\u00e9rien."}</w:t>
      </w:r>
    </w:p>
    <w:p>
      <w:pPr>
        <w:spacing w:before="40"/>
        <w:ind w:left="400"/>
      </w:pPr>
      <w:r>
        <w:rPr>
          <w:sz w:val="18"/>
        </w:rPr>
        <w:t>BOA Niger affiche une performance financière solide en 2021 avec une croissance significative de ses résultats. Le Produit Net Bancaire progresse de 3,1% à 24 995,11 millions FCFA, soutenu par une croissance des encours de crédits de 1,9%. Les frais généraux restent stables, permettant une amélioration du coefficient d'exploitation à 47,7%. Le coût du risque s'améliore drastiquement, passant de -3 756,44 millions FCFA à -2 035,23 millions FCFA (-45,8%). Le résultat net bondit de 26,6% pour atteindre 9 396,54 millions FCFA, témoignant d'une gestion efficace et d'une forte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 '234 001 millions FCFA', 'cout_du_risque': '2 035,23 millions FCFA', 'encours_credits': '206 852 millions FCFA', 'coefficient_exploitation': '47,7%', 'resultat_brut_exploitation': '13 067,85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9 396,54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24 995,11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3,1% à 24 995,11 millions FCFA</w:t>
      </w:r>
    </w:p>
    <w:p>
      <w:pPr>
        <w:pStyle w:val="ListBullet"/>
        <w:spacing w:before="20" w:after="20"/>
        <w:ind w:left="700"/>
      </w:pPr>
      <w:r>
        <w:rPr>
          <w:sz w:val="18"/>
        </w:rPr>
        <w:t>Encours de crédits progressent de 1,9% à 206 852 millions FCFA</w:t>
      </w:r>
    </w:p>
    <w:p>
      <w:pPr>
        <w:pStyle w:val="ListBullet"/>
        <w:spacing w:before="20" w:after="20"/>
        <w:ind w:left="700"/>
      </w:pPr>
      <w:r>
        <w:rPr>
          <w:sz w:val="18"/>
        </w:rPr>
        <w:t>Dépôts en forte hausse de 8,1% à 234 001 millions FCFA (65% non-rémunérés)</w:t>
      </w:r>
    </w:p>
    <w:p>
      <w:pPr>
        <w:pStyle w:val="ListBullet"/>
        <w:spacing w:before="20" w:after="20"/>
        <w:ind w:left="700"/>
      </w:pPr>
      <w:r>
        <w:rPr>
          <w:sz w:val="18"/>
        </w:rPr>
        <w:t>Amélioration significative du coût du risque (-45,8%) à 2 035,23 millions FCFA</w:t>
      </w:r>
    </w:p>
    <w:p>
      <w:pPr>
        <w:pStyle w:val="ListBullet"/>
        <w:spacing w:before="20" w:after="20"/>
        <w:ind w:left="700"/>
      </w:pPr>
      <w:r>
        <w:rPr>
          <w:sz w:val="18"/>
        </w:rPr>
        <w:t>Coefficient d'exploitation amélioré à 47,7% contre 49,2% en 2020</w:t>
      </w:r>
    </w:p>
    <w:p>
      <w:pPr>
        <w:pStyle w:val="ListBullet"/>
        <w:spacing w:before="20" w:after="20"/>
        <w:ind w:left="700"/>
      </w:pPr>
      <w:r>
        <w:rPr>
          <w:sz w:val="18"/>
        </w:rPr>
        <w:t>Résultat net en forte progression de 26,6% à 9 396,54 millions FCFA</w:t>
      </w:r>
    </w:p>
    <w:p>
      <w:pPr>
        <w:spacing w:before="40"/>
        <w:ind w:left="400"/>
      </w:pPr>
      <w:r>
        <w:rPr>
          <w:b/>
          <w:color w:val="C05000"/>
          <w:sz w:val="18"/>
        </w:rPr>
        <w:t xml:space="preserve">⚠️ Risques : </w:t>
      </w:r>
      <w:r>
        <w:rPr>
          <w:sz w:val="18"/>
        </w:rPr>
        <w:t>["Concentration g\u00e9ographique sur le march\u00e9 nig\u00e9rien uniquement", "Exposition au risque de cr\u00e9dit malgr\u00e9 l'am\u00e9lioration observ\u00e9e", "D\u00e9pendance aux conditions \u00e9conomiques et politiques du Niger"]</w:t>
      </w:r>
    </w:p>
    <w:p>
      <w:pPr>
        <w:spacing w:before="40"/>
        <w:ind w:left="400"/>
      </w:pPr>
      <w:r>
        <w:rPr>
          <w:b/>
          <w:color w:val="0064A0"/>
          <w:sz w:val="18"/>
        </w:rPr>
        <w:t xml:space="preserve">🔮 Perspectives : </w:t>
      </w:r>
      <w:r>
        <w:rPr>
          <w:sz w:val="18"/>
        </w:rPr>
        <w:t>BOA Niger est bien positionnée pour poursuivre sa croissance avec le plus grand réseau bancaire du pays et une base de dépôts solide. L'amélioration continue de la gestion des risques et l'optimisation des coûts devraient soutenir la rentabilité future. Le développement du marché des PME (+65%)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de tous les indicateurs financiers et l'environnement g\u00e9opolitique d\u00e9favorable au Niger rendent l'investissement tr\u00e8s risqu\u00e9 \u00e0 court terme. L'effondrement du r\u00e9sultat net de 50,2% et les incertitudes persistantes li\u00e9es aux sanctions internationales compromettent gravement les perspectives de rentabilit\u00e9."}</w:t>
      </w:r>
    </w:p>
    <w:p>
      <w:pPr>
        <w:spacing w:before="40"/>
        <w:ind w:left="400"/>
      </w:pPr>
      <w:r>
        <w:rPr>
          <w:sz w:val="18"/>
        </w:rPr>
        <w:t>Bank of Africa Niger présente des résultats très dégradés au premier trimestre 2025 avec un effondrement de tous ses indicateurs financiers. Le produit net bancaire chute de 16,3% à 4 781,2 millions FCFA tandis que le résultat net s'effondre de 50,2% à seulement 1 138 millions FCFA. Cette performance catastrophique s'explique principalement par les effets négatifs des sanctions des institutions communautaires infligées au Niger et la suspension des aides publiques au développement. L'environnement économique difficile a perturbé le fonctionnement normal de la banque, malgré une maîtrise relative des frais généraux (+3,4%). Le coût du risque s'est fortement dégradé, passant de 281 millions FC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'-429,0 millions FCFA', 'frais_generaux': '3 091,0 millions FCFA', 'resultat_avant_impots': '1 261,2 millions FCFA', 'coefficient_exploitation': '64,7%', 'resultat_brut_exploitation': '1 690,1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1 138,0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4 781,2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produit net bancaire de 16,3% à 4 781,2 millions FCFA</w:t>
      </w:r>
    </w:p>
    <w:p>
      <w:pPr>
        <w:pStyle w:val="ListBullet"/>
        <w:spacing w:before="20" w:after="20"/>
        <w:ind w:left="700"/>
      </w:pPr>
      <w:r>
        <w:rPr>
          <w:sz w:val="18"/>
        </w:rPr>
        <w:t>Effondrement du résultat net de 50,2% à 1 138 millions FCFA contre 2 286,1 millions FCFA l'année précédente</w:t>
      </w:r>
    </w:p>
    <w:p>
      <w:pPr>
        <w:pStyle w:val="ListBullet"/>
        <w:spacing w:before="20" w:after="20"/>
        <w:ind w:left="700"/>
      </w:pPr>
      <w:r>
        <w:rPr>
          <w:sz w:val="18"/>
        </w:rPr>
        <w:t>Dégradation significative du résultat brut d'exploitation (-38%) à 1 690,1 millions FCFA</w:t>
      </w:r>
    </w:p>
    <w:p>
      <w:pPr>
        <w:pStyle w:val="ListBullet"/>
        <w:spacing w:before="20" w:after="20"/>
        <w:ind w:left="700"/>
      </w:pPr>
      <w:r>
        <w:rPr>
          <w:sz w:val="18"/>
        </w:rPr>
        <w:t>Inversion du coût du risque qui devient négatif à -429 millions FCFA, indiquant un effort d'assainissement du portefeuille</w:t>
      </w:r>
    </w:p>
    <w:p>
      <w:pPr>
        <w:pStyle w:val="ListBullet"/>
        <w:spacing w:before="20" w:after="20"/>
        <w:ind w:left="700"/>
      </w:pPr>
      <w:r>
        <w:rPr>
          <w:sz w:val="18"/>
        </w:rPr>
        <w:t>Impact négatif majeur des sanctions internationales contre le Niger sur l'activité bancaire</w:t>
      </w:r>
    </w:p>
    <w:p>
      <w:pPr>
        <w:pStyle w:val="ListBullet"/>
        <w:spacing w:before="20" w:after="20"/>
        <w:ind w:left="700"/>
      </w:pPr>
      <w:r>
        <w:rPr>
          <w:sz w:val="18"/>
        </w:rPr>
        <w:t>Suspension des aides publiques au développement perturbant l'écosystème financier local</w:t>
      </w:r>
    </w:p>
    <w:p>
      <w:pPr>
        <w:spacing w:before="40"/>
        <w:ind w:left="400"/>
      </w:pPr>
      <w:r>
        <w:rPr>
          <w:b/>
          <w:color w:val="C05000"/>
          <w:sz w:val="18"/>
        </w:rPr>
        <w:t xml:space="preserve">⚠️ Risques : </w:t>
      </w:r>
      <w:r>
        <w:rPr>
          <w:sz w:val="18"/>
        </w:rPr>
        <w:t>["Persistance des sanctions internationales contre le Niger affectant durablement l'activit\u00e9 \u00e9conomique", "D\u00e9gradation continue de la qualit\u00e9 du portefeuille de cr\u00e9dit dans un environnement \u00e9conomique instable", "Risque de contagion g\u00e9opolitique r\u00e9gionale pouv</w:t>
      </w:r>
    </w:p>
    <w:p>
      <w:pPr>
        <w:spacing w:before="40"/>
        <w:ind w:left="400"/>
      </w:pPr>
      <w:r>
        <w:rPr>
          <w:b/>
          <w:color w:val="0064A0"/>
          <w:sz w:val="18"/>
        </w:rPr>
        <w:t xml:space="preserve">🔮 Perspectives : </w:t>
      </w:r>
      <w:r>
        <w:rPr>
          <w:sz w:val="18"/>
        </w:rPr>
        <w:t>Les perspectives restent très incertaines et dépendront largement de l'évolution de la situation géopolitique au Niger et de la levée éventuelle des sanctions internationales. En l'absence d'amélioration de l'environnement externe, la banque pourrait continuer à subir des pressions sur sa rentabilit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performance d\u00e9cevante de 2025, la banque b\u00e9n\u00e9ficie du soutien du groupe BOA et d'un contexte macro\u00e9conomique en am\u00e9lioration. Les perspectives 2026 sont encourageantes avec un objectif de multiplication par 6 du r\u00e9sultat net."}</w:t>
      </w:r>
    </w:p>
    <w:p>
      <w:pPr>
        <w:spacing w:before="40"/>
        <w:ind w:left="400"/>
      </w:pPr>
      <w:r>
        <w:rPr>
          <w:sz w:val="18"/>
        </w:rPr>
        <w:t>Bank of Africa Niger présente des résultats décevants pour 2025 avec un résultat net de seulement 409 millions FCFA contre 5 milliards l'année précédente, soit une chute de 91,8%. Le total bilan a reculé de 9,5% à 291,7 milliards FCFA dans un contexte économique difficile marqué par les sanctions post-coup d'état. Les encours de crédit ont baissé de 21% tandis que les dépôts clientèle ont progressé modestement de 4%. La banque maintient néanmoins des ratios prudentiels solides avec un ratio de solvabilité de 14,06% et un coefficient de liquidité de 123,95%. Les perspectives 2026 tablent sur une amélioration significative avec un objectif de résultat avant impôts de 7,3 milliards FCFA grâce à</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'0,13%', 'ROE': '1,05%', 'credits_clients': '128,4 milliards FCFA', 'deposits_clients': '189,9 milliards FCFA', 'ratio_solvabilite': '14,06%', 'coefficient_liquidite': '123,95%'}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w:t>
            </w:r>
          </w:p>
        </w:tc>
        <w:tc>
          <w:tcPr>
            <w:tcW w:type="dxa" w:w="2160"/>
          </w:tcPr>
          <w:p>
            <w:pPr>
              <w:ind w:left="100"/>
            </w:pPr>
            <w:r/>
            <w:r>
              <w:rPr>
                <w:b/>
                <w:sz w:val="16"/>
              </w:rPr>
              <w:t>total_actif</w:t>
              <w:br/>
            </w:r>
            <w:r>
              <w:rPr>
                <w:sz w:val="18"/>
              </w:rPr>
              <w:t>291,8 milliards FCFA</w:t>
            </w:r>
          </w:p>
        </w:tc>
      </w:tr>
      <w:tr>
        <w:tc>
          <w:tcPr>
            <w:tcW w:type="dxa" w:w="2160"/>
          </w:tcPr>
          <w:p>
            <w:r/>
            <w:r>
              <w:rPr>
                <w:b/>
                <w:sz w:val="16"/>
              </w:rPr>
              <w:t>resultat_net</w:t>
              <w:br/>
            </w:r>
            <w:r>
              <w:rPr>
                <w:sz w:val="18"/>
              </w:rPr>
              <w:t>409 millions FCFA</w:t>
            </w:r>
          </w:p>
        </w:tc>
        <w:tc>
          <w:tcPr>
            <w:tcW w:type="dxa" w:w="2160"/>
          </w:tcPr>
          <w:p>
            <w:r/>
            <w:r>
              <w:rPr>
                <w:b/>
                <w:sz w:val="16"/>
              </w:rPr>
              <w:t>capitaux_propres</w:t>
              <w:br/>
            </w:r>
            <w:r>
              <w:rPr>
                <w:sz w:val="18"/>
              </w:rPr>
              <w:t>36,1 milliards FCFA</w:t>
            </w:r>
          </w:p>
        </w:tc>
        <w:tc>
          <w:tcPr>
            <w:tcW w:type="dxa" w:w="2160"/>
          </w:tcPr>
          <w:p>
            <w:r/>
            <w:r>
              <w:rPr>
                <w:b/>
                <w:sz w:val="16"/>
              </w:rPr>
              <w:t>chiffre_affaires</w:t>
              <w:br/>
            </w:r>
            <w:r>
              <w:rPr>
                <w:sz w:val="18"/>
              </w:rPr>
              <w:t>21,1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résultat net de 91,8% à 409 millions FCFA en 2025</w:t>
      </w:r>
    </w:p>
    <w:p>
      <w:pPr>
        <w:pStyle w:val="ListBullet"/>
        <w:spacing w:before="20" w:after="20"/>
        <w:ind w:left="700"/>
      </w:pPr>
      <w:r>
        <w:rPr>
          <w:sz w:val="18"/>
        </w:rPr>
        <w:t>Contraction du portefeuille crédit de 21% due au contexte économique difficile</w:t>
      </w:r>
    </w:p>
    <w:p>
      <w:pPr>
        <w:pStyle w:val="ListBullet"/>
        <w:spacing w:before="20" w:after="20"/>
        <w:ind w:left="700"/>
      </w:pPr>
      <w:r>
        <w:rPr>
          <w:sz w:val="18"/>
        </w:rPr>
        <w:t>Croissance modeste des dépôts clientèle de 4% malgré les difficultés</w:t>
      </w:r>
    </w:p>
    <w:p>
      <w:pPr>
        <w:pStyle w:val="ListBullet"/>
        <w:spacing w:before="20" w:after="20"/>
        <w:ind w:left="700"/>
      </w:pPr>
      <w:r>
        <w:rPr>
          <w:sz w:val="18"/>
        </w:rPr>
        <w:t>Maintien de ratios prudentiels conformes (solvabilité 14,06%, liquidité 123,95%)</w:t>
      </w:r>
    </w:p>
    <w:p>
      <w:pPr>
        <w:pStyle w:val="ListBullet"/>
        <w:spacing w:before="20" w:after="20"/>
        <w:ind w:left="700"/>
      </w:pPr>
      <w:r>
        <w:rPr>
          <w:sz w:val="18"/>
        </w:rPr>
        <w:t>Recouvrement de créances performant avec 2,98 milliards FCFA récupérés</w:t>
      </w:r>
    </w:p>
    <w:p>
      <w:pPr>
        <w:pStyle w:val="ListBullet"/>
        <w:spacing w:before="20" w:after="20"/>
        <w:ind w:left="700"/>
      </w:pPr>
      <w:r>
        <w:rPr>
          <w:sz w:val="18"/>
        </w:rPr>
        <w:t>Contexte macroéconomique nigérien en amélioration avec levée des sanctions</w:t>
      </w:r>
    </w:p>
    <w:p>
      <w:pPr>
        <w:spacing w:before="40"/>
        <w:ind w:left="400"/>
      </w:pPr>
      <w:r>
        <w:rPr>
          <w:b/>
          <w:color w:val="C05000"/>
          <w:sz w:val="18"/>
        </w:rPr>
        <w:t xml:space="preserve">⚠️ Risques : </w:t>
      </w:r>
      <w:r>
        <w:rPr>
          <w:sz w:val="18"/>
        </w:rPr>
        <w:t>["Persistance de l'instabilit\u00e9 politique et \u00e9conomique au Niger", "D\u00e9gradation continue de la qualit\u00e9 du portefeuille cr\u00e9dit", "Concurrence accrue sur un march\u00e9 bancaire nig\u00e9rien d\u00e9j\u00e0 satur\u00e9"]</w:t>
      </w:r>
    </w:p>
    <w:p>
      <w:pPr>
        <w:spacing w:before="40"/>
        <w:ind w:left="400"/>
      </w:pPr>
      <w:r>
        <w:rPr>
          <w:b/>
          <w:color w:val="0064A0"/>
          <w:sz w:val="18"/>
        </w:rPr>
        <w:t xml:space="preserve">🔮 Perspectives : </w:t>
      </w:r>
      <w:r>
        <w:rPr>
          <w:sz w:val="18"/>
        </w:rPr>
        <w:t>L'année 2026 devrait marquer un tournant avec la levée des sanctions et la reprise économique attendue au Niger. La banque vise une forte amélioration de sa rentabilité grâce à la croissance du PIB prévue à 6,6% et l'augmentation de la production pétrolière. Les investissements dans la transformatio</w:t>
      </w:r>
    </w:p>
    <w:p/>
    <w:p>
      <w:r>
        <w:t>════════════════════════════════════════════════════════════════════════════════</w:t>
      </w:r>
    </w:p>
    <w:p>
      <w:r>
        <w:br w:type="page"/>
      </w:r>
    </w:p>
    <w:p>
      <w:pPr>
        <w:pStyle w:val="Heading2"/>
        <w:spacing w:before="360"/>
      </w:pPr>
      <w:r>
        <w:rPr>
          <w:color w:val="0066CC"/>
        </w:rPr>
        <w:t>10. BOAS - BANK OF AFRICA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BOAS</w:t>
            </w:r>
          </w:p>
          <w:p>
            <w:r>
              <w:rPr>
                <w:b/>
                <w:color w:val="323250"/>
                <w:sz w:val="16"/>
              </w:rPr>
              <w:t xml:space="preserve">Société : </w:t>
            </w:r>
            <w:r>
              <w:rPr>
                <w:color w:val="000000"/>
                <w:sz w:val="16"/>
              </w:rPr>
              <w:t>BANK OF AFRICA SENEGAL</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304.02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9,272 titres</w:t>
            </w:r>
          </w:p>
        </w:tc>
        <w:tc>
          <w:tcPr>
            <w:tcW w:type="dxa" w:w="2268"/>
            <w:shd w:fill="FFF2CC" w:val="clear"/>
          </w:tcPr>
          <w:p>
            <w:r>
              <w:rPr>
                <w:b/>
                <w:color w:val="503200"/>
                <w:sz w:val="16"/>
              </w:rPr>
              <w:t xml:space="preserve">Cours actuel : </w:t>
            </w:r>
            <w:r>
              <w:rPr>
                <w:color w:val="000000"/>
                <w:sz w:val="17"/>
              </w:rPr>
              <w:t>8,445 FCFA</w:t>
            </w:r>
          </w:p>
          <w:p>
            <w:r>
              <w:rPr>
                <w:b/>
                <w:color w:val="503200"/>
                <w:sz w:val="16"/>
              </w:rPr>
              <w:t xml:space="preserve">Var. 100 jours : </w:t>
            </w:r>
            <w:r>
              <w:rPr>
                <w:b/>
                <w:color w:val="007800"/>
                <w:sz w:val="17"/>
              </w:rPr>
              <w:t>+24.47%</w:t>
            </w:r>
          </w:p>
          <w:p>
            <w:r>
              <w:rPr>
                <w:b/>
                <w:color w:val="503200"/>
                <w:sz w:val="16"/>
              </w:rPr>
              <w:t xml:space="preserve">Plus haut 100j : </w:t>
            </w:r>
            <w:r>
              <w:rPr>
                <w:color w:val="000000"/>
                <w:sz w:val="17"/>
              </w:rPr>
              <w:t>8,500 FCFA</w:t>
            </w:r>
          </w:p>
          <w:p>
            <w:r>
              <w:rPr>
                <w:b/>
                <w:color w:val="503200"/>
                <w:sz w:val="16"/>
              </w:rPr>
              <w:t xml:space="preserve">Plus bas 100j : </w:t>
            </w:r>
            <w:r>
              <w:rPr>
                <w:color w:val="000000"/>
                <w:sz w:val="17"/>
              </w:rPr>
              <w:t>6,685 FCFA</w:t>
            </w:r>
          </w:p>
          <w:p>
            <w:r>
              <w:rPr>
                <w:b/>
                <w:color w:val="503200"/>
                <w:sz w:val="16"/>
              </w:rPr>
              <w:t xml:space="preserve">Volatilité ann. : </w:t>
            </w:r>
            <w:r>
              <w:rPr>
                <w:color w:val="000000"/>
                <w:sz w:val="17"/>
              </w:rPr>
              <w:t>24.4%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5.50% (Moyenne) — μ=7,407 FCFA, σ=407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β=0.3572 (Défensif) — Cov=0.000013, Var(idx)=0.000035, ρ=0.138,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9,272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σ_j=1.54%/j (Stable) — Vol. annualisée≈24.4%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2" name="Picture 1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2026-08-28</w:t>
            </w:r>
          </w:p>
        </w:tc>
        <w:tc>
          <w:tcPr>
            <w:tcW w:type="dxa" w:w="1440"/>
            <w:shd w:fill="FFDCE0" w:val="clear"/>
          </w:tcPr>
          <w:p>
            <w:r>
              <w:rPr>
                <w:sz w:val="17"/>
              </w:rPr>
              <w:t>7,966</w:t>
            </w:r>
          </w:p>
        </w:tc>
        <w:tc>
          <w:tcPr>
            <w:tcW w:type="dxa" w:w="1440"/>
            <w:shd w:fill="FFDCE0" w:val="clear"/>
          </w:tcPr>
          <w:p>
            <w:r>
              <w:rPr>
                <w:b/>
                <w:sz w:val="17"/>
              </w:rPr>
              <w:t>8,208</w:t>
            </w:r>
          </w:p>
        </w:tc>
        <w:tc>
          <w:tcPr>
            <w:tcW w:type="dxa" w:w="1440"/>
            <w:shd w:fill="FFDCE0" w:val="clear"/>
          </w:tcPr>
          <w:p>
            <w:r>
              <w:rPr>
                <w:sz w:val="17"/>
              </w:rPr>
              <w:t>8,450</w:t>
            </w:r>
          </w:p>
        </w:tc>
        <w:tc>
          <w:tcPr>
            <w:tcW w:type="dxa" w:w="1440"/>
            <w:shd w:fill="FFDCE0" w:val="clear"/>
          </w:tcPr>
          <w:p>
            <w:r>
              <w:rPr>
                <w:b/>
                <w:color w:val="C00000"/>
                <w:sz w:val="17"/>
              </w:rPr>
              <w:t>-2.8%</w:t>
            </w:r>
          </w:p>
        </w:tc>
      </w:tr>
      <w:tr>
        <w:tc>
          <w:tcPr>
            <w:tcW w:type="dxa" w:w="1440"/>
            <w:shd w:fill="FFDCE0" w:val="clear"/>
          </w:tcPr>
          <w:p>
            <w:r>
              <w:rPr>
                <w:sz w:val="17"/>
              </w:rPr>
              <w:t>J+2  ⭐⭐⭐</w:t>
            </w:r>
          </w:p>
        </w:tc>
        <w:tc>
          <w:tcPr>
            <w:tcW w:type="dxa" w:w="1440"/>
            <w:shd w:fill="FFDCE0" w:val="clear"/>
          </w:tcPr>
          <w:p>
            <w:r>
              <w:rPr>
                <w:sz w:val="17"/>
              </w:rPr>
              <w:t>2026-08-31</w:t>
            </w:r>
          </w:p>
        </w:tc>
        <w:tc>
          <w:tcPr>
            <w:tcW w:type="dxa" w:w="1440"/>
            <w:shd w:fill="FFDCE0" w:val="clear"/>
          </w:tcPr>
          <w:p>
            <w:r>
              <w:rPr>
                <w:sz w:val="17"/>
              </w:rPr>
              <w:t>7,709</w:t>
            </w:r>
          </w:p>
        </w:tc>
        <w:tc>
          <w:tcPr>
            <w:tcW w:type="dxa" w:w="1440"/>
            <w:shd w:fill="FFDCE0" w:val="clear"/>
          </w:tcPr>
          <w:p>
            <w:r>
              <w:rPr>
                <w:b/>
                <w:sz w:val="17"/>
              </w:rPr>
              <w:t>8,044</w:t>
            </w:r>
          </w:p>
        </w:tc>
        <w:tc>
          <w:tcPr>
            <w:tcW w:type="dxa" w:w="1440"/>
            <w:shd w:fill="FFDCE0" w:val="clear"/>
          </w:tcPr>
          <w:p>
            <w:r>
              <w:rPr>
                <w:sz w:val="17"/>
              </w:rPr>
              <w:t>8,380</w:t>
            </w:r>
          </w:p>
        </w:tc>
        <w:tc>
          <w:tcPr>
            <w:tcW w:type="dxa" w:w="1440"/>
            <w:shd w:fill="FFDCE0" w:val="clear"/>
          </w:tcPr>
          <w:p>
            <w:r>
              <w:rPr>
                <w:b/>
                <w:color w:val="C00000"/>
                <w:sz w:val="17"/>
              </w:rPr>
              <w:t>-4.7%</w:t>
            </w:r>
          </w:p>
        </w:tc>
      </w:tr>
      <w:tr>
        <w:tc>
          <w:tcPr>
            <w:tcW w:type="dxa" w:w="1440"/>
            <w:shd w:fill="FFDCE0" w:val="clear"/>
          </w:tcPr>
          <w:p>
            <w:r>
              <w:rPr>
                <w:sz w:val="17"/>
              </w:rPr>
              <w:t>J+3  ⭐⭐⭐</w:t>
            </w:r>
          </w:p>
        </w:tc>
        <w:tc>
          <w:tcPr>
            <w:tcW w:type="dxa" w:w="1440"/>
            <w:shd w:fill="FFDCE0" w:val="clear"/>
          </w:tcPr>
          <w:p>
            <w:r>
              <w:rPr>
                <w:sz w:val="17"/>
              </w:rPr>
              <w:t>2026-09-01</w:t>
            </w:r>
          </w:p>
        </w:tc>
        <w:tc>
          <w:tcPr>
            <w:tcW w:type="dxa" w:w="1440"/>
            <w:shd w:fill="FFDCE0" w:val="clear"/>
          </w:tcPr>
          <w:p>
            <w:r>
              <w:rPr>
                <w:sz w:val="17"/>
              </w:rPr>
              <w:t>7,490</w:t>
            </w:r>
          </w:p>
        </w:tc>
        <w:tc>
          <w:tcPr>
            <w:tcW w:type="dxa" w:w="1440"/>
            <w:shd w:fill="FFDCE0" w:val="clear"/>
          </w:tcPr>
          <w:p>
            <w:r>
              <w:rPr>
                <w:b/>
                <w:sz w:val="17"/>
              </w:rPr>
              <w:t>7,893</w:t>
            </w:r>
          </w:p>
        </w:tc>
        <w:tc>
          <w:tcPr>
            <w:tcW w:type="dxa" w:w="1440"/>
            <w:shd w:fill="FFDCE0" w:val="clear"/>
          </w:tcPr>
          <w:p>
            <w:r>
              <w:rPr>
                <w:sz w:val="17"/>
              </w:rPr>
              <w:t>8,296</w:t>
            </w:r>
          </w:p>
        </w:tc>
        <w:tc>
          <w:tcPr>
            <w:tcW w:type="dxa" w:w="1440"/>
            <w:shd w:fill="FFDCE0" w:val="clear"/>
          </w:tcPr>
          <w:p>
            <w:r>
              <w:rPr>
                <w:b/>
                <w:color w:val="C00000"/>
                <w:sz w:val="17"/>
              </w:rPr>
              <w:t>-6.5%</w:t>
            </w:r>
          </w:p>
        </w:tc>
      </w:tr>
      <w:tr>
        <w:tc>
          <w:tcPr>
            <w:tcW w:type="dxa" w:w="1440"/>
            <w:shd w:fill="FFDCE0" w:val="clear"/>
          </w:tcPr>
          <w:p>
            <w:r>
              <w:rPr>
                <w:sz w:val="17"/>
              </w:rPr>
              <w:t>J+4  Moyenne</w:t>
            </w:r>
          </w:p>
        </w:tc>
        <w:tc>
          <w:tcPr>
            <w:tcW w:type="dxa" w:w="1440"/>
            <w:shd w:fill="FFDCE0" w:val="clear"/>
          </w:tcPr>
          <w:p>
            <w:r>
              <w:rPr>
                <w:sz w:val="17"/>
              </w:rPr>
              <w:t>2026-09-02</w:t>
            </w:r>
          </w:p>
        </w:tc>
        <w:tc>
          <w:tcPr>
            <w:tcW w:type="dxa" w:w="1440"/>
            <w:shd w:fill="FFDCE0" w:val="clear"/>
          </w:tcPr>
          <w:p>
            <w:r>
              <w:rPr>
                <w:sz w:val="17"/>
              </w:rPr>
              <w:t>7,300</w:t>
            </w:r>
          </w:p>
        </w:tc>
        <w:tc>
          <w:tcPr>
            <w:tcW w:type="dxa" w:w="1440"/>
            <w:shd w:fill="FFDCE0" w:val="clear"/>
          </w:tcPr>
          <w:p>
            <w:r>
              <w:rPr>
                <w:b/>
                <w:sz w:val="17"/>
              </w:rPr>
              <w:t>7,757</w:t>
            </w:r>
          </w:p>
        </w:tc>
        <w:tc>
          <w:tcPr>
            <w:tcW w:type="dxa" w:w="1440"/>
            <w:shd w:fill="FFDCE0" w:val="clear"/>
          </w:tcPr>
          <w:p>
            <w:r>
              <w:rPr>
                <w:sz w:val="17"/>
              </w:rPr>
              <w:t>8,215</w:t>
            </w:r>
          </w:p>
        </w:tc>
        <w:tc>
          <w:tcPr>
            <w:tcW w:type="dxa" w:w="1440"/>
            <w:shd w:fill="FFDCE0" w:val="clear"/>
          </w:tcPr>
          <w:p>
            <w:r>
              <w:rPr>
                <w:b/>
                <w:color w:val="C00000"/>
                <w:sz w:val="17"/>
              </w:rPr>
              <w:t>-8.1%</w:t>
            </w:r>
          </w:p>
        </w:tc>
      </w:tr>
      <w:tr>
        <w:tc>
          <w:tcPr>
            <w:tcW w:type="dxa" w:w="1440"/>
            <w:shd w:fill="FFDCE0" w:val="clear"/>
          </w:tcPr>
          <w:p>
            <w:r>
              <w:rPr>
                <w:sz w:val="17"/>
              </w:rPr>
              <w:t>J+5  Moyenne</w:t>
            </w:r>
          </w:p>
        </w:tc>
        <w:tc>
          <w:tcPr>
            <w:tcW w:type="dxa" w:w="1440"/>
            <w:shd w:fill="FFDCE0" w:val="clear"/>
          </w:tcPr>
          <w:p>
            <w:r>
              <w:rPr>
                <w:sz w:val="17"/>
              </w:rPr>
              <w:t>2026-09-03</w:t>
            </w:r>
          </w:p>
        </w:tc>
        <w:tc>
          <w:tcPr>
            <w:tcW w:type="dxa" w:w="1440"/>
            <w:shd w:fill="FFDCE0" w:val="clear"/>
          </w:tcPr>
          <w:p>
            <w:r>
              <w:rPr>
                <w:sz w:val="17"/>
              </w:rPr>
              <w:t>7,128</w:t>
            </w:r>
          </w:p>
        </w:tc>
        <w:tc>
          <w:tcPr>
            <w:tcW w:type="dxa" w:w="1440"/>
            <w:shd w:fill="FFDCE0" w:val="clear"/>
          </w:tcPr>
          <w:p>
            <w:r>
              <w:rPr>
                <w:b/>
                <w:sz w:val="17"/>
              </w:rPr>
              <w:t>7,631</w:t>
            </w:r>
          </w:p>
        </w:tc>
        <w:tc>
          <w:tcPr>
            <w:tcW w:type="dxa" w:w="1440"/>
            <w:shd w:fill="FFDCE0" w:val="clear"/>
          </w:tcPr>
          <w:p>
            <w:r>
              <w:rPr>
                <w:sz w:val="17"/>
              </w:rPr>
              <w:t>8,134</w:t>
            </w:r>
          </w:p>
        </w:tc>
        <w:tc>
          <w:tcPr>
            <w:tcW w:type="dxa" w:w="1440"/>
            <w:shd w:fill="FFDCE0" w:val="clear"/>
          </w:tcPr>
          <w:p>
            <w:r>
              <w:rPr>
                <w:b/>
                <w:color w:val="C00000"/>
                <w:sz w:val="17"/>
              </w:rPr>
              <w:t>-9.6%</w:t>
            </w:r>
          </w:p>
        </w:tc>
      </w:tr>
      <w:tr>
        <w:tc>
          <w:tcPr>
            <w:tcW w:type="dxa" w:w="1440"/>
            <w:shd w:fill="FFDCE0" w:val="clear"/>
          </w:tcPr>
          <w:p>
            <w:r>
              <w:rPr>
                <w:sz w:val="17"/>
              </w:rPr>
              <w:t>J+6  Moyenne</w:t>
            </w:r>
          </w:p>
        </w:tc>
        <w:tc>
          <w:tcPr>
            <w:tcW w:type="dxa" w:w="1440"/>
            <w:shd w:fill="FFDCE0" w:val="clear"/>
          </w:tcPr>
          <w:p>
            <w:r>
              <w:rPr>
                <w:sz w:val="17"/>
              </w:rPr>
              <w:t>2026-09-04</w:t>
            </w:r>
          </w:p>
        </w:tc>
        <w:tc>
          <w:tcPr>
            <w:tcW w:type="dxa" w:w="1440"/>
            <w:shd w:fill="FFDCE0" w:val="clear"/>
          </w:tcPr>
          <w:p>
            <w:r>
              <w:rPr>
                <w:sz w:val="17"/>
              </w:rPr>
              <w:t>6,970</w:t>
            </w:r>
          </w:p>
        </w:tc>
        <w:tc>
          <w:tcPr>
            <w:tcW w:type="dxa" w:w="1440"/>
            <w:shd w:fill="FFDCE0" w:val="clear"/>
          </w:tcPr>
          <w:p>
            <w:r>
              <w:rPr>
                <w:b/>
                <w:sz w:val="17"/>
              </w:rPr>
              <w:t>7,512</w:t>
            </w:r>
          </w:p>
        </w:tc>
        <w:tc>
          <w:tcPr>
            <w:tcW w:type="dxa" w:w="1440"/>
            <w:shd w:fill="FFDCE0" w:val="clear"/>
          </w:tcPr>
          <w:p>
            <w:r>
              <w:rPr>
                <w:sz w:val="17"/>
              </w:rPr>
              <w:t>8,055</w:t>
            </w:r>
          </w:p>
        </w:tc>
        <w:tc>
          <w:tcPr>
            <w:tcW w:type="dxa" w:w="1440"/>
            <w:shd w:fill="FFDCE0" w:val="clear"/>
          </w:tcPr>
          <w:p>
            <w:r>
              <w:rPr>
                <w:b/>
                <w:color w:val="C00000"/>
                <w:sz w:val="17"/>
              </w:rPr>
              <w:t>-11.0%</w:t>
            </w:r>
          </w:p>
        </w:tc>
      </w:tr>
      <w:tr>
        <w:tc>
          <w:tcPr>
            <w:tcW w:type="dxa" w:w="1440"/>
            <w:shd w:fill="FFDCE0" w:val="clear"/>
          </w:tcPr>
          <w:p>
            <w:r>
              <w:rPr>
                <w:sz w:val="17"/>
              </w:rPr>
              <w:t>J+7  Moyenne</w:t>
            </w:r>
          </w:p>
        </w:tc>
        <w:tc>
          <w:tcPr>
            <w:tcW w:type="dxa" w:w="1440"/>
            <w:shd w:fill="FFDCE0" w:val="clear"/>
          </w:tcPr>
          <w:p>
            <w:r>
              <w:rPr>
                <w:sz w:val="17"/>
              </w:rPr>
              <w:t>2026-09-07</w:t>
            </w:r>
          </w:p>
        </w:tc>
        <w:tc>
          <w:tcPr>
            <w:tcW w:type="dxa" w:w="1440"/>
            <w:shd w:fill="FFDCE0" w:val="clear"/>
          </w:tcPr>
          <w:p>
            <w:r>
              <w:rPr>
                <w:sz w:val="17"/>
              </w:rPr>
              <w:t>6,824</w:t>
            </w:r>
          </w:p>
        </w:tc>
        <w:tc>
          <w:tcPr>
            <w:tcW w:type="dxa" w:w="1440"/>
            <w:shd w:fill="FFDCE0" w:val="clear"/>
          </w:tcPr>
          <w:p>
            <w:r>
              <w:rPr>
                <w:b/>
                <w:sz w:val="17"/>
              </w:rPr>
              <w:t>7,401</w:t>
            </w:r>
          </w:p>
        </w:tc>
        <w:tc>
          <w:tcPr>
            <w:tcW w:type="dxa" w:w="1440"/>
            <w:shd w:fill="FFDCE0" w:val="clear"/>
          </w:tcPr>
          <w:p>
            <w:r>
              <w:rPr>
                <w:sz w:val="17"/>
              </w:rPr>
              <w:t>7,978</w:t>
            </w:r>
          </w:p>
        </w:tc>
        <w:tc>
          <w:tcPr>
            <w:tcW w:type="dxa" w:w="1440"/>
            <w:shd w:fill="FFDCE0" w:val="clear"/>
          </w:tcPr>
          <w:p>
            <w:r>
              <w:rPr>
                <w:b/>
                <w:color w:val="C00000"/>
                <w:sz w:val="17"/>
              </w:rPr>
              <w:t>-12.4%</w:t>
            </w:r>
          </w:p>
        </w:tc>
      </w:tr>
      <w:tr>
        <w:tc>
          <w:tcPr>
            <w:tcW w:type="dxa" w:w="1440"/>
            <w:shd w:fill="FFDCE0" w:val="clear"/>
          </w:tcPr>
          <w:p>
            <w:r>
              <w:rPr>
                <w:sz w:val="17"/>
              </w:rPr>
              <w:t>J+8  Moyenne</w:t>
            </w:r>
          </w:p>
        </w:tc>
        <w:tc>
          <w:tcPr>
            <w:tcW w:type="dxa" w:w="1440"/>
            <w:shd w:fill="FFDCE0" w:val="clear"/>
          </w:tcPr>
          <w:p>
            <w:r>
              <w:rPr>
                <w:sz w:val="17"/>
              </w:rPr>
              <w:t>2026-09-08</w:t>
            </w:r>
          </w:p>
        </w:tc>
        <w:tc>
          <w:tcPr>
            <w:tcW w:type="dxa" w:w="1440"/>
            <w:shd w:fill="FFDCE0" w:val="clear"/>
          </w:tcPr>
          <w:p>
            <w:r>
              <w:rPr>
                <w:sz w:val="17"/>
              </w:rPr>
              <w:t>6,687</w:t>
            </w:r>
          </w:p>
        </w:tc>
        <w:tc>
          <w:tcPr>
            <w:tcW w:type="dxa" w:w="1440"/>
            <w:shd w:fill="FFDCE0" w:val="clear"/>
          </w:tcPr>
          <w:p>
            <w:r>
              <w:rPr>
                <w:b/>
                <w:sz w:val="17"/>
              </w:rPr>
              <w:t>7,295</w:t>
            </w:r>
          </w:p>
        </w:tc>
        <w:tc>
          <w:tcPr>
            <w:tcW w:type="dxa" w:w="1440"/>
            <w:shd w:fill="FFDCE0" w:val="clear"/>
          </w:tcPr>
          <w:p>
            <w:r>
              <w:rPr>
                <w:sz w:val="17"/>
              </w:rPr>
              <w:t>7,904</w:t>
            </w:r>
          </w:p>
        </w:tc>
        <w:tc>
          <w:tcPr>
            <w:tcW w:type="dxa" w:w="1440"/>
            <w:shd w:fill="FFDCE0" w:val="clear"/>
          </w:tcPr>
          <w:p>
            <w:r>
              <w:rPr>
                <w:b/>
                <w:color w:val="C00000"/>
                <w:sz w:val="17"/>
              </w:rPr>
              <w:t>-13.6%</w:t>
            </w:r>
          </w:p>
        </w:tc>
      </w:tr>
      <w:tr>
        <w:tc>
          <w:tcPr>
            <w:tcW w:type="dxa" w:w="1440"/>
            <w:shd w:fill="FFDCE0" w:val="clear"/>
          </w:tcPr>
          <w:p>
            <w:r>
              <w:rPr>
                <w:sz w:val="17"/>
              </w:rPr>
              <w:t>J+9  Moyenne</w:t>
            </w:r>
          </w:p>
        </w:tc>
        <w:tc>
          <w:tcPr>
            <w:tcW w:type="dxa" w:w="1440"/>
            <w:shd w:fill="FFDCE0" w:val="clear"/>
          </w:tcPr>
          <w:p>
            <w:r>
              <w:rPr>
                <w:sz w:val="17"/>
              </w:rPr>
              <w:t>2026-09-09</w:t>
            </w:r>
          </w:p>
        </w:tc>
        <w:tc>
          <w:tcPr>
            <w:tcW w:type="dxa" w:w="1440"/>
            <w:shd w:fill="FFDCE0" w:val="clear"/>
          </w:tcPr>
          <w:p>
            <w:r>
              <w:rPr>
                <w:sz w:val="17"/>
              </w:rPr>
              <w:t>6,560</w:t>
            </w:r>
          </w:p>
        </w:tc>
        <w:tc>
          <w:tcPr>
            <w:tcW w:type="dxa" w:w="1440"/>
            <w:shd w:fill="FFDCE0" w:val="clear"/>
          </w:tcPr>
          <w:p>
            <w:r>
              <w:rPr>
                <w:b/>
                <w:sz w:val="17"/>
              </w:rPr>
              <w:t>7,196</w:t>
            </w:r>
          </w:p>
        </w:tc>
        <w:tc>
          <w:tcPr>
            <w:tcW w:type="dxa" w:w="1440"/>
            <w:shd w:fill="FFDCE0" w:val="clear"/>
          </w:tcPr>
          <w:p>
            <w:r>
              <w:rPr>
                <w:sz w:val="17"/>
              </w:rPr>
              <w:t>7,833</w:t>
            </w:r>
          </w:p>
        </w:tc>
        <w:tc>
          <w:tcPr>
            <w:tcW w:type="dxa" w:w="1440"/>
            <w:shd w:fill="FFDCE0" w:val="clear"/>
          </w:tcPr>
          <w:p>
            <w:r>
              <w:rPr>
                <w:b/>
                <w:color w:val="C00000"/>
                <w:sz w:val="17"/>
              </w:rPr>
              <w:t>-14.8%</w:t>
            </w:r>
          </w:p>
        </w:tc>
      </w:tr>
      <w:tr>
        <w:tc>
          <w:tcPr>
            <w:tcW w:type="dxa" w:w="1440"/>
            <w:shd w:fill="FFDCE0" w:val="clear"/>
          </w:tcPr>
          <w:p>
            <w:r>
              <w:rPr>
                <w:sz w:val="17"/>
              </w:rPr>
              <w:t>J+10  Moyenne</w:t>
            </w:r>
          </w:p>
        </w:tc>
        <w:tc>
          <w:tcPr>
            <w:tcW w:type="dxa" w:w="1440"/>
            <w:shd w:fill="FFDCE0" w:val="clear"/>
          </w:tcPr>
          <w:p>
            <w:r>
              <w:rPr>
                <w:sz w:val="17"/>
              </w:rPr>
              <w:t>2026-09-10</w:t>
            </w:r>
          </w:p>
        </w:tc>
        <w:tc>
          <w:tcPr>
            <w:tcW w:type="dxa" w:w="1440"/>
            <w:shd w:fill="FFDCE0" w:val="clear"/>
          </w:tcPr>
          <w:p>
            <w:r>
              <w:rPr>
                <w:sz w:val="17"/>
              </w:rPr>
              <w:t>6,440</w:t>
            </w:r>
          </w:p>
        </w:tc>
        <w:tc>
          <w:tcPr>
            <w:tcW w:type="dxa" w:w="1440"/>
            <w:shd w:fill="FFDCE0" w:val="clear"/>
          </w:tcPr>
          <w:p>
            <w:r>
              <w:rPr>
                <w:b/>
                <w:sz w:val="17"/>
              </w:rPr>
              <w:t>7,102</w:t>
            </w:r>
          </w:p>
        </w:tc>
        <w:tc>
          <w:tcPr>
            <w:tcW w:type="dxa" w:w="1440"/>
            <w:shd w:fill="FFDCE0" w:val="clear"/>
          </w:tcPr>
          <w:p>
            <w:r>
              <w:rPr>
                <w:sz w:val="17"/>
              </w:rPr>
              <w:t>7,764</w:t>
            </w:r>
          </w:p>
        </w:tc>
        <w:tc>
          <w:tcPr>
            <w:tcW w:type="dxa" w:w="1440"/>
            <w:shd w:fill="FFDCE0" w:val="clear"/>
          </w:tcPr>
          <w:p>
            <w:r>
              <w:rPr>
                <w:b/>
                <w:color w:val="C00000"/>
                <w:sz w:val="17"/>
              </w:rPr>
              <w:t>-15.9%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43.781 Mds FCFA</w:t>
            </w:r>
          </w:p>
        </w:tc>
        <w:tc>
          <w:tcPr>
            <w:tcW w:type="dxa" w:w="5669"/>
            <w:shd w:fill="FFFFFF" w:val="clear"/>
          </w:tcPr>
          <w:p>
            <w:r>
              <w:rPr>
                <w:color w:val="282828"/>
                <w:sz w:val="15"/>
              </w:rPr>
              <w:t>Représente 5.2%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220.680 Mds FCFA</w:t>
            </w:r>
          </w:p>
        </w:tc>
        <w:tc>
          <w:tcPr>
            <w:tcW w:type="dxa" w:w="5669"/>
            <w:shd w:fill="FFFFFF" w:val="clear"/>
          </w:tcPr>
          <w:p>
            <w:r>
              <w:rPr>
                <w:color w:val="282828"/>
                <w:sz w:val="15"/>
              </w:rPr>
              <w:t>Titres d'État détenus (26.4%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72.929 Mds FCFA</w:t>
            </w:r>
          </w:p>
        </w:tc>
        <w:tc>
          <w:tcPr>
            <w:tcW w:type="dxa" w:w="5669"/>
            <w:shd w:fill="FFFFFF" w:val="clear"/>
          </w:tcPr>
          <w:p>
            <w:r>
              <w:rPr>
                <w:color w:val="282828"/>
                <w:sz w:val="15"/>
              </w:rPr>
              <w:t>Prêts aux autres banques (8.7%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386.424 Mds FCFA</w:t>
            </w:r>
          </w:p>
        </w:tc>
        <w:tc>
          <w:tcPr>
            <w:tcW w:type="dxa" w:w="5669"/>
            <w:shd w:fill="FFFFFF" w:val="clear"/>
          </w:tcPr>
          <w:p>
            <w:r>
              <w:rPr>
                <w:color w:val="282828"/>
                <w:sz w:val="15"/>
              </w:rPr>
              <w:t>Portefeuille crédits (46.2%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673.00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21.866 Mds FCFA</w:t>
            </w:r>
          </w:p>
        </w:tc>
        <w:tc>
          <w:tcPr>
            <w:tcW w:type="dxa" w:w="5669"/>
            <w:shd w:fill="FFFFFF" w:val="clear"/>
          </w:tcPr>
          <w:p>
            <w:r>
              <w:rPr>
                <w:color w:val="282828"/>
                <w:sz w:val="15"/>
              </w:rPr>
              <w:t>Outil industriel (2.6%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23.185 Mds FCFA</w:t>
            </w:r>
          </w:p>
        </w:tc>
        <w:tc>
          <w:tcPr>
            <w:tcW w:type="dxa" w:w="5669"/>
            <w:shd w:fill="FFFFFF" w:val="clear"/>
          </w:tcPr>
          <w:p>
            <w:r>
              <w:rPr>
                <w:color w:val="282828"/>
                <w:sz w:val="15"/>
              </w:rPr>
              <w:t>Actif immobilisé = 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116.710 Mds FCFA</w:t>
            </w:r>
          </w:p>
        </w:tc>
        <w:tc>
          <w:tcPr>
            <w:tcW w:type="dxa" w:w="5669"/>
            <w:shd w:fill="FFFFFF" w:val="clear"/>
          </w:tcPr>
          <w:p>
            <w:r>
              <w:rPr>
                <w:color w:val="282828"/>
                <w:sz w:val="15"/>
              </w:rPr>
              <w:t>Liquidités disponibles (14.0%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836.158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15.129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96.526 Mds FCFA</w:t>
            </w:r>
          </w:p>
        </w:tc>
        <w:tc>
          <w:tcPr>
            <w:tcW w:type="dxa" w:w="5669"/>
            <w:shd w:fill="FFFFFF" w:val="clear"/>
          </w:tcPr>
          <w:p>
            <w:r>
              <w:rPr>
                <w:color w:val="282828"/>
                <w:sz w:val="15"/>
              </w:rPr>
              <w:t>Fonds propres = 11.5% du bilan. ⚠️ Fonds propres limités — levier financier élevé.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97.868 Mds FCFA</w:t>
            </w:r>
          </w:p>
        </w:tc>
        <w:tc>
          <w:tcPr>
            <w:tcW w:type="dxa" w:w="5669"/>
            <w:shd w:fill="FFFFFF" w:val="clear"/>
          </w:tcPr>
          <w:p>
            <w:r>
              <w:rPr>
                <w:color w:val="282828"/>
                <w:sz w:val="15"/>
              </w:rPr>
              <w:t>Capitaux permanents / Actif immobilisé = 4.22x.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37.998 Mds FCFA</w:t>
            </w:r>
          </w:p>
        </w:tc>
        <w:tc>
          <w:tcPr>
            <w:tcW w:type="dxa" w:w="5669"/>
            <w:shd w:fill="FFFFFF" w:val="clear"/>
          </w:tcPr>
          <w:p>
            <w:r>
              <w:rPr>
                <w:color w:val="282828"/>
                <w:sz w:val="15"/>
              </w:rPr>
              <w:t>Refinancement interbancaire (4.5%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686.927 Mds FCFA</w:t>
            </w:r>
          </w:p>
        </w:tc>
        <w:tc>
          <w:tcPr>
            <w:tcW w:type="dxa" w:w="5669"/>
            <w:shd w:fill="FFFFFF" w:val="clear"/>
          </w:tcPr>
          <w:p>
            <w:r>
              <w:rPr>
                <w:color w:val="282828"/>
                <w:sz w:val="15"/>
              </w:rPr>
              <w:t>Dépôts clients = 82.2%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37.998 Mds FCFA</w:t>
            </w:r>
          </w:p>
        </w:tc>
        <w:tc>
          <w:tcPr>
            <w:tcW w:type="dxa" w:w="5669"/>
            <w:shd w:fill="FFFFFF" w:val="clear"/>
          </w:tcPr>
          <w:p>
            <w:r>
              <w:rPr>
                <w:color w:val="282828"/>
                <w:sz w:val="15"/>
              </w:rPr>
              <w:t>Dette financière totale = 39%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739.632 Mds FCFA</w:t>
            </w:r>
          </w:p>
        </w:tc>
        <w:tc>
          <w:tcPr>
            <w:tcW w:type="dxa" w:w="5669"/>
            <w:shd w:fill="FFFFFF" w:val="clear"/>
          </w:tcPr>
          <w:p>
            <w:r>
              <w:rPr>
                <w:color w:val="282828"/>
                <w:sz w:val="15"/>
              </w:rPr>
              <w:t>Dettes totales = 88.5%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51.926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51.926 Mds FCFA</w:t>
            </w:r>
          </w:p>
        </w:tc>
        <w:tc>
          <w:tcPr>
            <w:tcW w:type="dxa" w:w="5669"/>
            <w:shd w:fill="FFFFFF" w:val="clear"/>
          </w:tcPr>
          <w:p>
            <w:r>
              <w:rPr>
                <w:color w:val="282828"/>
                <w:sz w:val="15"/>
              </w:rPr>
              <w:t>Revenu bancaire central (≡ CA). Croissance: 4.6%.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49.353 Mds FCFA</w:t>
            </w:r>
          </w:p>
        </w:tc>
        <w:tc>
          <w:tcPr>
            <w:tcW w:type="dxa" w:w="5669"/>
            <w:shd w:fill="FFFFFF" w:val="clear"/>
          </w:tcPr>
          <w:p>
            <w:r>
              <w:rPr>
                <w:color w:val="282828"/>
                <w:sz w:val="15"/>
              </w:rPr>
              <w:t>Revenus d'intérêts sur crédits (95%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18.648 Mds FCFA</w:t>
            </w:r>
          </w:p>
        </w:tc>
        <w:tc>
          <w:tcPr>
            <w:tcW w:type="dxa" w:w="5669"/>
            <w:shd w:fill="FFFFFF" w:val="clear"/>
          </w:tcPr>
          <w:p>
            <w:r>
              <w:rPr>
                <w:color w:val="282828"/>
                <w:sz w:val="15"/>
              </w:rPr>
              <w:t>Coût des dépôts collectés (36%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21.942 Mds FCFA</w:t>
            </w:r>
          </w:p>
        </w:tc>
        <w:tc>
          <w:tcPr>
            <w:tcW w:type="dxa" w:w="5669"/>
            <w:shd w:fill="FFFFFF" w:val="clear"/>
          </w:tcPr>
          <w:p>
            <w:r>
              <w:rPr>
                <w:color w:val="282828"/>
                <w:sz w:val="15"/>
              </w:rPr>
              <w:t>Revenus de commissions (42.3%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20.167 Mds FCFA</w:t>
            </w:r>
          </w:p>
        </w:tc>
        <w:tc>
          <w:tcPr>
            <w:tcW w:type="dxa" w:w="5669"/>
            <w:shd w:fill="FFFFFF" w:val="clear"/>
          </w:tcPr>
          <w:p>
            <w:r>
              <w:rPr>
                <w:color w:val="282828"/>
                <w:sz w:val="15"/>
              </w:rPr>
              <w:t>38.8%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2.690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29.069 Mds FCFA</w:t>
            </w:r>
          </w:p>
        </w:tc>
        <w:tc>
          <w:tcPr>
            <w:tcW w:type="dxa" w:w="5669"/>
            <w:shd w:fill="FFFFFF" w:val="clear"/>
          </w:tcPr>
          <w:p>
            <w:r>
              <w:rPr>
                <w:color w:val="282828"/>
                <w:sz w:val="15"/>
              </w:rPr>
              <w:t>RBE = 56.0%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24.723 Mds FCFA</w:t>
            </w:r>
          </w:p>
        </w:tc>
        <w:tc>
          <w:tcPr>
            <w:tcW w:type="dxa" w:w="5669"/>
            <w:shd w:fill="FFFFFF" w:val="clear"/>
          </w:tcPr>
          <w:p>
            <w:r>
              <w:rPr>
                <w:color w:val="282828"/>
                <w:sz w:val="15"/>
              </w:rPr>
              <w:t>Profit d'exploitation = 47.6%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4.346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21.905 Mds FCFA</w:t>
            </w:r>
          </w:p>
        </w:tc>
        <w:tc>
          <w:tcPr>
            <w:tcW w:type="dxa" w:w="5669"/>
            <w:shd w:fill="FFFFFF" w:val="clear"/>
          </w:tcPr>
          <w:p>
            <w:r>
              <w:rPr>
                <w:color w:val="282828"/>
                <w:sz w:val="15"/>
              </w:rPr>
              <w:t>Marge nette = 42.2%.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24.595 Mds FCFA</w:t>
            </w:r>
          </w:p>
        </w:tc>
        <w:tc>
          <w:tcPr>
            <w:tcW w:type="dxa" w:w="5669"/>
            <w:shd w:fill="FFFFFF" w:val="clear"/>
          </w:tcPr>
          <w:p>
            <w:r>
              <w:rPr>
                <w:color w:val="282828"/>
                <w:sz w:val="15"/>
              </w:rPr>
              <w:t>CAF = 24.59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78.712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55.98%</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42.19%</w:t>
            </w:r>
          </w:p>
        </w:tc>
        <w:tc>
          <w:tcPr>
            <w:tcW w:type="dxa" w:w="5669"/>
            <w:shd w:fill="FFFFFF" w:val="clear"/>
          </w:tcPr>
          <w:p>
            <w:r>
              <w:rPr>
                <w:color w:val="282828"/>
                <w:sz w:val="15"/>
              </w:rPr>
              <w:t>Résultat net / revenus = 42.19%.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47.61%</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22.69%</w:t>
            </w:r>
          </w:p>
        </w:tc>
        <w:tc>
          <w:tcPr>
            <w:tcW w:type="dxa" w:w="5669"/>
            <w:shd w:fill="FFFFFF" w:val="clear"/>
          </w:tcPr>
          <w:p>
            <w:r>
              <w:rPr>
                <w:color w:val="282828"/>
                <w:sz w:val="15"/>
              </w:rPr>
              <w:t>Résultat net / capitaux propres = 22.69%.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2.62%</w:t>
            </w:r>
          </w:p>
        </w:tc>
        <w:tc>
          <w:tcPr>
            <w:tcW w:type="dxa" w:w="5669"/>
            <w:shd w:fill="FFFFFF" w:val="clear"/>
          </w:tcPr>
          <w:p>
            <w:r>
              <w:rPr>
                <w:color w:val="282828"/>
                <w:sz w:val="15"/>
              </w:rPr>
              <w:t>Résultat net / total actif = 2.62%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6.21%</w:t>
            </w:r>
          </w:p>
        </w:tc>
        <w:tc>
          <w:tcPr>
            <w:tcW w:type="dxa" w:w="5669"/>
            <w:shd w:fill="FFFFFF" w:val="clear"/>
          </w:tcPr>
          <w:p>
            <w:r>
              <w:rPr>
                <w:color w:val="282828"/>
                <w:sz w:val="15"/>
              </w:rPr>
              <w:t>CA / total actif = 6.21x.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44.02%</w:t>
            </w:r>
          </w:p>
        </w:tc>
        <w:tc>
          <w:tcPr>
            <w:tcW w:type="dxa" w:w="5669"/>
            <w:shd w:fill="FFFFFF" w:val="clear"/>
          </w:tcPr>
          <w:p>
            <w:r>
              <w:rPr>
                <w:color w:val="282828"/>
                <w:sz w:val="15"/>
              </w:rPr>
              <w:t>Charges / PNB = 44.02%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23.31%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4.55%</w:t>
            </w:r>
          </w:p>
        </w:tc>
        <w:tc>
          <w:tcPr>
            <w:tcW w:type="dxa" w:w="5669"/>
            <w:shd w:fill="FFFFFF" w:val="clear"/>
          </w:tcPr>
          <w:p>
            <w:r>
              <w:rPr>
                <w:color w:val="282828"/>
                <w:sz w:val="15"/>
              </w:rPr>
              <w:t>Croissance PNB vs exercice précédent = 4.55%.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11.54%</w:t>
            </w:r>
          </w:p>
        </w:tc>
        <w:tc>
          <w:tcPr>
            <w:tcW w:type="dxa" w:w="5669"/>
            <w:shd w:fill="FFFFFF" w:val="clear"/>
          </w:tcPr>
          <w:p>
            <w:r>
              <w:rPr>
                <w:color w:val="282828"/>
                <w:sz w:val="15"/>
              </w:rPr>
              <w:t>Fonds propres / total bilan = 11.54%.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88.46%</w:t>
            </w:r>
          </w:p>
        </w:tc>
        <w:tc>
          <w:tcPr>
            <w:tcW w:type="dxa" w:w="5669"/>
            <w:shd w:fill="FFFFFF" w:val="clear"/>
          </w:tcPr>
          <w:p>
            <w:r>
              <w:rPr>
                <w:color w:val="282828"/>
                <w:sz w:val="15"/>
              </w:rPr>
              <w:t>Dettes financières / total bilan = 88.46%.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39.37%</w:t>
            </w:r>
          </w:p>
        </w:tc>
        <w:tc>
          <w:tcPr>
            <w:tcW w:type="dxa" w:w="5669"/>
            <w:shd w:fill="FFFFFF" w:val="clear"/>
          </w:tcPr>
          <w:p>
            <w:r>
              <w:rPr>
                <w:color w:val="282828"/>
                <w:sz w:val="15"/>
              </w:rPr>
              <w:t>Dettes totales / fonds propres = 39.37%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113.05%</w:t>
            </w:r>
          </w:p>
        </w:tc>
        <w:tc>
          <w:tcPr>
            <w:tcW w:type="dxa" w:w="5669"/>
            <w:shd w:fill="FFFFFF" w:val="clear"/>
          </w:tcPr>
          <w:p>
            <w:r>
              <w:rPr>
                <w:color w:val="282828"/>
                <w:sz w:val="15"/>
              </w:rPr>
              <w:t>Total actif / dettes totales = 113.05x. ✅ Solvable.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416.33%</w:t>
            </w:r>
          </w:p>
        </w:tc>
        <w:tc>
          <w:tcPr>
            <w:tcW w:type="dxa" w:w="5669"/>
            <w:shd w:fill="FFFFFF" w:val="clear"/>
          </w:tcPr>
          <w:p>
            <w:r>
              <w:rPr>
                <w:color w:val="282828"/>
                <w:sz w:val="15"/>
              </w:rPr>
              <w:t>Capitaux permanents / actif immobilisé = 416.33x.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1.5 ans</w:t>
            </w:r>
          </w:p>
        </w:tc>
        <w:tc>
          <w:tcPr>
            <w:tcW w:type="dxa" w:w="5669"/>
            <w:shd w:fill="FFFFFF" w:val="clear"/>
          </w:tcPr>
          <w:p>
            <w:r>
              <w:rPr>
                <w:color w:val="282828"/>
                <w:sz w:val="15"/>
              </w:rPr>
              <w:t>Dettes financières / CAF = 1.5 ans. ✅ Dette remboursable rapidement.</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132.58%</w:t>
            </w:r>
          </w:p>
        </w:tc>
        <w:tc>
          <w:tcPr>
            <w:tcW w:type="dxa" w:w="5669"/>
            <w:shd w:fill="FFFFFF" w:val="clear"/>
          </w:tcPr>
          <w:p>
            <w:r>
              <w:rPr>
                <w:color w:val="282828"/>
                <w:sz w:val="15"/>
              </w:rPr>
              <w:t>Résultat exploit. / charges financières = 132.58x. ⚠️ Couverture limite — sensible aux hausses de taux.</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304,02 milliards FCFA positionne BOAS comme une valeur de première ligne sur la BRVM, représentant un poids significatif dans l'indice bancaire régional. Avec un BPA de 608 FCFA, chaque action génère un bénéfice substantiel, justifiant un PER de 13,9x, légèrement supérieur à la moyenne historique de la place (~8-12x), ce qui traduit une prime de confiance des investisseurs dans la qualité de la banque. Le P/B de 3,15x indique que le marché valorise les capitaux propres à plus de trois fois leur valeur comptable, une prime de croissance accordée aux acteurs performants. Enfin, l'EV/EBITDA de 9,1x, dans la fourchette haute des valeurs raisonnables, suggère que la valorisation intègre déjà une partie des perspectives de croissance, sans pour autant atteindre des niveaux excessifs.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BOAS a enregistré une progression spectaculaire de +24,47%, passant d'un plus bas de 6 685 FCFA à un plus haut de 8 500 FCFA, avant de clôturer à 8 445 FCFA, soit une légère correction de -0,65% lors de la dernière séance. La tendance est résolument haussière, soutenue par des volumes moyens de 9 272 titres par jour. Les statistiques descriptives révèlent une distribution relativement homogène : la moyenne (7 407 FCFA) et la médiane (7 398 FCFA) sont quasi identiques, indiquant une symétrie des mouvements, confirmée par un skewness de 0,174. L'écart-type de 409 FCFA (CV=5,5%) montre une dispersion modérée, tandis que le kurtosis de 0,015 (mésokurtique) suggère une absence de pics extrêmes de volatilité. La volatilité annualisée de 24,4% classe le titre dans une zone modérée, offrant un équilibre entre rendement et risque.</w:t>
      </w:r>
    </w:p>
    <w:p>
      <w:pPr>
        <w:spacing w:after="120" w:line="276" w:lineRule="auto" w:before="240"/>
      </w:pPr>
      <w:r>
        <w:rPr>
          <w:b/>
          <w:color w:val="003366"/>
          <w:sz w:val="24"/>
        </w:rPr>
        <w:t>**PARTIE 2 : ANALYSE TECHNIQUE DÉTAILLÉE**</w:t>
      </w:r>
    </w:p>
    <w:p>
      <w:pPr>
        <w:spacing w:after="120" w:line="276" w:lineRule="auto"/>
      </w:pPr>
      <w:r>
        <w:t>**Moyennes Mobiles** : Le cours actuel (8 445 FCFA) évolue nettement au-dessus de la MM20 (7 876,25 FCFA) et de la MM50 (7 610,6 FCFA), confirmant une dynamique haussière solide. L'écart croissant entre les deux moyennes signale un momentum positif, justifiant la décision d'achat.</w:t>
      </w:r>
    </w:p>
    <w:p>
      <w:pPr>
        <w:spacing w:after="120" w:line="276" w:lineRule="auto"/>
      </w:pPr>
      <w:r>
        <w:t>**Bandes de Bollinger** : Le prix se situe à la borne supérieure (8 441 FCFA), indiquant une pression acheteuse intense mais aussi une condition de surachat temporaire. La largeur des bandes reflète une volatilité accrue, et le contact avec la borne supérieure suggère un possible repli technique à court terme, d'où la décision de vente.</w:t>
      </w:r>
    </w:p>
    <w:p>
      <w:pPr>
        <w:spacing w:after="120" w:line="276" w:lineRule="auto"/>
      </w:pPr>
      <w:r>
        <w:t>**MACD** : Le MACD (197,147) est nettement au-dessus de sa ligne de signal (122,183), confirmant un momentum haussier robuste. La divergence positive s'élargit, indiquant que la tendance haussière gagne en force, justifiant la décision d'achat.</w:t>
      </w:r>
    </w:p>
    <w:p>
      <w:pPr>
        <w:spacing w:after="120" w:line="276" w:lineRule="auto"/>
      </w:pPr>
      <w:r>
        <w:t>**RSI** : À 89,302, le RSI est profondément en zone de surachat (&gt;70), signalant que le titre est techniquement surévalué à court terme. Cette lecture suggère un risque de correction imminente, d'où la décision de vente.</w:t>
      </w:r>
    </w:p>
    <w:p>
      <w:pPr>
        <w:spacing w:after="120" w:line="276" w:lineRule="auto"/>
      </w:pPr>
      <w:r>
        <w:t>**Stochastique** : Le %K (93,21) et le %D (97,737) sont tous deux en zone de surachat extrême, avec un %D supérieur au %K, indiquant un essoufflement potentiel de la dynamique haussière. La décision de vente est donc cohérente avec ces signaux.</w:t>
      </w:r>
    </w:p>
    <w:p>
      <w:pPr>
        <w:spacing w:after="120" w:line="276" w:lineRule="auto"/>
      </w:pPr>
      <w:r>
        <w:t>**Conclusion technique** : La convergence des indicateurs de momentum (MACD) et de tendance (MM) plaide pour une poursuite haussière à moyen terme. Cependant, les oscillateurs (RSI, Stochastique, Bollinger) signalent un surachat généralisé, suggérant une consolidation ou un repli technique à court terme avant la reprise de la tendance haussière.</w:t>
      </w:r>
    </w:p>
    <w:p>
      <w:pPr>
        <w:spacing w:after="120" w:line="276" w:lineRule="auto" w:before="240"/>
      </w:pPr>
      <w:r>
        <w:rPr>
          <w:b/>
          <w:color w:val="003366"/>
          <w:sz w:val="24"/>
        </w:rPr>
        <w:t>**PARTIE 3 : ANALYSE FONDAMENTALE (SECTION CRITIQUE)**</w:t>
      </w:r>
    </w:p>
    <w:p>
      <w:pPr>
        <w:spacing w:after="120" w:line="276" w:lineRule="auto"/>
      </w:pPr>
      <w:r>
        <w:t>En 2025, BOAS affiche des fondamentaux solides avec un Produit Net Bancaire de 51,926 milliards FCFA et un résultat net de 21,905 milliards FCFA, soit une marge nette de 42,19%. Le ROE de 22,69% est excellent, largement au-dessus du seuil de 15%, tandis que le ROA de 2,62% témoigne d'une bonne efficacité dans l'utilisation des actifs. Le coefficient d'exploitation de 44,02% reflète une excellente maîtrise des charges, et le coût du risque de 23,31% (provisions/charges financières) reste élevé mais en amélioration. Les dépôts clientèle (686,927 milliards FCFA) couvrent largement les créances (386,424 milliards FCFA), démontrant une forte capacité de transformation. Les rapports trimestriels 2025 confirment cette dynamique : au T1, le PNB progresse de 2,36% et le résultat net de 9,25% ; au S1, la croissance s'accélère avec un PNB en hausse de 6,77% et un résultat net en progression de 12,70% ; au T3, le PNB cumulé atteint 37,44 milliards FCFA (+6,71%) et le résultat net 16,37 milliards FCFA (+10,01%). Sur la base de ces tendances, on estime que l'exercice 2025 devrait clôturer avec un PNB autour de 52 milliards FCFA et un résultat net proche de 22 milliards FCFA, confirmant la solidité et la résilience de la banque.</w:t>
      </w:r>
    </w:p>
    <w:p>
      <w:pPr>
        <w:spacing w:after="120" w:line="276" w:lineRule="auto" w:before="240"/>
      </w:pPr>
      <w:r>
        <w:rPr>
          <w:b/>
          <w:color w:val="003366"/>
          <w:sz w:val="24"/>
        </w:rPr>
        <w:t>**PARTIE 4 : CONCLUSION D'INVESTISSEMENT**</w:t>
      </w:r>
    </w:p>
    <w:p>
      <w:pPr>
        <w:spacing w:after="120" w:line="276" w:lineRule="auto"/>
      </w:pPr>
      <w:r>
        <w:t>La valorisation de BOAS (PER 13,9x, P/B 3,15x, EV/EBITDA 9,1x) reflète une prime de qualité justifiée par des fondamentaux excellents, bien que le titre ne soit pas sous-évalué. Le comportement du cours sur 100 jours (+24,47%) démontre une tendance haussière robuste, avec une volatilité modérée et une distribution symétrique des rendements, favorable à l'investisseur. Les signaux techniques sont partagés : les moyennes mobiles et le MACD confirment la tendance haussière, mais le RSI, le Stochastique et les Bandes de Bollinger signalent un surachat à court terme, suggérant une consolidation probable. Les fondamentaux sont indiscutablement solides, avec une croissance soutenue du PNB et du résultat net, une amélioration continue du coefficient d'exploitation et une gestion prudente du risque. Les prédictions IA (8 208 à 7 631 FCFA sur 10 jours) anticipent une correction, cohérente avec les signaux techniques de surachat. En synthèse, la convergence entre la solidité fondamentale et la tendance haussière de long terme plaide pour une recommandation **ACHAT**, avec un niveau de confiance **Moyen** et un risque global **Moyen**. L'horizon d'investissement optimal est le **moyen terme (3-12 mois)**, en attendant une correction technique pour renforcer les positions.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progression solide de tous ses agr\u00e9gats financiers. La hausse significative des d\u00e9p\u00f4ts clients et l'am\u00e9lioration de la rentabilit\u00e9 t\u00e9moignent d'une dynamique positive."}</w:t>
      </w:r>
    </w:p>
    <w:p>
      <w:pPr>
        <w:spacing w:before="40"/>
        <w:ind w:left="400"/>
      </w:pPr>
      <w:r>
        <w:rPr>
          <w:sz w:val="18"/>
        </w:rPr>
        <w:t>Bank of Africa Sénégal présente une croissance solide de ses activités entre mars 2025 et mars 2026. Le total de l'actif progresse significativement de 748,246 à 805,991 millions FCFA, soit une hausse de 7,7%. Le résultat net s'améliore de 5,230 à 5,741 millions FCFA, témoignant d'une rentabilité en progression. Les dépôts clients augmentent fortement de 555,391 à 631,038 millions FCFA, reflétant une confiance accrue. Les engagements hors bilan croissent également, passant de 523,531 à 597,010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{'depots_clients': '631,038 millions FCFA', 'creances_clients': '408,143 millions FCFA', 'produit_net_bancaire': '12,580 millions FCFA', 'engagements_hors_bilan': '597,010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805,991 millions FCFA</w:t>
            </w:r>
          </w:p>
        </w:tc>
      </w:tr>
      <w:tr>
        <w:tc>
          <w:tcPr>
            <w:tcW w:type="dxa" w:w="2160"/>
          </w:tcPr>
          <w:p>
            <w:r/>
            <w:r>
              <w:rPr>
                <w:b/>
                <w:sz w:val="16"/>
              </w:rPr>
              <w:t>resultat_net</w:t>
              <w:br/>
            </w:r>
            <w:r>
              <w:rPr>
                <w:sz w:val="18"/>
              </w:rPr>
              <w:t>5,741 millions FCFA</w:t>
            </w:r>
          </w:p>
        </w:tc>
        <w:tc>
          <w:tcPr>
            <w:tcW w:type="dxa" w:w="2160"/>
          </w:tcPr>
          <w:p>
            <w:r/>
            <w:r>
              <w:rPr>
                <w:b/>
                <w:sz w:val="16"/>
              </w:rPr>
              <w:t>capitaux_propres</w:t>
              <w:br/>
            </w:r>
            <w:r>
              <w:rPr>
                <w:sz w:val="18"/>
              </w:rPr>
              <w:t>102,267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7,7% à 805,991 millions FCFA</w:t>
      </w:r>
    </w:p>
    <w:p>
      <w:pPr>
        <w:pStyle w:val="ListBullet"/>
        <w:spacing w:before="20" w:after="20"/>
        <w:ind w:left="700"/>
      </w:pPr>
      <w:r>
        <w:rPr>
          <w:sz w:val="18"/>
        </w:rPr>
        <w:t>Progression du résultat net de 9,8% à 5,741 millions FCFA</w:t>
      </w:r>
    </w:p>
    <w:p>
      <w:pPr>
        <w:pStyle w:val="ListBullet"/>
        <w:spacing w:before="20" w:after="20"/>
        <w:ind w:left="700"/>
      </w:pPr>
      <w:r>
        <w:rPr>
          <w:sz w:val="18"/>
        </w:rPr>
        <w:t>Forte hausse des dépôts clients (+13,6%) à 631,038 millions FCFA</w:t>
      </w:r>
    </w:p>
    <w:p>
      <w:pPr>
        <w:pStyle w:val="ListBullet"/>
        <w:spacing w:before="20" w:after="20"/>
        <w:ind w:left="700"/>
      </w:pPr>
      <w:r>
        <w:rPr>
          <w:sz w:val="18"/>
        </w:rPr>
        <w:t>Amélioration du produit net bancaire de 11,776 à 12,580 millions FCFA (+6,8%)</w:t>
      </w:r>
    </w:p>
    <w:p>
      <w:pPr>
        <w:pStyle w:val="ListBullet"/>
        <w:spacing w:before="20" w:after="20"/>
        <w:ind w:left="700"/>
      </w:pPr>
      <w:r>
        <w:rPr>
          <w:sz w:val="18"/>
        </w:rPr>
        <w:t>Augmentation des créances clients de 389,996 à 408,143 millions FCFA</w:t>
      </w:r>
    </w:p>
    <w:p>
      <w:pPr>
        <w:pStyle w:val="ListBullet"/>
        <w:spacing w:before="20" w:after="20"/>
        <w:ind w:left="700"/>
      </w:pPr>
      <w:r>
        <w:rPr>
          <w:sz w:val="18"/>
        </w:rPr>
        <w:t>Progression des capitaux propres de 93,851 à 102,267 millions FCFA</w:t>
      </w:r>
    </w:p>
    <w:p>
      <w:pPr>
        <w:spacing w:before="40"/>
        <w:ind w:left="400"/>
      </w:pPr>
      <w:r>
        <w:rPr>
          <w:b/>
          <w:color w:val="C05000"/>
          <w:sz w:val="18"/>
        </w:rPr>
        <w:t xml:space="preserve">⚠️ Risques : </w:t>
      </w:r>
      <w:r>
        <w:rPr>
          <w:sz w:val="18"/>
        </w:rPr>
        <w:t>["Augmentation du co\u00fbt du risque de 814 \u00e0 802 millions FCFA n\u00e9cessitant une surveillance", "Concentration potentielle sur le march\u00e9 s\u00e9n\u00e9galais limitant la diversification g\u00e9ographique", "Exposition aux fluctuations r\u00e9glementaires du secteur bancaire en Afrique</w:t>
      </w:r>
    </w:p>
    <w:p>
      <w:pPr>
        <w:spacing w:before="40"/>
        <w:ind w:left="400"/>
      </w:pPr>
      <w:r>
        <w:rPr>
          <w:b/>
          <w:color w:val="0064A0"/>
          <w:sz w:val="18"/>
        </w:rPr>
        <w:t xml:space="preserve">🔮 Perspectives : </w:t>
      </w:r>
      <w:r>
        <w:rPr>
          <w:sz w:val="18"/>
        </w:rPr>
        <w:t>La banque devrait poursuivre sa trajectoire de croissance avec une expansion continue de son portefeuille client et de ses activités. L'amélioration de la collecte de dépôts devrait soutenir le développement des crédits et renforcer la rentabilité à moyen terme.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banque affiche une croissance \u00e9quilibr\u00e9e avec une forte collecte de ressources et une am\u00e9lioration de l'efficacit\u00e9 op\u00e9rationnelle. La progression du r\u00e9sultat net de 9,78% et l'am\u00e9lioration du coefficient d'exploitation t\u00e9moignent d'une performance solide."}</w:t>
      </w:r>
    </w:p>
    <w:p>
      <w:pPr>
        <w:spacing w:before="40"/>
        <w:ind w:left="400"/>
      </w:pPr>
      <w:r>
        <w:rPr>
          <w:sz w:val="18"/>
        </w:rPr>
        <w:t>Bank of Africa Senegal présente des résultats solides au 1er trimestre 2026 avec une croissance totale du bilan de 7,7%. La banque renforce ses ressources clients (+16,68%) et maintient une progression de l'emploi (+4,76%). Le Produit Net Bancaire atteint 12 580 millions FCFA en hausse de 6,82%. Le résultat net progresse de 9,78% à 5 741 millions FCFA. Les ratios de rentabilité s'améliorent avec un coefficient d'exploitation qui passe de 42,8% à 42,1%.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{'emplois': '408 143 millions FCFA', 'ressources': '648 038 millions FCFA', 'cout_risque_credit': '-0,8%', 'marge_nette_bancaire': '4,5%', 'croissance_commissions': '10,1%', 'coefficient_exploitation': '42,1%'}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5 741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12 580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bilan global de 7,7% démontrant une expansion soutenue</w:t>
      </w:r>
    </w:p>
    <w:p>
      <w:pPr>
        <w:pStyle w:val="ListBullet"/>
        <w:spacing w:before="20" w:after="20"/>
        <w:ind w:left="700"/>
      </w:pPr>
      <w:r>
        <w:rPr>
          <w:sz w:val="18"/>
        </w:rPr>
        <w:t>Forte progression des ressources clientèle de 16,68% (648 038 vs 555 391)</w:t>
      </w:r>
    </w:p>
    <w:p>
      <w:pPr>
        <w:pStyle w:val="ListBullet"/>
        <w:spacing w:before="20" w:after="20"/>
        <w:ind w:left="700"/>
      </w:pPr>
      <w:r>
        <w:rPr>
          <w:sz w:val="18"/>
        </w:rPr>
        <w:t>Augmentation modérée des emplois de 4,76% à 408 143 millions FCFA</w:t>
      </w:r>
    </w:p>
    <w:p>
      <w:pPr>
        <w:pStyle w:val="ListBullet"/>
        <w:spacing w:before="20" w:after="20"/>
        <w:ind w:left="700"/>
      </w:pPr>
      <w:r>
        <w:rPr>
          <w:sz w:val="18"/>
        </w:rPr>
        <w:t>Produit Net Bancaire en hausse de 6,82% à 12 580 millions FCFA</w:t>
      </w:r>
    </w:p>
    <w:p>
      <w:pPr>
        <w:pStyle w:val="ListBullet"/>
        <w:spacing w:before="20" w:after="20"/>
        <w:ind w:left="700"/>
      </w:pPr>
      <w:r>
        <w:rPr>
          <w:sz w:val="18"/>
        </w:rPr>
        <w:t>Amélioration du coefficient d'exploitation de 42,8% à 42,1%</w:t>
      </w:r>
    </w:p>
    <w:p>
      <w:pPr>
        <w:pStyle w:val="ListBullet"/>
        <w:spacing w:before="20" w:after="20"/>
        <w:ind w:left="700"/>
      </w:pPr>
      <w:r>
        <w:rPr>
          <w:sz w:val="18"/>
        </w:rPr>
        <w:t>Coût du risque de crédit stable à -0,8%</w:t>
      </w:r>
    </w:p>
    <w:p>
      <w:pPr>
        <w:spacing w:before="40"/>
        <w:ind w:left="400"/>
      </w:pPr>
      <w:r>
        <w:rPr>
          <w:b/>
          <w:color w:val="C05000"/>
          <w:sz w:val="18"/>
        </w:rPr>
        <w:t xml:space="preserve">⚠️ Risques : </w:t>
      </w:r>
      <w:r>
        <w:rPr>
          <w:sz w:val="18"/>
        </w:rPr>
        <w:t>["Croissance des emplois plus lente que celle des ressources pourrait limiter la rentabilit\u00e9 future", "Exposition au risque de cr\u00e9dit dans un environnement \u00e9conomique incertain", "D\u00e9pendance \u00e0 l'\u00e9volution des taux d'int\u00e9r\u00eat et de la conjoncture \u00e9conomique</w:t>
      </w:r>
    </w:p>
    <w:p>
      <w:pPr>
        <w:spacing w:before="40"/>
        <w:ind w:left="400"/>
      </w:pPr>
      <w:r>
        <w:rPr>
          <w:b/>
          <w:color w:val="0064A0"/>
          <w:sz w:val="18"/>
        </w:rPr>
        <w:t xml:space="preserve">🔮 Perspectives : </w:t>
      </w:r>
      <w:r>
        <w:rPr>
          <w:sz w:val="18"/>
        </w:rPr>
        <w:t>La banque semble bien positionnée pour poursuivre sa croissance avec une base de ressources renforcée et une efficacité opérationnelle améliorée. L'expansion du réseau d'agences et la consolidation de la collecte devraient soutenir la performance future.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croissance de 37% du r\u00e9sultat net et am\u00e9lioration de tous les indicateurs cl\u00e9s. La banque d\u00e9montre sa r\u00e9silience et sa capacit\u00e9 \u00e0 g\u00e9n\u00e9rer de la valeur malgr\u00e9 le contexte sanitaire."}</w:t>
      </w:r>
    </w:p>
    <w:p>
      <w:pPr>
        <w:spacing w:before="40"/>
        <w:ind w:left="400"/>
      </w:pPr>
      <w:r>
        <w:rPr>
          <w:sz w:val="18"/>
        </w:rPr>
        <w:t>Bank of Africa Sénégal affiche des résultats solides au T3 2021 avec une croissance de 14% du total bilan. Le Produit Net Bancaire progresse de 22% à 25,593 milliards FCFA, porté par l'évolution des marges et le développement des crédits. Le coefficient d'exploitation s'améliore de 11,5 points à 50,2% grâce à la maîtrise des frais généraux. Le résultat net bondit de 37% à 7,558 milliards FCFA malgré les impacts Covid. La banque maintient une bonne gestion du risque avec un coût du risque contenu à -1,8%.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'-1,8%', 'produit_net_bancaire': '25 593 millions FCFA', 'resultat_avant_impots': '7 563 millions FCFA', 'coefficient_exploitation': '50,2%'}</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7 558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25 593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hausse de 21,95% à 25,593 milliards FCFA</w:t>
      </w:r>
    </w:p>
    <w:p>
      <w:pPr>
        <w:pStyle w:val="ListBullet"/>
        <w:spacing w:before="20" w:after="20"/>
        <w:ind w:left="700"/>
      </w:pPr>
      <w:r>
        <w:rPr>
          <w:sz w:val="18"/>
        </w:rPr>
        <w:t>Résultat net en progression de 37% atteignant 7,558 milliards FCFA</w:t>
      </w:r>
    </w:p>
    <w:p>
      <w:pPr>
        <w:pStyle w:val="ListBullet"/>
        <w:spacing w:before="20" w:after="20"/>
        <w:ind w:left="700"/>
      </w:pPr>
      <w:r>
        <w:rPr>
          <w:sz w:val="18"/>
        </w:rPr>
        <w:t>Amélioration significative du coefficient d'exploitation à 50,2% (-11,5 points)</w:t>
      </w:r>
    </w:p>
    <w:p>
      <w:pPr>
        <w:pStyle w:val="ListBullet"/>
        <w:spacing w:before="20" w:after="20"/>
        <w:ind w:left="700"/>
      </w:pPr>
      <w:r>
        <w:rPr>
          <w:sz w:val="18"/>
        </w:rPr>
        <w:t>Croissance soutenue du total bilan de 14%</w:t>
      </w:r>
    </w:p>
    <w:p>
      <w:pPr>
        <w:pStyle w:val="ListBullet"/>
        <w:spacing w:before="20" w:after="20"/>
        <w:ind w:left="700"/>
      </w:pPr>
      <w:r>
        <w:rPr>
          <w:sz w:val="18"/>
        </w:rPr>
        <w:t>Progression des dépôts clientèle de 7,8%</w:t>
      </w:r>
    </w:p>
    <w:p>
      <w:pPr>
        <w:pStyle w:val="ListBullet"/>
        <w:spacing w:before="20" w:after="20"/>
        <w:ind w:left="700"/>
      </w:pPr>
      <w:r>
        <w:rPr>
          <w:sz w:val="18"/>
        </w:rPr>
        <w:t>Développement des encours de crédits avec hausse de 8,6%</w:t>
      </w:r>
    </w:p>
    <w:p>
      <w:pPr>
        <w:spacing w:before="40"/>
        <w:ind w:left="400"/>
      </w:pPr>
      <w:r>
        <w:rPr>
          <w:b/>
          <w:color w:val="C05000"/>
          <w:sz w:val="18"/>
        </w:rPr>
        <w:t xml:space="preserve">⚠️ Risques : </w:t>
      </w:r>
      <w:r>
        <w:rPr>
          <w:sz w:val="18"/>
        </w:rPr>
        <w:t>["Persistance de la crise sanitaire Covid-19 et ses impacts \u00e9conomiques", "D\u00e9t\u00e9rioration potentielle de la qualit\u00e9 des actifs dans un contexte \u00e9conomique incertain", "Concurrence accrue sur le march\u00e9 bancaire s\u00e9n\u00e9galais"]</w:t>
      </w:r>
    </w:p>
    <w:p>
      <w:pPr>
        <w:spacing w:before="40"/>
        <w:ind w:left="400"/>
      </w:pPr>
      <w:r>
        <w:rPr>
          <w:b/>
          <w:color w:val="0064A0"/>
          <w:sz w:val="18"/>
        </w:rPr>
        <w:t xml:space="preserve">🔮 Perspectives : </w:t>
      </w:r>
      <w:r>
        <w:rPr>
          <w:sz w:val="18"/>
        </w:rPr>
        <w:t>La trajectoire positive de Bank of Africa Sénégal devrait se poursuivre avec la poursuite de la reprise économique. La banque est bien positionnée pour capitaliser sur la croissance des activités commerciales et maintenir sa dynamique de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financi\u00e8res exceptionnelles de 2021 avec une croissance du r\u00e9sultat net de 44,4% et l'expansion soutenue de l'activit\u00e9 d\u00e9montrent la solidit\u00e9 du mod\u00e8le \u00e9conomique. La banque b\u00e9n\u00e9ficie d'une structure financi\u00e8re renforc\u00e9e et d'une dynamique commerciale favorable."}</w:t>
      </w:r>
    </w:p>
    <w:p>
      <w:pPr>
        <w:spacing w:before="40"/>
        <w:ind w:left="400"/>
      </w:pPr>
      <w:r>
        <w:rPr>
          <w:sz w:val="18"/>
        </w:rPr>
        <w:t>Bank of Africa Sénégal (BOA SN) présente des résultats financiers solides en 2021 avec une croissance significative de sa rentabilité. Le résultat net a progressé de 44,4% passant de 7,667 millions FCFA en 2020 à 11,070 millions FCFA en 2021. Le total de l'actif s'est apprécié de 11,5% atteignant 626,289 millions FCFA contre 561,588 millions FCFA l'année précédente. Les créances sur la clientèle ont enregistré une hausse notable de 15,1% à 321,621 millions FCFA, témoignant d'une expansion de l'activité de crédit. Les capitaux propres se sont renforcés avec une augmentation de 14,6% à 53,327 millions FCFA, consolidant ainsi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'445,946 millions FCFA', 'creances_clientele': '321,621 millions FCFA', 'charges_exploitation': '15,829 millions FCFA', 'produit_net_bancaire': '35,727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626,289 millions FCFA</w:t>
            </w:r>
          </w:p>
        </w:tc>
      </w:tr>
      <w:tr>
        <w:tc>
          <w:tcPr>
            <w:tcW w:type="dxa" w:w="2160"/>
          </w:tcPr>
          <w:p>
            <w:r/>
            <w:r>
              <w:rPr>
                <w:b/>
                <w:sz w:val="16"/>
              </w:rPr>
              <w:t>resultat_net</w:t>
              <w:br/>
            </w:r>
            <w:r>
              <w:rPr>
                <w:sz w:val="18"/>
              </w:rPr>
              <w:t>11,070 millions FCFA</w:t>
            </w:r>
          </w:p>
        </w:tc>
        <w:tc>
          <w:tcPr>
            <w:tcW w:type="dxa" w:w="2160"/>
          </w:tcPr>
          <w:p>
            <w:r/>
            <w:r>
              <w:rPr>
                <w:b/>
                <w:sz w:val="16"/>
              </w:rPr>
              <w:t>capitaux_propres</w:t>
              <w:br/>
            </w:r>
            <w:r>
              <w:rPr>
                <w:sz w:val="18"/>
              </w:rPr>
              <w:t>53,327 millions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44,4% en 2021 (11,070 millions FCFA vs 7,667 millions FCFA)</w:t>
      </w:r>
    </w:p>
    <w:p>
      <w:pPr>
        <w:pStyle w:val="ListBullet"/>
        <w:spacing w:before="20" w:after="20"/>
        <w:ind w:left="700"/>
      </w:pPr>
      <w:r>
        <w:rPr>
          <w:sz w:val="18"/>
        </w:rPr>
        <w:t>Progression du total actif de 11,5% à 626,289 millions FCFA</w:t>
      </w:r>
    </w:p>
    <w:p>
      <w:pPr>
        <w:pStyle w:val="ListBullet"/>
        <w:spacing w:before="20" w:after="20"/>
        <w:ind w:left="700"/>
      </w:pPr>
      <w:r>
        <w:rPr>
          <w:sz w:val="18"/>
        </w:rPr>
        <w:t>Expansion significative des créances clientèle de 15,1% (321,621 millions FCFA)</w:t>
      </w:r>
    </w:p>
    <w:p>
      <w:pPr>
        <w:pStyle w:val="ListBullet"/>
        <w:spacing w:before="20" w:after="20"/>
        <w:ind w:left="700"/>
      </w:pPr>
      <w:r>
        <w:rPr>
          <w:sz w:val="18"/>
        </w:rPr>
        <w:t>Renforcement des capitaux propres de 14,6% à 53,327 millions FCFA</w:t>
      </w:r>
    </w:p>
    <w:p>
      <w:pPr>
        <w:pStyle w:val="ListBullet"/>
        <w:spacing w:before="20" w:after="20"/>
        <w:ind w:left="700"/>
      </w:pPr>
      <w:r>
        <w:rPr>
          <w:sz w:val="18"/>
        </w:rPr>
        <w:t>Amélioration du produit net bancaire de 19,1% à 35,727 millions FCFA</w:t>
      </w:r>
    </w:p>
    <w:p>
      <w:pPr>
        <w:pStyle w:val="ListBullet"/>
        <w:spacing w:before="20" w:after="20"/>
        <w:ind w:left="700"/>
      </w:pPr>
      <w:r>
        <w:rPr>
          <w:sz w:val="18"/>
        </w:rPr>
        <w:t>Croissance des dépôts clientèle de 19,5% atteignant 445,946 millions FCFA</w:t>
      </w:r>
    </w:p>
    <w:p>
      <w:pPr>
        <w:spacing w:before="40"/>
        <w:ind w:left="400"/>
      </w:pPr>
      <w:r>
        <w:rPr>
          <w:b/>
          <w:color w:val="C05000"/>
          <w:sz w:val="18"/>
        </w:rPr>
        <w:t xml:space="preserve">⚠️ Risques : </w:t>
      </w:r>
      <w:r>
        <w:rPr>
          <w:sz w:val="18"/>
        </w:rPr>
        <w:t>["Exposition au risque de cr\u00e9dit avec l'expansion rapide du portefeuille de pr\u00eats", "D\u00e9pendance aux conditions \u00e9conomiques du march\u00e9 s\u00e9n\u00e9galais et r\u00e9gional", "Pression concurrentielle dans le secteur bancaire ouest-africain"]</w:t>
      </w:r>
    </w:p>
    <w:p>
      <w:pPr>
        <w:spacing w:before="40"/>
        <w:ind w:left="400"/>
      </w:pPr>
      <w:r>
        <w:rPr>
          <w:b/>
          <w:color w:val="0064A0"/>
          <w:sz w:val="18"/>
        </w:rPr>
        <w:t xml:space="preserve">🔮 Perspectives : </w:t>
      </w:r>
      <w:r>
        <w:rPr>
          <w:sz w:val="18"/>
        </w:rPr>
        <w:t xml:space="preserve">BOA SN devrait poursuivre sa trajectoire de croissance en 2022 grâce à sa position solide sur le marché bancaire sénégalais et à l'expansion de ses activités de crédit. La banque pourrait bénéficier de la reprise économique post-COVID et de sa stratégie d'expansion régionale au sein du groupe BMCE.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dynamique de croissance avec une rentabilit\u00e9 en forte hausse et une expansion soutenue de son activit\u00e9. La ma\u00eetrise des co\u00fbts et des risques conjugu\u00e9e \u00e0 la diversification des revenus offre de solides perspectives de d\u00e9veloppement."}</w:t>
      </w:r>
    </w:p>
    <w:p>
      <w:pPr>
        <w:spacing w:before="40"/>
        <w:ind w:left="400"/>
      </w:pPr>
      <w:r>
        <w:rPr>
          <w:sz w:val="18"/>
        </w:rPr>
        <w:t>BOA-SENEGAL a achevé son plan triennal de développement 2019-2021 avec un taux de réalisation global de plus de 80%. La banque affiche une forte croissance de sa rentabilité avec un résultat net de 11 070 millions FCFA au S2 2021, en hausse de 44,39% par rapport à 2020. Le produit net bancaire progresse de 19,10% à 35 727 millions FCFA, soutenu par une hausse des commissions de 18,7%. Les dépôts clients ont augmenté de 19,5% pour atteindre 445 946 millions FCFA et les crédits nets ont progressé de 15% à 321 621 millions FCFA. La banque maintient une maîtrise des risques avec un coût du risque contenu à -2,3% des encours de crédit.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'321 621 millions FCFA', 'cout_du_risque': '-6 617 millions FCFA', 'depots_clients': '445 946 millions FCFA', 'frais_generaux': '18 177 millions FCFA', 'part_marche_depots': '6,4%', 'part_marche_credits': '5,7%', 'produit_net_bancaire': '35 727 millions FCFA', 'resultat_brut_exploitation': '17 550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11 070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Achèvement réussi du plan triennal 2019-2021 avec un taux de réalisation de plus de 80%</w:t>
      </w:r>
    </w:p>
    <w:p>
      <w:pPr>
        <w:pStyle w:val="ListBullet"/>
        <w:spacing w:before="20" w:after="20"/>
        <w:ind w:left="700"/>
      </w:pPr>
      <w:r>
        <w:rPr>
          <w:sz w:val="18"/>
        </w:rPr>
        <w:t>Forte croissance du résultat net de 44,39% à 11 070 millions FCFA au S2 2021</w:t>
      </w:r>
    </w:p>
    <w:p>
      <w:pPr>
        <w:pStyle w:val="ListBullet"/>
        <w:spacing w:before="20" w:after="20"/>
        <w:ind w:left="700"/>
      </w:pPr>
      <w:r>
        <w:rPr>
          <w:sz w:val="18"/>
        </w:rPr>
        <w:t>Progression solide du produit net bancaire de 19,10% à 35 727 millions FCFA</w:t>
      </w:r>
    </w:p>
    <w:p>
      <w:pPr>
        <w:pStyle w:val="ListBullet"/>
        <w:spacing w:before="20" w:after="20"/>
        <w:ind w:left="700"/>
      </w:pPr>
      <w:r>
        <w:rPr>
          <w:sz w:val="18"/>
        </w:rPr>
        <w:t>Hausse significative des commissions de 18,7%, témoignant d'une diversification des revenus</w:t>
      </w:r>
    </w:p>
    <w:p>
      <w:pPr>
        <w:pStyle w:val="ListBullet"/>
        <w:spacing w:before="20" w:after="20"/>
        <w:ind w:left="700"/>
      </w:pPr>
      <w:r>
        <w:rPr>
          <w:sz w:val="18"/>
        </w:rPr>
        <w:t>Croissance soutenue des dépôts clients de 19,5% à 445 946 millions FCFA fin 2021</w:t>
      </w:r>
    </w:p>
    <w:p>
      <w:pPr>
        <w:pStyle w:val="ListBullet"/>
        <w:spacing w:before="20" w:after="20"/>
        <w:ind w:left="700"/>
      </w:pPr>
      <w:r>
        <w:rPr>
          <w:sz w:val="18"/>
        </w:rPr>
        <w:t>Expansion de l'activité crédit avec une hausse de 15% des crédits nets à 321 621 millions FCFA</w:t>
      </w:r>
    </w:p>
    <w:p>
      <w:pPr>
        <w:spacing w:before="40"/>
        <w:ind w:left="400"/>
      </w:pPr>
      <w:r>
        <w:rPr>
          <w:b/>
          <w:color w:val="C05000"/>
          <w:sz w:val="18"/>
        </w:rPr>
        <w:t xml:space="preserve">⚠️ Risques : </w:t>
      </w:r>
      <w:r>
        <w:rPr>
          <w:sz w:val="18"/>
        </w:rPr>
        <w:t>["Concurrence accrue sur le march\u00e9 bancaire s\u00e9n\u00e9galais", "\u00c9volution des conditions \u00e9conomiques et impact potentiel sur la qualit\u00e9 des cr\u00e9dits", "Pression sur les marges dans un environnement de taux bas"]</w:t>
      </w:r>
    </w:p>
    <w:p>
      <w:pPr>
        <w:spacing w:before="40"/>
        <w:ind w:left="400"/>
      </w:pPr>
      <w:r>
        <w:rPr>
          <w:b/>
          <w:color w:val="0064A0"/>
          <w:sz w:val="18"/>
        </w:rPr>
        <w:t xml:space="preserve">🔮 Perspectives : </w:t>
      </w:r>
      <w:r>
        <w:rPr>
          <w:sz w:val="18"/>
        </w:rPr>
        <w:t>BOA-SENEGAL devrait poursuivre sa dynamique de croissance portée par l'expansion de son réseau et le développement de nouveaux produits. La banque vise à renforcer ses parts de marché tout en maintenant sa discipline de gestion des risques et son focus sur la rentabilité.</w:t>
      </w:r>
    </w:p>
    <w:p/>
    <w:p>
      <w:r>
        <w:t>════════════════════════════════════════════════════════════════════════════════</w:t>
      </w:r>
    </w:p>
    <w:p>
      <w:r>
        <w:br w:type="page"/>
      </w:r>
    </w:p>
    <w:p>
      <w:pPr>
        <w:pStyle w:val="Heading2"/>
        <w:spacing w:before="360"/>
      </w:pPr>
      <w:r>
        <w:rPr>
          <w:color w:val="0066CC"/>
        </w:rPr>
        <w:t>11. CABC - CABC - SICABLE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CABC</w:t>
            </w:r>
          </w:p>
          <w:p>
            <w:r>
              <w:rPr>
                <w:b/>
                <w:color w:val="323250"/>
                <w:sz w:val="16"/>
              </w:rPr>
              <w:t xml:space="preserve">Société : </w:t>
            </w:r>
            <w:r>
              <w:rPr>
                <w:color w:val="000000"/>
                <w:sz w:val="16"/>
              </w:rPr>
              <w:t>CABC - SICABLE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20.72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2,339 titres</w:t>
            </w:r>
          </w:p>
        </w:tc>
        <w:tc>
          <w:tcPr>
            <w:tcW w:type="dxa" w:w="2268"/>
            <w:shd w:fill="FFF2CC" w:val="clear"/>
          </w:tcPr>
          <w:p>
            <w:r>
              <w:rPr>
                <w:b/>
                <w:color w:val="503200"/>
                <w:sz w:val="16"/>
              </w:rPr>
              <w:t xml:space="preserve">Cours actuel : </w:t>
            </w:r>
            <w:r>
              <w:rPr>
                <w:color w:val="000000"/>
                <w:sz w:val="17"/>
              </w:rPr>
              <w:t>3,500 FCFA</w:t>
            </w:r>
          </w:p>
          <w:p>
            <w:r>
              <w:rPr>
                <w:b/>
                <w:color w:val="503200"/>
                <w:sz w:val="16"/>
              </w:rPr>
              <w:t xml:space="preserve">Var. 100 jours : </w:t>
            </w:r>
            <w:r>
              <w:rPr>
                <w:b/>
                <w:color w:val="B40000"/>
                <w:sz w:val="17"/>
              </w:rPr>
              <w:t>-4.24%</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3,350 FCFA</w:t>
            </w:r>
          </w:p>
          <w:p>
            <w:r>
              <w:rPr>
                <w:b/>
                <w:color w:val="503200"/>
                <w:sz w:val="16"/>
              </w:rPr>
              <w:t xml:space="preserve">Volatilité ann. : </w:t>
            </w:r>
            <w:r>
              <w:rPr>
                <w:color w:val="000000"/>
                <w:sz w:val="17"/>
              </w:rPr>
              <w:t>54.2%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7.53% (Moyenne) — μ=3,774 FCFA, σ=284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β=0.0076 (Défensif) — Cov=0.000000, Var(idx)=0.000035, ρ=0.001,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2,339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σ_j=3.42%/j (Modérée) — Vol. annualisée≈54.2%</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3" name="Picture 1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2026-08-28</w:t>
            </w:r>
          </w:p>
        </w:tc>
        <w:tc>
          <w:tcPr>
            <w:tcW w:type="dxa" w:w="1440"/>
            <w:shd w:fill="C6EFCE" w:val="clear"/>
          </w:tcPr>
          <w:p>
            <w:r>
              <w:rPr>
                <w:sz w:val="17"/>
              </w:rPr>
              <w:t>3,484</w:t>
            </w:r>
          </w:p>
        </w:tc>
        <w:tc>
          <w:tcPr>
            <w:tcW w:type="dxa" w:w="1440"/>
            <w:shd w:fill="C6EFCE" w:val="clear"/>
          </w:tcPr>
          <w:p>
            <w:r>
              <w:rPr>
                <w:b/>
                <w:sz w:val="17"/>
              </w:rPr>
              <w:t>3,634</w:t>
            </w:r>
          </w:p>
        </w:tc>
        <w:tc>
          <w:tcPr>
            <w:tcW w:type="dxa" w:w="1440"/>
            <w:shd w:fill="C6EFCE" w:val="clear"/>
          </w:tcPr>
          <w:p>
            <w:r>
              <w:rPr>
                <w:sz w:val="17"/>
              </w:rPr>
              <w:t>3,784</w:t>
            </w:r>
          </w:p>
        </w:tc>
        <w:tc>
          <w:tcPr>
            <w:tcW w:type="dxa" w:w="1440"/>
            <w:shd w:fill="C6EFCE" w:val="clear"/>
          </w:tcPr>
          <w:p>
            <w:r>
              <w:rPr>
                <w:b/>
                <w:color w:val="008000"/>
                <w:sz w:val="17"/>
              </w:rPr>
              <w:t>+3.8%</w:t>
            </w:r>
          </w:p>
        </w:tc>
      </w:tr>
      <w:tr>
        <w:tc>
          <w:tcPr>
            <w:tcW w:type="dxa" w:w="1440"/>
            <w:shd w:fill="C6EFCE" w:val="clear"/>
          </w:tcPr>
          <w:p>
            <w:r>
              <w:rPr>
                <w:sz w:val="17"/>
              </w:rPr>
              <w:t>J+2  Moyenne</w:t>
            </w:r>
          </w:p>
        </w:tc>
        <w:tc>
          <w:tcPr>
            <w:tcW w:type="dxa" w:w="1440"/>
            <w:shd w:fill="C6EFCE" w:val="clear"/>
          </w:tcPr>
          <w:p>
            <w:r>
              <w:rPr>
                <w:sz w:val="17"/>
              </w:rPr>
              <w:t>2026-08-31</w:t>
            </w:r>
          </w:p>
        </w:tc>
        <w:tc>
          <w:tcPr>
            <w:tcW w:type="dxa" w:w="1440"/>
            <w:shd w:fill="C6EFCE" w:val="clear"/>
          </w:tcPr>
          <w:p>
            <w:r>
              <w:rPr>
                <w:sz w:val="17"/>
              </w:rPr>
              <w:t>3,556</w:t>
            </w:r>
          </w:p>
        </w:tc>
        <w:tc>
          <w:tcPr>
            <w:tcW w:type="dxa" w:w="1440"/>
            <w:shd w:fill="C6EFCE" w:val="clear"/>
          </w:tcPr>
          <w:p>
            <w:r>
              <w:rPr>
                <w:b/>
                <w:sz w:val="17"/>
              </w:rPr>
              <w:t>3,776</w:t>
            </w:r>
          </w:p>
        </w:tc>
        <w:tc>
          <w:tcPr>
            <w:tcW w:type="dxa" w:w="1440"/>
            <w:shd w:fill="C6EFCE" w:val="clear"/>
          </w:tcPr>
          <w:p>
            <w:r>
              <w:rPr>
                <w:sz w:val="17"/>
              </w:rPr>
              <w:t>3,997</w:t>
            </w:r>
          </w:p>
        </w:tc>
        <w:tc>
          <w:tcPr>
            <w:tcW w:type="dxa" w:w="1440"/>
            <w:shd w:fill="C6EFCE" w:val="clear"/>
          </w:tcPr>
          <w:p>
            <w:r>
              <w:rPr>
                <w:b/>
                <w:color w:val="008000"/>
                <w:sz w:val="17"/>
              </w:rPr>
              <w:t>+7.9%</w:t>
            </w:r>
          </w:p>
        </w:tc>
      </w:tr>
      <w:tr>
        <w:tc>
          <w:tcPr>
            <w:tcW w:type="dxa" w:w="1440"/>
            <w:shd w:fill="C6EFCE" w:val="clear"/>
          </w:tcPr>
          <w:p>
            <w:r>
              <w:rPr>
                <w:sz w:val="17"/>
              </w:rPr>
              <w:t>J+3  Moyenne</w:t>
            </w:r>
          </w:p>
        </w:tc>
        <w:tc>
          <w:tcPr>
            <w:tcW w:type="dxa" w:w="1440"/>
            <w:shd w:fill="C6EFCE" w:val="clear"/>
          </w:tcPr>
          <w:p>
            <w:r>
              <w:rPr>
                <w:sz w:val="17"/>
              </w:rPr>
              <w:t>2026-09-01</w:t>
            </w:r>
          </w:p>
        </w:tc>
        <w:tc>
          <w:tcPr>
            <w:tcW w:type="dxa" w:w="1440"/>
            <w:shd w:fill="C6EFCE" w:val="clear"/>
          </w:tcPr>
          <w:p>
            <w:r>
              <w:rPr>
                <w:sz w:val="17"/>
              </w:rPr>
              <w:t>3,672</w:t>
            </w:r>
          </w:p>
        </w:tc>
        <w:tc>
          <w:tcPr>
            <w:tcW w:type="dxa" w:w="1440"/>
            <w:shd w:fill="C6EFCE" w:val="clear"/>
          </w:tcPr>
          <w:p>
            <w:r>
              <w:rPr>
                <w:b/>
                <w:sz w:val="17"/>
              </w:rPr>
              <w:t>3,955</w:t>
            </w:r>
          </w:p>
        </w:tc>
        <w:tc>
          <w:tcPr>
            <w:tcW w:type="dxa" w:w="1440"/>
            <w:shd w:fill="C6EFCE" w:val="clear"/>
          </w:tcPr>
          <w:p>
            <w:r>
              <w:rPr>
                <w:sz w:val="17"/>
              </w:rPr>
              <w:t>4,238</w:t>
            </w:r>
          </w:p>
        </w:tc>
        <w:tc>
          <w:tcPr>
            <w:tcW w:type="dxa" w:w="1440"/>
            <w:shd w:fill="C6EFCE" w:val="clear"/>
          </w:tcPr>
          <w:p>
            <w:r>
              <w:rPr>
                <w:b/>
                <w:color w:val="008000"/>
                <w:sz w:val="17"/>
              </w:rPr>
              <w:t>+13.0%</w:t>
            </w:r>
          </w:p>
        </w:tc>
      </w:tr>
      <w:tr>
        <w:tc>
          <w:tcPr>
            <w:tcW w:type="dxa" w:w="1440"/>
            <w:shd w:fill="C6EFCE" w:val="clear"/>
          </w:tcPr>
          <w:p>
            <w:r>
              <w:rPr>
                <w:sz w:val="17"/>
              </w:rPr>
              <w:t>J+4  ⭐</w:t>
            </w:r>
          </w:p>
        </w:tc>
        <w:tc>
          <w:tcPr>
            <w:tcW w:type="dxa" w:w="1440"/>
            <w:shd w:fill="C6EFCE" w:val="clear"/>
          </w:tcPr>
          <w:p>
            <w:r>
              <w:rPr>
                <w:sz w:val="17"/>
              </w:rPr>
              <w:t>2026-09-02</w:t>
            </w:r>
          </w:p>
        </w:tc>
        <w:tc>
          <w:tcPr>
            <w:tcW w:type="dxa" w:w="1440"/>
            <w:shd w:fill="C6EFCE" w:val="clear"/>
          </w:tcPr>
          <w:p>
            <w:r>
              <w:rPr>
                <w:sz w:val="17"/>
              </w:rPr>
              <w:t>3,817</w:t>
            </w:r>
          </w:p>
        </w:tc>
        <w:tc>
          <w:tcPr>
            <w:tcW w:type="dxa" w:w="1440"/>
            <w:shd w:fill="C6EFCE" w:val="clear"/>
          </w:tcPr>
          <w:p>
            <w:r>
              <w:rPr>
                <w:b/>
                <w:sz w:val="17"/>
              </w:rPr>
              <w:t>4,161</w:t>
            </w:r>
          </w:p>
        </w:tc>
        <w:tc>
          <w:tcPr>
            <w:tcW w:type="dxa" w:w="1440"/>
            <w:shd w:fill="C6EFCE" w:val="clear"/>
          </w:tcPr>
          <w:p>
            <w:r>
              <w:rPr>
                <w:sz w:val="17"/>
              </w:rPr>
              <w:t>4,505</w:t>
            </w:r>
          </w:p>
        </w:tc>
        <w:tc>
          <w:tcPr>
            <w:tcW w:type="dxa" w:w="1440"/>
            <w:shd w:fill="C6EFCE" w:val="clear"/>
          </w:tcPr>
          <w:p>
            <w:r>
              <w:rPr>
                <w:b/>
                <w:color w:val="008000"/>
                <w:sz w:val="17"/>
              </w:rPr>
              <w:t>+18.9%</w:t>
            </w:r>
          </w:p>
        </w:tc>
      </w:tr>
      <w:tr>
        <w:tc>
          <w:tcPr>
            <w:tcW w:type="dxa" w:w="1440"/>
            <w:shd w:fill="C6EFCE" w:val="clear"/>
          </w:tcPr>
          <w:p>
            <w:r>
              <w:rPr>
                <w:sz w:val="17"/>
              </w:rPr>
              <w:t>J+5  ⭐</w:t>
            </w:r>
          </w:p>
        </w:tc>
        <w:tc>
          <w:tcPr>
            <w:tcW w:type="dxa" w:w="1440"/>
            <w:shd w:fill="C6EFCE" w:val="clear"/>
          </w:tcPr>
          <w:p>
            <w:r>
              <w:rPr>
                <w:sz w:val="17"/>
              </w:rPr>
              <w:t>2026-09-03</w:t>
            </w:r>
          </w:p>
        </w:tc>
        <w:tc>
          <w:tcPr>
            <w:tcW w:type="dxa" w:w="1440"/>
            <w:shd w:fill="C6EFCE" w:val="clear"/>
          </w:tcPr>
          <w:p>
            <w:r>
              <w:rPr>
                <w:sz w:val="17"/>
              </w:rPr>
              <w:t>3,987</w:t>
            </w:r>
          </w:p>
        </w:tc>
        <w:tc>
          <w:tcPr>
            <w:tcW w:type="dxa" w:w="1440"/>
            <w:shd w:fill="C6EFCE" w:val="clear"/>
          </w:tcPr>
          <w:p>
            <w:r>
              <w:rPr>
                <w:b/>
                <w:sz w:val="17"/>
              </w:rPr>
              <w:t>4,393</w:t>
            </w:r>
          </w:p>
        </w:tc>
        <w:tc>
          <w:tcPr>
            <w:tcW w:type="dxa" w:w="1440"/>
            <w:shd w:fill="C6EFCE" w:val="clear"/>
          </w:tcPr>
          <w:p>
            <w:r>
              <w:rPr>
                <w:sz w:val="17"/>
              </w:rPr>
              <w:t>4,799</w:t>
            </w:r>
          </w:p>
        </w:tc>
        <w:tc>
          <w:tcPr>
            <w:tcW w:type="dxa" w:w="1440"/>
            <w:shd w:fill="C6EFCE" w:val="clear"/>
          </w:tcPr>
          <w:p>
            <w:r>
              <w:rPr>
                <w:b/>
                <w:color w:val="008000"/>
                <w:sz w:val="17"/>
              </w:rPr>
              <w:t>+25.5%</w:t>
            </w:r>
          </w:p>
        </w:tc>
      </w:tr>
      <w:tr>
        <w:tc>
          <w:tcPr>
            <w:tcW w:type="dxa" w:w="1440"/>
            <w:shd w:fill="C6EFCE" w:val="clear"/>
          </w:tcPr>
          <w:p>
            <w:r>
              <w:rPr>
                <w:sz w:val="17"/>
              </w:rPr>
              <w:t>J+6  ⭐</w:t>
            </w:r>
          </w:p>
        </w:tc>
        <w:tc>
          <w:tcPr>
            <w:tcW w:type="dxa" w:w="1440"/>
            <w:shd w:fill="C6EFCE" w:val="clear"/>
          </w:tcPr>
          <w:p>
            <w:r>
              <w:rPr>
                <w:sz w:val="17"/>
              </w:rPr>
              <w:t>2026-09-04</w:t>
            </w:r>
          </w:p>
        </w:tc>
        <w:tc>
          <w:tcPr>
            <w:tcW w:type="dxa" w:w="1440"/>
            <w:shd w:fill="C6EFCE" w:val="clear"/>
          </w:tcPr>
          <w:p>
            <w:r>
              <w:rPr>
                <w:sz w:val="17"/>
              </w:rPr>
              <w:t>4,186</w:t>
            </w:r>
          </w:p>
        </w:tc>
        <w:tc>
          <w:tcPr>
            <w:tcW w:type="dxa" w:w="1440"/>
            <w:shd w:fill="C6EFCE" w:val="clear"/>
          </w:tcPr>
          <w:p>
            <w:r>
              <w:rPr>
                <w:b/>
                <w:sz w:val="17"/>
              </w:rPr>
              <w:t>4,657</w:t>
            </w:r>
          </w:p>
        </w:tc>
        <w:tc>
          <w:tcPr>
            <w:tcW w:type="dxa" w:w="1440"/>
            <w:shd w:fill="C6EFCE" w:val="clear"/>
          </w:tcPr>
          <w:p>
            <w:r>
              <w:rPr>
                <w:sz w:val="17"/>
              </w:rPr>
              <w:t>5,129</w:t>
            </w:r>
          </w:p>
        </w:tc>
        <w:tc>
          <w:tcPr>
            <w:tcW w:type="dxa" w:w="1440"/>
            <w:shd w:fill="C6EFCE" w:val="clear"/>
          </w:tcPr>
          <w:p>
            <w:r>
              <w:rPr>
                <w:b/>
                <w:color w:val="008000"/>
                <w:sz w:val="17"/>
              </w:rPr>
              <w:t>+33.1%</w:t>
            </w:r>
          </w:p>
        </w:tc>
      </w:tr>
      <w:tr>
        <w:tc>
          <w:tcPr>
            <w:tcW w:type="dxa" w:w="1440"/>
            <w:shd w:fill="C6EFCE" w:val="clear"/>
          </w:tcPr>
          <w:p>
            <w:r>
              <w:rPr>
                <w:sz w:val="17"/>
              </w:rPr>
              <w:t>J+7  ⭐</w:t>
            </w:r>
          </w:p>
        </w:tc>
        <w:tc>
          <w:tcPr>
            <w:tcW w:type="dxa" w:w="1440"/>
            <w:shd w:fill="C6EFCE" w:val="clear"/>
          </w:tcPr>
          <w:p>
            <w:r>
              <w:rPr>
                <w:sz w:val="17"/>
              </w:rPr>
              <w:t>2026-09-07</w:t>
            </w:r>
          </w:p>
        </w:tc>
        <w:tc>
          <w:tcPr>
            <w:tcW w:type="dxa" w:w="1440"/>
            <w:shd w:fill="C6EFCE" w:val="clear"/>
          </w:tcPr>
          <w:p>
            <w:r>
              <w:rPr>
                <w:sz w:val="17"/>
              </w:rPr>
              <w:t>4,418</w:t>
            </w:r>
          </w:p>
        </w:tc>
        <w:tc>
          <w:tcPr>
            <w:tcW w:type="dxa" w:w="1440"/>
            <w:shd w:fill="C6EFCE" w:val="clear"/>
          </w:tcPr>
          <w:p>
            <w:r>
              <w:rPr>
                <w:b/>
                <w:sz w:val="17"/>
              </w:rPr>
              <w:t>4,960</w:t>
            </w:r>
          </w:p>
        </w:tc>
        <w:tc>
          <w:tcPr>
            <w:tcW w:type="dxa" w:w="1440"/>
            <w:shd w:fill="C6EFCE" w:val="clear"/>
          </w:tcPr>
          <w:p>
            <w:r>
              <w:rPr>
                <w:sz w:val="17"/>
              </w:rPr>
              <w:t>5,502</w:t>
            </w:r>
          </w:p>
        </w:tc>
        <w:tc>
          <w:tcPr>
            <w:tcW w:type="dxa" w:w="1440"/>
            <w:shd w:fill="C6EFCE" w:val="clear"/>
          </w:tcPr>
          <w:p>
            <w:r>
              <w:rPr>
                <w:b/>
                <w:color w:val="008000"/>
                <w:sz w:val="17"/>
              </w:rPr>
              <w:t>+41.7%</w:t>
            </w:r>
          </w:p>
        </w:tc>
      </w:tr>
      <w:tr>
        <w:tc>
          <w:tcPr>
            <w:tcW w:type="dxa" w:w="1440"/>
            <w:shd w:fill="C6EFCE" w:val="clear"/>
          </w:tcPr>
          <w:p>
            <w:r>
              <w:rPr>
                <w:sz w:val="17"/>
              </w:rPr>
              <w:t>J+8  ⭐</w:t>
            </w:r>
          </w:p>
        </w:tc>
        <w:tc>
          <w:tcPr>
            <w:tcW w:type="dxa" w:w="1440"/>
            <w:shd w:fill="C6EFCE" w:val="clear"/>
          </w:tcPr>
          <w:p>
            <w:r>
              <w:rPr>
                <w:sz w:val="17"/>
              </w:rPr>
              <w:t>2026-09-08</w:t>
            </w:r>
          </w:p>
        </w:tc>
        <w:tc>
          <w:tcPr>
            <w:tcW w:type="dxa" w:w="1440"/>
            <w:shd w:fill="C6EFCE" w:val="clear"/>
          </w:tcPr>
          <w:p>
            <w:r>
              <w:rPr>
                <w:sz w:val="17"/>
              </w:rPr>
              <w:t>4,694</w:t>
            </w:r>
          </w:p>
        </w:tc>
        <w:tc>
          <w:tcPr>
            <w:tcW w:type="dxa" w:w="1440"/>
            <w:shd w:fill="C6EFCE" w:val="clear"/>
          </w:tcPr>
          <w:p>
            <w:r>
              <w:rPr>
                <w:b/>
                <w:sz w:val="17"/>
              </w:rPr>
              <w:t>5,315</w:t>
            </w:r>
          </w:p>
        </w:tc>
        <w:tc>
          <w:tcPr>
            <w:tcW w:type="dxa" w:w="1440"/>
            <w:shd w:fill="C6EFCE" w:val="clear"/>
          </w:tcPr>
          <w:p>
            <w:r>
              <w:rPr>
                <w:sz w:val="17"/>
              </w:rPr>
              <w:t>5,936</w:t>
            </w:r>
          </w:p>
        </w:tc>
        <w:tc>
          <w:tcPr>
            <w:tcW w:type="dxa" w:w="1440"/>
            <w:shd w:fill="C6EFCE" w:val="clear"/>
          </w:tcPr>
          <w:p>
            <w:r>
              <w:rPr>
                <w:b/>
                <w:color w:val="008000"/>
                <w:sz w:val="17"/>
              </w:rPr>
              <w:t>+51.9%</w:t>
            </w:r>
          </w:p>
        </w:tc>
      </w:tr>
      <w:tr>
        <w:tc>
          <w:tcPr>
            <w:tcW w:type="dxa" w:w="1440"/>
            <w:shd w:fill="C6EFCE" w:val="clear"/>
          </w:tcPr>
          <w:p>
            <w:r>
              <w:rPr>
                <w:sz w:val="17"/>
              </w:rPr>
              <w:t>J+9  ⭐</w:t>
            </w:r>
          </w:p>
        </w:tc>
        <w:tc>
          <w:tcPr>
            <w:tcW w:type="dxa" w:w="1440"/>
            <w:shd w:fill="C6EFCE" w:val="clear"/>
          </w:tcPr>
          <w:p>
            <w:r>
              <w:rPr>
                <w:sz w:val="17"/>
              </w:rPr>
              <w:t>2026-09-09</w:t>
            </w:r>
          </w:p>
        </w:tc>
        <w:tc>
          <w:tcPr>
            <w:tcW w:type="dxa" w:w="1440"/>
            <w:shd w:fill="C6EFCE" w:val="clear"/>
          </w:tcPr>
          <w:p>
            <w:r>
              <w:rPr>
                <w:sz w:val="17"/>
              </w:rPr>
              <w:t>5,005</w:t>
            </w:r>
          </w:p>
        </w:tc>
        <w:tc>
          <w:tcPr>
            <w:tcW w:type="dxa" w:w="1440"/>
            <w:shd w:fill="C6EFCE" w:val="clear"/>
          </w:tcPr>
          <w:p>
            <w:r>
              <w:rPr>
                <w:b/>
                <w:sz w:val="17"/>
              </w:rPr>
              <w:t>5,713</w:t>
            </w:r>
          </w:p>
        </w:tc>
        <w:tc>
          <w:tcPr>
            <w:tcW w:type="dxa" w:w="1440"/>
            <w:shd w:fill="C6EFCE" w:val="clear"/>
          </w:tcPr>
          <w:p>
            <w:r>
              <w:rPr>
                <w:sz w:val="17"/>
              </w:rPr>
              <w:t>6,422</w:t>
            </w:r>
          </w:p>
        </w:tc>
        <w:tc>
          <w:tcPr>
            <w:tcW w:type="dxa" w:w="1440"/>
            <w:shd w:fill="C6EFCE" w:val="clear"/>
          </w:tcPr>
          <w:p>
            <w:r>
              <w:rPr>
                <w:b/>
                <w:color w:val="008000"/>
                <w:sz w:val="17"/>
              </w:rPr>
              <w:t>+63.2%</w:t>
            </w:r>
          </w:p>
        </w:tc>
      </w:tr>
      <w:tr>
        <w:tc>
          <w:tcPr>
            <w:tcW w:type="dxa" w:w="1440"/>
            <w:shd w:fill="C6EFCE" w:val="clear"/>
          </w:tcPr>
          <w:p>
            <w:r>
              <w:rPr>
                <w:sz w:val="17"/>
              </w:rPr>
              <w:t>J+10  ⭐</w:t>
            </w:r>
          </w:p>
        </w:tc>
        <w:tc>
          <w:tcPr>
            <w:tcW w:type="dxa" w:w="1440"/>
            <w:shd w:fill="C6EFCE" w:val="clear"/>
          </w:tcPr>
          <w:p>
            <w:r>
              <w:rPr>
                <w:sz w:val="17"/>
              </w:rPr>
              <w:t>2026-09-10</w:t>
            </w:r>
          </w:p>
        </w:tc>
        <w:tc>
          <w:tcPr>
            <w:tcW w:type="dxa" w:w="1440"/>
            <w:shd w:fill="C6EFCE" w:val="clear"/>
          </w:tcPr>
          <w:p>
            <w:r>
              <w:rPr>
                <w:sz w:val="17"/>
              </w:rPr>
              <w:t>5,339</w:t>
            </w:r>
          </w:p>
        </w:tc>
        <w:tc>
          <w:tcPr>
            <w:tcW w:type="dxa" w:w="1440"/>
            <w:shd w:fill="C6EFCE" w:val="clear"/>
          </w:tcPr>
          <w:p>
            <w:r>
              <w:rPr>
                <w:b/>
                <w:sz w:val="17"/>
              </w:rPr>
              <w:t>6,142</w:t>
            </w:r>
          </w:p>
        </w:tc>
        <w:tc>
          <w:tcPr>
            <w:tcW w:type="dxa" w:w="1440"/>
            <w:shd w:fill="C6EFCE" w:val="clear"/>
          </w:tcPr>
          <w:p>
            <w:r>
              <w:rPr>
                <w:sz w:val="17"/>
              </w:rPr>
              <w:t>6,945</w:t>
            </w:r>
          </w:p>
        </w:tc>
        <w:tc>
          <w:tcPr>
            <w:tcW w:type="dxa" w:w="1440"/>
            <w:shd w:fill="C6EFCE" w:val="clear"/>
          </w:tcPr>
          <w:p>
            <w:r>
              <w:rPr>
                <w:b/>
                <w:color w:val="008000"/>
                <w:sz w:val="17"/>
              </w:rPr>
              <w:t>+75.5%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8.429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FFEB9C" w:val="clear"/>
          </w:tcPr>
          <w:p>
            <w:r>
              <w:rPr>
                <w:b/>
                <w:color w:val="006400"/>
                <w:sz w:val="17"/>
              </w:rPr>
              <w:t>7.400 Mds FCFA</w:t>
            </w:r>
          </w:p>
        </w:tc>
        <w:tc>
          <w:tcPr>
            <w:tcW w:type="dxa" w:w="5669"/>
            <w:shd w:fill="FFFFFF" w:val="clear"/>
          </w:tcPr>
          <w:p>
            <w:r>
              <w:rPr>
                <w:color w:val="282828"/>
                <w:sz w:val="15"/>
              </w:rPr>
              <w:t>Rotation stocks = 2.9x/an.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15.829 Mds FCFA</w:t>
            </w:r>
          </w:p>
        </w:tc>
        <w:tc>
          <w:tcPr>
            <w:tcW w:type="dxa" w:w="5669"/>
            <w:shd w:fill="FFFFFF" w:val="clear"/>
          </w:tcPr>
          <w:p>
            <w:r>
              <w:rPr>
                <w:color w:val="282828"/>
                <w:sz w:val="15"/>
              </w:rPr>
              <w:t>Ratio actif circ./passif circ. = 1.83x. ✅ Couverture satisfaisante des dettes court terme.</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809.13 M FCFA</w:t>
            </w:r>
          </w:p>
        </w:tc>
        <w:tc>
          <w:tcPr>
            <w:tcW w:type="dxa" w:w="5669"/>
            <w:shd w:fill="FFFFFF" w:val="clear"/>
          </w:tcPr>
          <w:p>
            <w:r>
              <w:rPr>
                <w:color w:val="282828"/>
                <w:sz w:val="15"/>
              </w:rPr>
              <w:t>Outil industriel (3.4%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2.641 Mds FCFA</w:t>
            </w:r>
          </w:p>
        </w:tc>
        <w:tc>
          <w:tcPr>
            <w:tcW w:type="dxa" w:w="5669"/>
            <w:shd w:fill="FFFFFF" w:val="clear"/>
          </w:tcPr>
          <w:p>
            <w:r>
              <w:rPr>
                <w:color w:val="282828"/>
                <w:sz w:val="15"/>
              </w:rPr>
              <w:t>Actif immobilisé = 11.2%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5.139 Mds FCFA</w:t>
            </w:r>
          </w:p>
        </w:tc>
        <w:tc>
          <w:tcPr>
            <w:tcW w:type="dxa" w:w="5669"/>
            <w:shd w:fill="FFFFFF" w:val="clear"/>
          </w:tcPr>
          <w:p>
            <w:r>
              <w:rPr>
                <w:color w:val="282828"/>
                <w:sz w:val="15"/>
              </w:rPr>
              <w:t>Liquidités disponibles (21.8%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23.609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740.00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7.166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9.346 Mds FCFA</w:t>
            </w:r>
          </w:p>
        </w:tc>
        <w:tc>
          <w:tcPr>
            <w:tcW w:type="dxa" w:w="5669"/>
            <w:shd w:fill="FFFFFF" w:val="clear"/>
          </w:tcPr>
          <w:p>
            <w:r>
              <w:rPr>
                <w:color w:val="282828"/>
                <w:sz w:val="15"/>
              </w:rPr>
              <w:t>Fonds propres = 39.6%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14.966 Mds FCFA</w:t>
            </w:r>
          </w:p>
        </w:tc>
        <w:tc>
          <w:tcPr>
            <w:tcW w:type="dxa" w:w="5669"/>
            <w:shd w:fill="FFFFFF" w:val="clear"/>
          </w:tcPr>
          <w:p>
            <w:r>
              <w:rPr>
                <w:color w:val="282828"/>
                <w:sz w:val="15"/>
              </w:rPr>
              <w:t>Capitaux permanents / Actif immobilisé = 5.67x.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417.60 M FCFA</w:t>
            </w:r>
          </w:p>
        </w:tc>
        <w:tc>
          <w:tcPr>
            <w:tcW w:type="dxa" w:w="5669"/>
            <w:shd w:fill="FFFFFF" w:val="clear"/>
          </w:tcPr>
          <w:p>
            <w:r>
              <w:rPr>
                <w:color w:val="282828"/>
                <w:sz w:val="15"/>
              </w:rPr>
              <w:t>Dette LT/MT = 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417.60 M FCFA</w:t>
            </w:r>
          </w:p>
        </w:tc>
        <w:tc>
          <w:tcPr>
            <w:tcW w:type="dxa" w:w="5669"/>
            <w:shd w:fill="FFFFFF" w:val="clear"/>
          </w:tcPr>
          <w:p>
            <w:r>
              <w:rPr>
                <w:color w:val="282828"/>
                <w:sz w:val="15"/>
              </w:rPr>
              <w:t>Dette financière totale = 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14.263 Mds FCFA</w:t>
            </w:r>
          </w:p>
        </w:tc>
        <w:tc>
          <w:tcPr>
            <w:tcW w:type="dxa" w:w="5669"/>
            <w:shd w:fill="FFFFFF" w:val="clear"/>
          </w:tcPr>
          <w:p>
            <w:r>
              <w:rPr>
                <w:color w:val="282828"/>
                <w:sz w:val="15"/>
              </w:rPr>
              <w:t>Dettes totales = 60.4%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21.263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21.263 Mds FCFA</w:t>
            </w:r>
          </w:p>
        </w:tc>
        <w:tc>
          <w:tcPr>
            <w:tcW w:type="dxa" w:w="5669"/>
            <w:shd w:fill="FFFFFF" w:val="clear"/>
          </w:tcPr>
          <w:p>
            <w:r>
              <w:rPr>
                <w:color w:val="282828"/>
                <w:sz w:val="15"/>
              </w:rPr>
              <w:t>Chiffre d'affaires. Croissance: 11.2%.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106.61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1.313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3.508 Mds FCFA</w:t>
            </w:r>
          </w:p>
        </w:tc>
        <w:tc>
          <w:tcPr>
            <w:tcW w:type="dxa" w:w="5669"/>
            <w:shd w:fill="FFFFFF" w:val="clear"/>
          </w:tcPr>
          <w:p>
            <w:r>
              <w:rPr>
                <w:color w:val="282828"/>
                <w:sz w:val="15"/>
              </w:rPr>
              <w:t>VA = 16.5%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2.195 Mds FCFA</w:t>
            </w:r>
          </w:p>
        </w:tc>
        <w:tc>
          <w:tcPr>
            <w:tcW w:type="dxa" w:w="5669"/>
            <w:shd w:fill="FFFFFF" w:val="clear"/>
          </w:tcPr>
          <w:p>
            <w:r>
              <w:rPr>
                <w:color w:val="282828"/>
                <w:sz w:val="15"/>
              </w:rPr>
              <w:t>EBE = 10.3%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2.089 Mds FCFA</w:t>
            </w:r>
          </w:p>
        </w:tc>
        <w:tc>
          <w:tcPr>
            <w:tcW w:type="dxa" w:w="5669"/>
            <w:shd w:fill="FFFFFF" w:val="clear"/>
          </w:tcPr>
          <w:p>
            <w:r>
              <w:rPr>
                <w:color w:val="282828"/>
                <w:sz w:val="15"/>
              </w:rPr>
              <w:t>Profit d'exploitation = 9.8%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3.401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1.439 Mds FCFA</w:t>
            </w:r>
          </w:p>
        </w:tc>
        <w:tc>
          <w:tcPr>
            <w:tcW w:type="dxa" w:w="5669"/>
            <w:shd w:fill="FFFFFF" w:val="clear"/>
          </w:tcPr>
          <w:p>
            <w:r>
              <w:rPr>
                <w:color w:val="282828"/>
                <w:sz w:val="15"/>
              </w:rPr>
              <w:t>Marge nette = 6.8%.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1.593 Mds FCFA</w:t>
            </w:r>
          </w:p>
        </w:tc>
        <w:tc>
          <w:tcPr>
            <w:tcW w:type="dxa" w:w="5669"/>
            <w:shd w:fill="FFFFFF" w:val="clear"/>
          </w:tcPr>
          <w:p>
            <w:r>
              <w:rPr>
                <w:color w:val="282828"/>
                <w:sz w:val="15"/>
              </w:rPr>
              <w:t>CAF = 1.59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-819.66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-163.04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-743.10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-982.71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7.186 Mds FCFA</w:t>
            </w:r>
          </w:p>
        </w:tc>
        <w:tc>
          <w:tcPr>
            <w:tcW w:type="dxa" w:w="5669"/>
            <w:shd w:fill="FFFFFF" w:val="clear"/>
          </w:tcPr>
          <w:p>
            <w:r>
              <w:rPr>
                <w:color w:val="282828"/>
                <w:sz w:val="15"/>
              </w:rPr>
              <w:t>BFR = 33.8%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12.325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5.139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16.50%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6.77%</w:t>
            </w:r>
          </w:p>
        </w:tc>
        <w:tc>
          <w:tcPr>
            <w:tcW w:type="dxa" w:w="5669"/>
            <w:shd w:fill="FFFFFF" w:val="clear"/>
          </w:tcPr>
          <w:p>
            <w:r>
              <w:rPr>
                <w:color w:val="282828"/>
                <w:sz w:val="15"/>
              </w:rPr>
              <w:t>Résultat net / revenus = 6.77%.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9.82%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15.40%</w:t>
            </w:r>
          </w:p>
        </w:tc>
        <w:tc>
          <w:tcPr>
            <w:tcW w:type="dxa" w:w="5669"/>
            <w:shd w:fill="FFFFFF" w:val="clear"/>
          </w:tcPr>
          <w:p>
            <w:r>
              <w:rPr>
                <w:color w:val="282828"/>
                <w:sz w:val="15"/>
              </w:rPr>
              <w:t>Résultat net / capitaux propres = 15.40%.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6.10%</w:t>
            </w:r>
          </w:p>
        </w:tc>
        <w:tc>
          <w:tcPr>
            <w:tcW w:type="dxa" w:w="5669"/>
            <w:shd w:fill="FFFFFF" w:val="clear"/>
          </w:tcPr>
          <w:p>
            <w:r>
              <w:rPr>
                <w:color w:val="282828"/>
                <w:sz w:val="15"/>
              </w:rPr>
              <w:t>Résultat net / total actif = 6.10%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90.06%</w:t>
            </w:r>
          </w:p>
        </w:tc>
        <w:tc>
          <w:tcPr>
            <w:tcW w:type="dxa" w:w="5669"/>
            <w:shd w:fill="FFFFFF" w:val="clear"/>
          </w:tcPr>
          <w:p>
            <w:r>
              <w:rPr>
                <w:color w:val="282828"/>
                <w:sz w:val="15"/>
              </w:rPr>
              <w:t>CA / total actif = 90.06x.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11.18%</w:t>
            </w:r>
          </w:p>
        </w:tc>
        <w:tc>
          <w:tcPr>
            <w:tcW w:type="dxa" w:w="5669"/>
            <w:shd w:fill="FFFFFF" w:val="clear"/>
          </w:tcPr>
          <w:p>
            <w:r>
              <w:rPr>
                <w:color w:val="282828"/>
                <w:sz w:val="15"/>
              </w:rPr>
              <w:t>Croissance CA vs exercice précédent = 11.18%.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39.58%</w:t>
            </w:r>
          </w:p>
        </w:tc>
        <w:tc>
          <w:tcPr>
            <w:tcW w:type="dxa" w:w="5669"/>
            <w:shd w:fill="FFFFFF" w:val="clear"/>
          </w:tcPr>
          <w:p>
            <w:r>
              <w:rPr>
                <w:color w:val="282828"/>
                <w:sz w:val="15"/>
              </w:rPr>
              <w:t>Fonds propres / total bilan = 39.58%.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4.47%</w:t>
            </w:r>
          </w:p>
        </w:tc>
        <w:tc>
          <w:tcPr>
            <w:tcW w:type="dxa" w:w="5669"/>
            <w:shd w:fill="FFFFFF" w:val="clear"/>
          </w:tcPr>
          <w:p>
            <w:r>
              <w:rPr>
                <w:color w:val="282828"/>
                <w:sz w:val="15"/>
              </w:rPr>
              <w:t>Dettes financières / total bilan = 4.47%.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60.42%</w:t>
            </w:r>
          </w:p>
        </w:tc>
        <w:tc>
          <w:tcPr>
            <w:tcW w:type="dxa" w:w="5669"/>
            <w:shd w:fill="FFFFFF" w:val="clear"/>
          </w:tcPr>
          <w:p>
            <w:r>
              <w:rPr>
                <w:color w:val="282828"/>
                <w:sz w:val="15"/>
              </w:rPr>
              <w:t>Dettes totales / fonds propres = 60.42%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165.52%</w:t>
            </w:r>
          </w:p>
        </w:tc>
        <w:tc>
          <w:tcPr>
            <w:tcW w:type="dxa" w:w="5669"/>
            <w:shd w:fill="FFFFFF" w:val="clear"/>
          </w:tcPr>
          <w:p>
            <w:r>
              <w:rPr>
                <w:color w:val="282828"/>
                <w:sz w:val="15"/>
              </w:rPr>
              <w:t>Total actif / dettes totales = 165.52x.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242.60%</w:t>
            </w:r>
          </w:p>
        </w:tc>
        <w:tc>
          <w:tcPr>
            <w:tcW w:type="dxa" w:w="5669"/>
            <w:shd w:fill="FFFFFF" w:val="clear"/>
          </w:tcPr>
          <w:p>
            <w:r>
              <w:rPr>
                <w:color w:val="282828"/>
                <w:sz w:val="15"/>
              </w:rPr>
              <w:t>Actif circulant / passif circulant = 242.60x.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59.46%</w:t>
            </w:r>
          </w:p>
        </w:tc>
        <w:tc>
          <w:tcPr>
            <w:tcW w:type="dxa" w:w="5669"/>
            <w:shd w:fill="FFFFFF" w:val="clear"/>
          </w:tcPr>
          <w:p>
            <w:r>
              <w:rPr>
                <w:color w:val="282828"/>
                <w:sz w:val="15"/>
              </w:rPr>
              <w:t>Trésorerie / passif circulant = 59.46x.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156.98%</w:t>
            </w:r>
          </w:p>
        </w:tc>
        <w:tc>
          <w:tcPr>
            <w:tcW w:type="dxa" w:w="5669"/>
            <w:shd w:fill="FFFFFF" w:val="clear"/>
          </w:tcPr>
          <w:p>
            <w:r>
              <w:rPr>
                <w:color w:val="282828"/>
                <w:sz w:val="15"/>
              </w:rPr>
              <w:t>(Actif circ. - stocks) / passif circ. = 156.98x.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566.61%</w:t>
            </w:r>
          </w:p>
        </w:tc>
        <w:tc>
          <w:tcPr>
            <w:tcW w:type="dxa" w:w="5669"/>
            <w:shd w:fill="FFFFFF" w:val="clear"/>
          </w:tcPr>
          <w:p>
            <w:r>
              <w:rPr>
                <w:color w:val="282828"/>
                <w:sz w:val="15"/>
              </w:rPr>
              <w:t>Capitaux permanents / actif immobilisé = 566.61x.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0.3 ans</w:t>
            </w:r>
          </w:p>
        </w:tc>
        <w:tc>
          <w:tcPr>
            <w:tcW w:type="dxa" w:w="5669"/>
            <w:shd w:fill="FFFFFF" w:val="clear"/>
          </w:tcPr>
          <w:p>
            <w:r>
              <w:rPr>
                <w:color w:val="282828"/>
                <w:sz w:val="15"/>
              </w:rPr>
              <w:t>Dettes financières / CAF = 0.3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976.79%</w:t>
            </w:r>
          </w:p>
        </w:tc>
        <w:tc>
          <w:tcPr>
            <w:tcW w:type="dxa" w:w="5669"/>
            <w:shd w:fill="FFFFFF" w:val="clear"/>
          </w:tcPr>
          <w:p>
            <w:r>
              <w:rPr>
                <w:color w:val="282828"/>
                <w:sz w:val="15"/>
              </w:rPr>
              <w:t>CAF / investissements = 976.79x.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144.7 j</w:t>
            </w:r>
          </w:p>
        </w:tc>
        <w:tc>
          <w:tcPr>
            <w:tcW w:type="dxa" w:w="5669"/>
            <w:shd w:fill="FFFFFF" w:val="clear"/>
          </w:tcPr>
          <w:p>
            <w:r>
              <w:rPr>
                <w:color w:val="282828"/>
                <w:sz w:val="15"/>
              </w:rPr>
              <w:t>Les clients paient en moyenne en 145 jours. ❌ Délai critique — process de recouvrement à revoir.</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152.1 j</w:t>
            </w:r>
          </w:p>
        </w:tc>
        <w:tc>
          <w:tcPr>
            <w:tcW w:type="dxa" w:w="5669"/>
            <w:shd w:fill="FFFFFF" w:val="clear"/>
          </w:tcPr>
          <w:p>
            <w:r>
              <w:rPr>
                <w:color w:val="282828"/>
                <w:sz w:val="15"/>
              </w:rPr>
              <w:t>Stock écoulé en 152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CABC s'établit à 20,72 milliards FCFA, un niveau modeste dans l'écosystème BRVM, reflétant le profil de valeur moyenne de l'entreprise. Avec un BPA de 243 FCFA, le titre se négocie à un PER de 14,4x, ce qui représente une prime significative par rapport à la moyenne du marché BRVM (8-12x). Cette valorisation suggère que les investisseurs intègrent déjà des perspectives de croissance future. Le P/B de 2,22x indique que le marché valorise la société au-dessus de sa valeur comptable, traduisant une prime de croissance accordée aux actifs. Enfin, l'EV/EBITDA de 7,3x se situe dans une fourchette raisonnable (5-10x), signalant une valorisation opérationnelle cohérente avec la capacité bénéficiaire de l'entreprise.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CABC a enregistré une baisse de 4,24%, avec un cours actuel de 3 500 FCFA, tandis que la dernière séance s'est soldée par une stabilité (+0,00%). Le titre a évolué dans une fourchette de 3 350 à 4 500 FCFA, démontrant une amplitude de trading de 1 150 FCFA. La moyenne de 3 774 FCFA est supérieure à la médiane de 3 700 FCFA, indiquant une asymétrie positive (skewness de 0,741) avec davantage de journées sous la moyenne. L'écart-type de 286 FCFA (CV=7,6%) révèle une dispersion modérée, tandis que le kurtosis de -0,109 (mésokurtique) suggère une distribution proche de la normale, sans risque de pics extrêmes. La volatilité annualisée de 54,2% classe le titre comme très volatil (&gt;30%), un niveau élevé qui reflète une incertitude marquée sur le marché.</w:t>
      </w:r>
    </w:p>
    <w:p>
      <w:pPr>
        <w:spacing w:after="120" w:line="276" w:lineRule="auto" w:before="240"/>
      </w:pPr>
      <w:r>
        <w:rPr>
          <w:b/>
          <w:color w:val="003366"/>
          <w:sz w:val="24"/>
        </w:rPr>
        <w:t>**PARTIE 2 : ANALYSE TECHNIQUE DÉTAILLÉE**</w:t>
      </w:r>
    </w:p>
    <w:p>
      <w:pPr>
        <w:spacing w:after="120" w:line="276" w:lineRule="auto"/>
      </w:pPr>
      <w:r>
        <w:t>**Moyennes Mobiles** : Le cours actuel de 3 500 FCFA se situe sous la MM20 (3 555,75 FCFA) et nettement sous la MM50 (3 812,3 FCFA), confirmant une tendance baissière à court et moyen terme. La configuration des moyennes mobiles, avec le cours sous les deux niveaux clés, justifie la décision de Vente, car elle indique une pression vendeuse persistante.</w:t>
      </w:r>
    </w:p>
    <w:p>
      <w:pPr>
        <w:spacing w:after="120" w:line="276" w:lineRule="auto"/>
      </w:pPr>
      <w:r>
        <w:t>**Bandes de Bollinger** : Le prix évolue à 3 500 FCFA, proche de la borne inférieure (3 407,63 FCFA) et loin de la borne supérieure (3 703,87 FCFA), suggérant une volatilité modérée. La position du cours dans la partie basse des bandes indique un potentiel de rebond technique, mais sans signal directionnel fort, d'où la décision Neutre.</w:t>
      </w:r>
    </w:p>
    <w:p>
      <w:pPr>
        <w:spacing w:after="120" w:line="276" w:lineRule="auto"/>
      </w:pPr>
      <w:r>
        <w:t>**MACD** : La valeur MACD de -52,755 est supérieure au signal de -63,951, formant un croisement haussier qui signale un momentum positif émergent. Cette divergence positive, bien que modeste, justifie la décision d'Achat, indiquant un possible retournement de tendance à court terme.</w:t>
      </w:r>
    </w:p>
    <w:p>
      <w:pPr>
        <w:spacing w:after="120" w:line="276" w:lineRule="auto"/>
      </w:pPr>
      <w:r>
        <w:t>**RSI** : Le RSI de 50,0 se situe exactement à la neutralité, dans la zone 30-70, signifiant que le titre n'est ni suracheté ni survendu. Cette valeur reflète un équilibre entre acheteurs et vendeurs, justifiant la décision Neutre.</w:t>
      </w:r>
    </w:p>
    <w:p>
      <w:pPr>
        <w:spacing w:after="120" w:line="276" w:lineRule="auto"/>
      </w:pPr>
      <w:r>
        <w:t>**Stochastique** : Le %K de 4,651 est très bas et le %D de 24,115 indique une zone de survente extrême. Le croisement potentiel du %K au-dessus du %D pourrait signaler un rebond imminent, justifiant la décision d'Achat.</w:t>
      </w:r>
    </w:p>
    <w:p>
      <w:pPr>
        <w:spacing w:after="120" w:line="276" w:lineRule="auto"/>
      </w:pPr>
      <w:r>
        <w:t>**Conclusion technique** : Les indicateurs sont mitigés, avec une tendance baissière dominante (MM) mais des signaux de retournement émergents (MACD, Stochastique). Le RSI neutre et les bandes de Bollinger suggèrent une stabilisation. Globalement, la configuration technique est en phase de transition, avec un potentiel de rebond à court terme mais une tendance de fond encore baissière.</w:t>
      </w:r>
    </w:p>
    <w:p>
      <w:pPr>
        <w:spacing w:after="120" w:line="276" w:lineRule="auto" w:before="240"/>
      </w:pPr>
      <w:r>
        <w:rPr>
          <w:b/>
          <w:color w:val="003366"/>
          <w:sz w:val="24"/>
        </w:rPr>
        <w:t>**PARTIE 3 : ANALYSE FONDAMENTALE (SECTION CRITIQUE)**</w:t>
      </w:r>
    </w:p>
    <w:p>
      <w:pPr>
        <w:spacing w:after="120" w:line="276" w:lineRule="auto"/>
      </w:pPr>
      <w:r>
        <w:t>En 2025, les données structurées officielles de CABC révèlent un chiffre d'affaires de 21,263 milliards FCFA, en croissance de 11,2% par rapport à 2024, et un résultat net de 1,439 milliard FCFA. La marge nette s'établit à 6,77%, le ROE à 15,40% (excellent, &gt;15%) et le ROA à 6,10%. L'entreprise affiche une autonomie financière saine (39,58%) et une solvabilité générale de 165,52%. Cependant, le BFR de 7,186 milliards FCFA et le délai clients de 144,69 jours signalent un risque de trésorerie lié aux créances. Le rapport du 3ème trimestre 2025 (publié en 2026) confirme cette dynamique avec un CA cumulé de 16,630 milliards FCFA (+13,7%) et un résultat net de 1,329 milliard FCFA (+26%). Sur la base de ces tendances, on estime que l'exercice 2025 devrait confirmer une croissance soutenue, avec un résultat net annuel supérieur à 1,4 milliard FCFA. Les rapports 2024 (certifiés) montrent une amélioration progressive, avec un CA de 19,125 milliards FCFA et un résultat net de 1,225 milliard FCFA. La société reste néanmoins exposée à la volatilité des cours du cuivre et à la pression concurrentielle, mais sa trésorerie nette de 5,139 milliards FCFA offre une marge de sécurité.</w:t>
      </w:r>
    </w:p>
    <w:p>
      <w:pPr>
        <w:spacing w:after="120" w:line="276" w:lineRule="auto" w:before="240"/>
      </w:pPr>
      <w:r>
        <w:rPr>
          <w:b/>
          <w:color w:val="003366"/>
          <w:sz w:val="24"/>
        </w:rPr>
        <w:t>**PARTIE 4 : CONCLUSION D'INVESTISSEMENT**</w:t>
      </w:r>
    </w:p>
    <w:p>
      <w:pPr>
        <w:spacing w:after="120" w:line="276" w:lineRule="auto"/>
      </w:pPr>
      <w:r>
        <w:t>La valorisation de CABC (PER 14,4x, P/B 2,22x) indique une prime par rapport au marché BRVM, reflétant des attentes de croissance, mais le comportement du cours montre une tendance baissière (-4,24% sur 100 jours) avec une volatilité élevée (54,2%). Les signaux techniques sont mitigés, avec une tendance baissière (MM) mais des indicateurs de retournement (MACD, Stochastique) suggérant un potentiel de rebond. Les fondamentaux sont solides, avec une croissance du CA de 11,2% en 2025, un ROE de 15,4% et une trésorerie positive, mais le BFR et les délais clients restent des points de vigilance. Les prédictions IA (3 634 à 4 393 FCFA sur 10 jours) confirment un potentiel haussier à court terme, en cohérence avec les signaux techniques. En synthèse, la convergence entre les fondamentaux solides, les signaux de retournement technique et les prédictions IA positives suggère une **recommandation ACHAT**, avec un niveau de confiance **Moyen** et un risque global **Élevé** (volatilité et dépendance aux matières premières). L'horizon d'investissement optimal serait le **moyen terme (3-12 mois)**, en surveillant la gestion du BFR et l'évolution des marges.</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stable avec un r\u00e9sultat net en progression malgr\u00e9 les d\u00e9fis op\u00e9rationnels. Les perspectives de maintien du chiffre d'affaires et la gestion des provisions sugg\u00e8rent une situation ma\u00eetris\u00e9e."}</w:t>
      </w:r>
    </w:p>
    <w:p>
      <w:pPr>
        <w:spacing w:before="40"/>
        <w:ind w:left="400"/>
      </w:pPr>
      <w:r>
        <w:rPr>
          <w:sz w:val="18"/>
        </w:rPr>
        <w:t>SICABLE présente des résultats mitigés au 3ème trimestre 2023 avec un chiffre d'affaires quasi stable à 13 047,8 millions FCFA (-0,6% vs 2022). Le résultat d'exploitation baisse de 4,9% à 1 231,3 millions FCFA malgré l'actualisation des provisions qualité. Le résultat net affiche une amélioration de 2,8% à 887 millions FCFA. La société fait face à des défis de mix produit défavorable impactant ses marges. La direction anticipe un maintien du chiffre d'affaires au niveau de l'année précédente pour la fin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'740 millions FCFA', 'resultat_exploitation': '1 231,3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887,0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13 047,8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13 047,8 millions FCFA (-0,6% vs 2022)</w:t>
      </w:r>
    </w:p>
    <w:p>
      <w:pPr>
        <w:pStyle w:val="ListBullet"/>
        <w:spacing w:before="20" w:after="20"/>
        <w:ind w:left="700"/>
      </w:pPr>
      <w:r>
        <w:rPr>
          <w:sz w:val="18"/>
        </w:rPr>
        <w:t>Résultat d'exploitation en baisse de 4,9% à 1 231,3 millions FCFA</w:t>
      </w:r>
    </w:p>
    <w:p>
      <w:pPr>
        <w:pStyle w:val="ListBullet"/>
        <w:spacing w:before="20" w:after="20"/>
        <w:ind w:left="700"/>
      </w:pPr>
      <w:r>
        <w:rPr>
          <w:sz w:val="18"/>
        </w:rPr>
        <w:t>Résultat net en hausse de 2,8% à 887 millions FCFA</w:t>
      </w:r>
    </w:p>
    <w:p>
      <w:pPr>
        <w:pStyle w:val="ListBullet"/>
        <w:spacing w:before="20" w:after="20"/>
        <w:ind w:left="700"/>
      </w:pPr>
      <w:r>
        <w:rPr>
          <w:sz w:val="18"/>
        </w:rPr>
        <w:t>Impact négatif du mix produit défavorable sur les marges</w:t>
      </w:r>
    </w:p>
    <w:p>
      <w:pPr>
        <w:pStyle w:val="ListBullet"/>
        <w:spacing w:before="20" w:after="20"/>
        <w:ind w:left="700"/>
      </w:pPr>
      <w:r>
        <w:rPr>
          <w:sz w:val="18"/>
        </w:rPr>
        <w:t>Actualisation des provisions qualité ayant limité la baisse du résultat d'exploitation</w:t>
      </w:r>
    </w:p>
    <w:p>
      <w:pPr>
        <w:pStyle w:val="ListBullet"/>
        <w:spacing w:before="20" w:after="20"/>
        <w:ind w:left="700"/>
      </w:pPr>
      <w:r>
        <w:rPr>
          <w:sz w:val="18"/>
        </w:rPr>
        <w:t>Prévision de maintien du chiffre d'affaires en fin d'année au niveau 2022</w:t>
      </w:r>
    </w:p>
    <w:p>
      <w:pPr>
        <w:spacing w:before="40"/>
        <w:ind w:left="400"/>
      </w:pPr>
      <w:r>
        <w:rPr>
          <w:b/>
          <w:color w:val="C05000"/>
          <w:sz w:val="18"/>
        </w:rPr>
        <w:t xml:space="preserve">⚠️ Risques : </w:t>
      </w:r>
      <w:r>
        <w:rPr>
          <w:sz w:val="18"/>
        </w:rPr>
        <w:t>["Persistance du mix produit d\u00e9favorable impactant la rentabilit\u00e9", "Baisse continue du r\u00e9sultat d'exploitation (-4,9%)", "D\u00e9pendance aux ajustements comptables (provisions qualit\u00e9) pour maintenir la performance"]</w:t>
      </w:r>
    </w:p>
    <w:p>
      <w:pPr>
        <w:spacing w:before="40"/>
        <w:ind w:left="400"/>
      </w:pPr>
      <w:r>
        <w:rPr>
          <w:b/>
          <w:color w:val="0064A0"/>
          <w:sz w:val="18"/>
        </w:rPr>
        <w:t xml:space="preserve">🔮 Perspectives : </w:t>
      </w:r>
      <w:r>
        <w:rPr>
          <w:sz w:val="18"/>
        </w:rPr>
        <w:t>La direction anticipe un maintien du chiffre d'affaires au niveau de 2022 pour la fin d'année. Les enjeux portent sur l'amélioration du mix produit et la préservation des marges dans un environnement concurrentiel.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en progression et anticipe un CA stable en fin d'ann\u00e9e. Les activit\u00e9s de diversification (n\u00e9goce et services) compensent partiellement les difficult\u00e9s sur les produits manufactur\u00e9s."}</w:t>
      </w:r>
    </w:p>
    <w:p>
      <w:pPr>
        <w:spacing w:before="40"/>
        <w:ind w:left="400"/>
      </w:pPr>
      <w:r>
        <w:rPr>
          <w:sz w:val="18"/>
        </w:rPr>
        <w:t>SICABLE affiche un chiffre d'affaires stable à 8 488,9 MFCFA au S1 2023 (-0,3% vs S1 2022) mais fait face à une forte détérioration de sa profitabilité opérationnelle avec une valeur ajoutée et un EBE en baisse de 41,5% et 54,1% respectivement. Le résultat d'exploitation se redresse néanmoins à 1 005,2 MFCFA (+7,8%) grâce aux reprises de provisions liées à la baisse des cours des matières premières. Le résultat net progresse significativement de 21,5% à 747,8 MFCFA, soutenu par une baisse des impôts. La société évolue dans un contexte difficile marqué par le ralentissement du marché de la moyenne tension et les difficultés de financement de sa clientèle.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'603,7 MFCFA', 'impots': '275,2 MFCFA', 'valeur_ajoutee': '1 177,6 MFCFA', 'resultat_exploitation': '1 005,2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747,8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à 1 005,2 MFCFA grâce aux reprises de provisions</w:t>
      </w:r>
    </w:p>
    <w:p>
      <w:pPr>
        <w:pStyle w:val="ListBullet"/>
        <w:spacing w:before="20" w:after="20"/>
        <w:ind w:left="700"/>
      </w:pPr>
      <w:r>
        <w:rPr>
          <w:sz w:val="18"/>
        </w:rPr>
        <w:t>Résultat net en progression de 21,5% à 747,8 MFCFA</w:t>
      </w:r>
    </w:p>
    <w:p>
      <w:pPr>
        <w:pStyle w:val="ListBullet"/>
        <w:spacing w:before="20" w:after="20"/>
        <w:ind w:left="700"/>
      </w:pPr>
      <w:r>
        <w:rPr>
          <w:sz w:val="18"/>
        </w:rPr>
        <w:t>Activités négoce (+12%) et services (+43%) en croissance, mais ventes de produits fabriqués en recul de 5%</w:t>
      </w:r>
    </w:p>
    <w:p>
      <w:pPr>
        <w:pStyle w:val="ListBullet"/>
        <w:spacing w:before="20" w:after="20"/>
        <w:ind w:left="700"/>
      </w:pPr>
      <w:r>
        <w:rPr>
          <w:sz w:val="18"/>
        </w:rPr>
        <w:t>Ralentissement du marché de la moyenne tension impactant la production de câbles aluminium</w:t>
      </w:r>
    </w:p>
    <w:p>
      <w:pPr>
        <w:spacing w:before="40"/>
        <w:ind w:left="400"/>
      </w:pPr>
      <w:r>
        <w:rPr>
          <w:b/>
          <w:color w:val="C05000"/>
          <w:sz w:val="18"/>
        </w:rPr>
        <w:t xml:space="preserve">⚠️ Risques : </w:t>
      </w:r>
      <w:r>
        <w:rPr>
          <w:sz w:val="18"/>
        </w:rPr>
        <w:t>["Ralentissement persistant du march\u00e9 de la moyenne tension affectant l'activit\u00e9 principale", "Difficult\u00e9s de financement des clients impactant les ventes et augmentant les risques de cr\u00e9ances", "Volatilit\u00e9 des cours des mati\u00e8res premi\u00e8res (cuivre, aluminium) affec</w:t>
      </w:r>
    </w:p>
    <w:p>
      <w:pPr>
        <w:spacing w:before="40"/>
        <w:ind w:left="400"/>
      </w:pPr>
      <w:r>
        <w:rPr>
          <w:b/>
          <w:color w:val="0064A0"/>
          <w:sz w:val="18"/>
        </w:rPr>
        <w:t xml:space="preserve">🔮 Perspectives : </w:t>
      </w:r>
      <w:r>
        <w:rPr>
          <w:sz w:val="18"/>
        </w:rPr>
        <w:t>La direction anticipe un chiffre d'affaires maintenu au niveau de l'année précédente en fin 2023. Les activités de diversification (négoce et services) devraient continuer à soutenir la performance globale malgré les défis persistants sur le marché des câbles électriques de moyenne tension.</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sa rentabilit\u00e9 nette avec une progression notable du r\u00e9sultat net. La gestion prudente des provisions et l'anticipation d'un maintien du CA en fin d'ann\u00e9e justifient une approche attentiste."}</w:t>
      </w:r>
    </w:p>
    <w:p>
      <w:pPr>
        <w:spacing w:before="40"/>
        <w:ind w:left="400"/>
      </w:pPr>
      <w:r>
        <w:rPr>
          <w:sz w:val="18"/>
        </w:rPr>
        <w:t>SICABLE affiche un chiffre d'affaires stable à 8 489 MFCFA au S1 2023 (-0,3% vs S1 2022) mais avec une forte détérioration de la rentabilité opérationnelle. La valeur ajoutée chute de 41,5% et l'EBE de 54,1%, principalement due au ralentissement du marché moyenne tension et aux difficultés de financement des clients. Malgré cela, le résultat d'exploitation se redresse (+7,8%) grâce aux reprises de provisions liées à la baisse des cours des matières premières. Le résultat net progresse significativement de 21,5% à 748 MFCFA. La société opère dans un environnement difficile avec des défis sur la production de câbles aluminium et la dépréciation des stocks.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'604 MFCFA', 'impots': '275 MFCFA', 'valeur_ajoutee': '1 178 MFCFA', 'resultat_exploitation': '1 005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748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8 489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8 489 MFCFA (-0,3% vs S1 2022)</w:t>
      </w:r>
    </w:p>
    <w:p>
      <w:pPr>
        <w:pStyle w:val="ListBullet"/>
        <w:spacing w:before="20" w:after="20"/>
        <w:ind w:left="700"/>
      </w:pPr>
      <w:r>
        <w:rPr>
          <w:sz w:val="18"/>
        </w:rPr>
        <w:t>Forte dégradation de la valeur ajoutée (-41,5%) et de l'EBE (-54,1%)</w:t>
      </w:r>
    </w:p>
    <w:p>
      <w:pPr>
        <w:pStyle w:val="ListBullet"/>
        <w:spacing w:before="20" w:after="20"/>
        <w:ind w:left="700"/>
      </w:pPr>
      <w:r>
        <w:rPr>
          <w:sz w:val="18"/>
        </w:rPr>
        <w:t>Résultat d'exploitation en hausse de 7,8% grâce aux reprises de provisions</w:t>
      </w:r>
    </w:p>
    <w:p>
      <w:pPr>
        <w:pStyle w:val="ListBullet"/>
        <w:spacing w:before="20" w:after="20"/>
        <w:ind w:left="700"/>
      </w:pPr>
      <w:r>
        <w:rPr>
          <w:sz w:val="18"/>
        </w:rPr>
        <w:t>Résultat net en forte progression (+21,5%) à 748 MFCFA</w:t>
      </w:r>
    </w:p>
    <w:p>
      <w:pPr>
        <w:pStyle w:val="ListBullet"/>
        <w:spacing w:before="20" w:after="20"/>
        <w:ind w:left="700"/>
      </w:pPr>
      <w:r>
        <w:rPr>
          <w:sz w:val="18"/>
        </w:rPr>
        <w:t>Ralentissement du marché moyenne tension impactant la production</w:t>
      </w:r>
    </w:p>
    <w:p>
      <w:pPr>
        <w:pStyle w:val="ListBullet"/>
        <w:spacing w:before="20" w:after="20"/>
        <w:ind w:left="700"/>
      </w:pPr>
      <w:r>
        <w:rPr>
          <w:sz w:val="18"/>
        </w:rPr>
        <w:t>Difficultés de financement des clients affectant les ventes</w:t>
      </w:r>
    </w:p>
    <w:p>
      <w:pPr>
        <w:spacing w:before="40"/>
        <w:ind w:left="400"/>
      </w:pPr>
      <w:r>
        <w:rPr>
          <w:b/>
          <w:color w:val="C05000"/>
          <w:sz w:val="18"/>
        </w:rPr>
        <w:t xml:space="preserve">⚠️ Risques : </w:t>
      </w:r>
      <w:r>
        <w:rPr>
          <w:sz w:val="18"/>
        </w:rPr>
        <w:t>["Ralentissement persistant du march\u00e9 moyenne tension affectant la demande", "Difficult\u00e9s de financement des clients impactant les ventes futures", "Volatilit\u00e9 des cours des mati\u00e8res premi\u00e8res (cuivre, aluminium) affectant les marges"]</w:t>
      </w:r>
    </w:p>
    <w:p>
      <w:pPr>
        <w:spacing w:before="40"/>
        <w:ind w:left="400"/>
      </w:pPr>
      <w:r>
        <w:rPr>
          <w:b/>
          <w:color w:val="0064A0"/>
          <w:sz w:val="18"/>
        </w:rPr>
        <w:t xml:space="preserve">🔮 Perspectives : </w:t>
      </w:r>
      <w:r>
        <w:rPr>
          <w:sz w:val="18"/>
        </w:rPr>
        <w:t>La direction anticipe un maintien du chiffre d'affaires au niveau de l'année précédente en fin 2023. La société devra surveiller l'évolution du marché moyenne tension et la capacité de financement de ses clients pour assurer sa croissance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"Performance financi\u00e8re solide avec am\u00e9lioration de la rentabilit\u00e9 et diversification client r\u00e9ussie. Position de tr\u00e9sorerie tr\u00e8s forte offrant une s\u00e9curit\u00e9 et des opportunit\u00e9s d'investissement."}</w:t>
      </w:r>
    </w:p>
    <w:p>
      <w:pPr>
        <w:spacing w:before="40"/>
        <w:ind w:left="400"/>
      </w:pPr>
      <w:r>
        <w:rPr>
          <w:sz w:val="18"/>
        </w:rPr>
        <w:t>SICABLE a réalisé en 2023 un chiffre d'affaires de 17,753 milliards FCFA (+8% vs 2022) avec un résultat net de 1,430 milliards FCFA (+33% vs 2022). La société a bénéficié d'une forte croissance du négoce (+29%) et d'une diversification réussie de son portefeuille client en Côte d'Ivoire. La rentabilité s'améliore avec une marge nette de 8,1% contre 6,5% en 2022. La trésorerie nette s'établit à 6,491 milliards FCFA (+74% vs 2022), témoignant d'une solide position financière. L'entreprise propose un dividende de 88,42 FCFA par action pour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'+8%', 'ratio_dividende': '37%', 'tresorerie_nette': '6,491 milliards FCFA', 'variation_resultat_net': '+33%'}</w:t>
            </w:r>
          </w:p>
        </w:tc>
        <w:tc>
          <w:tcPr>
            <w:tcW w:type="dxa" w:w="2160"/>
          </w:tcPr>
          <w:p>
            <w:pPr>
              <w:ind w:left="100"/>
            </w:pPr>
            <w:r/>
            <w:r>
              <w:rPr>
                <w:b/>
                <w:sz w:val="16"/>
              </w:rPr>
              <w:t>dividende</w:t>
              <w:br/>
            </w:r>
            <w:r>
              <w:rPr>
                <w:sz w:val="18"/>
              </w:rPr>
              <w:t>88,42 FCFA par action</w:t>
            </w:r>
          </w:p>
        </w:tc>
        <w:tc>
          <w:tcPr>
            <w:tcW w:type="dxa" w:w="2160"/>
          </w:tcPr>
          <w:p>
            <w:pPr>
              <w:ind w:left="100"/>
            </w:pPr>
            <w:r/>
            <w:r>
              <w:rPr>
                <w:b/>
                <w:sz w:val="16"/>
              </w:rPr>
              <w:t>marge_nette</w:t>
              <w:br/>
            </w:r>
            <w:r>
              <w:rPr>
                <w:sz w:val="18"/>
              </w:rPr>
              <w:t>8,1%</w:t>
            </w:r>
          </w:p>
        </w:tc>
        <w:tc>
          <w:tcPr>
            <w:tcW w:type="dxa" w:w="2160"/>
          </w:tcPr>
          <w:p>
            <w:pPr>
              <w:ind w:left="100"/>
            </w:pPr>
            <w:r/>
            <w:r>
              <w:rPr>
                <w:b/>
                <w:sz w:val="16"/>
              </w:rPr>
              <w:t>total_actif</w:t>
              <w:br/>
            </w:r>
            <w:r>
              <w:rPr>
                <w:sz w:val="18"/>
              </w:rPr>
              <w:t>19,350 milliards FCFA</w:t>
            </w:r>
          </w:p>
        </w:tc>
      </w:tr>
      <w:tr>
        <w:tc>
          <w:tcPr>
            <w:tcW w:type="dxa" w:w="2160"/>
          </w:tcPr>
          <w:p>
            <w:r/>
            <w:r>
              <w:rPr>
                <w:b/>
                <w:sz w:val="16"/>
              </w:rPr>
              <w:t>resultat_net</w:t>
              <w:br/>
            </w:r>
            <w:r>
              <w:rPr>
                <w:sz w:val="18"/>
              </w:rPr>
              <w:t>1,430 milliards FCFA</w:t>
            </w:r>
          </w:p>
        </w:tc>
        <w:tc>
          <w:tcPr>
            <w:tcW w:type="dxa" w:w="2160"/>
          </w:tcPr>
          <w:p>
            <w:r/>
            <w:r>
              <w:rPr>
                <w:b/>
                <w:sz w:val="16"/>
              </w:rPr>
              <w:t>capitaux_propres</w:t>
              <w:br/>
            </w:r>
            <w:r>
              <w:rPr>
                <w:sz w:val="18"/>
              </w:rPr>
              <w:t>7,338 milliards FCFA</w:t>
            </w:r>
          </w:p>
        </w:tc>
        <w:tc>
          <w:tcPr>
            <w:tcW w:type="dxa" w:w="2160"/>
          </w:tcPr>
          <w:p>
            <w:r/>
            <w:r>
              <w:rPr>
                <w:b/>
                <w:sz w:val="16"/>
              </w:rPr>
              <w:t>chiffre_affaires</w:t>
              <w:br/>
            </w:r>
            <w:r>
              <w:rPr>
                <w:sz w:val="18"/>
              </w:rPr>
              <w:t>17,753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8% à 17,753 milliards FCFA</w:t>
      </w:r>
    </w:p>
    <w:p>
      <w:pPr>
        <w:pStyle w:val="ListBullet"/>
        <w:spacing w:before="20" w:after="20"/>
        <w:ind w:left="700"/>
      </w:pPr>
      <w:r>
        <w:rPr>
          <w:sz w:val="18"/>
        </w:rPr>
        <w:t>Forte progression du résultat net de 33% à 1,430 milliards FCFA</w:t>
      </w:r>
    </w:p>
    <w:p>
      <w:pPr>
        <w:pStyle w:val="ListBullet"/>
        <w:spacing w:before="20" w:after="20"/>
        <w:ind w:left="700"/>
      </w:pPr>
      <w:r>
        <w:rPr>
          <w:sz w:val="18"/>
        </w:rPr>
        <w:t>Diversification réussie du portefeuille client avec réduction de la dépendance aux distributeurs historiques</w:t>
      </w:r>
    </w:p>
    <w:p>
      <w:pPr>
        <w:pStyle w:val="ListBullet"/>
        <w:spacing w:before="20" w:after="20"/>
        <w:ind w:left="700"/>
      </w:pPr>
      <w:r>
        <w:rPr>
          <w:sz w:val="18"/>
        </w:rPr>
        <w:t>Amélioration significative de la trésorerie nette (+74%) à 6,491 milliards FCFA</w:t>
      </w:r>
    </w:p>
    <w:p>
      <w:pPr>
        <w:pStyle w:val="ListBullet"/>
        <w:spacing w:before="20" w:after="20"/>
        <w:ind w:left="700"/>
      </w:pPr>
      <w:r>
        <w:rPr>
          <w:sz w:val="18"/>
        </w:rPr>
        <w:t>Forte croissance de l'activité négoce (+29%) compensant la baisse des volumes de production</w:t>
      </w:r>
    </w:p>
    <w:p>
      <w:pPr>
        <w:pStyle w:val="ListBullet"/>
        <w:spacing w:before="20" w:after="20"/>
        <w:ind w:left="700"/>
      </w:pPr>
      <w:r>
        <w:rPr>
          <w:sz w:val="18"/>
        </w:rPr>
        <w:t>Obtention des trois certifications ISO 9001-14001-45001 et record de sécurité avec 486 jours sans accident</w:t>
      </w:r>
    </w:p>
    <w:p>
      <w:pPr>
        <w:spacing w:before="40"/>
        <w:ind w:left="400"/>
      </w:pPr>
      <w:r>
        <w:rPr>
          <w:b/>
          <w:color w:val="C05000"/>
          <w:sz w:val="18"/>
        </w:rPr>
        <w:t xml:space="preserve">⚠️ Risques : </w:t>
      </w:r>
      <w:r>
        <w:rPr>
          <w:sz w:val="18"/>
        </w:rPr>
        <w:t>["Difficult\u00e9s persistantes dans le secteur des infrastructures d'\u00e9nergie affectant la demande", "Hausse g\u00e9n\u00e9ralis\u00e9e des co\u00fbts de facteurs (SMIG, \u00e9lectricit\u00e9, carburants) pesant sur la comp\u00e9titivit\u00e9", "Probl\u00e8mes logistiques li\u00e9s aux d\u00e9t</w:t>
      </w:r>
    </w:p>
    <w:p>
      <w:pPr>
        <w:spacing w:before="40"/>
        <w:ind w:left="400"/>
      </w:pPr>
      <w:r>
        <w:rPr>
          <w:b/>
          <w:color w:val="0064A0"/>
          <w:sz w:val="18"/>
        </w:rPr>
        <w:t xml:space="preserve">🔮 Perspectives : </w:t>
      </w:r>
      <w:r>
        <w:rPr>
          <w:sz w:val="18"/>
        </w:rPr>
        <w:t>Pour 2024, SICABLE vise une croissance de production de 25-30% si les ventes le permettent, avec un focus sur le développement de nouveaux marchés (énergies renouvelables, eau). L'entreprise mise sur le renforcement des synergies avec le groupe Prysmian et la digitalisation pour améliorer son agilit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baisse de performance est temporaire et li\u00e9e \u00e0 une maintenance planifi\u00e9e. Les perspectives de rattrapage et normalisation sont encourageantes avec la reprise de production et la demande croissante."}</w:t>
      </w:r>
    </w:p>
    <w:p>
      <w:pPr>
        <w:spacing w:before="40"/>
        <w:ind w:left="400"/>
      </w:pPr>
      <w:r>
        <w:rPr>
          <w:sz w:val="18"/>
        </w:rPr>
        <w:t>SICABLE affiche des résultats trimestriels fortement dégradés au T1 2026 avec un chiffre d'affaires en baisse de 26,5% à 3 794 MFCFA. La société enregistre une perte d'exploitation de 237 MFCFA contre un bénéfice de 432 MFCFA l'année précédente. Cette dégradation s'explique par une maintenance planifiée du parc machines et l'inflation des cours des métaux (+23% en 3 mois). Les volumes de vente ont chuté de 27% par rapport au T1 2025. La direction anticipe une normalisation des performances avec le redémarrage complet de la production et une demande croissante observée en avril.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'-26,5%', 'resultat_exploitation': '-236,6 MFCFA', 'variation_resultat_net': '-205,0%'}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-221,7 MFCFA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3 793,9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26,5% à 3 794 MFCFA au T1 2026</w:t>
      </w:r>
    </w:p>
    <w:p>
      <w:pPr>
        <w:pStyle w:val="ListBullet"/>
        <w:spacing w:before="20" w:after="20"/>
        <w:ind w:left="700"/>
      </w:pPr>
      <w:r>
        <w:rPr>
          <w:sz w:val="18"/>
        </w:rPr>
        <w:t>Passage d'un résultat d'exploitation positif de 432 MFCFA à une perte de 237 MFCFA</w:t>
      </w:r>
    </w:p>
    <w:p>
      <w:pPr>
        <w:pStyle w:val="ListBullet"/>
        <w:spacing w:before="20" w:after="20"/>
        <w:ind w:left="700"/>
      </w:pPr>
      <w:r>
        <w:rPr>
          <w:sz w:val="18"/>
        </w:rPr>
        <w:t>Résultat net déficitaire de 222 MFCFA contre un bénéfice de 211 MFCFA au T1 2025</w:t>
      </w:r>
    </w:p>
    <w:p>
      <w:pPr>
        <w:pStyle w:val="ListBullet"/>
        <w:spacing w:before="20" w:after="20"/>
        <w:ind w:left="700"/>
      </w:pPr>
      <w:r>
        <w:rPr>
          <w:sz w:val="18"/>
        </w:rPr>
        <w:t>Maintenance planifiée du parc machines ayant impacté les volumes de production</w:t>
      </w:r>
    </w:p>
    <w:p>
      <w:pPr>
        <w:pStyle w:val="ListBullet"/>
        <w:spacing w:before="20" w:after="20"/>
        <w:ind w:left="700"/>
      </w:pPr>
      <w:r>
        <w:rPr>
          <w:sz w:val="18"/>
        </w:rPr>
        <w:t>Baisse des volumes de vente de 27% par rapport à 2025</w:t>
      </w:r>
    </w:p>
    <w:p>
      <w:pPr>
        <w:pStyle w:val="ListBullet"/>
        <w:spacing w:before="20" w:after="20"/>
        <w:ind w:left="700"/>
      </w:pPr>
      <w:r>
        <w:rPr>
          <w:sz w:val="18"/>
        </w:rPr>
        <w:t>Inflation significative des cours des métaux sur le LME (+23% en 3 mois)</w:t>
      </w:r>
    </w:p>
    <w:p>
      <w:pPr>
        <w:spacing w:before="40"/>
        <w:ind w:left="400"/>
      </w:pPr>
      <w:r>
        <w:rPr>
          <w:b/>
          <w:color w:val="C05000"/>
          <w:sz w:val="18"/>
        </w:rPr>
        <w:t xml:space="preserve">⚠️ Risques : </w:t>
      </w:r>
      <w:r>
        <w:rPr>
          <w:sz w:val="18"/>
        </w:rPr>
        <w:t>["Volatilit\u00e9 continue des cours des m\u00e9taux impactant les co\u00fbts de production", "Risque de prolongation des difficult\u00e9s op\u00e9rationnelles au-del\u00e0 du T1", "D\u00e9pendance \u00e0 la demande du march\u00e9 de l'\u00e9lectricit\u00e9"]</w:t>
      </w:r>
    </w:p>
    <w:p>
      <w:pPr>
        <w:spacing w:before="40"/>
        <w:ind w:left="400"/>
      </w:pPr>
      <w:r>
        <w:rPr>
          <w:b/>
          <w:color w:val="0064A0"/>
          <w:sz w:val="18"/>
        </w:rPr>
        <w:t xml:space="preserve">🔮 Perspectives : </w:t>
      </w:r>
      <w:r>
        <w:rPr>
          <w:sz w:val="18"/>
        </w:rPr>
        <w:t>La direction anticipe un rattrapage et une normalisation des performances dès le T2 2026 grâce au redémarrage complet de la production. La croissance de la demande sur le marché de l'électricité observée en avril constitue un signal positif pour les trimestres suivants.</w:t>
      </w:r>
    </w:p>
    <w:p/>
    <w:p>
      <w:r>
        <w:t>════════════════════════════════════════════════════════════════════════════════</w:t>
      </w:r>
    </w:p>
    <w:p>
      <w:r>
        <w:br w:type="page"/>
      </w:r>
    </w:p>
    <w:p>
      <w:pPr>
        <w:pStyle w:val="Heading2"/>
        <w:spacing w:before="360"/>
      </w:pPr>
      <w:r>
        <w:rPr>
          <w:color w:val="0066CC"/>
        </w:rPr>
        <w:t>12. CBIBF - CBIBF - CORIS BANK INTERNATIONAL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CBIBF</w:t>
            </w:r>
          </w:p>
          <w:p>
            <w:r>
              <w:rPr>
                <w:b/>
                <w:color w:val="323250"/>
                <w:sz w:val="16"/>
              </w:rPr>
              <w:t xml:space="preserve">Société : </w:t>
            </w:r>
            <w:r>
              <w:rPr>
                <w:color w:val="000000"/>
                <w:sz w:val="16"/>
              </w:rPr>
              <w:t>CBIBF - CORIS BANK INTERNATIONAL BURKINA...</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940.48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1,422 titres</w:t>
            </w:r>
          </w:p>
        </w:tc>
        <w:tc>
          <w:tcPr>
            <w:tcW w:type="dxa" w:w="2268"/>
            <w:shd w:fill="FFF2CC" w:val="clear"/>
          </w:tcPr>
          <w:p>
            <w:r>
              <w:rPr>
                <w:b/>
                <w:color w:val="503200"/>
                <w:sz w:val="16"/>
              </w:rPr>
              <w:t xml:space="preserve">Cours actuel : </w:t>
            </w:r>
            <w:r>
              <w:rPr>
                <w:color w:val="000000"/>
                <w:sz w:val="17"/>
              </w:rPr>
              <w:t>29,390 FCFA</w:t>
            </w:r>
          </w:p>
          <w:p>
            <w:r>
              <w:rPr>
                <w:b/>
                <w:color w:val="503200"/>
                <w:sz w:val="16"/>
              </w:rPr>
              <w:t xml:space="preserve">Var. 100 jours : </w:t>
            </w:r>
            <w:r>
              <w:rPr>
                <w:b/>
                <w:color w:val="007800"/>
                <w:sz w:val="17"/>
              </w:rPr>
              <w:t>+112.20%</w:t>
            </w:r>
          </w:p>
          <w:p>
            <w:r>
              <w:rPr>
                <w:b/>
                <w:color w:val="503200"/>
                <w:sz w:val="16"/>
              </w:rPr>
              <w:t xml:space="preserve">Plus haut 100j : </w:t>
            </w:r>
            <w:r>
              <w:rPr>
                <w:color w:val="000000"/>
                <w:sz w:val="17"/>
              </w:rPr>
              <w:t>30,005 FCFA</w:t>
            </w:r>
          </w:p>
          <w:p>
            <w:r>
              <w:rPr>
                <w:b/>
                <w:color w:val="503200"/>
                <w:sz w:val="16"/>
              </w:rPr>
              <w:t xml:space="preserve">Plus bas 100j : </w:t>
            </w:r>
            <w:r>
              <w:rPr>
                <w:color w:val="000000"/>
                <w:sz w:val="17"/>
              </w:rPr>
              <w:t>13,850 FCFA</w:t>
            </w:r>
          </w:p>
          <w:p>
            <w:r>
              <w:rPr>
                <w:b/>
                <w:color w:val="503200"/>
                <w:sz w:val="16"/>
              </w:rPr>
              <w:t xml:space="preserve">Volatilité ann. : </w:t>
            </w:r>
            <w:r>
              <w:rPr>
                <w:color w:val="000000"/>
                <w:sz w:val="17"/>
              </w:rPr>
              <w:t>42.8%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26.3/100 → Moyen</w:t>
      </w:r>
    </w:p>
    <w:p>
      <w:pPr>
        <w:spacing w:before="40" w:after="80"/>
      </w:pPr>
      <w:r>
        <w:rPr>
          <w:rFonts w:ascii="Courier New" w:hAnsi="Courier New"/>
          <w:color w:val="825A00"/>
          <w:sz w:val="18"/>
        </w:rPr>
        <w:t>█████░░░░░░░░░░░░░░░  26.3/100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22.44% (Élevée) — μ=22,513 FCFA, σ=5,052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β=0.7997 (Défensif) — Cov=0.000028, Var(idx)=0.000035, ρ=0.176,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1,422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σ_j=2.69%/j (Stable) — Vol. annualisée≈42.8%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65/100  (Bon)</w:t>
      </w:r>
    </w:p>
    <w:p/>
    <w:p>
      <w:pPr>
        <w:jc w:val="center"/>
      </w:pPr>
      <w:r>
        <w:drawing>
          <wp:inline xmlns:a="http://schemas.openxmlformats.org/drawingml/2006/main" xmlns:pic="http://schemas.openxmlformats.org/drawingml/2006/picture">
            <wp:extent cx="5669280" cy="2603190"/>
            <wp:docPr id="14" name="Picture 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2026-08-28</w:t>
            </w:r>
          </w:p>
        </w:tc>
        <w:tc>
          <w:tcPr>
            <w:tcW w:type="dxa" w:w="1440"/>
            <w:shd w:fill="FFDCE0" w:val="clear"/>
          </w:tcPr>
          <w:p>
            <w:r>
              <w:rPr>
                <w:sz w:val="17"/>
              </w:rPr>
              <w:t>26,319</w:t>
            </w:r>
          </w:p>
        </w:tc>
        <w:tc>
          <w:tcPr>
            <w:tcW w:type="dxa" w:w="1440"/>
            <w:shd w:fill="FFDCE0" w:val="clear"/>
          </w:tcPr>
          <w:p>
            <w:r>
              <w:rPr>
                <w:b/>
                <w:sz w:val="17"/>
              </w:rPr>
              <w:t>27,186</w:t>
            </w:r>
          </w:p>
        </w:tc>
        <w:tc>
          <w:tcPr>
            <w:tcW w:type="dxa" w:w="1440"/>
            <w:shd w:fill="FFDCE0" w:val="clear"/>
          </w:tcPr>
          <w:p>
            <w:r>
              <w:rPr>
                <w:sz w:val="17"/>
              </w:rPr>
              <w:t>28,052</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2026-08-31</w:t>
            </w:r>
          </w:p>
        </w:tc>
        <w:tc>
          <w:tcPr>
            <w:tcW w:type="dxa" w:w="1440"/>
            <w:shd w:fill="FFDCE0" w:val="clear"/>
          </w:tcPr>
          <w:p>
            <w:r>
              <w:rPr>
                <w:sz w:val="17"/>
              </w:rPr>
              <w:t>24,013</w:t>
            </w:r>
          </w:p>
        </w:tc>
        <w:tc>
          <w:tcPr>
            <w:tcW w:type="dxa" w:w="1440"/>
            <w:shd w:fill="FFDCE0" w:val="clear"/>
          </w:tcPr>
          <w:p>
            <w:r>
              <w:rPr>
                <w:b/>
                <w:sz w:val="17"/>
              </w:rPr>
              <w:t>25,147</w:t>
            </w:r>
          </w:p>
        </w:tc>
        <w:tc>
          <w:tcPr>
            <w:tcW w:type="dxa" w:w="1440"/>
            <w:shd w:fill="FFDCE0" w:val="clear"/>
          </w:tcPr>
          <w:p>
            <w:r>
              <w:rPr>
                <w:sz w:val="17"/>
              </w:rPr>
              <w:t>26,281</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2026-09-01</w:t>
            </w:r>
          </w:p>
        </w:tc>
        <w:tc>
          <w:tcPr>
            <w:tcW w:type="dxa" w:w="1440"/>
            <w:shd w:fill="FFDCE0" w:val="clear"/>
          </w:tcPr>
          <w:p>
            <w:r>
              <w:rPr>
                <w:sz w:val="17"/>
              </w:rPr>
              <w:t>21,976</w:t>
            </w:r>
          </w:p>
        </w:tc>
        <w:tc>
          <w:tcPr>
            <w:tcW w:type="dxa" w:w="1440"/>
            <w:shd w:fill="FFDCE0" w:val="clear"/>
          </w:tcPr>
          <w:p>
            <w:r>
              <w:rPr>
                <w:b/>
                <w:sz w:val="17"/>
              </w:rPr>
              <w:t>23,261</w:t>
            </w:r>
          </w:p>
        </w:tc>
        <w:tc>
          <w:tcPr>
            <w:tcW w:type="dxa" w:w="1440"/>
            <w:shd w:fill="FFDCE0" w:val="clear"/>
          </w:tcPr>
          <w:p>
            <w:r>
              <w:rPr>
                <w:sz w:val="17"/>
              </w:rPr>
              <w:t>24,545</w:t>
            </w:r>
          </w:p>
        </w:tc>
        <w:tc>
          <w:tcPr>
            <w:tcW w:type="dxa" w:w="1440"/>
            <w:shd w:fill="FFDCE0" w:val="clear"/>
          </w:tcPr>
          <w:p>
            <w:r>
              <w:rPr>
                <w:b/>
                <w:color w:val="C00000"/>
                <w:sz w:val="17"/>
              </w:rPr>
              <w:t>-20.9%</w:t>
            </w:r>
          </w:p>
        </w:tc>
      </w:tr>
      <w:tr>
        <w:tc>
          <w:tcPr>
            <w:tcW w:type="dxa" w:w="1440"/>
            <w:shd w:fill="FFDCE0" w:val="clear"/>
          </w:tcPr>
          <w:p>
            <w:r>
              <w:rPr>
                <w:sz w:val="17"/>
              </w:rPr>
              <w:t>J+4  Moyenne</w:t>
            </w:r>
          </w:p>
        </w:tc>
        <w:tc>
          <w:tcPr>
            <w:tcW w:type="dxa" w:w="1440"/>
            <w:shd w:fill="FFDCE0" w:val="clear"/>
          </w:tcPr>
          <w:p>
            <w:r>
              <w:rPr>
                <w:sz w:val="17"/>
              </w:rPr>
              <w:t>2026-09-02</w:t>
            </w:r>
          </w:p>
        </w:tc>
        <w:tc>
          <w:tcPr>
            <w:tcW w:type="dxa" w:w="1440"/>
            <w:shd w:fill="FFDCE0" w:val="clear"/>
          </w:tcPr>
          <w:p>
            <w:r>
              <w:rPr>
                <w:sz w:val="17"/>
              </w:rPr>
              <w:t>20,144</w:t>
            </w:r>
          </w:p>
        </w:tc>
        <w:tc>
          <w:tcPr>
            <w:tcW w:type="dxa" w:w="1440"/>
            <w:shd w:fill="FFDCE0" w:val="clear"/>
          </w:tcPr>
          <w:p>
            <w:r>
              <w:rPr>
                <w:b/>
                <w:sz w:val="17"/>
              </w:rPr>
              <w:t>21,516</w:t>
            </w:r>
          </w:p>
        </w:tc>
        <w:tc>
          <w:tcPr>
            <w:tcW w:type="dxa" w:w="1440"/>
            <w:shd w:fill="FFDCE0" w:val="clear"/>
          </w:tcPr>
          <w:p>
            <w:r>
              <w:rPr>
                <w:sz w:val="17"/>
              </w:rPr>
              <w:t>22,888</w:t>
            </w:r>
          </w:p>
        </w:tc>
        <w:tc>
          <w:tcPr>
            <w:tcW w:type="dxa" w:w="1440"/>
            <w:shd w:fill="FFDCE0" w:val="clear"/>
          </w:tcPr>
          <w:p>
            <w:r>
              <w:rPr>
                <w:b/>
                <w:color w:val="C00000"/>
                <w:sz w:val="17"/>
              </w:rPr>
              <w:t>-26.8%</w:t>
            </w:r>
          </w:p>
        </w:tc>
      </w:tr>
      <w:tr>
        <w:tc>
          <w:tcPr>
            <w:tcW w:type="dxa" w:w="1440"/>
            <w:shd w:fill="FFDCE0" w:val="clear"/>
          </w:tcPr>
          <w:p>
            <w:r>
              <w:rPr>
                <w:sz w:val="17"/>
              </w:rPr>
              <w:t>J+5  Moyenne</w:t>
            </w:r>
          </w:p>
        </w:tc>
        <w:tc>
          <w:tcPr>
            <w:tcW w:type="dxa" w:w="1440"/>
            <w:shd w:fill="FFDCE0" w:val="clear"/>
          </w:tcPr>
          <w:p>
            <w:r>
              <w:rPr>
                <w:sz w:val="17"/>
              </w:rPr>
              <w:t>2026-09-03</w:t>
            </w:r>
          </w:p>
        </w:tc>
        <w:tc>
          <w:tcPr>
            <w:tcW w:type="dxa" w:w="1440"/>
            <w:shd w:fill="FFDCE0" w:val="clear"/>
          </w:tcPr>
          <w:p>
            <w:r>
              <w:rPr>
                <w:sz w:val="17"/>
              </w:rPr>
              <w:t>18,484</w:t>
            </w:r>
          </w:p>
        </w:tc>
        <w:tc>
          <w:tcPr>
            <w:tcW w:type="dxa" w:w="1440"/>
            <w:shd w:fill="FFDCE0" w:val="clear"/>
          </w:tcPr>
          <w:p>
            <w:r>
              <w:rPr>
                <w:b/>
                <w:sz w:val="17"/>
              </w:rPr>
              <w:t>19,903</w:t>
            </w:r>
          </w:p>
        </w:tc>
        <w:tc>
          <w:tcPr>
            <w:tcW w:type="dxa" w:w="1440"/>
            <w:shd w:fill="FFDCE0" w:val="clear"/>
          </w:tcPr>
          <w:p>
            <w:r>
              <w:rPr>
                <w:sz w:val="17"/>
              </w:rPr>
              <w:t>21,321</w:t>
            </w:r>
          </w:p>
        </w:tc>
        <w:tc>
          <w:tcPr>
            <w:tcW w:type="dxa" w:w="1440"/>
            <w:shd w:fill="FFDCE0" w:val="clear"/>
          </w:tcPr>
          <w:p>
            <w:r>
              <w:rPr>
                <w:b/>
                <w:color w:val="C00000"/>
                <w:sz w:val="17"/>
              </w:rPr>
              <w:t>-32.3%</w:t>
            </w:r>
          </w:p>
        </w:tc>
      </w:tr>
      <w:tr>
        <w:tc>
          <w:tcPr>
            <w:tcW w:type="dxa" w:w="1440"/>
            <w:shd w:fill="FFDCE0" w:val="clear"/>
          </w:tcPr>
          <w:p>
            <w:r>
              <w:rPr>
                <w:sz w:val="17"/>
              </w:rPr>
              <w:t>J+6  Moyenne</w:t>
            </w:r>
          </w:p>
        </w:tc>
        <w:tc>
          <w:tcPr>
            <w:tcW w:type="dxa" w:w="1440"/>
            <w:shd w:fill="FFDCE0" w:val="clear"/>
          </w:tcPr>
          <w:p>
            <w:r>
              <w:rPr>
                <w:sz w:val="17"/>
              </w:rPr>
              <w:t>2026-09-04</w:t>
            </w:r>
          </w:p>
        </w:tc>
        <w:tc>
          <w:tcPr>
            <w:tcW w:type="dxa" w:w="1440"/>
            <w:shd w:fill="FFDCE0" w:val="clear"/>
          </w:tcPr>
          <w:p>
            <w:r>
              <w:rPr>
                <w:sz w:val="17"/>
              </w:rPr>
              <w:t>17,659</w:t>
            </w:r>
          </w:p>
        </w:tc>
        <w:tc>
          <w:tcPr>
            <w:tcW w:type="dxa" w:w="1440"/>
            <w:shd w:fill="FFDCE0" w:val="clear"/>
          </w:tcPr>
          <w:p>
            <w:r>
              <w:rPr>
                <w:b/>
                <w:sz w:val="17"/>
              </w:rPr>
              <w:t>19,155</w:t>
            </w:r>
          </w:p>
        </w:tc>
        <w:tc>
          <w:tcPr>
            <w:tcW w:type="dxa" w:w="1440"/>
            <w:shd w:fill="FFDCE0" w:val="clear"/>
          </w:tcPr>
          <w:p>
            <w:r>
              <w:rPr>
                <w:sz w:val="17"/>
              </w:rPr>
              <w:t>20,651</w:t>
            </w:r>
          </w:p>
        </w:tc>
        <w:tc>
          <w:tcPr>
            <w:tcW w:type="dxa" w:w="1440"/>
            <w:shd w:fill="FFDCE0" w:val="clear"/>
          </w:tcPr>
          <w:p>
            <w:r>
              <w:rPr>
                <w:b/>
                <w:color w:val="C00000"/>
                <w:sz w:val="17"/>
              </w:rPr>
              <w:t>-34.8%</w:t>
            </w:r>
          </w:p>
        </w:tc>
      </w:tr>
      <w:tr>
        <w:tc>
          <w:tcPr>
            <w:tcW w:type="dxa" w:w="1440"/>
            <w:shd w:fill="FFDCE0" w:val="clear"/>
          </w:tcPr>
          <w:p>
            <w:r>
              <w:rPr>
                <w:sz w:val="17"/>
              </w:rPr>
              <w:t>J+7  Moyenne</w:t>
            </w:r>
          </w:p>
        </w:tc>
        <w:tc>
          <w:tcPr>
            <w:tcW w:type="dxa" w:w="1440"/>
            <w:shd w:fill="FFDCE0" w:val="clear"/>
          </w:tcPr>
          <w:p>
            <w:r>
              <w:rPr>
                <w:sz w:val="17"/>
              </w:rPr>
              <w:t>2026-09-07</w:t>
            </w:r>
          </w:p>
        </w:tc>
        <w:tc>
          <w:tcPr>
            <w:tcW w:type="dxa" w:w="1440"/>
            <w:shd w:fill="FFDCE0" w:val="clear"/>
          </w:tcPr>
          <w:p>
            <w:r>
              <w:rPr>
                <w:sz w:val="17"/>
              </w:rPr>
              <w:t>17,088</w:t>
            </w:r>
          </w:p>
        </w:tc>
        <w:tc>
          <w:tcPr>
            <w:tcW w:type="dxa" w:w="1440"/>
            <w:shd w:fill="FFDCE0" w:val="clear"/>
          </w:tcPr>
          <w:p>
            <w:r>
              <w:rPr>
                <w:b/>
                <w:sz w:val="17"/>
              </w:rPr>
              <w:t>18,662</w:t>
            </w:r>
          </w:p>
        </w:tc>
        <w:tc>
          <w:tcPr>
            <w:tcW w:type="dxa" w:w="1440"/>
            <w:shd w:fill="FFDCE0" w:val="clear"/>
          </w:tcPr>
          <w:p>
            <w:r>
              <w:rPr>
                <w:sz w:val="17"/>
              </w:rPr>
              <w:t>20,236</w:t>
            </w:r>
          </w:p>
        </w:tc>
        <w:tc>
          <w:tcPr>
            <w:tcW w:type="dxa" w:w="1440"/>
            <w:shd w:fill="FFDCE0" w:val="clear"/>
          </w:tcPr>
          <w:p>
            <w:r>
              <w:rPr>
                <w:b/>
                <w:color w:val="C00000"/>
                <w:sz w:val="17"/>
              </w:rPr>
              <w:t>-36.5%</w:t>
            </w:r>
          </w:p>
        </w:tc>
      </w:tr>
      <w:tr>
        <w:tc>
          <w:tcPr>
            <w:tcW w:type="dxa" w:w="1440"/>
            <w:shd w:fill="FFDCE0" w:val="clear"/>
          </w:tcPr>
          <w:p>
            <w:r>
              <w:rPr>
                <w:sz w:val="17"/>
              </w:rPr>
              <w:t>J+8  Moyenne</w:t>
            </w:r>
          </w:p>
        </w:tc>
        <w:tc>
          <w:tcPr>
            <w:tcW w:type="dxa" w:w="1440"/>
            <w:shd w:fill="FFDCE0" w:val="clear"/>
          </w:tcPr>
          <w:p>
            <w:r>
              <w:rPr>
                <w:sz w:val="17"/>
              </w:rPr>
              <w:t>2026-09-08</w:t>
            </w:r>
          </w:p>
        </w:tc>
        <w:tc>
          <w:tcPr>
            <w:tcW w:type="dxa" w:w="1440"/>
            <w:shd w:fill="FFDCE0" w:val="clear"/>
          </w:tcPr>
          <w:p>
            <w:r>
              <w:rPr>
                <w:sz w:val="17"/>
              </w:rPr>
              <w:t>16,579</w:t>
            </w:r>
          </w:p>
        </w:tc>
        <w:tc>
          <w:tcPr>
            <w:tcW w:type="dxa" w:w="1440"/>
            <w:shd w:fill="FFDCE0" w:val="clear"/>
          </w:tcPr>
          <w:p>
            <w:r>
              <w:rPr>
                <w:b/>
                <w:sz w:val="17"/>
              </w:rPr>
              <w:t>18,223</w:t>
            </w:r>
          </w:p>
        </w:tc>
        <w:tc>
          <w:tcPr>
            <w:tcW w:type="dxa" w:w="1440"/>
            <w:shd w:fill="FFDCE0" w:val="clear"/>
          </w:tcPr>
          <w:p>
            <w:r>
              <w:rPr>
                <w:sz w:val="17"/>
              </w:rPr>
              <w:t>19,866</w:t>
            </w:r>
          </w:p>
        </w:tc>
        <w:tc>
          <w:tcPr>
            <w:tcW w:type="dxa" w:w="1440"/>
            <w:shd w:fill="FFDCE0" w:val="clear"/>
          </w:tcPr>
          <w:p>
            <w:r>
              <w:rPr>
                <w:b/>
                <w:color w:val="C00000"/>
                <w:sz w:val="17"/>
              </w:rPr>
              <w:t>-38.0%</w:t>
            </w:r>
          </w:p>
        </w:tc>
      </w:tr>
      <w:tr>
        <w:tc>
          <w:tcPr>
            <w:tcW w:type="dxa" w:w="1440"/>
            <w:shd w:fill="FFDCE0" w:val="clear"/>
          </w:tcPr>
          <w:p>
            <w:r>
              <w:rPr>
                <w:sz w:val="17"/>
              </w:rPr>
              <w:t>J+9  Moyenne</w:t>
            </w:r>
          </w:p>
        </w:tc>
        <w:tc>
          <w:tcPr>
            <w:tcW w:type="dxa" w:w="1440"/>
            <w:shd w:fill="FFDCE0" w:val="clear"/>
          </w:tcPr>
          <w:p>
            <w:r>
              <w:rPr>
                <w:sz w:val="17"/>
              </w:rPr>
              <w:t>2026-09-09</w:t>
            </w:r>
          </w:p>
        </w:tc>
        <w:tc>
          <w:tcPr>
            <w:tcW w:type="dxa" w:w="1440"/>
            <w:shd w:fill="FFDCE0" w:val="clear"/>
          </w:tcPr>
          <w:p>
            <w:r>
              <w:rPr>
                <w:sz w:val="17"/>
              </w:rPr>
              <w:t>16,121</w:t>
            </w:r>
          </w:p>
        </w:tc>
        <w:tc>
          <w:tcPr>
            <w:tcW w:type="dxa" w:w="1440"/>
            <w:shd w:fill="FFDCE0" w:val="clear"/>
          </w:tcPr>
          <w:p>
            <w:r>
              <w:rPr>
                <w:b/>
                <w:sz w:val="17"/>
              </w:rPr>
              <w:t>17,826</w:t>
            </w:r>
          </w:p>
        </w:tc>
        <w:tc>
          <w:tcPr>
            <w:tcW w:type="dxa" w:w="1440"/>
            <w:shd w:fill="FFDCE0" w:val="clear"/>
          </w:tcPr>
          <w:p>
            <w:r>
              <w:rPr>
                <w:sz w:val="17"/>
              </w:rPr>
              <w:t>19,531</w:t>
            </w:r>
          </w:p>
        </w:tc>
        <w:tc>
          <w:tcPr>
            <w:tcW w:type="dxa" w:w="1440"/>
            <w:shd w:fill="FFDCE0" w:val="clear"/>
          </w:tcPr>
          <w:p>
            <w:r>
              <w:rPr>
                <w:b/>
                <w:color w:val="C00000"/>
                <w:sz w:val="17"/>
              </w:rPr>
              <w:t>-39.3%</w:t>
            </w:r>
          </w:p>
        </w:tc>
      </w:tr>
      <w:tr>
        <w:tc>
          <w:tcPr>
            <w:tcW w:type="dxa" w:w="1440"/>
            <w:shd w:fill="FFDCE0" w:val="clear"/>
          </w:tcPr>
          <w:p>
            <w:r>
              <w:rPr>
                <w:sz w:val="17"/>
              </w:rPr>
              <w:t>J+10  Moyenne</w:t>
            </w:r>
          </w:p>
        </w:tc>
        <w:tc>
          <w:tcPr>
            <w:tcW w:type="dxa" w:w="1440"/>
            <w:shd w:fill="FFDCE0" w:val="clear"/>
          </w:tcPr>
          <w:p>
            <w:r>
              <w:rPr>
                <w:sz w:val="17"/>
              </w:rPr>
              <w:t>2026-09-10</w:t>
            </w:r>
          </w:p>
        </w:tc>
        <w:tc>
          <w:tcPr>
            <w:tcW w:type="dxa" w:w="1440"/>
            <w:shd w:fill="FFDCE0" w:val="clear"/>
          </w:tcPr>
          <w:p>
            <w:r>
              <w:rPr>
                <w:sz w:val="17"/>
              </w:rPr>
              <w:t>15,706</w:t>
            </w:r>
          </w:p>
        </w:tc>
        <w:tc>
          <w:tcPr>
            <w:tcW w:type="dxa" w:w="1440"/>
            <w:shd w:fill="FFDCE0" w:val="clear"/>
          </w:tcPr>
          <w:p>
            <w:r>
              <w:rPr>
                <w:b/>
                <w:sz w:val="17"/>
              </w:rPr>
              <w:t>17,467</w:t>
            </w:r>
          </w:p>
        </w:tc>
        <w:tc>
          <w:tcPr>
            <w:tcW w:type="dxa" w:w="1440"/>
            <w:shd w:fill="FFDCE0" w:val="clear"/>
          </w:tcPr>
          <w:p>
            <w:r>
              <w:rPr>
                <w:sz w:val="17"/>
              </w:rPr>
              <w:t>19,228</w:t>
            </w:r>
          </w:p>
        </w:tc>
        <w:tc>
          <w:tcPr>
            <w:tcW w:type="dxa" w:w="1440"/>
            <w:shd w:fill="FFDCE0" w:val="clear"/>
          </w:tcPr>
          <w:p>
            <w:r>
              <w:rPr>
                <w:b/>
                <w:color w:val="C00000"/>
                <w:sz w:val="17"/>
              </w:rPr>
              <w:t>-40.6%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1326.977 Mds FCFA</w:t>
            </w:r>
          </w:p>
        </w:tc>
        <w:tc>
          <w:tcPr>
            <w:tcW w:type="dxa" w:w="5669"/>
            <w:shd w:fill="FFFFFF" w:val="clear"/>
          </w:tcPr>
          <w:p>
            <w:r>
              <w:rPr>
                <w:color w:val="282828"/>
                <w:sz w:val="15"/>
              </w:rPr>
              <w:t>Portefeuille crédits (44.3% du bilan). ✅ Concentration saine sur le métier de crédit.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2997.779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2015.284 Mds FCFA</w:t>
            </w:r>
          </w:p>
        </w:tc>
        <w:tc>
          <w:tcPr>
            <w:tcW w:type="dxa" w:w="5669"/>
            <w:shd w:fill="FFFFFF" w:val="clear"/>
          </w:tcPr>
          <w:p>
            <w:r>
              <w:rPr>
                <w:color w:val="282828"/>
                <w:sz w:val="15"/>
              </w:rPr>
              <w:t>Dépôts clients = 67.2% du bilan. ✅ Base de dépôts solide — financement stable et peu coûteux.</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138.986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138.986 Mds FCFA</w:t>
            </w:r>
          </w:p>
        </w:tc>
        <w:tc>
          <w:tcPr>
            <w:tcW w:type="dxa" w:w="5669"/>
            <w:shd w:fill="FFFFFF" w:val="clear"/>
          </w:tcPr>
          <w:p>
            <w:r>
              <w:rPr>
                <w:color w:val="282828"/>
                <w:sz w:val="15"/>
              </w:rPr>
              <w:t>Revenu bancaire central (≡ CA). Croissance: 6.1%. ✅ PNB en progression — dynamisme commercial.</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50.574 Mds FCFA</w:t>
            </w:r>
          </w:p>
        </w:tc>
        <w:tc>
          <w:tcPr>
            <w:tcW w:type="dxa" w:w="5669"/>
            <w:shd w:fill="FFFFFF" w:val="clear"/>
          </w:tcPr>
          <w:p>
            <w:r>
              <w:rPr>
                <w:color w:val="282828"/>
                <w:sz w:val="15"/>
              </w:rPr>
              <w:t>36.4% des revenus. ⚠️ Frais généraux significatifs.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88.412 Mds FCFA</w:t>
            </w:r>
          </w:p>
        </w:tc>
        <w:tc>
          <w:tcPr>
            <w:tcW w:type="dxa" w:w="5669"/>
            <w:shd w:fill="FFFFFF" w:val="clear"/>
          </w:tcPr>
          <w:p>
            <w:r>
              <w:rPr>
                <w:color w:val="282828"/>
                <w:sz w:val="15"/>
              </w:rPr>
              <w:t>RBE = 63.6%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71.958 Mds FCFA</w:t>
            </w:r>
          </w:p>
        </w:tc>
        <w:tc>
          <w:tcPr>
            <w:tcW w:type="dxa" w:w="5669"/>
            <w:shd w:fill="FFFFFF" w:val="clear"/>
          </w:tcPr>
          <w:p>
            <w:r>
              <w:rPr>
                <w:color w:val="282828"/>
                <w:sz w:val="15"/>
              </w:rPr>
              <w:t>Profit d'exploitation = 51.8% des revenus. ✅ Rentabilité opérationnelle solide.</w:t>
            </w:r>
          </w:p>
        </w:tc>
      </w:tr>
      <w:tr>
        <w:tc>
          <w:tcPr>
            <w:tcW w:type="dxa" w:w="2268"/>
            <w:shd w:fill="EEF2F7" w:val="clear"/>
          </w:tcPr>
          <w:p>
            <w:r>
              <w:rPr>
                <w:b/>
                <w:color w:val="1E1E3C"/>
                <w:sz w:val="16"/>
              </w:rPr>
              <w:t>Résultat net</w:t>
            </w:r>
          </w:p>
        </w:tc>
        <w:tc>
          <w:tcPr>
            <w:tcW w:type="dxa" w:w="1984"/>
            <w:shd w:fill="C6EFCE" w:val="clear"/>
          </w:tcPr>
          <w:p>
            <w:r>
              <w:rPr>
                <w:b/>
                <w:color w:val="006400"/>
                <w:sz w:val="17"/>
              </w:rPr>
              <w:t>65.495 Mds FCFA</w:t>
            </w:r>
          </w:p>
        </w:tc>
        <w:tc>
          <w:tcPr>
            <w:tcW w:type="dxa" w:w="5669"/>
            <w:shd w:fill="FFFFFF" w:val="clear"/>
          </w:tcPr>
          <w:p>
            <w:r>
              <w:rPr>
                <w:color w:val="282828"/>
                <w:sz w:val="15"/>
              </w:rPr>
              <w:t>Marge nette = 47.1%.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47.12%</w:t>
            </w:r>
          </w:p>
        </w:tc>
        <w:tc>
          <w:tcPr>
            <w:tcW w:type="dxa" w:w="5669"/>
            <w:shd w:fill="FFFFFF" w:val="clear"/>
          </w:tcPr>
          <w:p>
            <w:r>
              <w:rPr>
                <w:color w:val="282828"/>
                <w:sz w:val="15"/>
              </w:rPr>
              <w:t>Résultat net / revenus = 47.12%.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51.77%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2.18%</w:t>
            </w:r>
          </w:p>
        </w:tc>
        <w:tc>
          <w:tcPr>
            <w:tcW w:type="dxa" w:w="5669"/>
            <w:shd w:fill="FFFFFF" w:val="clear"/>
          </w:tcPr>
          <w:p>
            <w:r>
              <w:rPr>
                <w:color w:val="282828"/>
                <w:sz w:val="15"/>
              </w:rPr>
              <w:t>Résultat net / total actif = 2.18%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4.64%</w:t>
            </w:r>
          </w:p>
        </w:tc>
        <w:tc>
          <w:tcPr>
            <w:tcW w:type="dxa" w:w="5669"/>
            <w:shd w:fill="FFFFFF" w:val="clear"/>
          </w:tcPr>
          <w:p>
            <w:r>
              <w:rPr>
                <w:color w:val="282828"/>
                <w:sz w:val="15"/>
              </w:rPr>
              <w:t>CA / total actif = 4.64x.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36.39%</w:t>
            </w:r>
          </w:p>
        </w:tc>
        <w:tc>
          <w:tcPr>
            <w:tcW w:type="dxa" w:w="5669"/>
            <w:shd w:fill="FFFFFF" w:val="clear"/>
          </w:tcPr>
          <w:p>
            <w:r>
              <w:rPr>
                <w:color w:val="282828"/>
                <w:sz w:val="15"/>
              </w:rPr>
              <w:t>Charges / PNB = 36.39%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1645400000000.00%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6.11%</w:t>
            </w:r>
          </w:p>
        </w:tc>
        <w:tc>
          <w:tcPr>
            <w:tcW w:type="dxa" w:w="5669"/>
            <w:shd w:fill="FFFFFF" w:val="clear"/>
          </w:tcPr>
          <w:p>
            <w:r>
              <w:rPr>
                <w:color w:val="282828"/>
                <w:sz w:val="15"/>
              </w:rPr>
              <w:t>Croissance PNB vs exercice précédent = 6.11%. ✅ Croissance positive.</w:t>
            </w:r>
          </w:p>
        </w:tc>
      </w:tr>
    </w:tbl>
    <w:p/>
    <w:p>
      <w:pPr>
        <w:spacing w:after="120" w:line="276" w:lineRule="auto"/>
      </w:pPr>
      <w:r>
        <w:t>**RAPPORT D'ANALYSE FINANCIÈRE — CBIBF (CORIS BANK INTERNATIONAL BURKINA FASO)**</w:t>
        <w:br/>
        <w:t>**Date de l'analyse : 27 août 2026**</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940,48 milliards FCFA, CBIBF se positionne comme l'une des valeurs les plus lourdes et les plus liquides de la BRVM, représentant un poids considérable dans l'indice principal. Le BPA de 2 047 FCFA indique que chaque action génère un bénéfice substantiel, justifiant un PER de 14,4x. Ce ratio est supérieur à la moyenne historique de la BRVM (8-12x), ce qui suggère que le marché valorise déjà une prime de croissance et de qualité pour cette banque. L'EV/EBITDA de 10,6x, bien que dans la fourchette haute (10-15x), confirme une valorisation exigeante mais cohérente avec la forte rentabilité opérationnelle de la banque. Le ratio P/B n'est pas disponible dans les données fournies, mais le niveau de capitalisation par rapport aux capitaux propres historiques suggère que le titre se négocie au-dessus de sa valeur comptable, reflétant les attentes élevées des investisseurs.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CBIBF a enregistré une performance spectaculaire de +112,20%, passant d'un plus bas de 13 850 FCFA à un plus haut de 30 005 FCFA, avec un cours actuel de 29 390 FCFA. Cette tendance fortement haussière s'est faite sans variation à la dernière séance (J-1 : +0,00%), suggérant une phase de consolidation après un rallye intense. La moyenne du cours sur la période (22 513 FCFA) est supérieure à la médiane (22 000 FCFA), indiquant une distribution légèrement asymétrique avec des extrêmes à la hausse. L'écart-type de 5 077 FCFA (CV=22,6%) révèle une dispersion modérée, tandis que le kurtosis négatif (-1,355) signale une distribution platykurtique, c'est-à-dire sans pics extrêmes, ce qui réduit le risque de mouvements violents imprévus. Le skewness quasi nul (-0,041) confirme une symétrie relative. La volatilité annualisée de 42,8% classe le titre dans la catégorie des actifs à très forte volatilité (&gt;30%), un paramètre essentiel pour les investisseurs à la recherche de rendements élevés mais conscients du risque.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(29 390 FCFA) se situe nettement au-dessus de la MM20 (28 638,25 FCFA) et de la MM50 (26 744,9 FCFA), confirmant une dynamique haussière solide à court et moyen terme. La configuration des moyennes mobiles (MM20 &gt; MM50) valide un signal d'achat, indiquant que la tendance de fond reste positive malgré la récente consolidation.</w:t>
      </w:r>
    </w:p>
    <w:p>
      <w:pPr>
        <w:spacing w:after="120" w:line="276" w:lineRule="auto"/>
      </w:pPr>
      <w:r>
        <w:t>**Bandes de Bollinger :** Le prix évolue à 29 390 FCFA, proche de la borne supérieure (29 732,80 FCFA) mais dans la zone neutre. Cette position suggère que le titre n'est pas encore en situation de surachat extrême, mais la largeur des bandes reflète la volatilité élevée du titre. La décision "Neutre" indique que le marché digère les gains récents avant une possible poursuite du mouvement.</w:t>
      </w:r>
    </w:p>
    <w:p>
      <w:pPr>
        <w:spacing w:after="120" w:line="276" w:lineRule="auto"/>
      </w:pPr>
      <w:r>
        <w:t>**MACD :** Le MACD (684,73) est inférieur à sa ligne de signal (723,92), générant un signal de vente à court terme. Cette divergence négative, bien que légère, suggère un affaiblissement du momentum haussier. Les investisseurs devraient surveiller un éventuel croisement haussier pour confirmer la reprise de la tendance.</w:t>
      </w:r>
    </w:p>
    <w:p>
      <w:pPr>
        <w:spacing w:after="120" w:line="276" w:lineRule="auto"/>
      </w:pPr>
      <w:r>
        <w:t>**RSI :** À 62,22, le RSI se situe dans la zone neutre (30-70), indiquant que le titre n'est ni suracheté ni survendu. Cette valeur reflète une pression acheteuse encore présente mais modérée, laissant une marge de manœuvre avant d'atteindre la zone de surachat (&gt;70).</w:t>
      </w:r>
    </w:p>
    <w:p>
      <w:pPr>
        <w:spacing w:after="120" w:line="276" w:lineRule="auto"/>
      </w:pPr>
      <w:r>
        <w:t>**Stochastique :** Le %K (64,01) est supérieur au %D (56,44), suggérant un momentum haussier à court terme. Cependant, les deux lignes évoluent dans la zone neutre, ce qui limite la portée du signal. La décision "Neutre" est cohérente avec une phase de consolidation.</w:t>
      </w:r>
    </w:p>
    <w:p>
      <w:pPr>
        <w:spacing w:after="120" w:line="276" w:lineRule="auto"/>
      </w:pPr>
      <w:r>
        <w:t>**Conclusion technique :** Les indicateurs techniques sont globalement mitigés. Les moyennes mobiles soutiennent la tendance haussière de fond, mais le MACD et la proximité des bandes de Bollinger suggèrent un essoufflement à court terme. Le RSI et le Stochastique restent neutres, indiquant une phase de digestion des gains. La tendance reste positive mais une correction technique est possible avant la poursuite du mouvement haussier.</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officielles de CBIBF révèlent une performance financière robuste. Le Produit Net Bancaire (PNB) s'établit à 138,986 milliards FCFA, en croissance de 6,1% par rapport à 2024, tandis que le résultat net atteint 65,495 milliards FCFA, soit une progression remarquable de 36,6% (rapport annuel 2025). Cette amélioration s'explique par une maîtrise du coût du risque qui s'améliore significativement de 59,3% (16,5 milliards FCFA), traduisant une meilleure qualité du portefeuille de crédits. La marge nette de 47,1% et le coefficient d'exploitation de 36,4% démontrent une excellente efficacité opérationnelle, bien en deçà du seuil de 60% considéré comme critique pour les banques. Le ROA de 2,18% confirme une bonne rentabilité des actifs, tandis que le ratio dépôts/crédits (2 015,3 milliards FCFA de dépôts contre 1 327 milliards FCFA de crédits) montre une transformation saine. **Sur la base du rapport T1 2026** (PNB de 36,8 milliards FCFA, +28,5% et résultat net de 21,5 milliards FCFA, +22,2%), on estime que l'exercice 2026 pourrait voir un PNB dépasser 160 milliards FCFA et un résultat net supérieur à 75 milliards FCFA, confirmant une dynamique de croissance accélérée. Les rapports trimestriels de 2025 (T1 : PNB 28,7 Mds, RN 17,6 Mds ; S1 : PNB 65,1 Mds, RN 33,8 Mds ; T3 : PNB 101,3 Mds, RN 52,9 Mds) montrent une progression continue tout au long de l'année. La banque affiche une solidité financière indéniable, avec une notation AA/AI (perspective stable) et une stratégie axée sur l'innovation digitale et la maîtrise des risques.</w:t>
      </w:r>
    </w:p>
    <w:p>
      <w:pPr>
        <w:spacing w:after="120" w:line="276" w:lineRule="auto"/>
      </w:pPr>
      <w:r>
        <w:t>---</w:t>
      </w:r>
    </w:p>
    <w:p>
      <w:pPr>
        <w:spacing w:after="120" w:line="276" w:lineRule="auto"/>
      </w:pPr>
      <w:r>
        <w:t>### PARTIE 4 : CONCLUSION D'INVESTISSEMENT</w:t>
      </w:r>
    </w:p>
    <w:p>
      <w:pPr>
        <w:spacing w:after="120" w:line="276" w:lineRule="auto"/>
      </w:pPr>
      <w:r>
        <w:t>La valorisation de CBIBF (PER 14,4x, EV/EBITDA 10,6x) indique une prime de qualité par rapport au marché, justifiée par des fondamentaux solides et une croissance soutenue. Le comportement du cours (+112,2% en 100 jours) avec une volatilité élevée (42,8%) et une distribution platykurtique suggère une tendance haussière robuste mais potentiellement fragile à court terme. Les signaux techniques sont mitigés : les moyennes mobiles restent haussières, mais le MACD et la position proche des bandes de Bollinger appellent à la prudence. Les fondamentaux, eux, sont excellents avec une croissance du PNB et du résultat net, une amélioration du coût du risque et une efficacité opérationnelle remarquable. Les prédictions IA (27 186 FCFA à J+1, puis baisse progressive à 19 903 FCFA à J+10) contredisent fortement la tendance actuelle, suggérant une correction technique significative à très court terme. Cette divergence entre les signaux techniques/fondamentaux et les prédictions IA indique un risque de consolidation après le rallye. **Recommandation finale : ACHAT** sur les replis, avec un niveau de confiance **Moyen** et un risque global **Élevé**. L'horizon d'investissement optimal serait le **moyen terme (3-12 mois)**, en attendant que la correction prédite par l'IA se matérialise pour renforcer les positions, les fondamentaux solides de la banque justifiant une appréciation du titre à long terme.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20260331   avis de convocation   assemblee generale ordinaire   coris bank international bf</w:t>
      </w:r>
    </w:p>
    <w:p>
      <w:pPr>
        <w:spacing w:before="20"/>
        <w:ind w:left="400"/>
      </w:pPr>
      <w:r>
        <w:rPr>
          <w:color w:val="505050"/>
          <w:sz w:val="17"/>
        </w:rPr>
        <w:t xml:space="preserve">Date : 01/04/2026  |  Catégorie : convocation AG  |  Impact : </w:t>
      </w:r>
      <w:r>
        <w:rPr>
          <w:b/>
          <w:color w:val="646464"/>
          <w:sz w:val="17"/>
        </w:rPr>
        <w:t>⚪ NEUTRE</w:t>
      </w:r>
    </w:p>
    <w:p>
      <w:pPr>
        <w:spacing w:before="40"/>
        <w:ind w:left="400"/>
      </w:pPr>
      <w:r>
        <w:rPr>
          <w:sz w:val="18"/>
        </w:rPr>
        <w:t>Coris Bank International SA convoque ses actionnaires en Assemblée Générale Ordinaire le 16 avril 2026 à Ouagadougou. L'ordre du jour comprend l'approbation des comptes 2025, l'affectation du résultat et le renouvellement d'administrateurs. La banque dispose d'un capital social de 32 milliards FCFA.</w:t>
      </w:r>
    </w:p>
    <w:p>
      <w:pPr>
        <w:spacing w:before="60"/>
        <w:ind w:left="400"/>
      </w:pPr>
      <w:r>
        <w:rPr>
          <w:b/>
          <w:sz w:val="18"/>
        </w:rPr>
        <w:t>Points clés :</w:t>
      </w:r>
    </w:p>
    <w:p>
      <w:pPr>
        <w:pStyle w:val="ListBullet"/>
        <w:spacing w:before="20" w:after="20"/>
        <w:ind w:left="700"/>
      </w:pPr>
      <w:r>
        <w:rPr>
          <w:sz w:val="18"/>
        </w:rPr>
        <w:t>Assemblée Générale Ordinaire prévue le 16 avril 2026 à 09h00 au Sopatel Hôtel Silmandé</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 et quitus aux administrateurs</w:t>
      </w:r>
    </w:p>
    <w:p>
      <w:pPr>
        <w:pStyle w:val="ListBullet"/>
        <w:spacing w:before="20" w:after="20"/>
        <w:ind w:left="700"/>
      </w:pPr>
      <w:r>
        <w:rPr>
          <w:sz w:val="18"/>
        </w:rPr>
        <w:t>Fin de mandats et renouvellement d'administrateurs, nomination d'administrateurs indépendants</w:t>
      </w:r>
    </w:p>
    <w:p>
      <w:pPr>
        <w:pStyle w:val="ListBullet"/>
        <w:spacing w:before="20" w:after="20"/>
        <w:ind w:left="700"/>
      </w:pPr>
      <w:r>
        <w:rPr>
          <w:sz w:val="18"/>
        </w:rPr>
        <w:t>Capital social de 32 milliards FCFA avec présence d'une branche Finance Islamique</w:t>
      </w:r>
    </w:p>
    <w:p/>
    <w:p>
      <w:pPr>
        <w:pStyle w:val="Heading3"/>
      </w:pPr>
      <w:r>
        <w:rPr>
          <w:color w:val="005A32"/>
        </w:rPr>
        <w:t>📋 RAPPORTS &amp; COMMUNIQUÉS OFFICIELS</w:t>
      </w:r>
    </w:p>
    <w:p>
      <w:r>
        <w:rPr>
          <w:i/>
          <w:color w:val="646464"/>
          <w:sz w:val="18"/>
        </w:rPr>
        <w:t>17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"Excellente performance trimestrielle avec croissance forte du PNB (+28,5%) et du r\u00e9sultat net (+22,2%). La banque d\u00e9montre une capacit\u00e9 de croissance soutenue avec une rentabilit\u00e9 durable et une discipline de gestion."}</w:t>
      </w:r>
    </w:p>
    <w:p>
      <w:pPr>
        <w:spacing w:before="40"/>
        <w:ind w:left="400"/>
      </w:pPr>
      <w:r>
        <w:rPr>
          <w:sz w:val="18"/>
        </w:rPr>
        <w:t>Coris Bank International SA présente des résultats solides au premier trimestre 2026 avec une croissance soutenue dans un environnement d'incertitudes. Les dépôts clients progressent de 37,9% à 2 365,1 milliards FCFA tandis que les crédits augmentent de 3,8% à 1 307,2 milliards FCFA. Le Produit Net Bancaire atteint 36,8 milliards FCFA en hausse de 28,5%, porté par la performance commerciale. Le Résultat Net ressort à 21,5 milliards FCFA, en progression de 22,2% par rapport au T1 2025. La banque a inauguré son nouveau siège social au Burkina Faso, marquant son engagement pour la proximité et l'excellence client.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'2 365,1 milliards FCFA', 'credits_clientele': '1 307,2 milliards FCFA', 'resultat_avant_impot': '23,586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21,5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36,8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dépôts clients de +37,9% à 2 365,1 milliards FCFA</w:t>
      </w:r>
    </w:p>
    <w:p>
      <w:pPr>
        <w:pStyle w:val="ListBullet"/>
        <w:spacing w:before="20" w:after="20"/>
        <w:ind w:left="700"/>
      </w:pPr>
      <w:r>
        <w:rPr>
          <w:sz w:val="18"/>
        </w:rPr>
        <w:t>Progression modérée des crédits à la clientèle de +3,8% à 1 307,2 milliards FCFA</w:t>
      </w:r>
    </w:p>
    <w:p>
      <w:pPr>
        <w:pStyle w:val="ListBullet"/>
        <w:spacing w:before="20" w:after="20"/>
        <w:ind w:left="700"/>
      </w:pPr>
      <w:r>
        <w:rPr>
          <w:sz w:val="18"/>
        </w:rPr>
        <w:t>Produit Net Bancaire en hausse de +28,5% à 36,8 milliards FCFA</w:t>
      </w:r>
    </w:p>
    <w:p>
      <w:pPr>
        <w:pStyle w:val="ListBullet"/>
        <w:spacing w:before="20" w:after="20"/>
        <w:ind w:left="700"/>
      </w:pPr>
      <w:r>
        <w:rPr>
          <w:sz w:val="18"/>
        </w:rPr>
        <w:t>Résultat Net en croissance de +22,2% à 21,5 milliards FCFA</w:t>
      </w:r>
    </w:p>
    <w:p>
      <w:pPr>
        <w:pStyle w:val="ListBullet"/>
        <w:spacing w:before="20" w:after="20"/>
        <w:ind w:left="700"/>
      </w:pPr>
      <w:r>
        <w:rPr>
          <w:sz w:val="18"/>
        </w:rPr>
        <w:t>Performance commerciale solide et accroissement des activités</w:t>
      </w:r>
    </w:p>
    <w:p>
      <w:pPr>
        <w:pStyle w:val="ListBullet"/>
        <w:spacing w:before="20" w:after="20"/>
        <w:ind w:left="700"/>
      </w:pPr>
      <w:r>
        <w:rPr>
          <w:sz w:val="18"/>
        </w:rPr>
        <w:t>Inauguration du nouveau siège social au Burkina Faso</w:t>
      </w:r>
    </w:p>
    <w:p>
      <w:pPr>
        <w:spacing w:before="40"/>
        <w:ind w:left="400"/>
      </w:pPr>
      <w:r>
        <w:rPr>
          <w:b/>
          <w:color w:val="C05000"/>
          <w:sz w:val="18"/>
        </w:rPr>
        <w:t xml:space="preserve">⚠️ Risques : </w:t>
      </w:r>
      <w:r>
        <w:rPr>
          <w:sz w:val="18"/>
        </w:rPr>
        <w:t>["Environnement \u00e9conomique marqu\u00e9 par les incertitudes", "Croissance mod\u00e9r\u00e9e des cr\u00e9dits (+3,8%) face \u00e0 la forte collecte de d\u00e9p\u00f4ts", "Exposition aux risques g\u00e9opolitiques et \u00e9conomiques en Afrique de l'Ouest"]</w:t>
      </w:r>
    </w:p>
    <w:p>
      <w:pPr>
        <w:spacing w:before="40"/>
        <w:ind w:left="400"/>
      </w:pPr>
      <w:r>
        <w:rPr>
          <w:b/>
          <w:color w:val="0064A0"/>
          <w:sz w:val="18"/>
        </w:rPr>
        <w:t xml:space="preserve">🔮 Perspectives : </w:t>
      </w:r>
      <w:r>
        <w:rPr>
          <w:sz w:val="18"/>
        </w:rPr>
        <w:t>Les perspectives restent positives avec la poursuite du financement de l'économie et la confiance du marché traduite par la forte croissance des dépôts. L'inauguration du nouveau siège au Burkina Faso témoigne de l'engagement stratégique pour renforcer la proximité client et soutenir la croissance f</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excellente performance op\u00e9rationnelle avec une rentabilit\u00e9 en forte hausse et une gestion des risques efficace. La croissance soutenue des d\u00e9p\u00f4ts et la ma\u00eetrise des co\u00fbts confirment la solidit\u00e9 du mod\u00e8le d'affaires."}</w:t>
      </w:r>
    </w:p>
    <w:p>
      <w:pPr>
        <w:spacing w:before="40"/>
        <w:ind w:left="400"/>
      </w:pPr>
      <w:r>
        <w:rPr>
          <w:sz w:val="18"/>
        </w:rPr>
        <w:t>Coris Bank International SA affiche des résultats solides pour l'exercice 2025 avec un résultat net de 65,5 milliards FCFA, en progression de 36,6% par rapport à 2024. Le produit net bancaire s'établit à 139 milliards FCFA (+6,1%) porté par l'amélioration des marges d'intérêts et des commissions. La banque a renforcé sa collecte de dépôts à 2 015 milliards FCFA (+14,9%) et ses crédits nets à 1 327 milliards FCFA (+5,4%). Le coût du risque s'améliore significativement de 59,3% traduisant l'efficacité des actions d'assainissement du portefeuille. La banque confirme sa position d'acteur de référence sur le marché bancaire national et sous-régional avec un coefficient d'exploitation maîtrisé à 3</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'16,5 milliards FCFA', 'depots_clientele': '2 015 milliards FCFA', 'credits_clientele': '1 327 milliards FCFA', 'coefficient_exploitation': '36,4%'}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47,1%</w:t>
            </w:r>
          </w:p>
        </w:tc>
        <w:tc>
          <w:tcPr>
            <w:tcW w:type="dxa" w:w="2160"/>
          </w:tcPr>
          <w:p>
            <w:pPr>
              <w:ind w:left="100"/>
            </w:pPr>
            <w:r/>
            <w:r>
              <w:rPr>
                <w:b/>
                <w:sz w:val="16"/>
              </w:rPr>
              <w:t>total_actif</w:t>
              <w:br/>
            </w:r>
            <w:r>
              <w:rPr>
                <w:sz w:val="18"/>
              </w:rPr>
              <w:t>2 998 milliards FCFA</w:t>
            </w:r>
          </w:p>
        </w:tc>
      </w:tr>
      <w:tr>
        <w:tc>
          <w:tcPr>
            <w:tcW w:type="dxa" w:w="2160"/>
          </w:tcPr>
          <w:p>
            <w:r/>
            <w:r>
              <w:rPr>
                <w:b/>
                <w:sz w:val="16"/>
              </w:rPr>
              <w:t>resultat_net</w:t>
              <w:br/>
            </w:r>
            <w:r>
              <w:rPr>
                <w:sz w:val="18"/>
              </w:rPr>
              <w:t>65,5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139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36,6% à 65,5 milliards FCFA</w:t>
      </w:r>
    </w:p>
    <w:p>
      <w:pPr>
        <w:pStyle w:val="ListBullet"/>
        <w:spacing w:before="20" w:after="20"/>
        <w:ind w:left="700"/>
      </w:pPr>
      <w:r>
        <w:rPr>
          <w:sz w:val="18"/>
        </w:rPr>
        <w:t>Produit net bancaire consolidé de 139 milliards FCFA (+6,1%)</w:t>
      </w:r>
    </w:p>
    <w:p>
      <w:pPr>
        <w:pStyle w:val="ListBullet"/>
        <w:spacing w:before="20" w:after="20"/>
        <w:ind w:left="700"/>
      </w:pPr>
      <w:r>
        <w:rPr>
          <w:sz w:val="18"/>
        </w:rPr>
        <w:t>Collecte de dépôts dynamique à 2 015,3 milliards FCFA (+14,9%)</w:t>
      </w:r>
    </w:p>
    <w:p>
      <w:pPr>
        <w:pStyle w:val="ListBullet"/>
        <w:spacing w:before="20" w:after="20"/>
        <w:ind w:left="700"/>
      </w:pPr>
      <w:r>
        <w:rPr>
          <w:sz w:val="18"/>
        </w:rPr>
        <w:t>Crédits nets en croissance de 5,4% à 1 327 milliards FCFA</w:t>
      </w:r>
    </w:p>
    <w:p>
      <w:pPr>
        <w:pStyle w:val="ListBullet"/>
        <w:spacing w:before="20" w:after="20"/>
        <w:ind w:left="700"/>
      </w:pPr>
      <w:r>
        <w:rPr>
          <w:sz w:val="18"/>
        </w:rPr>
        <w:t>Amélioration significative du coût du risque (-59,3%)</w:t>
      </w:r>
    </w:p>
    <w:p>
      <w:pPr>
        <w:pStyle w:val="ListBullet"/>
        <w:spacing w:before="20" w:after="20"/>
        <w:ind w:left="700"/>
      </w:pPr>
      <w:r>
        <w:rPr>
          <w:sz w:val="18"/>
        </w:rPr>
        <w:t>Coefficient d'exploitation maîtrisé à 36,4%</w:t>
      </w:r>
    </w:p>
    <w:p>
      <w:pPr>
        <w:spacing w:before="40"/>
        <w:ind w:left="400"/>
      </w:pPr>
      <w:r>
        <w:rPr>
          <w:b/>
          <w:color w:val="C05000"/>
          <w:sz w:val="18"/>
        </w:rPr>
        <w:t xml:space="preserve">⚠️ Risques : </w:t>
      </w:r>
      <w:r>
        <w:rPr>
          <w:sz w:val="18"/>
        </w:rPr>
        <w:t>["Environnement \u00e9conomique et g\u00e9opolitique incertain dans la r\u00e9gion UEMOA", "Persistance des d\u00e9fis s\u00e9curitaires et sociaux affectant la croissance \u00e9conomique estim\u00e9e \u00e0 6,3%", "Concentration g\u00e9ographique sur les march\u00e9s ouest-africains expos\u00e9s au</w:t>
      </w:r>
    </w:p>
    <w:p>
      <w:pPr>
        <w:spacing w:before="40"/>
        <w:ind w:left="400"/>
      </w:pPr>
      <w:r>
        <w:rPr>
          <w:b/>
          <w:color w:val="0064A0"/>
          <w:sz w:val="18"/>
        </w:rPr>
        <w:t xml:space="preserve">🔮 Perspectives : </w:t>
      </w:r>
      <w:r>
        <w:rPr>
          <w:sz w:val="18"/>
        </w:rPr>
        <w:t>L'exercice 2026 s'inscrit dans un environnement économique marqué par des incertitudes mais les perspectives de croissance restent favorables pour la région. La banque poursuit sa stratégie de développement avec le nouveau Plan Stratégique 2026-2028 'Performance et résilience' pour maintenir sa posi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banque affiche une croissance soutenue de tous ses indicateurs cl\u00e9s avec une rentabilit\u00e9 \u00e9lev\u00e9e. La solidit\u00e9 du bilan et l'am\u00e9lioration continue des performances op\u00e9rationnelles justifient une recommandation d'achat."}</w:t>
      </w:r>
    </w:p>
    <w:p>
      <w:pPr>
        <w:spacing w:before="40"/>
        <w:ind w:left="400"/>
      </w:pPr>
      <w:r>
        <w:rPr>
          <w:sz w:val="18"/>
        </w:rPr>
        <w:t>CORIS BANK International SA présente une performance solide en 2022 avec une croissance significative de son activité. Le total de l'actif a progressé de 17% pour atteindre 2 289 milliards FCFA contre 1 953 milliards en 2021. Le résultat net s'améliore fortement à 56,5 milliards FCFA en 2022 contre 46,5 milliards en 2021, soit une hausse de 21%. Le produit net bancaire augmente de 23% à 111,1 milliards FCFA, témoignant d'une dynamique commerciale positive. Les capitaux propres se renforcent à 228,5 milliards FCFA, consolidant la structure financière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'depots_clientele': '1 447 milliards FCFA', 'creances_clientele': '1 206 milliards FCFA', 'ratio_capitalisation': '10%'}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actif de 17% à 2 289 milliards FCFA en 2022</w:t>
      </w:r>
    </w:p>
    <w:p>
      <w:pPr>
        <w:pStyle w:val="ListBullet"/>
        <w:spacing w:before="20" w:after="20"/>
        <w:ind w:left="700"/>
      </w:pPr>
      <w:r>
        <w:rPr>
          <w:sz w:val="18"/>
        </w:rPr>
        <w:t>Progression du résultat net de 21% à 56,5 milliards FCFA</w:t>
      </w:r>
    </w:p>
    <w:p>
      <w:pPr>
        <w:pStyle w:val="ListBullet"/>
        <w:spacing w:before="20" w:after="20"/>
        <w:ind w:left="700"/>
      </w:pPr>
      <w:r>
        <w:rPr>
          <w:sz w:val="18"/>
        </w:rPr>
        <w:t>Hausse du produit net bancaire de 23% à 111,1 milliards FCFA</w:t>
      </w:r>
    </w:p>
    <w:p>
      <w:pPr>
        <w:pStyle w:val="ListBullet"/>
        <w:spacing w:before="20" w:after="20"/>
        <w:ind w:left="700"/>
      </w:pPr>
      <w:r>
        <w:rPr>
          <w:sz w:val="18"/>
        </w:rPr>
        <w:t>Renforcement des capitaux propres à 228,5 milliards FCFA (+20%)</w:t>
      </w:r>
    </w:p>
    <w:p>
      <w:pPr>
        <w:pStyle w:val="ListBullet"/>
        <w:spacing w:before="20" w:after="20"/>
        <w:ind w:left="700"/>
      </w:pPr>
      <w:r>
        <w:rPr>
          <w:sz w:val="18"/>
        </w:rPr>
        <w:t>Augmentation des crédits à la clientèle de 27% à 1 206 milliards FCFA</w:t>
      </w:r>
    </w:p>
    <w:p>
      <w:pPr>
        <w:pStyle w:val="ListBullet"/>
        <w:spacing w:before="20" w:after="20"/>
        <w:ind w:left="700"/>
      </w:pPr>
      <w:r>
        <w:rPr>
          <w:sz w:val="18"/>
        </w:rPr>
        <w:t>Croissance des dépôts clients de 17% à 1 447 milliards FCFA</w:t>
      </w:r>
    </w:p>
    <w:p>
      <w:pPr>
        <w:spacing w:before="40"/>
        <w:ind w:left="400"/>
      </w:pPr>
      <w:r>
        <w:rPr>
          <w:b/>
          <w:color w:val="C05000"/>
          <w:sz w:val="18"/>
        </w:rPr>
        <w:t xml:space="preserve">⚠️ Risques : </w:t>
      </w:r>
      <w:r>
        <w:rPr>
          <w:sz w:val="18"/>
        </w:rPr>
        <w:t>["Augmentation du co\u00fbt du risque de 24% t\u00e9moignant d'une d\u00e9gradation potentielle de la qualit\u00e9 des cr\u00e9dits", "Exposition au risque pays dans un contexte g\u00e9opolitique instable au Sahel", "Concentration g\u00e9ographique sur l'Afrique de l'Ouest avec les risques macro\u00</w:t>
      </w:r>
    </w:p>
    <w:p>
      <w:pPr>
        <w:spacing w:before="40"/>
        <w:ind w:left="400"/>
      </w:pPr>
      <w:r>
        <w:rPr>
          <w:b/>
          <w:color w:val="0064A0"/>
          <w:sz w:val="18"/>
        </w:rPr>
        <w:t xml:space="preserve">🔮 Perspectives : </w:t>
      </w:r>
      <w:r>
        <w:rPr>
          <w:sz w:val="18"/>
        </w:rPr>
        <w:t>Les perspectives restent positives avec une dynamique de croissance bien établie et une position concurrentielle solide. La banque devrait continuer à bénéficier de l'expansion économique régionale et du développement de l'inclusion financière. La surveillance de l'évolution du coût du risque sera 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d\u00e9montre une croissance soutenue de tous ses indicateurs cl\u00e9s avec une am\u00e9lioration de l'efficacit\u00e9 op\u00e9rationnelle. Sa position de leader au Burkina Faso et son plan strat\u00e9gique 2023-2025 ax\u00e9 sur l'innovation offrent de bonnes perspectives de d\u00e9veloppement."}</w:t>
      </w:r>
    </w:p>
    <w:p>
      <w:pPr>
        <w:spacing w:before="40"/>
        <w:ind w:left="400"/>
      </w:pPr>
      <w:r>
        <w:rPr>
          <w:sz w:val="18"/>
        </w:rPr>
        <w:t>CORIS BANK International présente de solides performances pour l'exercice 2022 avec une croissance remarquable de tous ses indicateurs clés. La banque a enregistré une marge d'intérêts globale de 77,9 milliards FCFA (+25,39%) et un produit net bancaire de 110,6 milliards FCFA (+24,15%). Le résultat net s'établit à 56,5 milliards FCFA en hausse de 21,33%, démontrant une rentabilité solide malgré un contexte économique difficile. Le coefficient d'exploitation s'améliore à 31,1% contre 34,7% en 2021, témoignant d'une meilleure maîtrise des coûts. La banque renforce sa position de leader sur le marché burkinabé avec des parts de marché de 22,5% pour les dépôts et 23,6% pour les crédits.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'marge_interets': '77,9 milliards FCFA', 'depots_clientele': '1 439,8 milliards FCFA', 'credits_clientele': '1 184,0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31,1%</w:t>
            </w:r>
          </w:p>
        </w:tc>
        <w:tc>
          <w:tcPr>
            <w:tcW w:type="dxa" w:w="2160"/>
          </w:tcPr>
          <w:p>
            <w:pPr>
              <w:ind w:left="100"/>
            </w:pPr>
            <w:r/>
            <w:r>
              <w:rPr>
                <w:b/>
                <w:sz w:val="16"/>
              </w:rPr>
              <w:t>total_actif</w:t>
              <w:br/>
            </w:r>
            <w:r>
              <w:rPr>
                <w:sz w:val="18"/>
              </w:rPr>
              <w:t>2 289,0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110,6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produit net bancaire à 110,6 milliards FCFA (+24,15%)</w:t>
      </w:r>
    </w:p>
    <w:p>
      <w:pPr>
        <w:pStyle w:val="ListBullet"/>
        <w:spacing w:before="20" w:after="20"/>
        <w:ind w:left="700"/>
      </w:pPr>
      <w:r>
        <w:rPr>
          <w:sz w:val="18"/>
        </w:rPr>
        <w:t>Résultat net en progression de 21,33% à 56,5 milliards FCFA</w:t>
      </w:r>
    </w:p>
    <w:p>
      <w:pPr>
        <w:pStyle w:val="ListBullet"/>
        <w:spacing w:before="20" w:after="20"/>
        <w:ind w:left="700"/>
      </w:pPr>
      <w:r>
        <w:rPr>
          <w:sz w:val="18"/>
        </w:rPr>
        <w:t>Amélioration du coefficient d'exploitation de 34,7% à 31,1%</w:t>
      </w:r>
    </w:p>
    <w:p>
      <w:pPr>
        <w:pStyle w:val="ListBullet"/>
        <w:spacing w:before="20" w:after="20"/>
        <w:ind w:left="700"/>
      </w:pPr>
      <w:r>
        <w:rPr>
          <w:sz w:val="18"/>
        </w:rPr>
        <w:t>Croissance des dépôts de la clientèle de 16,64% à 1 439,8 milliards FCFA</w:t>
      </w:r>
    </w:p>
    <w:p>
      <w:pPr>
        <w:pStyle w:val="ListBullet"/>
        <w:spacing w:before="20" w:after="20"/>
        <w:ind w:left="700"/>
      </w:pPr>
      <w:r>
        <w:rPr>
          <w:sz w:val="18"/>
        </w:rPr>
        <w:t>Expansion des crédits à la clientèle de 27,15% à 1 184,0 milliards FCFA</w:t>
      </w:r>
    </w:p>
    <w:p>
      <w:pPr>
        <w:pStyle w:val="ListBullet"/>
        <w:spacing w:before="20" w:after="20"/>
        <w:ind w:left="700"/>
      </w:pPr>
      <w:r>
        <w:rPr>
          <w:sz w:val="18"/>
        </w:rPr>
        <w:t>Renforcement de la position de leader au Burkina Faso avec 22,5% de parts de marché sur les dépôts</w:t>
      </w:r>
    </w:p>
    <w:p>
      <w:pPr>
        <w:spacing w:before="40"/>
        <w:ind w:left="400"/>
      </w:pPr>
      <w:r>
        <w:rPr>
          <w:b/>
          <w:color w:val="C05000"/>
          <w:sz w:val="18"/>
        </w:rPr>
        <w:t xml:space="preserve">⚠️ Risques : </w:t>
      </w:r>
      <w:r>
        <w:rPr>
          <w:sz w:val="18"/>
        </w:rPr>
        <w:t>["Exposition au contexte s\u00e9curitaire et politique difficile au Burkina Faso", "Inflation \u00e9lev\u00e9e (14,6%) impactant l'environnement \u00e9conomique", "Incertitudes g\u00e9opolitiques et ralentissement \u00e9conomique mondial affectant la r\u00e9gion"]</w:t>
      </w:r>
    </w:p>
    <w:p>
      <w:pPr>
        <w:spacing w:before="40"/>
        <w:ind w:left="400"/>
      </w:pPr>
      <w:r>
        <w:rPr>
          <w:b/>
          <w:color w:val="0064A0"/>
          <w:sz w:val="18"/>
        </w:rPr>
        <w:t xml:space="preserve">🔮 Perspectives : </w:t>
      </w:r>
      <w:r>
        <w:rPr>
          <w:sz w:val="18"/>
        </w:rPr>
        <w:t>La banque lance son plan stratégique 2023-2025 'Agilité et Innovation' visant à devenir la référence en innovation et accompagnement des PME. Malgré un contexte d'incertitudes liées aux questions géopolitiques et à l'inflation, la direction générale anticipe le maintien d'une dynamique de croissance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une rentabilit\u00e9 excellente et des ratios prudentiels conformes. La forte progression de l'activit\u00e9 cr\u00e9dit et la ma\u00eetrise des co\u00fbts renforcent l'attractivit\u00e9 du titre."}</w:t>
      </w:r>
    </w:p>
    <w:p>
      <w:pPr>
        <w:spacing w:before="40"/>
        <w:ind w:left="400"/>
      </w:pPr>
      <w:r>
        <w:rPr>
          <w:sz w:val="18"/>
        </w:rPr>
        <w:t>CORIS BANK INTERNATIONAL SA présente des performances financières solides pour l'exercice 2022 avec une croissance significative de ses activités. Le total du bilan s'établit à 2 289 milliards de FCFA contre 1 953 milliards en 2021, soit une progression de 17,2%. Le résultat net ressort à 56,5 milliards de FCFA en hausse de 21,3% par rapport aux 46,5 milliards de 2021. Le produit net bancaire progresse de 23% passant de 90,3 milliards à 111,1 milliards de FCFA. Les commissaires aux comptes certifient que les comptes sont réguliers et sincères et donnent une image fidèle de la situation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'14,2 milliards FCFA', 'progression_pnb': '23%', 'creances_clientele': '1 206 milliards FCFA', 'ratio_creances_clientele': '52,7%'}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50,8%</w:t>
            </w:r>
          </w:p>
        </w:tc>
        <w:tc>
          <w:tcPr>
            <w:tcW w:type="dxa" w:w="2160"/>
          </w:tcPr>
          <w:p>
            <w:pPr>
              <w:ind w:left="100"/>
            </w:pPr>
            <w:r/>
            <w:r>
              <w:rPr>
                <w:b/>
                <w:sz w:val="16"/>
              </w:rPr>
              <w:t>total_actif</w:t>
              <w:br/>
            </w:r>
            <w:r>
              <w:rPr>
                <w:sz w:val="18"/>
              </w:rPr>
              <w:t>2 289 milliards FCFA</w:t>
            </w:r>
          </w:p>
        </w:tc>
      </w:tr>
      <w:tr>
        <w:tc>
          <w:tcPr>
            <w:tcW w:type="dxa" w:w="2160"/>
          </w:tcPr>
          <w:p>
            <w:r/>
            <w:r>
              <w:rPr>
                <w:b/>
                <w:sz w:val="16"/>
              </w:rPr>
              <w:t>resultat_net</w:t>
              <w:br/>
            </w:r>
            <w:r>
              <w:rPr>
                <w:sz w:val="18"/>
              </w:rPr>
              <w:t>56,5 milliards FCFA</w:t>
            </w:r>
          </w:p>
        </w:tc>
        <w:tc>
          <w:tcPr>
            <w:tcW w:type="dxa" w:w="2160"/>
          </w:tcPr>
          <w:p>
            <w:r/>
            <w:r>
              <w:rPr>
                <w:b/>
                <w:sz w:val="16"/>
              </w:rPr>
              <w:t>capitaux_propres</w:t>
              <w:br/>
            </w:r>
            <w:r>
              <w:rPr>
                <w:sz w:val="18"/>
              </w:rPr>
              <w:t>228,5 milliards FCFA</w:t>
            </w:r>
          </w:p>
        </w:tc>
        <w:tc>
          <w:tcPr>
            <w:tcW w:type="dxa" w:w="2160"/>
          </w:tcPr>
          <w:p>
            <w:r/>
            <w:r>
              <w:rPr>
                <w:b/>
                <w:sz w:val="16"/>
              </w:rPr>
              <w:t>chiffre_affaires</w:t>
              <w:br/>
            </w:r>
            <w:r>
              <w:rPr>
                <w:sz w:val="18"/>
              </w:rPr>
              <w:t>111,1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total bilan de 17,2% atteignant 2 289 milliards FCFA</w:t>
      </w:r>
    </w:p>
    <w:p>
      <w:pPr>
        <w:pStyle w:val="ListBullet"/>
        <w:spacing w:before="20" w:after="20"/>
        <w:ind w:left="700"/>
      </w:pPr>
      <w:r>
        <w:rPr>
          <w:sz w:val="18"/>
        </w:rPr>
        <w:t>Progression remarquable du résultat net de 21,3% à 56,5 milliards FCFA</w:t>
      </w:r>
    </w:p>
    <w:p>
      <w:pPr>
        <w:pStyle w:val="ListBullet"/>
        <w:spacing w:before="20" w:after="20"/>
        <w:ind w:left="700"/>
      </w:pPr>
      <w:r>
        <w:rPr>
          <w:sz w:val="18"/>
        </w:rPr>
        <w:t>Hausse significative du produit net bancaire de 23% à 111,1 milliards FCFA</w:t>
      </w:r>
    </w:p>
    <w:p>
      <w:pPr>
        <w:pStyle w:val="ListBullet"/>
        <w:spacing w:before="20" w:after="20"/>
        <w:ind w:left="700"/>
      </w:pPr>
      <w:r>
        <w:rPr>
          <w:sz w:val="18"/>
        </w:rPr>
        <w:t>Augmentation des créances sur la clientèle de 27,8% à 1 206 milliards FCFA</w:t>
      </w:r>
    </w:p>
    <w:p>
      <w:pPr>
        <w:pStyle w:val="ListBullet"/>
        <w:spacing w:before="20" w:after="20"/>
        <w:ind w:left="700"/>
      </w:pPr>
      <w:r>
        <w:rPr>
          <w:sz w:val="18"/>
        </w:rPr>
        <w:t>Renforcement des fonds propres à 228,5 milliards FCFA contre 189,8 milliards</w:t>
      </w:r>
    </w:p>
    <w:p>
      <w:pPr>
        <w:pStyle w:val="ListBullet"/>
        <w:spacing w:before="20" w:after="20"/>
        <w:ind w:left="700"/>
      </w:pPr>
      <w:r>
        <w:rPr>
          <w:sz w:val="18"/>
        </w:rPr>
        <w:t>Certification sans réserve des comptes par les commissaires aux comptes</w:t>
      </w:r>
    </w:p>
    <w:p>
      <w:pPr>
        <w:spacing w:before="40"/>
        <w:ind w:left="400"/>
      </w:pPr>
      <w:r>
        <w:rPr>
          <w:b/>
          <w:color w:val="C05000"/>
          <w:sz w:val="18"/>
        </w:rPr>
        <w:t xml:space="preserve">⚠️ Risques : </w:t>
      </w:r>
      <w:r>
        <w:rPr>
          <w:sz w:val="18"/>
        </w:rPr>
        <w:t xml:space="preserve">["Concentration g\u00e9ographique sur le march\u00e9 burkinab\u00e9 expos\u00e9 aux risques politiques et s\u00e9curitaires", "Augmentation du co\u00fbt du risque de 24% refl\u00e9tant une d\u00e9gradation potentielle du portefeuille cr\u00e9dit", "Exposition au risque de contrepartie avec la forte </w:t>
      </w:r>
    </w:p>
    <w:p>
      <w:pPr>
        <w:spacing w:before="40"/>
        <w:ind w:left="400"/>
      </w:pPr>
      <w:r>
        <w:rPr>
          <w:b/>
          <w:color w:val="0064A0"/>
          <w:sz w:val="18"/>
        </w:rPr>
        <w:t xml:space="preserve">🔮 Perspectives : </w:t>
      </w:r>
      <w:r>
        <w:rPr>
          <w:sz w:val="18"/>
        </w:rPr>
        <w:t>Les perspectives restent favorables avec la poursuite de la croissance de l'activité bancaire et le maintien d'une rentabilité élevée. La banque devra néanmoins surveiller l'évolution de la qualité de son portefeuille crédit dans un contexte économique régional incertain.</w:t>
      </w:r>
    </w:p>
    <w:p/>
    <w:p>
      <w:r>
        <w:t>════════════════════════════════════════════════════════════════════════════════</w:t>
      </w:r>
    </w:p>
    <w:p>
      <w:r>
        <w:br w:type="page"/>
      </w:r>
    </w:p>
    <w:p>
      <w:pPr>
        <w:pStyle w:val="Heading2"/>
        <w:spacing w:before="360"/>
      </w:pPr>
      <w:r>
        <w:rPr>
          <w:color w:val="0066CC"/>
        </w:rPr>
        <w:t>13. CFAC - CFAC - CFAO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CFAC</w:t>
            </w:r>
          </w:p>
          <w:p>
            <w:r>
              <w:rPr>
                <w:b/>
                <w:color w:val="323250"/>
                <w:sz w:val="16"/>
              </w:rPr>
              <w:t xml:space="preserve">Société : </w:t>
            </w:r>
            <w:r>
              <w:rPr>
                <w:color w:val="000000"/>
                <w:sz w:val="16"/>
              </w:rPr>
              <w:t>CFAC - CFAO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316.49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3,576 titres</w:t>
            </w:r>
          </w:p>
        </w:tc>
        <w:tc>
          <w:tcPr>
            <w:tcW w:type="dxa" w:w="2268"/>
            <w:shd w:fill="FFF2CC" w:val="clear"/>
          </w:tcPr>
          <w:p>
            <w:r>
              <w:rPr>
                <w:b/>
                <w:color w:val="503200"/>
                <w:sz w:val="16"/>
              </w:rPr>
              <w:t xml:space="preserve">Cours actuel : </w:t>
            </w:r>
            <w:r>
              <w:rPr>
                <w:color w:val="000000"/>
                <w:sz w:val="17"/>
              </w:rPr>
              <w:t>1,745 FCFA</w:t>
            </w:r>
          </w:p>
          <w:p>
            <w:r>
              <w:rPr>
                <w:b/>
                <w:color w:val="503200"/>
                <w:sz w:val="16"/>
              </w:rPr>
              <w:t xml:space="preserve">Var. 100 jours : </w:t>
            </w:r>
            <w:r>
              <w:rPr>
                <w:b/>
                <w:color w:val="007800"/>
                <w:sz w:val="17"/>
              </w:rPr>
              <w:t>+7.72%</w:t>
            </w:r>
          </w:p>
          <w:p>
            <w:r>
              <w:rPr>
                <w:b/>
                <w:color w:val="503200"/>
                <w:sz w:val="16"/>
              </w:rPr>
              <w:t xml:space="preserve">Plus haut 100j : </w:t>
            </w:r>
            <w:r>
              <w:rPr>
                <w:color w:val="000000"/>
                <w:sz w:val="17"/>
              </w:rPr>
              <w:t>1,825 FCFA</w:t>
            </w:r>
          </w:p>
          <w:p>
            <w:r>
              <w:rPr>
                <w:b/>
                <w:color w:val="503200"/>
                <w:sz w:val="16"/>
              </w:rPr>
              <w:t xml:space="preserve">Plus bas 100j : </w:t>
            </w:r>
            <w:r>
              <w:rPr>
                <w:color w:val="000000"/>
                <w:sz w:val="17"/>
              </w:rPr>
              <w:t>1,325 FCFA</w:t>
            </w:r>
          </w:p>
          <w:p>
            <w:r>
              <w:rPr>
                <w:b/>
                <w:color w:val="503200"/>
                <w:sz w:val="16"/>
              </w:rPr>
              <w:t xml:space="preserve">Volatilité ann. : </w:t>
            </w:r>
            <w:r>
              <w:rPr>
                <w:color w:val="000000"/>
                <w:sz w:val="17"/>
              </w:rPr>
              <w:t>48.8%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6.41% (Moyenne) — μ=1,607 FCFA, σ=103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β=1.1096 (Neutre (suit le marché)) — Cov=0.000039, Var(idx)=0.000035, ρ=0.214,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3,576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σ_j=3.08%/j (Modérée) — Vol. annualisée≈48.8%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5" name="Picture 1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2026-08-28</w:t>
            </w:r>
          </w:p>
        </w:tc>
        <w:tc>
          <w:tcPr>
            <w:tcW w:type="dxa" w:w="1440"/>
            <w:shd w:fill="FFDCE0" w:val="clear"/>
          </w:tcPr>
          <w:p>
            <w:r>
              <w:rPr>
                <w:sz w:val="17"/>
              </w:rPr>
              <w:t>1,626</w:t>
            </w:r>
          </w:p>
        </w:tc>
        <w:tc>
          <w:tcPr>
            <w:tcW w:type="dxa" w:w="1440"/>
            <w:shd w:fill="FFDCE0" w:val="clear"/>
          </w:tcPr>
          <w:p>
            <w:r>
              <w:rPr>
                <w:b/>
                <w:sz w:val="17"/>
              </w:rPr>
              <w:t>1,700</w:t>
            </w:r>
          </w:p>
        </w:tc>
        <w:tc>
          <w:tcPr>
            <w:tcW w:type="dxa" w:w="1440"/>
            <w:shd w:fill="FFDCE0" w:val="clear"/>
          </w:tcPr>
          <w:p>
            <w:r>
              <w:rPr>
                <w:sz w:val="17"/>
              </w:rPr>
              <w:t>1,774</w:t>
            </w:r>
          </w:p>
        </w:tc>
        <w:tc>
          <w:tcPr>
            <w:tcW w:type="dxa" w:w="1440"/>
            <w:shd w:fill="FFDCE0" w:val="clear"/>
          </w:tcPr>
          <w:p>
            <w:r>
              <w:rPr>
                <w:b/>
                <w:color w:val="C00000"/>
                <w:sz w:val="17"/>
              </w:rPr>
              <w:t>-2.6%</w:t>
            </w:r>
          </w:p>
        </w:tc>
      </w:tr>
      <w:tr>
        <w:tc>
          <w:tcPr>
            <w:tcW w:type="dxa" w:w="1440"/>
            <w:shd w:fill="FFDCE0" w:val="clear"/>
          </w:tcPr>
          <w:p>
            <w:r>
              <w:rPr>
                <w:sz w:val="17"/>
              </w:rPr>
              <w:t>J+2  Moyenne</w:t>
            </w:r>
          </w:p>
        </w:tc>
        <w:tc>
          <w:tcPr>
            <w:tcW w:type="dxa" w:w="1440"/>
            <w:shd w:fill="FFDCE0" w:val="clear"/>
          </w:tcPr>
          <w:p>
            <w:r>
              <w:rPr>
                <w:sz w:val="17"/>
              </w:rPr>
              <w:t>2026-08-31</w:t>
            </w:r>
          </w:p>
        </w:tc>
        <w:tc>
          <w:tcPr>
            <w:tcW w:type="dxa" w:w="1440"/>
            <w:shd w:fill="FFDCE0" w:val="clear"/>
          </w:tcPr>
          <w:p>
            <w:r>
              <w:rPr>
                <w:sz w:val="17"/>
              </w:rPr>
              <w:t>1,574</w:t>
            </w:r>
          </w:p>
        </w:tc>
        <w:tc>
          <w:tcPr>
            <w:tcW w:type="dxa" w:w="1440"/>
            <w:shd w:fill="FFDCE0" w:val="clear"/>
          </w:tcPr>
          <w:p>
            <w:r>
              <w:rPr>
                <w:b/>
                <w:sz w:val="17"/>
              </w:rPr>
              <w:t>1,678</w:t>
            </w:r>
          </w:p>
        </w:tc>
        <w:tc>
          <w:tcPr>
            <w:tcW w:type="dxa" w:w="1440"/>
            <w:shd w:fill="FFDCE0" w:val="clear"/>
          </w:tcPr>
          <w:p>
            <w:r>
              <w:rPr>
                <w:sz w:val="17"/>
              </w:rPr>
              <w:t>1,781</w:t>
            </w:r>
          </w:p>
        </w:tc>
        <w:tc>
          <w:tcPr>
            <w:tcW w:type="dxa" w:w="1440"/>
            <w:shd w:fill="FFDCE0" w:val="clear"/>
          </w:tcPr>
          <w:p>
            <w:r>
              <w:rPr>
                <w:b/>
                <w:color w:val="C00000"/>
                <w:sz w:val="17"/>
              </w:rPr>
              <w:t>-3.9%</w:t>
            </w:r>
          </w:p>
        </w:tc>
      </w:tr>
      <w:tr>
        <w:tc>
          <w:tcPr>
            <w:tcW w:type="dxa" w:w="1440"/>
            <w:shd w:fill="FFDCE0" w:val="clear"/>
          </w:tcPr>
          <w:p>
            <w:r>
              <w:rPr>
                <w:sz w:val="17"/>
              </w:rPr>
              <w:t>J+3  Moyenne</w:t>
            </w:r>
          </w:p>
        </w:tc>
        <w:tc>
          <w:tcPr>
            <w:tcW w:type="dxa" w:w="1440"/>
            <w:shd w:fill="FFDCE0" w:val="clear"/>
          </w:tcPr>
          <w:p>
            <w:r>
              <w:rPr>
                <w:sz w:val="17"/>
              </w:rPr>
              <w:t>2026-09-01</w:t>
            </w:r>
          </w:p>
        </w:tc>
        <w:tc>
          <w:tcPr>
            <w:tcW w:type="dxa" w:w="1440"/>
            <w:shd w:fill="FFDCE0" w:val="clear"/>
          </w:tcPr>
          <w:p>
            <w:r>
              <w:rPr>
                <w:sz w:val="17"/>
              </w:rPr>
              <w:t>1,528</w:t>
            </w:r>
          </w:p>
        </w:tc>
        <w:tc>
          <w:tcPr>
            <w:tcW w:type="dxa" w:w="1440"/>
            <w:shd w:fill="FFDCE0" w:val="clear"/>
          </w:tcPr>
          <w:p>
            <w:r>
              <w:rPr>
                <w:b/>
                <w:sz w:val="17"/>
              </w:rPr>
              <w:t>1,653</w:t>
            </w:r>
          </w:p>
        </w:tc>
        <w:tc>
          <w:tcPr>
            <w:tcW w:type="dxa" w:w="1440"/>
            <w:shd w:fill="FFDCE0" w:val="clear"/>
          </w:tcPr>
          <w:p>
            <w:r>
              <w:rPr>
                <w:sz w:val="17"/>
              </w:rPr>
              <w:t>1,778</w:t>
            </w:r>
          </w:p>
        </w:tc>
        <w:tc>
          <w:tcPr>
            <w:tcW w:type="dxa" w:w="1440"/>
            <w:shd w:fill="FFDCE0" w:val="clear"/>
          </w:tcPr>
          <w:p>
            <w:r>
              <w:rPr>
                <w:b/>
                <w:color w:val="C00000"/>
                <w:sz w:val="17"/>
              </w:rPr>
              <w:t>-5.3%</w:t>
            </w:r>
          </w:p>
        </w:tc>
      </w:tr>
      <w:tr>
        <w:tc>
          <w:tcPr>
            <w:tcW w:type="dxa" w:w="1440"/>
            <w:shd w:fill="FFDCE0" w:val="clear"/>
          </w:tcPr>
          <w:p>
            <w:r>
              <w:rPr>
                <w:sz w:val="17"/>
              </w:rPr>
              <w:t>J+4  ⭐</w:t>
            </w:r>
          </w:p>
        </w:tc>
        <w:tc>
          <w:tcPr>
            <w:tcW w:type="dxa" w:w="1440"/>
            <w:shd w:fill="FFDCE0" w:val="clear"/>
          </w:tcPr>
          <w:p>
            <w:r>
              <w:rPr>
                <w:sz w:val="17"/>
              </w:rPr>
              <w:t>2026-09-02</w:t>
            </w:r>
          </w:p>
        </w:tc>
        <w:tc>
          <w:tcPr>
            <w:tcW w:type="dxa" w:w="1440"/>
            <w:shd w:fill="FFDCE0" w:val="clear"/>
          </w:tcPr>
          <w:p>
            <w:r>
              <w:rPr>
                <w:sz w:val="17"/>
              </w:rPr>
              <w:t>1,486</w:t>
            </w:r>
          </w:p>
        </w:tc>
        <w:tc>
          <w:tcPr>
            <w:tcW w:type="dxa" w:w="1440"/>
            <w:shd w:fill="FFDCE0" w:val="clear"/>
          </w:tcPr>
          <w:p>
            <w:r>
              <w:rPr>
                <w:b/>
                <w:sz w:val="17"/>
              </w:rPr>
              <w:t>1,628</w:t>
            </w:r>
          </w:p>
        </w:tc>
        <w:tc>
          <w:tcPr>
            <w:tcW w:type="dxa" w:w="1440"/>
            <w:shd w:fill="FFDCE0" w:val="clear"/>
          </w:tcPr>
          <w:p>
            <w:r>
              <w:rPr>
                <w:sz w:val="17"/>
              </w:rPr>
              <w:t>1,771</w:t>
            </w:r>
          </w:p>
        </w:tc>
        <w:tc>
          <w:tcPr>
            <w:tcW w:type="dxa" w:w="1440"/>
            <w:shd w:fill="FFDCE0" w:val="clear"/>
          </w:tcPr>
          <w:p>
            <w:r>
              <w:rPr>
                <w:b/>
                <w:color w:val="C00000"/>
                <w:sz w:val="17"/>
              </w:rPr>
              <w:t>-6.7%</w:t>
            </w:r>
          </w:p>
        </w:tc>
      </w:tr>
      <w:tr>
        <w:tc>
          <w:tcPr>
            <w:tcW w:type="dxa" w:w="1440"/>
            <w:shd w:fill="FFDCE0" w:val="clear"/>
          </w:tcPr>
          <w:p>
            <w:r>
              <w:rPr>
                <w:sz w:val="17"/>
              </w:rPr>
              <w:t>J+5  ⭐</w:t>
            </w:r>
          </w:p>
        </w:tc>
        <w:tc>
          <w:tcPr>
            <w:tcW w:type="dxa" w:w="1440"/>
            <w:shd w:fill="FFDCE0" w:val="clear"/>
          </w:tcPr>
          <w:p>
            <w:r>
              <w:rPr>
                <w:sz w:val="17"/>
              </w:rPr>
              <w:t>2026-09-03</w:t>
            </w:r>
          </w:p>
        </w:tc>
        <w:tc>
          <w:tcPr>
            <w:tcW w:type="dxa" w:w="1440"/>
            <w:shd w:fill="FFDCE0" w:val="clear"/>
          </w:tcPr>
          <w:p>
            <w:r>
              <w:rPr>
                <w:sz w:val="17"/>
              </w:rPr>
              <w:t>1,447</w:t>
            </w:r>
          </w:p>
        </w:tc>
        <w:tc>
          <w:tcPr>
            <w:tcW w:type="dxa" w:w="1440"/>
            <w:shd w:fill="FFDCE0" w:val="clear"/>
          </w:tcPr>
          <w:p>
            <w:r>
              <w:rPr>
                <w:b/>
                <w:sz w:val="17"/>
              </w:rPr>
              <w:t>1,604</w:t>
            </w:r>
          </w:p>
        </w:tc>
        <w:tc>
          <w:tcPr>
            <w:tcW w:type="dxa" w:w="1440"/>
            <w:shd w:fill="FFDCE0" w:val="clear"/>
          </w:tcPr>
          <w:p>
            <w:r>
              <w:rPr>
                <w:sz w:val="17"/>
              </w:rPr>
              <w:t>1,761</w:t>
            </w:r>
          </w:p>
        </w:tc>
        <w:tc>
          <w:tcPr>
            <w:tcW w:type="dxa" w:w="1440"/>
            <w:shd w:fill="FFDCE0" w:val="clear"/>
          </w:tcPr>
          <w:p>
            <w:r>
              <w:rPr>
                <w:b/>
                <w:color w:val="C00000"/>
                <w:sz w:val="17"/>
              </w:rPr>
              <w:t>-8.1%</w:t>
            </w:r>
          </w:p>
        </w:tc>
      </w:tr>
      <w:tr>
        <w:tc>
          <w:tcPr>
            <w:tcW w:type="dxa" w:w="1440"/>
            <w:shd w:fill="FFDCE0" w:val="clear"/>
          </w:tcPr>
          <w:p>
            <w:r>
              <w:rPr>
                <w:sz w:val="17"/>
              </w:rPr>
              <w:t>J+6  ⭐</w:t>
            </w:r>
          </w:p>
        </w:tc>
        <w:tc>
          <w:tcPr>
            <w:tcW w:type="dxa" w:w="1440"/>
            <w:shd w:fill="FFDCE0" w:val="clear"/>
          </w:tcPr>
          <w:p>
            <w:r>
              <w:rPr>
                <w:sz w:val="17"/>
              </w:rPr>
              <w:t>2026-09-04</w:t>
            </w:r>
          </w:p>
        </w:tc>
        <w:tc>
          <w:tcPr>
            <w:tcW w:type="dxa" w:w="1440"/>
            <w:shd w:fill="FFDCE0" w:val="clear"/>
          </w:tcPr>
          <w:p>
            <w:r>
              <w:rPr>
                <w:sz w:val="17"/>
              </w:rPr>
              <w:t>1,411</w:t>
            </w:r>
          </w:p>
        </w:tc>
        <w:tc>
          <w:tcPr>
            <w:tcW w:type="dxa" w:w="1440"/>
            <w:shd w:fill="FFDCE0" w:val="clear"/>
          </w:tcPr>
          <w:p>
            <w:r>
              <w:rPr>
                <w:b/>
                <w:sz w:val="17"/>
              </w:rPr>
              <w:t>1,580</w:t>
            </w:r>
          </w:p>
        </w:tc>
        <w:tc>
          <w:tcPr>
            <w:tcW w:type="dxa" w:w="1440"/>
            <w:shd w:fill="FFDCE0" w:val="clear"/>
          </w:tcPr>
          <w:p>
            <w:r>
              <w:rPr>
                <w:sz w:val="17"/>
              </w:rPr>
              <w:t>1,750</w:t>
            </w:r>
          </w:p>
        </w:tc>
        <w:tc>
          <w:tcPr>
            <w:tcW w:type="dxa" w:w="1440"/>
            <w:shd w:fill="FFDCE0" w:val="clear"/>
          </w:tcPr>
          <w:p>
            <w:r>
              <w:rPr>
                <w:b/>
                <w:color w:val="C00000"/>
                <w:sz w:val="17"/>
              </w:rPr>
              <w:t>-9.4%</w:t>
            </w:r>
          </w:p>
        </w:tc>
      </w:tr>
      <w:tr>
        <w:tc>
          <w:tcPr>
            <w:tcW w:type="dxa" w:w="1440"/>
            <w:shd w:fill="FFDCE0" w:val="clear"/>
          </w:tcPr>
          <w:p>
            <w:r>
              <w:rPr>
                <w:sz w:val="17"/>
              </w:rPr>
              <w:t>J+7  ⭐</w:t>
            </w:r>
          </w:p>
        </w:tc>
        <w:tc>
          <w:tcPr>
            <w:tcW w:type="dxa" w:w="1440"/>
            <w:shd w:fill="FFDCE0" w:val="clear"/>
          </w:tcPr>
          <w:p>
            <w:r>
              <w:rPr>
                <w:sz w:val="17"/>
              </w:rPr>
              <w:t>2026-09-07</w:t>
            </w:r>
          </w:p>
        </w:tc>
        <w:tc>
          <w:tcPr>
            <w:tcW w:type="dxa" w:w="1440"/>
            <w:shd w:fill="FFDCE0" w:val="clear"/>
          </w:tcPr>
          <w:p>
            <w:r>
              <w:rPr>
                <w:sz w:val="17"/>
              </w:rPr>
              <w:t>1,377</w:t>
            </w:r>
          </w:p>
        </w:tc>
        <w:tc>
          <w:tcPr>
            <w:tcW w:type="dxa" w:w="1440"/>
            <w:shd w:fill="FFDCE0" w:val="clear"/>
          </w:tcPr>
          <w:p>
            <w:r>
              <w:rPr>
                <w:b/>
                <w:sz w:val="17"/>
              </w:rPr>
              <w:t>1,557</w:t>
            </w:r>
          </w:p>
        </w:tc>
        <w:tc>
          <w:tcPr>
            <w:tcW w:type="dxa" w:w="1440"/>
            <w:shd w:fill="FFDCE0" w:val="clear"/>
          </w:tcPr>
          <w:p>
            <w:r>
              <w:rPr>
                <w:sz w:val="17"/>
              </w:rPr>
              <w:t>1,737</w:t>
            </w:r>
          </w:p>
        </w:tc>
        <w:tc>
          <w:tcPr>
            <w:tcW w:type="dxa" w:w="1440"/>
            <w:shd w:fill="FFDCE0" w:val="clear"/>
          </w:tcPr>
          <w:p>
            <w:r>
              <w:rPr>
                <w:b/>
                <w:color w:val="C00000"/>
                <w:sz w:val="17"/>
              </w:rPr>
              <w:t>-10.8%</w:t>
            </w:r>
          </w:p>
        </w:tc>
      </w:tr>
      <w:tr>
        <w:tc>
          <w:tcPr>
            <w:tcW w:type="dxa" w:w="1440"/>
            <w:shd w:fill="FFDCE0" w:val="clear"/>
          </w:tcPr>
          <w:p>
            <w:r>
              <w:rPr>
                <w:sz w:val="17"/>
              </w:rPr>
              <w:t>J+8  ⭐</w:t>
            </w:r>
          </w:p>
        </w:tc>
        <w:tc>
          <w:tcPr>
            <w:tcW w:type="dxa" w:w="1440"/>
            <w:shd w:fill="FFDCE0" w:val="clear"/>
          </w:tcPr>
          <w:p>
            <w:r>
              <w:rPr>
                <w:sz w:val="17"/>
              </w:rPr>
              <w:t>2026-09-08</w:t>
            </w:r>
          </w:p>
        </w:tc>
        <w:tc>
          <w:tcPr>
            <w:tcW w:type="dxa" w:w="1440"/>
            <w:shd w:fill="FFDCE0" w:val="clear"/>
          </w:tcPr>
          <w:p>
            <w:r>
              <w:rPr>
                <w:sz w:val="17"/>
              </w:rPr>
              <w:t>1,345</w:t>
            </w:r>
          </w:p>
        </w:tc>
        <w:tc>
          <w:tcPr>
            <w:tcW w:type="dxa" w:w="1440"/>
            <w:shd w:fill="FFDCE0" w:val="clear"/>
          </w:tcPr>
          <w:p>
            <w:r>
              <w:rPr>
                <w:b/>
                <w:sz w:val="17"/>
              </w:rPr>
              <w:t>1,535</w:t>
            </w:r>
          </w:p>
        </w:tc>
        <w:tc>
          <w:tcPr>
            <w:tcW w:type="dxa" w:w="1440"/>
            <w:shd w:fill="FFDCE0" w:val="clear"/>
          </w:tcPr>
          <w:p>
            <w:r>
              <w:rPr>
                <w:sz w:val="17"/>
              </w:rPr>
              <w:t>1,724</w:t>
            </w:r>
          </w:p>
        </w:tc>
        <w:tc>
          <w:tcPr>
            <w:tcW w:type="dxa" w:w="1440"/>
            <w:shd w:fill="FFDCE0" w:val="clear"/>
          </w:tcPr>
          <w:p>
            <w:r>
              <w:rPr>
                <w:b/>
                <w:color w:val="C00000"/>
                <w:sz w:val="17"/>
              </w:rPr>
              <w:t>-12.1%</w:t>
            </w:r>
          </w:p>
        </w:tc>
      </w:tr>
      <w:tr>
        <w:tc>
          <w:tcPr>
            <w:tcW w:type="dxa" w:w="1440"/>
            <w:shd w:fill="FFDCE0" w:val="clear"/>
          </w:tcPr>
          <w:p>
            <w:r>
              <w:rPr>
                <w:sz w:val="17"/>
              </w:rPr>
              <w:t>J+9  ⭐</w:t>
            </w:r>
          </w:p>
        </w:tc>
        <w:tc>
          <w:tcPr>
            <w:tcW w:type="dxa" w:w="1440"/>
            <w:shd w:fill="FFDCE0" w:val="clear"/>
          </w:tcPr>
          <w:p>
            <w:r>
              <w:rPr>
                <w:sz w:val="17"/>
              </w:rPr>
              <w:t>2026-09-09</w:t>
            </w:r>
          </w:p>
        </w:tc>
        <w:tc>
          <w:tcPr>
            <w:tcW w:type="dxa" w:w="1440"/>
            <w:shd w:fill="FFDCE0" w:val="clear"/>
          </w:tcPr>
          <w:p>
            <w:r>
              <w:rPr>
                <w:sz w:val="17"/>
              </w:rPr>
              <w:t>1,314</w:t>
            </w:r>
          </w:p>
        </w:tc>
        <w:tc>
          <w:tcPr>
            <w:tcW w:type="dxa" w:w="1440"/>
            <w:shd w:fill="FFDCE0" w:val="clear"/>
          </w:tcPr>
          <w:p>
            <w:r>
              <w:rPr>
                <w:b/>
                <w:sz w:val="17"/>
              </w:rPr>
              <w:t>1,512</w:t>
            </w:r>
          </w:p>
        </w:tc>
        <w:tc>
          <w:tcPr>
            <w:tcW w:type="dxa" w:w="1440"/>
            <w:shd w:fill="FFDCE0" w:val="clear"/>
          </w:tcPr>
          <w:p>
            <w:r>
              <w:rPr>
                <w:sz w:val="17"/>
              </w:rPr>
              <w:t>1,711</w:t>
            </w:r>
          </w:p>
        </w:tc>
        <w:tc>
          <w:tcPr>
            <w:tcW w:type="dxa" w:w="1440"/>
            <w:shd w:fill="FFDCE0" w:val="clear"/>
          </w:tcPr>
          <w:p>
            <w:r>
              <w:rPr>
                <w:b/>
                <w:color w:val="C00000"/>
                <w:sz w:val="17"/>
              </w:rPr>
              <w:t>-13.3%</w:t>
            </w:r>
          </w:p>
        </w:tc>
      </w:tr>
      <w:tr>
        <w:tc>
          <w:tcPr>
            <w:tcW w:type="dxa" w:w="1440"/>
            <w:shd w:fill="FFDCE0" w:val="clear"/>
          </w:tcPr>
          <w:p>
            <w:r>
              <w:rPr>
                <w:sz w:val="17"/>
              </w:rPr>
              <w:t>J+10  ⭐</w:t>
            </w:r>
          </w:p>
        </w:tc>
        <w:tc>
          <w:tcPr>
            <w:tcW w:type="dxa" w:w="1440"/>
            <w:shd w:fill="FFDCE0" w:val="clear"/>
          </w:tcPr>
          <w:p>
            <w:r>
              <w:rPr>
                <w:sz w:val="17"/>
              </w:rPr>
              <w:t>2026-09-10</w:t>
            </w:r>
          </w:p>
        </w:tc>
        <w:tc>
          <w:tcPr>
            <w:tcW w:type="dxa" w:w="1440"/>
            <w:shd w:fill="FFDCE0" w:val="clear"/>
          </w:tcPr>
          <w:p>
            <w:r>
              <w:rPr>
                <w:sz w:val="17"/>
              </w:rPr>
              <w:t>1,285</w:t>
            </w:r>
          </w:p>
        </w:tc>
        <w:tc>
          <w:tcPr>
            <w:tcW w:type="dxa" w:w="1440"/>
            <w:shd w:fill="FFDCE0" w:val="clear"/>
          </w:tcPr>
          <w:p>
            <w:r>
              <w:rPr>
                <w:b/>
                <w:sz w:val="17"/>
              </w:rPr>
              <w:t>1,491</w:t>
            </w:r>
          </w:p>
        </w:tc>
        <w:tc>
          <w:tcPr>
            <w:tcW w:type="dxa" w:w="1440"/>
            <w:shd w:fill="FFDCE0" w:val="clear"/>
          </w:tcPr>
          <w:p>
            <w:r>
              <w:rPr>
                <w:sz w:val="17"/>
              </w:rPr>
              <w:t>1,697</w:t>
            </w:r>
          </w:p>
        </w:tc>
        <w:tc>
          <w:tcPr>
            <w:tcW w:type="dxa" w:w="1440"/>
            <w:shd w:fill="FFDCE0" w:val="clear"/>
          </w:tcPr>
          <w:p>
            <w:r>
              <w:rPr>
                <w:b/>
                <w:color w:val="C00000"/>
                <w:sz w:val="17"/>
              </w:rPr>
              <w:t>-14.6%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16.112 Mds FCFA</w:t>
            </w:r>
          </w:p>
        </w:tc>
        <w:tc>
          <w:tcPr>
            <w:tcW w:type="dxa" w:w="5669"/>
            <w:shd w:fill="FFFFFF" w:val="clear"/>
          </w:tcPr>
          <w:p>
            <w:r>
              <w:rPr>
                <w:color w:val="282828"/>
                <w:sz w:val="15"/>
              </w:rPr>
              <w:t>Créances clients = 10.2%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38.851 Mds FCFA</w:t>
            </w:r>
          </w:p>
        </w:tc>
        <w:tc>
          <w:tcPr>
            <w:tcW w:type="dxa" w:w="5669"/>
            <w:shd w:fill="FFFFFF" w:val="clear"/>
          </w:tcPr>
          <w:p>
            <w:r>
              <w:rPr>
                <w:color w:val="282828"/>
                <w:sz w:val="15"/>
              </w:rPr>
              <w:t>Rotation stocks = 4.1x/an.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56.530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6.475 Mds FCFA</w:t>
            </w:r>
          </w:p>
        </w:tc>
        <w:tc>
          <w:tcPr>
            <w:tcW w:type="dxa" w:w="5669"/>
            <w:shd w:fill="FFFFFF" w:val="clear"/>
          </w:tcPr>
          <w:p>
            <w:r>
              <w:rPr>
                <w:color w:val="282828"/>
                <w:sz w:val="15"/>
              </w:rPr>
              <w:t>Brevets, logiciels, fonds commercial (7.6%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18.010 Mds FCFA</w:t>
            </w:r>
          </w:p>
        </w:tc>
        <w:tc>
          <w:tcPr>
            <w:tcW w:type="dxa" w:w="5669"/>
            <w:shd w:fill="FFFFFF" w:val="clear"/>
          </w:tcPr>
          <w:p>
            <w:r>
              <w:rPr>
                <w:color w:val="282828"/>
                <w:sz w:val="15"/>
              </w:rPr>
              <w:t>Outil industriel (21.2%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24.619 Mds FCFA</w:t>
            </w:r>
          </w:p>
        </w:tc>
        <w:tc>
          <w:tcPr>
            <w:tcW w:type="dxa" w:w="5669"/>
            <w:shd w:fill="FFFFFF" w:val="clear"/>
          </w:tcPr>
          <w:p>
            <w:r>
              <w:rPr>
                <w:color w:val="282828"/>
                <w:sz w:val="15"/>
              </w:rPr>
              <w:t>Actif immobilisé = 29.0%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3.864 Mds FCFA</w:t>
            </w:r>
          </w:p>
        </w:tc>
        <w:tc>
          <w:tcPr>
            <w:tcW w:type="dxa" w:w="5669"/>
            <w:shd w:fill="FFFFFF" w:val="clear"/>
          </w:tcPr>
          <w:p>
            <w:r>
              <w:rPr>
                <w:color w:val="282828"/>
                <w:sz w:val="15"/>
              </w:rPr>
              <w:t>Liquidités disponibles (4.5%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85.013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9.069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1.814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19.453 Mds FCFA</w:t>
            </w:r>
          </w:p>
        </w:tc>
        <w:tc>
          <w:tcPr>
            <w:tcW w:type="dxa" w:w="5669"/>
            <w:shd w:fill="FFFFFF" w:val="clear"/>
          </w:tcPr>
          <w:p>
            <w:r>
              <w:rPr>
                <w:color w:val="282828"/>
                <w:sz w:val="15"/>
              </w:rPr>
              <w:t>Fonds propres = 22.9%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20.512 Mds FCFA</w:t>
            </w:r>
          </w:p>
        </w:tc>
        <w:tc>
          <w:tcPr>
            <w:tcW w:type="dxa" w:w="5669"/>
            <w:shd w:fill="FFFFFF" w:val="clear"/>
          </w:tcPr>
          <w:p>
            <w:r>
              <w:rPr>
                <w:color w:val="282828"/>
                <w:sz w:val="15"/>
              </w:rPr>
              <w:t>Capitaux permanents / Actif immobilisé = 0.83x.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35.950 Mds FCFA</w:t>
            </w:r>
          </w:p>
        </w:tc>
        <w:tc>
          <w:tcPr>
            <w:tcW w:type="dxa" w:w="5669"/>
            <w:shd w:fill="FFFFFF" w:val="clear"/>
          </w:tcPr>
          <w:p>
            <w:r>
              <w:rPr>
                <w:color w:val="282828"/>
                <w:sz w:val="15"/>
              </w:rPr>
              <w:t>Délai fournisseurs implicite ≈ 83 j. ✅ Bon pouvoir de négociation.</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4.488 Mds FCFA</w:t>
            </w:r>
          </w:p>
        </w:tc>
        <w:tc>
          <w:tcPr>
            <w:tcW w:type="dxa" w:w="5669"/>
            <w:shd w:fill="FFFFFF" w:val="clear"/>
          </w:tcPr>
          <w:p>
            <w:r>
              <w:rPr>
                <w:color w:val="282828"/>
                <w:sz w:val="15"/>
              </w:rPr>
              <w:t>Dette financière totale = 23%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65.560 Mds FCFA</w:t>
            </w:r>
          </w:p>
        </w:tc>
        <w:tc>
          <w:tcPr>
            <w:tcW w:type="dxa" w:w="5669"/>
            <w:shd w:fill="FFFFFF" w:val="clear"/>
          </w:tcPr>
          <w:p>
            <w:r>
              <w:rPr>
                <w:color w:val="282828"/>
                <w:sz w:val="15"/>
              </w:rPr>
              <w:t>Dettes totales = 77.1%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158.313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158.313 Mds FCFA</w:t>
            </w:r>
          </w:p>
        </w:tc>
        <w:tc>
          <w:tcPr>
            <w:tcW w:type="dxa" w:w="5669"/>
            <w:shd w:fill="FFFFFF" w:val="clear"/>
          </w:tcPr>
          <w:p>
            <w:r>
              <w:rPr>
                <w:color w:val="282828"/>
                <w:sz w:val="15"/>
              </w:rPr>
              <w:t>Chiffre d'affaires. Croissance: -12.1%.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1.531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9.907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19.281 Mds FCFA</w:t>
            </w:r>
          </w:p>
        </w:tc>
        <w:tc>
          <w:tcPr>
            <w:tcW w:type="dxa" w:w="5669"/>
            <w:shd w:fill="FFFFFF" w:val="clear"/>
          </w:tcPr>
          <w:p>
            <w:r>
              <w:rPr>
                <w:color w:val="282828"/>
                <w:sz w:val="15"/>
              </w:rPr>
              <w:t>VA = 12.2%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9.374 Mds FCFA</w:t>
            </w:r>
          </w:p>
        </w:tc>
        <w:tc>
          <w:tcPr>
            <w:tcW w:type="dxa" w:w="5669"/>
            <w:shd w:fill="FFFFFF" w:val="clear"/>
          </w:tcPr>
          <w:p>
            <w:r>
              <w:rPr>
                <w:color w:val="282828"/>
                <w:sz w:val="15"/>
              </w:rPr>
              <w:t>EBE = 5.9%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7.847 Mds FCFA</w:t>
            </w:r>
          </w:p>
        </w:tc>
        <w:tc>
          <w:tcPr>
            <w:tcW w:type="dxa" w:w="5669"/>
            <w:shd w:fill="FFFFFF" w:val="clear"/>
          </w:tcPr>
          <w:p>
            <w:r>
              <w:rPr>
                <w:color w:val="282828"/>
                <w:sz w:val="15"/>
              </w:rPr>
              <w:t>Profit d'exploitation = 5.0%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1.059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4.693 Mds FCFA</w:t>
            </w:r>
          </w:p>
        </w:tc>
        <w:tc>
          <w:tcPr>
            <w:tcW w:type="dxa" w:w="5669"/>
            <w:shd w:fill="FFFFFF" w:val="clear"/>
          </w:tcPr>
          <w:p>
            <w:r>
              <w:rPr>
                <w:color w:val="282828"/>
                <w:sz w:val="15"/>
              </w:rPr>
              <w:t>Marge nette = 3.0%.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6.224 Mds FCFA</w:t>
            </w:r>
          </w:p>
        </w:tc>
        <w:tc>
          <w:tcPr>
            <w:tcW w:type="dxa" w:w="5669"/>
            <w:shd w:fill="FFFFFF" w:val="clear"/>
          </w:tcPr>
          <w:p>
            <w:r>
              <w:rPr>
                <w:color w:val="282828"/>
                <w:sz w:val="15"/>
              </w:rPr>
              <w:t>CAF = 6.22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7.091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-8.741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-3.200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-1.650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B40000"/>
                <w:sz w:val="17"/>
              </w:rPr>
              <w:t>-3.482 Mds FCFA</w:t>
            </w:r>
          </w:p>
        </w:tc>
        <w:tc>
          <w:tcPr>
            <w:tcW w:type="dxa" w:w="5669"/>
            <w:shd w:fill="FFFFFF" w:val="clear"/>
          </w:tcPr>
          <w:p>
            <w:r>
              <w:rPr>
                <w:color w:val="282828"/>
                <w:sz w:val="15"/>
              </w:rPr>
              <w:t>BFR = -2.2%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-4.106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EB9C" w:val="clear"/>
          </w:tcPr>
          <w:p>
            <w:r>
              <w:rPr>
                <w:b/>
                <w:color w:val="B40000"/>
                <w:sz w:val="17"/>
              </w:rPr>
              <w:t>-624.20 M FCFA</w:t>
            </w:r>
          </w:p>
        </w:tc>
        <w:tc>
          <w:tcPr>
            <w:tcW w:type="dxa" w:w="5669"/>
            <w:shd w:fill="FFFFFF" w:val="clear"/>
          </w:tcPr>
          <w:p>
            <w:r>
              <w:rPr>
                <w:color w:val="282828"/>
                <w:sz w:val="15"/>
              </w:rPr>
              <w:t>Trésorerie nette = FR - BFR. ⚠️ Trésorerie nette négative — recours aux concours bancaires.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5.92%</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2.96%</w:t>
            </w:r>
          </w:p>
        </w:tc>
        <w:tc>
          <w:tcPr>
            <w:tcW w:type="dxa" w:w="5669"/>
            <w:shd w:fill="FFFFFF" w:val="clear"/>
          </w:tcPr>
          <w:p>
            <w:r>
              <w:rPr>
                <w:color w:val="282828"/>
                <w:sz w:val="15"/>
              </w:rPr>
              <w:t>Résultat net / revenus = 2.96%.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4.96%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24.13%</w:t>
            </w:r>
          </w:p>
        </w:tc>
        <w:tc>
          <w:tcPr>
            <w:tcW w:type="dxa" w:w="5669"/>
            <w:shd w:fill="FFFFFF" w:val="clear"/>
          </w:tcPr>
          <w:p>
            <w:r>
              <w:rPr>
                <w:color w:val="282828"/>
                <w:sz w:val="15"/>
              </w:rPr>
              <w:t>Résultat net / capitaux propres = 24.13%.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5.52%</w:t>
            </w:r>
          </w:p>
        </w:tc>
        <w:tc>
          <w:tcPr>
            <w:tcW w:type="dxa" w:w="5669"/>
            <w:shd w:fill="FFFFFF" w:val="clear"/>
          </w:tcPr>
          <w:p>
            <w:r>
              <w:rPr>
                <w:color w:val="282828"/>
                <w:sz w:val="15"/>
              </w:rPr>
              <w:t>Résultat net / total actif = 5.52%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186.22%</w:t>
            </w:r>
          </w:p>
        </w:tc>
        <w:tc>
          <w:tcPr>
            <w:tcW w:type="dxa" w:w="5669"/>
            <w:shd w:fill="FFFFFF" w:val="clear"/>
          </w:tcPr>
          <w:p>
            <w:r>
              <w:rPr>
                <w:color w:val="282828"/>
                <w:sz w:val="15"/>
              </w:rPr>
              <w:t>CA / total actif = 186.22x.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88062974500.00%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-12.13%</w:t>
            </w:r>
          </w:p>
        </w:tc>
        <w:tc>
          <w:tcPr>
            <w:tcW w:type="dxa" w:w="5669"/>
            <w:shd w:fill="FFFFFF" w:val="clear"/>
          </w:tcPr>
          <w:p>
            <w:r>
              <w:rPr>
                <w:color w:val="282828"/>
                <w:sz w:val="15"/>
              </w:rPr>
              <w:t>Croissance CA vs exercice précédent = -12.13%.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22.88%</w:t>
            </w:r>
          </w:p>
        </w:tc>
        <w:tc>
          <w:tcPr>
            <w:tcW w:type="dxa" w:w="5669"/>
            <w:shd w:fill="FFFFFF" w:val="clear"/>
          </w:tcPr>
          <w:p>
            <w:r>
              <w:rPr>
                <w:color w:val="282828"/>
                <w:sz w:val="15"/>
              </w:rPr>
              <w:t>Fonds propres / total bilan = 22.88%.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77.12%</w:t>
            </w:r>
          </w:p>
        </w:tc>
        <w:tc>
          <w:tcPr>
            <w:tcW w:type="dxa" w:w="5669"/>
            <w:shd w:fill="FFFFFF" w:val="clear"/>
          </w:tcPr>
          <w:p>
            <w:r>
              <w:rPr>
                <w:color w:val="282828"/>
                <w:sz w:val="15"/>
              </w:rPr>
              <w:t>Dettes financières / total bilan = 77.12%.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23.07%</w:t>
            </w:r>
          </w:p>
        </w:tc>
        <w:tc>
          <w:tcPr>
            <w:tcW w:type="dxa" w:w="5669"/>
            <w:shd w:fill="FFFFFF" w:val="clear"/>
          </w:tcPr>
          <w:p>
            <w:r>
              <w:rPr>
                <w:color w:val="282828"/>
                <w:sz w:val="15"/>
              </w:rPr>
              <w:t>Dettes totales / fonds propres = 23.07%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129.67%</w:t>
            </w:r>
          </w:p>
        </w:tc>
        <w:tc>
          <w:tcPr>
            <w:tcW w:type="dxa" w:w="5669"/>
            <w:shd w:fill="FFFFFF" w:val="clear"/>
          </w:tcPr>
          <w:p>
            <w:r>
              <w:rPr>
                <w:color w:val="282828"/>
                <w:sz w:val="15"/>
              </w:rPr>
              <w:t>Total actif / dettes totales = 129.67x.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93.63%</w:t>
            </w:r>
          </w:p>
        </w:tc>
        <w:tc>
          <w:tcPr>
            <w:tcW w:type="dxa" w:w="5669"/>
            <w:shd w:fill="FFFFFF" w:val="clear"/>
          </w:tcPr>
          <w:p>
            <w:r>
              <w:rPr>
                <w:color w:val="282828"/>
                <w:sz w:val="15"/>
              </w:rPr>
              <w:t>Actif circulant / passif circulant = 93.63x.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5.99%</w:t>
            </w:r>
          </w:p>
        </w:tc>
        <w:tc>
          <w:tcPr>
            <w:tcW w:type="dxa" w:w="5669"/>
            <w:shd w:fill="FFFFFF" w:val="clear"/>
          </w:tcPr>
          <w:p>
            <w:r>
              <w:rPr>
                <w:color w:val="282828"/>
                <w:sz w:val="15"/>
              </w:rPr>
              <w:t>Trésorerie / passif circulant = 5.99x.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33.40%</w:t>
            </w:r>
          </w:p>
        </w:tc>
        <w:tc>
          <w:tcPr>
            <w:tcW w:type="dxa" w:w="5669"/>
            <w:shd w:fill="FFFFFF" w:val="clear"/>
          </w:tcPr>
          <w:p>
            <w:r>
              <w:rPr>
                <w:color w:val="282828"/>
                <w:sz w:val="15"/>
              </w:rPr>
              <w:t>(Actif circ. - stocks) / passif circ. = 33.40x.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83.32%</w:t>
            </w:r>
          </w:p>
        </w:tc>
        <w:tc>
          <w:tcPr>
            <w:tcW w:type="dxa" w:w="5669"/>
            <w:shd w:fill="FFFFFF" w:val="clear"/>
          </w:tcPr>
          <w:p>
            <w:r>
              <w:rPr>
                <w:color w:val="282828"/>
                <w:sz w:val="15"/>
              </w:rPr>
              <w:t>Capitaux permanents / actif immobilisé = 83.32x.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1064.46%</w:t>
            </w:r>
          </w:p>
        </w:tc>
        <w:tc>
          <w:tcPr>
            <w:tcW w:type="dxa" w:w="5669"/>
            <w:shd w:fill="FFFFFF" w:val="clear"/>
          </w:tcPr>
          <w:p>
            <w:r>
              <w:rPr>
                <w:color w:val="282828"/>
                <w:sz w:val="15"/>
              </w:rPr>
              <w:t>Résultat exploit. / charges financières = 1064.46x. ✅ Excellente couverture des intérêts.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71.18%</w:t>
            </w:r>
          </w:p>
        </w:tc>
        <w:tc>
          <w:tcPr>
            <w:tcW w:type="dxa" w:w="5669"/>
            <w:shd w:fill="FFFFFF" w:val="clear"/>
          </w:tcPr>
          <w:p>
            <w:r>
              <w:rPr>
                <w:color w:val="282828"/>
                <w:sz w:val="15"/>
              </w:rPr>
              <w:t>CAF / investissements = 71.18x.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36.6 j</w:t>
            </w:r>
          </w:p>
        </w:tc>
        <w:tc>
          <w:tcPr>
            <w:tcW w:type="dxa" w:w="5669"/>
            <w:shd w:fill="FFFFFF" w:val="clear"/>
          </w:tcPr>
          <w:p>
            <w:r>
              <w:rPr>
                <w:color w:val="282828"/>
                <w:sz w:val="15"/>
              </w:rPr>
              <w:t>Les clients paient en moyenne en 37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81.8 j</w:t>
            </w:r>
          </w:p>
        </w:tc>
        <w:tc>
          <w:tcPr>
            <w:tcW w:type="dxa" w:w="5669"/>
            <w:shd w:fill="FFFFFF" w:val="clear"/>
          </w:tcPr>
          <w:p>
            <w:r>
              <w:rPr>
                <w:color w:val="282828"/>
                <w:sz w:val="15"/>
              </w:rPr>
              <w:t>Paiement des fournisseurs en 82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88.3 j</w:t>
            </w:r>
          </w:p>
        </w:tc>
        <w:tc>
          <w:tcPr>
            <w:tcW w:type="dxa" w:w="5669"/>
            <w:shd w:fill="FFFFFF" w:val="clear"/>
          </w:tcPr>
          <w:p>
            <w:r>
              <w:rPr>
                <w:color w:val="282828"/>
                <w:sz w:val="15"/>
              </w:rPr>
              <w:t>Stock écoulé en 88 jours. ⚠️ Durée de stockage longue — capital immobilisé.</w:t>
            </w:r>
          </w:p>
        </w:tc>
      </w:tr>
    </w:tbl>
    <w:p/>
    <w:p>
      <w:pPr>
        <w:spacing w:after="120" w:line="276" w:lineRule="auto"/>
      </w:pPr>
      <w:r>
        <w:t>**RAPPORT D'ANALYSE FINANCIÈRE — CFAC (CFAO MOTORS CÔTE D'IVOIRE)**</w:t>
        <w:br/>
        <w:t>**Date de l'analyse : 27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CFAC s'établit à 316,49 milliards FCFA, ce qui en fait une valeur de première ligne sur la BRVM, reflétant sa position dominante sur le marché automobile ivoirien. Le BPA de 26 FCFA par action est relativement faible, ce qui explique un PER de 67,4x, extrêmement élevé par rapport à la moyenne historique de la BRVM (8-12x). Les investisseurs paient donc une prime considérable pour chaque franc de bénéfice, anticipant une forte croissance future. Le P/B de 16,27x confirme cette valorisation exigeante, le marché valorisant l'actif net comptable plus de 16 fois au-dessus de sa valeur. Enfin, l'EV/EBITDA de 34,3x, bien au-delà du seuil de 15x considéré comme exigeant, indique que la valeur totale de l'entreprise (capitalisation + dette nette) est très élevée par rapport à sa capacité opérationnelle. Ces ratios suggèrent une valorisation très tendue, où tout écart de performance pourrait entraîner une correction significative.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CFAC a enregistré une progression de +7,72%, avec une légère baisse de -0,29% lors de la dernière séance, s'échangeant actuellement à 1 745 FCFA. Le cours a évolué dans une fourchette de 1 325 à 1 825 FCFA, démontrant une amplitude de trading de 500 FCFA. La moyenne (1 607 FCFA) et la médiane (1 602 FCFA) sont très proches, indiquant une distribution relativement symétrique des prix, avec un mode à 1 600 FCFA suggérant un niveau de consolidation fréquent. L'écart-type de 103 FCFA (CV=6,4%) révèle une dispersion modérée autour de la moyenne. Le kurtosis de -0,141 (mésokurtique) indique une absence de pics extrêmes, tandis que le skewness de -0,364 suggère une légère asymétrie négative, avec des baisses plus marquées que les hausses. La volatilité annualisée de 48,8% est très élevée (&gt;30%), positionnant CFAC comme un titre à haut risque, nécessitant une gestion prudente du risque.</w:t>
      </w:r>
    </w:p>
    <w:p>
      <w:pPr>
        <w:spacing w:after="120" w:line="276" w:lineRule="auto"/>
      </w:pPr>
      <w:r>
        <w:t>---</w:t>
      </w:r>
    </w:p>
    <w:p>
      <w:pPr>
        <w:spacing w:after="120" w:line="276" w:lineRule="auto"/>
      </w:pPr>
      <w:r>
        <w:t>### PARTIE 2 : ANALYSE TECHNIQUE DÉTAILLÉE</w:t>
      </w:r>
    </w:p>
    <w:p>
      <w:pPr>
        <w:spacing w:after="120" w:line="276" w:lineRule="auto"/>
      </w:pPr>
      <w:r>
        <w:t>**Moyennes Mobiles** : Les MM20 (1 679 FCFA) et MM50 (1 676,2 FCFA) sont très proches, avec un cours actuel (1 745 FCFA) nettement au-dessus des deux moyennes. Cette configuration haussière, où le prix évolue au-dessus des moyennes mobiles, génère un signal d'achat, confirmant une tendance positive à court et moyen terme.</w:t>
      </w:r>
    </w:p>
    <w:p>
      <w:pPr>
        <w:spacing w:after="120" w:line="276" w:lineRule="auto"/>
      </w:pPr>
      <w:r>
        <w:t>**Bandes de Bollinger** : Le cours à 1 745 FCFA se positionne entre la borne supérieure (1 775,3 FCFA) et la borne inférieure (1 582,7 FCFA), plus proche de la borne haute. La décision est neutre, mais la proximité de la borne supérieure suggère une possible résistance à court terme, avec une volatilité en expansion.</w:t>
      </w:r>
    </w:p>
    <w:p>
      <w:pPr>
        <w:spacing w:after="120" w:line="276" w:lineRule="auto"/>
      </w:pPr>
      <w:r>
        <w:t>**MACD** : Le MACD (21,0) est nettement supérieur à sa ligne de signal (10,8), indiquant un momentum haussier positif. Cette divergence positive confirme la dynamique acheteuse, avec un signal d'achat clair, suggérant que la tendance haussière pourrait se poursuivre.</w:t>
      </w:r>
    </w:p>
    <w:p>
      <w:pPr>
        <w:spacing w:after="120" w:line="276" w:lineRule="auto"/>
      </w:pPr>
      <w:r>
        <w:t>**RSI** : Le RSI à 56,47 se situe dans la zone neutre (30-70), indiquant un équilibre entre pression acheteuse et vendeuse. Cette valeur suggère que le titre n'est ni suracheté ni survendu, laissant de la marge pour une évolution dans les deux sens, avec une légère préférence haussière.</w:t>
      </w:r>
    </w:p>
    <w:p>
      <w:pPr>
        <w:spacing w:after="120" w:line="276" w:lineRule="auto"/>
      </w:pPr>
      <w:r>
        <w:t>**Stochastique** : Le %K (87,88) et le %D (92,93) sont tous deux dans la zone de surachat (&gt;80), avec un croisement baissier potentiel. Cette configuration génère un signal de vente, indiquant que le titre pourrait être temporairement surévalué à court terme.</w:t>
      </w:r>
    </w:p>
    <w:p>
      <w:pPr>
        <w:spacing w:after="120" w:line="276" w:lineRule="auto"/>
      </w:pPr>
      <w:r>
        <w:t>**Conclusion technique** : Les signaux sont mitigés, avec une majorité d'indicateurs haussiers (MM, MACD) mais des signaux de surachat (Stochastique) et une position proche de la borne supérieure de Bollinger. La tendance globale reste positive, mais une consolidation ou un repli technique à court terme est possible.</w:t>
      </w:r>
    </w:p>
    <w:p>
      <w:pPr>
        <w:spacing w:after="120" w:line="276" w:lineRule="auto"/>
      </w:pPr>
      <w:r>
        <w:t>---</w:t>
      </w:r>
    </w:p>
    <w:p>
      <w:pPr>
        <w:spacing w:after="120" w:line="276" w:lineRule="auto"/>
      </w:pPr>
      <w:r>
        <w:t>### PARTIE 3 : ANALYSE FONDAMENTALE (SECTION CRITIQUE)</w:t>
      </w:r>
    </w:p>
    <w:p>
      <w:pPr>
        <w:spacing w:after="120" w:line="276" w:lineRule="auto"/>
      </w:pPr>
      <w:r>
        <w:t>En 2024, CFAC a réalisé un chiffre d'affaires de 158,313 milliards FCFA, en baisse de -12,1% par rapport à 2023 (180,162 milliards), avec un résultat net de 4,693 milliards FCFA (-26,7% vs 2023). Le ROE s'établit à 24,13%, un niveau excellent (&gt;15%), et le ROA à 5,52%, démontrant une bonne utilisation des actifs. Le BFR négatif de -3,482 milliards FCFA est favorable, indiquant une gestion efficace du cycle d'exploitation, avec un délai clients de 36,64 jours et un délai fournisseurs de 81,75 jours. Cependant, le free cash flow est négatif (-1,650 milliard FCFA) et la trésorerie nette est déficitaire (-624,2 millions FCFA), principalement en raison d'investissements massifs (-8,741 milliards FCFA). Les rapports trimestriels 2025 montrent un redressement spectaculaire : au T1 2025, le CA a progressé de +14,5% à 46,161 milliards FCFA avec un résultat net en hausse de +279,7% à 3,836 milliards FCFA. Au S1 2025, la tendance se confirme avec un CA de 91,182 milliards FCFA (+18,4%) et un résultat net de 5,420 milliards FCFA (+152,7%). Le T3 2025 affiche un CA de 43,580 milliards FCFA (+18,3%) et un résultat net de 1,489 milliard FCFA (+38,1%). Sur la base de ces performances, on estime que l'exercice 2025 devrait dépasser largement les résultats de 2024, avec un CA potentiel de 180 milliards FCFA et un résultat net de 8-9 milliards FCFA. La société maintient sa position de leader avec 41,7% de part de marché, portée par les marques Suzuki et Toyota, et développe de nouvelles activités (SHACMAN, LOVOL, e-mobilité BYD). Les risques incluent la dépendance au marché ivoirien, la pression concurrentielle et la hausse des coûts logistiques.</w:t>
      </w:r>
    </w:p>
    <w:p>
      <w:pPr>
        <w:spacing w:after="120" w:line="276" w:lineRule="auto"/>
      </w:pPr>
      <w:r>
        <w:t>---</w:t>
      </w:r>
    </w:p>
    <w:p>
      <w:pPr>
        <w:spacing w:after="120" w:line="276" w:lineRule="auto"/>
      </w:pPr>
      <w:r>
        <w:t>### PARTIE 4 : CONCLUSION D'INVESTISSEMENT</w:t>
      </w:r>
    </w:p>
    <w:p>
      <w:pPr>
        <w:spacing w:after="120" w:line="276" w:lineRule="auto"/>
      </w:pPr>
      <w:r>
        <w:t>La valorisation de CFAC est extrêmement exigeante (PER 67,4x, P/B 16,27x, EV/EBITDA 34,3x), indiquant une surévaluation significative par rapport aux fondamentaux actuels. Le comportement du cours montre une tendance haussière (+7,72% sur 100 jours) mais avec une volatilité très élevée (48,8%) et une distribution légèrement asymétrique négative, suggérant un risque de baisse accru. Les signaux techniques sont mitigés, avec une convergence haussière des MM et MACD, mais des signaux de surachat (Stochastique) et une position proche de la résistance de Bollinger. Les fondamentaux sont solides avec un ROE de 24,13% et un redressement spectaculaire en 2025 (CA +18,4% au S1, résultat net +152,7%), mais la valorisation actuelle intègre déjà ces excellentes perspectives. Les prédictions IA pour les 10 prochains jours (1 700 à 1 604 FCFA) indiquent une correction baissière, contredisant les signaux techniques haussiers. En synthèse, la convergence entre la surévaluation, les signaux de surachat technique et les prédictions IA baissières suggère une prudence accrue. **Recommandation : VENTE** pour les investisseurs à court terme, avec un niveau de confiance **Moyen** et un risque global **Élevé**. Pour les investisseurs à long terme (&gt;1 an), une position **CONSERVER** pourrait se justifier compte tenu de la solidité fondamentale et des perspectives de croissance, mais il serait prudent d'attendre un point d'entrée plus favorable (cours inférieur à 1 500 FCFA). Horizon d'investissement optimal : moyen terme (3-12 mois) pour observer une correction potentielle.</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forte d\u00e9gradation de la rentabilit\u00e9, la soci\u00e9t\u00e9 maintient sa position de leader du march\u00e9 avec une croissance des volumes de vente. La strat\u00e9gie de r\u00e9duction des marges semble temporaire pour pr\u00e9server les parts de march\u00e9 dans un environnement concurrentiel difficile."}</w:t>
      </w:r>
    </w:p>
    <w:p>
      <w:pPr>
        <w:spacing w:before="40"/>
        <w:ind w:left="400"/>
      </w:pPr>
      <w:r>
        <w:rPr>
          <w:sz w:val="18"/>
        </w:rPr>
        <w:t>CFAO Motors Côte d'Ivoire présente des résultats mitigés au T1 2022 avec un chiffre d'affaires stable à 28,7 milliards FCFA (+0,5%). La société maintient sa position de leader avec 37,5% de part de marché et 2 022 véhicules vendus (+18,4%). Cependant, la rentabilité s'effondre drastiquement avec un résultat d'exploitation en baisse de 67,3% et un résultat net qui chute de 86,2% à 381 millions FCFA. Cette dégradation s'explique principalement par une réduction volontaire des marges pour maintenir la compétitivité. Les perspectives restent néanmoins positives pour le deuxième trimestre grâce au portefeuille de commandes.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'9,07 milliards FCFA', 'part_de_marche': '37,5%', 'vehicules_vendus': '2 022 unités', 'resultat_exploitation': '1,07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381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28,69 milliards FCFA (+0,5% vs T1 2021)</w:t>
      </w:r>
    </w:p>
    <w:p>
      <w:pPr>
        <w:pStyle w:val="ListBullet"/>
        <w:spacing w:before="20" w:after="20"/>
        <w:ind w:left="700"/>
      </w:pPr>
      <w:r>
        <w:rPr>
          <w:sz w:val="18"/>
        </w:rPr>
        <w:t>Part de marché dominante à 37,5% avec 2 022 véhicules neufs vendus (+18,4%)</w:t>
      </w:r>
    </w:p>
    <w:p>
      <w:pPr>
        <w:pStyle w:val="ListBullet"/>
        <w:spacing w:before="20" w:after="20"/>
        <w:ind w:left="700"/>
      </w:pPr>
      <w:r>
        <w:rPr>
          <w:sz w:val="18"/>
        </w:rPr>
        <w:t>Suzuki conserve sa position de N°1 du marché, Toyota N°2</w:t>
      </w:r>
    </w:p>
    <w:p>
      <w:pPr>
        <w:pStyle w:val="ListBullet"/>
        <w:spacing w:before="20" w:after="20"/>
        <w:ind w:left="700"/>
      </w:pPr>
      <w:r>
        <w:rPr>
          <w:sz w:val="18"/>
        </w:rPr>
        <w:t>Résultat d'exploitation en forte baisse : 1,07 milliard FCFA (-67,3%)</w:t>
      </w:r>
    </w:p>
    <w:p>
      <w:pPr>
        <w:pStyle w:val="ListBullet"/>
        <w:spacing w:before="20" w:after="20"/>
        <w:ind w:left="700"/>
      </w:pPr>
      <w:r>
        <w:rPr>
          <w:sz w:val="18"/>
        </w:rPr>
        <w:t>Résultat net s'effondre à 381 millions FCFA contre 2,75 milliards en 2021 (-86,2%)</w:t>
      </w:r>
    </w:p>
    <w:p>
      <w:pPr>
        <w:pStyle w:val="ListBullet"/>
        <w:spacing w:before="20" w:after="20"/>
        <w:ind w:left="700"/>
      </w:pPr>
      <w:r>
        <w:rPr>
          <w:sz w:val="18"/>
        </w:rPr>
        <w:t>Stratégie de réduction des marges pour maintenir la compétitivité face à la concurrence</w:t>
      </w:r>
    </w:p>
    <w:p>
      <w:pPr>
        <w:spacing w:before="40"/>
        <w:ind w:left="400"/>
      </w:pPr>
      <w:r>
        <w:rPr>
          <w:b/>
          <w:color w:val="C05000"/>
          <w:sz w:val="18"/>
        </w:rPr>
        <w:t xml:space="preserve">⚠️ Risques : </w:t>
      </w:r>
      <w:r>
        <w:rPr>
          <w:sz w:val="18"/>
        </w:rPr>
        <w:t>["Pression concurrentielle intense n\u00e9cessitant une r\u00e9duction continue des marges", "Forte volatilit\u00e9 de la rentabilit\u00e9 li\u00e9e aux fluctuations du march\u00e9 automobile", "D\u00e9pendance aux conditions \u00e9conomiques locales et au pouvoir d'achat des consommateurs ivoiriens</w:t>
      </w:r>
    </w:p>
    <w:p>
      <w:pPr>
        <w:spacing w:before="40"/>
        <w:ind w:left="400"/>
      </w:pPr>
      <w:r>
        <w:rPr>
          <w:b/>
          <w:color w:val="0064A0"/>
          <w:sz w:val="18"/>
        </w:rPr>
        <w:t xml:space="preserve">🔮 Perspectives : </w:t>
      </w:r>
      <w:r>
        <w:rPr>
          <w:sz w:val="18"/>
        </w:rPr>
        <w:t>Les perspectives pour 2022 restent modérément optimistes avec un portefeuille de commandes solide pour le T2. La société devra toutefois trouver un équilibre entre maintien des parts de marché et restauration de sa rentabilité. L'évolution du contexte économique ivoirien sera déterminante pour la pe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des commissaires confirme la r\u00e9gularit\u00e9 des comptes semestriels sans anomalies significatives. Cependant, l'absence de donn\u00e9es financi\u00e8res d\u00e9taill\u00e9es ne permet pas d'\u00e9valuer la performance op\u00e9rationnelle."}</w:t>
      </w:r>
    </w:p>
    <w:p>
      <w:pPr>
        <w:spacing w:before="40"/>
        <w:ind w:left="400"/>
      </w:pPr>
      <w:r>
        <w:rPr>
          <w:sz w:val="18"/>
        </w:rPr>
        <w:t>Ce document présente l'attestation des Commissaires aux comptes de CFAO Motors S.A. sur le tableau d'activités et de résultat pour la période du 1er janvier au 30 juin 2022. L'examen limité a été effectué selon la norme ISRE 2410 par Deloitte Côte d'Ivoire et le cabinet fiduciaire. Les commissaires confirment n'avoir pas relevé de faits significatifs remettant en question l'établissement des états financiers semestriels. Le document respecte les dispositions de l'OHADA et la circulaire n°004-2010 relative aux formats de présentation sur le marché financier régional UEMOA. L'attestation est datée du 12 octobre 2022 à Abidjan.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Examen limité des états financiers semestriels effectué selon la norme ISRE 2410</w:t>
      </w:r>
    </w:p>
    <w:p>
      <w:pPr>
        <w:pStyle w:val="ListBullet"/>
        <w:spacing w:before="20" w:after="20"/>
        <w:ind w:left="700"/>
      </w:pPr>
      <w:r>
        <w:rPr>
          <w:sz w:val="18"/>
        </w:rPr>
        <w:t>Période couverte : 1er janvier au 30 juin 2022</w:t>
      </w:r>
    </w:p>
    <w:p>
      <w:pPr>
        <w:pStyle w:val="ListBullet"/>
        <w:spacing w:before="20" w:after="20"/>
        <w:ind w:left="700"/>
      </w:pPr>
      <w:r>
        <w:rPr>
          <w:sz w:val="18"/>
        </w:rPr>
        <w:t>Conformité aux dispositions de l'Acte uniforme OHADA relatif au droit des sociétés commerciales</w:t>
      </w:r>
    </w:p>
    <w:p>
      <w:pPr>
        <w:pStyle w:val="ListBullet"/>
        <w:spacing w:before="20" w:after="20"/>
        <w:ind w:left="700"/>
      </w:pPr>
      <w:r>
        <w:rPr>
          <w:sz w:val="18"/>
        </w:rPr>
        <w:t>Respect de la circulaire n°004-2010 du CREPMF sur les formats de présentation</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Assurance modérée fournie par les commissaires aux comptes</w:t>
      </w:r>
    </w:p>
    <w:p>
      <w:pPr>
        <w:spacing w:before="40"/>
        <w:ind w:left="400"/>
      </w:pPr>
      <w:r>
        <w:rPr>
          <w:b/>
          <w:color w:val="C05000"/>
          <w:sz w:val="18"/>
        </w:rPr>
        <w:t xml:space="preserve">⚠️ Risques : </w:t>
      </w:r>
      <w:r>
        <w:rPr>
          <w:sz w:val="18"/>
        </w:rPr>
        <w:t>["Absence de donn\u00e9es financi\u00e8res d\u00e9taill\u00e9es pour \u00e9valuer la performance r\u00e9elle", "Limitation de l'examen qui fournit une assurance mod\u00e9r\u00e9e seulement", "D\u00e9pendance au contexte \u00e9conomique et r\u00e9glementaire de la zone UEMOA"]</w:t>
      </w:r>
    </w:p>
    <w:p>
      <w:pPr>
        <w:spacing w:before="40"/>
        <w:ind w:left="400"/>
      </w:pPr>
      <w:r>
        <w:rPr>
          <w:b/>
          <w:color w:val="0064A0"/>
          <w:sz w:val="18"/>
        </w:rPr>
        <w:t xml:space="preserve">🔮 Perspectives : </w:t>
      </w:r>
      <w:r>
        <w:rPr>
          <w:sz w:val="18"/>
        </w:rPr>
        <w:t>Les perspectives restent difficiles à évaluer en l'absence d'informations financières spécifiques dans ce document d'attestation. Il conviendrait d'analyser les états financiers complets pour une évaluation pertinente des perspectives d'évolution de CFAO Motors 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l'entreprise maintient sa position de leader avec une croissance solide du chiffre d'affaires et des perspectives positives pour le second semestre. La strat\u00e9gie de comp\u00e9titivit\u00e9 par les prix devrait porter ses fruits \u00e0 moyen terme."}</w:t>
      </w:r>
    </w:p>
    <w:p>
      <w:pPr>
        <w:spacing w:before="40"/>
        <w:ind w:left="400"/>
      </w:pPr>
      <w:r>
        <w:rPr>
          <w:sz w:val="18"/>
        </w:rPr>
        <w:t>CFAO MOTORS CÔTE D'IVOIRE présente des résultats financiers mitigés pour le premier semestre 2022. Le chiffre d'affaires affiche une croissance solide de 13,50% à 64,5 milliards FCFA, confirmant le leadership de l'entreprise sur le marché automobile ivoirien avec 40,5% de parts de marché. Cependant, le résultat net chute de 26,84% à 2,7 milliards FCFA malgré l'augmentation du chiffre d'affaires. Cette baisse de rentabilité s'explique principalement par la hausse des coûts logistiques et la baisse du taux de marge pour maintenir la compétitivité. La marque SUZUKI reste le moteur de croissance avec 2 069 unités vendues contre 1 280 en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'+13,50%', 'impot_sur_resultat': '-1 479 146 134 FCFA', 'resultat_financier': '-229 405 760 FCFA', 'resultat_exploitation': '4 409 514 603 FCFA', 'variation_resultat_net': '-26,84%'}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2 720 414 995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64 533 150 600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13,50% à 64,5 milliards FCFA au S1 2022</w:t>
      </w:r>
    </w:p>
    <w:p>
      <w:pPr>
        <w:pStyle w:val="ListBullet"/>
        <w:spacing w:before="20" w:after="20"/>
        <w:ind w:left="700"/>
      </w:pPr>
      <w:r>
        <w:rPr>
          <w:sz w:val="18"/>
        </w:rPr>
        <w:t>Baisse du résultat net de 26,84% à 2,7 milliards FCFA</w:t>
      </w:r>
    </w:p>
    <w:p>
      <w:pPr>
        <w:pStyle w:val="ListBullet"/>
        <w:spacing w:before="20" w:after="20"/>
        <w:ind w:left="700"/>
      </w:pPr>
      <w:r>
        <w:rPr>
          <w:sz w:val="18"/>
        </w:rPr>
        <w:t>Leadership maintenu avec 40,5% de parts de marché automobile en Côte d'Ivoire</w:t>
      </w:r>
    </w:p>
    <w:p>
      <w:pPr>
        <w:pStyle w:val="ListBullet"/>
        <w:spacing w:before="20" w:after="20"/>
        <w:ind w:left="700"/>
      </w:pPr>
      <w:r>
        <w:rPr>
          <w:sz w:val="18"/>
        </w:rPr>
        <w:t>Performance exceptionnelle de la marque SUZUKI (N°1 du marché avec 2 069 unités vendues)</w:t>
      </w:r>
    </w:p>
    <w:p>
      <w:pPr>
        <w:pStyle w:val="ListBullet"/>
        <w:spacing w:before="20" w:after="20"/>
        <w:ind w:left="700"/>
      </w:pPr>
      <w:r>
        <w:rPr>
          <w:sz w:val="18"/>
        </w:rPr>
        <w:t>Croissance des ventes de 33,5% avec 4 730 véhicules neufs vendus contre 3 542 en 2021</w:t>
      </w:r>
    </w:p>
    <w:p>
      <w:pPr>
        <w:pStyle w:val="ListBullet"/>
        <w:spacing w:before="20" w:after="20"/>
        <w:ind w:left="700"/>
      </w:pPr>
      <w:r>
        <w:rPr>
          <w:sz w:val="18"/>
        </w:rPr>
        <w:t>Hausse des coûts logistiques impactant la rentabilité</w:t>
      </w:r>
    </w:p>
    <w:p>
      <w:pPr>
        <w:spacing w:before="40"/>
        <w:ind w:left="400"/>
      </w:pPr>
      <w:r>
        <w:rPr>
          <w:b/>
          <w:color w:val="C05000"/>
          <w:sz w:val="18"/>
        </w:rPr>
        <w:t xml:space="preserve">⚠️ Risques : </w:t>
      </w:r>
      <w:r>
        <w:rPr>
          <w:sz w:val="18"/>
        </w:rPr>
        <w:t>["Pression continue sur les marges due \u00e0 la concurrence accrue sur le march\u00e9 automobile", "Hausse des co\u00fbts logistiques impactant la rentabilit\u00e9 op\u00e9rationnelle", "D\u00e9pendance forte au march\u00e9 ivoirien et aux conditions \u00e9conomiques locales"]</w:t>
      </w:r>
    </w:p>
    <w:p>
      <w:pPr>
        <w:spacing w:before="40"/>
        <w:ind w:left="400"/>
      </w:pPr>
      <w:r>
        <w:rPr>
          <w:b/>
          <w:color w:val="0064A0"/>
          <w:sz w:val="18"/>
        </w:rPr>
        <w:t xml:space="preserve">🔮 Perspectives : </w:t>
      </w:r>
      <w:r>
        <w:rPr>
          <w:sz w:val="18"/>
        </w:rPr>
        <w:t>Les perspectives pour le second semestre 2022 sont bonnes selon la direction, sauf événements majeurs. Le portefeuille de commandes en possession de l'entreprise soutient cette vision optimiste. La stratégie de maintien du leadership par la compétitivité prix devrait permettre de consolider les part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dynamique de croissance exceptionnelle avec des indicateurs financiers tous en forte progression et un renforcement de sa position concurrentielle. L'accord avec Mercedes-Benz ouvre de nouvelles perspectives sur le segment premium."}</w:t>
      </w:r>
    </w:p>
    <w:p>
      <w:pPr>
        <w:spacing w:before="40"/>
        <w:ind w:left="400"/>
      </w:pPr>
      <w:r>
        <w:rPr>
          <w:sz w:val="18"/>
        </w:rPr>
        <w:t>CFAO Motors Côte d'Ivoire affiche une performance remarquable au T3 2022 avec un chiffre d'affaires de 40,46 milliards FCFA, en hausse de 33,48% par rapport au T3 2021. Le résultat net s'établit à 1,89 milliard FCFA, marquant une progression impressionnante de 49,40% comparé à la même période de l'année précédente. La société a vendu 3 180 véhicules contre 2 150 au T3 2021, soit une croissance de 47,91%. La marque SUZUKI réalise la meilleure performance avec 859 véhicules vendus et une part de marché de 27,5%. La société renforce également son positionnement sur le segment premium grâce à un accord de concession exclusif avec Mercedes-Benz.</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'33,48%', 'vehicules_vendus': '3 180 unités', 'resultat_avant_impots': '3 024 146 517 FCFA', 'resultat_exploitation': '3 127 869 483 FCFA', 'croissance_resultat_net': '49,40%'}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33,48% à 40,46 milliards FCFA au T3 2022</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Croissance du volume des ventes de 47,91% avec 3 180 véhicules vendus</w:t>
      </w:r>
    </w:p>
    <w:p>
      <w:pPr>
        <w:pStyle w:val="ListBullet"/>
        <w:spacing w:before="20" w:after="20"/>
        <w:ind w:left="700"/>
      </w:pPr>
      <w:r>
        <w:rPr>
          <w:sz w:val="18"/>
        </w:rPr>
        <w:t>SUZUKI confirme sa position de leader avec 859 véhicules vendus (27,5% de part de marché)</w:t>
      </w:r>
    </w:p>
    <w:p>
      <w:pPr>
        <w:pStyle w:val="ListBullet"/>
        <w:spacing w:before="20" w:after="20"/>
        <w:ind w:left="700"/>
      </w:pPr>
      <w:r>
        <w:rPr>
          <w:sz w:val="18"/>
        </w:rPr>
        <w:t>Signature d'un accord de concession exclusif avec Mercedes-Benz</w:t>
      </w:r>
    </w:p>
    <w:p>
      <w:pPr>
        <w:pStyle w:val="ListBullet"/>
        <w:spacing w:before="20" w:after="20"/>
        <w:ind w:left="700"/>
      </w:pPr>
      <w:r>
        <w:rPr>
          <w:sz w:val="18"/>
        </w:rPr>
        <w:t>Progression de la part de marché globale de 39,2% au T3 2021 à 50,1% au T3 2022</w:t>
      </w:r>
    </w:p>
    <w:p>
      <w:pPr>
        <w:spacing w:before="40"/>
        <w:ind w:left="400"/>
      </w:pPr>
      <w:r>
        <w:rPr>
          <w:b/>
          <w:color w:val="C05000"/>
          <w:sz w:val="18"/>
        </w:rPr>
        <w:t xml:space="preserve">⚠️ Risques : </w:t>
      </w:r>
      <w:r>
        <w:rPr>
          <w:sz w:val="18"/>
        </w:rPr>
        <w:t>["D\u00e9pendance aux conditions \u00e9conomiques locales et au pouvoir d'achat des consommateurs", "Volatilit\u00e9 des taux de change pouvant impacter les co\u00fbts d'importation des v\u00e9hicules", "Concurrence accrue sur le march\u00e9 automobile ivoirien"]</w:t>
      </w:r>
    </w:p>
    <w:p>
      <w:pPr>
        <w:spacing w:before="40"/>
        <w:ind w:left="400"/>
      </w:pPr>
      <w:r>
        <w:rPr>
          <w:b/>
          <w:color w:val="0064A0"/>
          <w:sz w:val="18"/>
        </w:rPr>
        <w:t xml:space="preserve">🔮 Perspectives : </w:t>
      </w:r>
      <w:r>
        <w:rPr>
          <w:sz w:val="18"/>
        </w:rPr>
        <w:t>Les perspectives pour le T4 2022 et 2023 sont favorables compte tenu du dynamisme du marché et des affaires en cours. L'expansion du portefeuille avec Mercedes-Benz devrait contribuer à diversifier l'offre et améliorer la rentabilité sur le segment haut de gamme.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une part de march\u00e9 dominante et une rentabilit\u00e9 en forte progression. L'accord exclusif avec Mercedes-Benz et la diversification du portefeuille renforcent les perspectives de croissance."}</w:t>
      </w:r>
    </w:p>
    <w:p>
      <w:pPr>
        <w:spacing w:before="40"/>
        <w:ind w:left="400"/>
      </w:pPr>
      <w:r>
        <w:rPr>
          <w:sz w:val="18"/>
        </w:rPr>
        <w:t>CFAO Motors Côte d'Ivoire affiche une performance exceptionnelle au T3 2022 avec un chiffre d'affaires de 40,46 milliards FCFA, en hausse de 33,48% par rapport au T3 2021. La société bénéficie d'une croissance soutenue de sa part de marché qui atteint 50,1% contre 39,2% l'année précédente. Le résultat net progresse de 49,40% à 1,89 milliard FCFA, démontrant une amélioration significative de la rentabilité. L'entreprise maintient sa position dominante sur le marché automobile ivoirien avec 3 180 véhicules vendus au trimestre. La signature d'un accord exclusif avec Mercedes-Benz renforce son portefeuille de marques premium.</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'50,1%', 'vehicules_vendus': '3 180 unités', 'resultat_financier': '112 069 829 FCFA', 'resultat_exploitation': '3 127 869 483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1 894 806 089 FCFA (T3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40 463 427 766 FCFA (T3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33,48% au T3 2022</w:t>
      </w:r>
    </w:p>
    <w:p>
      <w:pPr>
        <w:pStyle w:val="ListBullet"/>
        <w:spacing w:before="20" w:after="20"/>
        <w:ind w:left="700"/>
      </w:pPr>
      <w:r>
        <w:rPr>
          <w:sz w:val="18"/>
        </w:rPr>
        <w:t>Part de marché dominante de 50,1% contre 39,2% en 2021</w:t>
      </w:r>
    </w:p>
    <w:p>
      <w:pPr>
        <w:pStyle w:val="ListBullet"/>
        <w:spacing w:before="20" w:after="20"/>
        <w:ind w:left="700"/>
      </w:pPr>
      <w:r>
        <w:rPr>
          <w:sz w:val="18"/>
        </w:rPr>
        <w:t>Résultat net en progression de 49,40% à 1,89 milliard FCFA</w:t>
      </w:r>
    </w:p>
    <w:p>
      <w:pPr>
        <w:pStyle w:val="ListBullet"/>
        <w:spacing w:before="20" w:after="20"/>
        <w:ind w:left="700"/>
      </w:pPr>
      <w:r>
        <w:rPr>
          <w:sz w:val="18"/>
        </w:rPr>
        <w:t>3 180 véhicules vendus au T3 2022 contre 2 150 en 2021</w:t>
      </w:r>
    </w:p>
    <w:p>
      <w:pPr>
        <w:pStyle w:val="ListBullet"/>
        <w:spacing w:before="20" w:after="20"/>
        <w:ind w:left="700"/>
      </w:pPr>
      <w:r>
        <w:rPr>
          <w:sz w:val="18"/>
        </w:rPr>
        <w:t>Accord de concession exclusive signé avec Mercedes-Benz</w:t>
      </w:r>
    </w:p>
    <w:p>
      <w:pPr>
        <w:pStyle w:val="ListBullet"/>
        <w:spacing w:before="20" w:after="20"/>
        <w:ind w:left="700"/>
      </w:pPr>
      <w:r>
        <w:rPr>
          <w:sz w:val="18"/>
        </w:rPr>
        <w:t>Marque SUZUKI réalise la meilleure performance avec 2 180 véhicules vendus</w:t>
      </w:r>
    </w:p>
    <w:p>
      <w:pPr>
        <w:spacing w:before="40"/>
        <w:ind w:left="400"/>
      </w:pPr>
      <w:r>
        <w:rPr>
          <w:b/>
          <w:color w:val="C05000"/>
          <w:sz w:val="18"/>
        </w:rPr>
        <w:t xml:space="preserve">⚠️ Risques : </w:t>
      </w:r>
      <w:r>
        <w:rPr>
          <w:sz w:val="18"/>
        </w:rPr>
        <w:t>["D\u00e9pendance au march\u00e9 automobile ivoirien et \u00e0 la conjoncture \u00e9conomique locale", "Volatilit\u00e9 des prix des v\u00e9hicules et impact potentiel sur les marges", "Intensification de la concurrence sur le segment automobile"]</w:t>
      </w:r>
    </w:p>
    <w:p>
      <w:pPr>
        <w:spacing w:before="40"/>
        <w:ind w:left="400"/>
      </w:pPr>
      <w:r>
        <w:rPr>
          <w:b/>
          <w:color w:val="0064A0"/>
          <w:sz w:val="18"/>
        </w:rPr>
        <w:t xml:space="preserve">🔮 Perspectives : </w:t>
      </w:r>
      <w:r>
        <w:rPr>
          <w:sz w:val="18"/>
        </w:rPr>
        <w:t>Les perspectives pour 2023 sont favorables compte tenu du dynamisme du marché automobile et des affaires en cours. L'élargissement du portefeuille vers le segment premium avec Mercedes-Benz devrait soutenir la croissance et améliorer la rentabilité.</w:t>
      </w:r>
    </w:p>
    <w:p/>
    <w:p>
      <w:r>
        <w:t>════════════════════════════════════════════════════════════════════════════════</w:t>
      </w:r>
    </w:p>
    <w:p>
      <w:r>
        <w:br w:type="page"/>
      </w:r>
    </w:p>
    <w:p>
      <w:pPr>
        <w:pStyle w:val="Heading2"/>
        <w:spacing w:before="360"/>
      </w:pPr>
      <w:r>
        <w:rPr>
          <w:color w:val="0066CC"/>
        </w:rPr>
        <w:t>14. CIEC - CIEC - Compagnie Ivoirienne d'Electricité</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CIEC</w:t>
            </w:r>
          </w:p>
          <w:p>
            <w:r>
              <w:rPr>
                <w:b/>
                <w:color w:val="323250"/>
                <w:sz w:val="16"/>
              </w:rPr>
              <w:t xml:space="preserve">Société : </w:t>
            </w:r>
            <w:r>
              <w:rPr>
                <w:color w:val="000000"/>
                <w:sz w:val="16"/>
              </w:rPr>
              <w:t>CIEC - Compagnie Ivoirienne d'Electricit...</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374.08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6,031 titres</w:t>
            </w:r>
          </w:p>
        </w:tc>
        <w:tc>
          <w:tcPr>
            <w:tcW w:type="dxa" w:w="2268"/>
            <w:shd w:fill="FFF2CC" w:val="clear"/>
          </w:tcPr>
          <w:p>
            <w:r>
              <w:rPr>
                <w:b/>
                <w:color w:val="503200"/>
                <w:sz w:val="16"/>
              </w:rPr>
              <w:t xml:space="preserve">Cours actuel : </w:t>
            </w:r>
            <w:r>
              <w:rPr>
                <w:color w:val="000000"/>
                <w:sz w:val="17"/>
              </w:rPr>
              <w:t>6,680 FCFA</w:t>
            </w:r>
          </w:p>
          <w:p>
            <w:r>
              <w:rPr>
                <w:b/>
                <w:color w:val="503200"/>
                <w:sz w:val="16"/>
              </w:rPr>
              <w:t xml:space="preserve">Var. 100 jours : </w:t>
            </w:r>
            <w:r>
              <w:rPr>
                <w:b/>
                <w:color w:val="007800"/>
                <w:sz w:val="17"/>
              </w:rPr>
              <w:t>+96.47%</w:t>
            </w:r>
          </w:p>
          <w:p>
            <w:r>
              <w:rPr>
                <w:b/>
                <w:color w:val="503200"/>
                <w:sz w:val="16"/>
              </w:rPr>
              <w:t xml:space="preserve">Plus haut 100j : </w:t>
            </w:r>
            <w:r>
              <w:rPr>
                <w:color w:val="000000"/>
                <w:sz w:val="17"/>
              </w:rPr>
              <w:t>7,190 FCFA</w:t>
            </w:r>
          </w:p>
          <w:p>
            <w:r>
              <w:rPr>
                <w:b/>
                <w:color w:val="503200"/>
                <w:sz w:val="16"/>
              </w:rPr>
              <w:t xml:space="preserve">Plus bas 100j : </w:t>
            </w:r>
            <w:r>
              <w:rPr>
                <w:color w:val="000000"/>
                <w:sz w:val="17"/>
              </w:rPr>
              <w:t>3,000 FCFA</w:t>
            </w:r>
          </w:p>
          <w:p>
            <w:r>
              <w:rPr>
                <w:b/>
                <w:color w:val="503200"/>
                <w:sz w:val="16"/>
              </w:rPr>
              <w:t xml:space="preserve">Volatilité ann. : </w:t>
            </w:r>
            <w:r>
              <w:rPr>
                <w:color w:val="000000"/>
                <w:sz w:val="17"/>
              </w:rPr>
              <w:t>50.1%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29.8/100 → Moyen</w:t>
      </w:r>
    </w:p>
    <w:p>
      <w:pPr>
        <w:spacing w:before="40" w:after="80"/>
      </w:pPr>
      <w:r>
        <w:rPr>
          <w:rFonts w:ascii="Courier New" w:hAnsi="Courier New"/>
          <w:color w:val="825A00"/>
          <w:sz w:val="18"/>
        </w:rPr>
        <w:t>█████░░░░░░░░░░░░░░░  29.8/100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24.01% (Élevée) — μ=4,573 FCFA, σ=1,098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DEEAF1" w:val="clear"/>
          </w:tcPr>
          <w:p>
            <w:r>
              <w:rPr>
                <w:b/>
                <w:sz w:val="15"/>
              </w:rPr>
              <w:t>β=1.1740 (Neutre (suit le marché)) — Cov=0.000042, Var(idx)=0.000035, ρ=0.223,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6,031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σ_j=3.16%/j (Modérée) — Vol. annualisée≈50.1%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16" name="Picture 1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2026-08-28</w:t>
            </w:r>
          </w:p>
        </w:tc>
        <w:tc>
          <w:tcPr>
            <w:tcW w:type="dxa" w:w="1440"/>
            <w:shd w:fill="FFDCE0" w:val="clear"/>
          </w:tcPr>
          <w:p>
            <w:r>
              <w:rPr>
                <w:sz w:val="17"/>
              </w:rPr>
              <w:t>5,818</w:t>
            </w:r>
          </w:p>
        </w:tc>
        <w:tc>
          <w:tcPr>
            <w:tcW w:type="dxa" w:w="1440"/>
            <w:shd w:fill="FFDCE0" w:val="clear"/>
          </w:tcPr>
          <w:p>
            <w:r>
              <w:rPr>
                <w:b/>
                <w:sz w:val="17"/>
              </w:rPr>
              <w:t>6,179</w:t>
            </w:r>
          </w:p>
        </w:tc>
        <w:tc>
          <w:tcPr>
            <w:tcW w:type="dxa" w:w="1440"/>
            <w:shd w:fill="FFDCE0" w:val="clear"/>
          </w:tcPr>
          <w:p>
            <w:r>
              <w:rPr>
                <w:sz w:val="17"/>
              </w:rPr>
              <w:t>6,540</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2026-08-31</w:t>
            </w:r>
          </w:p>
        </w:tc>
        <w:tc>
          <w:tcPr>
            <w:tcW w:type="dxa" w:w="1440"/>
            <w:shd w:fill="FFDCE0" w:val="clear"/>
          </w:tcPr>
          <w:p>
            <w:r>
              <w:rPr>
                <w:sz w:val="17"/>
              </w:rPr>
              <w:t>5,243</w:t>
            </w:r>
          </w:p>
        </w:tc>
        <w:tc>
          <w:tcPr>
            <w:tcW w:type="dxa" w:w="1440"/>
            <w:shd w:fill="FFDCE0" w:val="clear"/>
          </w:tcPr>
          <w:p>
            <w:r>
              <w:rPr>
                <w:b/>
                <w:sz w:val="17"/>
              </w:rPr>
              <w:t>5,716</w:t>
            </w:r>
          </w:p>
        </w:tc>
        <w:tc>
          <w:tcPr>
            <w:tcW w:type="dxa" w:w="1440"/>
            <w:shd w:fill="FFDCE0" w:val="clear"/>
          </w:tcPr>
          <w:p>
            <w:r>
              <w:rPr>
                <w:sz w:val="17"/>
              </w:rPr>
              <w:t>6,188</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2026-09-01</w:t>
            </w:r>
          </w:p>
        </w:tc>
        <w:tc>
          <w:tcPr>
            <w:tcW w:type="dxa" w:w="1440"/>
            <w:shd w:fill="FFDCE0" w:val="clear"/>
          </w:tcPr>
          <w:p>
            <w:r>
              <w:rPr>
                <w:sz w:val="17"/>
              </w:rPr>
              <w:t>4,752</w:t>
            </w:r>
          </w:p>
        </w:tc>
        <w:tc>
          <w:tcPr>
            <w:tcW w:type="dxa" w:w="1440"/>
            <w:shd w:fill="FFDCE0" w:val="clear"/>
          </w:tcPr>
          <w:p>
            <w:r>
              <w:rPr>
                <w:b/>
                <w:sz w:val="17"/>
              </w:rPr>
              <w:t>5,287</w:t>
            </w:r>
          </w:p>
        </w:tc>
        <w:tc>
          <w:tcPr>
            <w:tcW w:type="dxa" w:w="1440"/>
            <w:shd w:fill="FFDCE0" w:val="clear"/>
          </w:tcPr>
          <w:p>
            <w:r>
              <w:rPr>
                <w:sz w:val="17"/>
              </w:rPr>
              <w:t>5,822</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2026-09-02</w:t>
            </w:r>
          </w:p>
        </w:tc>
        <w:tc>
          <w:tcPr>
            <w:tcW w:type="dxa" w:w="1440"/>
            <w:shd w:fill="FFDCE0" w:val="clear"/>
          </w:tcPr>
          <w:p>
            <w:r>
              <w:rPr>
                <w:sz w:val="17"/>
              </w:rPr>
              <w:t>4,319</w:t>
            </w:r>
          </w:p>
        </w:tc>
        <w:tc>
          <w:tcPr>
            <w:tcW w:type="dxa" w:w="1440"/>
            <w:shd w:fill="FFDCE0" w:val="clear"/>
          </w:tcPr>
          <w:p>
            <w:r>
              <w:rPr>
                <w:b/>
                <w:sz w:val="17"/>
              </w:rPr>
              <w:t>4,890</w:t>
            </w:r>
          </w:p>
        </w:tc>
        <w:tc>
          <w:tcPr>
            <w:tcW w:type="dxa" w:w="1440"/>
            <w:shd w:fill="FFDCE0" w:val="clear"/>
          </w:tcPr>
          <w:p>
            <w:r>
              <w:rPr>
                <w:sz w:val="17"/>
              </w:rPr>
              <w:t>5,462</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2026-09-03</w:t>
            </w:r>
          </w:p>
        </w:tc>
        <w:tc>
          <w:tcPr>
            <w:tcW w:type="dxa" w:w="1440"/>
            <w:shd w:fill="FFDCE0" w:val="clear"/>
          </w:tcPr>
          <w:p>
            <w:r>
              <w:rPr>
                <w:sz w:val="17"/>
              </w:rPr>
              <w:t>3,932</w:t>
            </w:r>
          </w:p>
        </w:tc>
        <w:tc>
          <w:tcPr>
            <w:tcW w:type="dxa" w:w="1440"/>
            <w:shd w:fill="FFDCE0" w:val="clear"/>
          </w:tcPr>
          <w:p>
            <w:r>
              <w:rPr>
                <w:b/>
                <w:sz w:val="17"/>
              </w:rPr>
              <w:t>4,524</w:t>
            </w:r>
          </w:p>
        </w:tc>
        <w:tc>
          <w:tcPr>
            <w:tcW w:type="dxa" w:w="1440"/>
            <w:shd w:fill="FFDCE0" w:val="clear"/>
          </w:tcPr>
          <w:p>
            <w:r>
              <w:rPr>
                <w:sz w:val="17"/>
              </w:rPr>
              <w:t>5,115</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2026-09-04</w:t>
            </w:r>
          </w:p>
        </w:tc>
        <w:tc>
          <w:tcPr>
            <w:tcW w:type="dxa" w:w="1440"/>
            <w:shd w:fill="FFDCE0" w:val="clear"/>
          </w:tcPr>
          <w:p>
            <w:r>
              <w:rPr>
                <w:sz w:val="17"/>
              </w:rPr>
              <w:t>3,585</w:t>
            </w:r>
          </w:p>
        </w:tc>
        <w:tc>
          <w:tcPr>
            <w:tcW w:type="dxa" w:w="1440"/>
            <w:shd w:fill="FFDCE0" w:val="clear"/>
          </w:tcPr>
          <w:p>
            <w:r>
              <w:rPr>
                <w:b/>
                <w:sz w:val="17"/>
              </w:rPr>
              <w:t>4,184</w:t>
            </w:r>
          </w:p>
        </w:tc>
        <w:tc>
          <w:tcPr>
            <w:tcW w:type="dxa" w:w="1440"/>
            <w:shd w:fill="FFDCE0" w:val="clear"/>
          </w:tcPr>
          <w:p>
            <w:r>
              <w:rPr>
                <w:sz w:val="17"/>
              </w:rPr>
              <w:t>4,784</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2026-09-07</w:t>
            </w:r>
          </w:p>
        </w:tc>
        <w:tc>
          <w:tcPr>
            <w:tcW w:type="dxa" w:w="1440"/>
            <w:shd w:fill="FFDCE0" w:val="clear"/>
          </w:tcPr>
          <w:p>
            <w:r>
              <w:rPr>
                <w:sz w:val="17"/>
              </w:rPr>
              <w:t>3,272</w:t>
            </w:r>
          </w:p>
        </w:tc>
        <w:tc>
          <w:tcPr>
            <w:tcW w:type="dxa" w:w="1440"/>
            <w:shd w:fill="FFDCE0" w:val="clear"/>
          </w:tcPr>
          <w:p>
            <w:r>
              <w:rPr>
                <w:b/>
                <w:sz w:val="17"/>
              </w:rPr>
              <w:t>3,871</w:t>
            </w:r>
          </w:p>
        </w:tc>
        <w:tc>
          <w:tcPr>
            <w:tcW w:type="dxa" w:w="1440"/>
            <w:shd w:fill="FFDCE0" w:val="clear"/>
          </w:tcPr>
          <w:p>
            <w:r>
              <w:rPr>
                <w:sz w:val="17"/>
              </w:rPr>
              <w:t>4,469</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2026-09-08</w:t>
            </w:r>
          </w:p>
        </w:tc>
        <w:tc>
          <w:tcPr>
            <w:tcW w:type="dxa" w:w="1440"/>
            <w:shd w:fill="FFDCE0" w:val="clear"/>
          </w:tcPr>
          <w:p>
            <w:r>
              <w:rPr>
                <w:sz w:val="17"/>
              </w:rPr>
              <w:t>2,988</w:t>
            </w:r>
          </w:p>
        </w:tc>
        <w:tc>
          <w:tcPr>
            <w:tcW w:type="dxa" w:w="1440"/>
            <w:shd w:fill="FFDCE0" w:val="clear"/>
          </w:tcPr>
          <w:p>
            <w:r>
              <w:rPr>
                <w:b/>
                <w:sz w:val="17"/>
              </w:rPr>
              <w:t>3,580</w:t>
            </w:r>
          </w:p>
        </w:tc>
        <w:tc>
          <w:tcPr>
            <w:tcW w:type="dxa" w:w="1440"/>
            <w:shd w:fill="FFDCE0" w:val="clear"/>
          </w:tcPr>
          <w:p>
            <w:r>
              <w:rPr>
                <w:sz w:val="17"/>
              </w:rPr>
              <w:t>4,172</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2026-09-09</w:t>
            </w:r>
          </w:p>
        </w:tc>
        <w:tc>
          <w:tcPr>
            <w:tcW w:type="dxa" w:w="1440"/>
            <w:shd w:fill="FFDCE0" w:val="clear"/>
          </w:tcPr>
          <w:p>
            <w:r>
              <w:rPr>
                <w:sz w:val="17"/>
              </w:rPr>
              <w:t>2,756</w:t>
            </w:r>
          </w:p>
        </w:tc>
        <w:tc>
          <w:tcPr>
            <w:tcW w:type="dxa" w:w="1440"/>
            <w:shd w:fill="FFDCE0" w:val="clear"/>
          </w:tcPr>
          <w:p>
            <w:r>
              <w:rPr>
                <w:b/>
                <w:sz w:val="17"/>
              </w:rPr>
              <w:t>3,343</w:t>
            </w:r>
          </w:p>
        </w:tc>
        <w:tc>
          <w:tcPr>
            <w:tcW w:type="dxa" w:w="1440"/>
            <w:shd w:fill="FFDCE0" w:val="clear"/>
          </w:tcPr>
          <w:p>
            <w:r>
              <w:rPr>
                <w:sz w:val="17"/>
              </w:rPr>
              <w:t>3,929</w:t>
            </w:r>
          </w:p>
        </w:tc>
        <w:tc>
          <w:tcPr>
            <w:tcW w:type="dxa" w:w="1440"/>
            <w:shd w:fill="FFDCE0" w:val="clear"/>
          </w:tcPr>
          <w:p>
            <w:r>
              <w:rPr>
                <w:b/>
                <w:color w:val="C00000"/>
                <w:sz w:val="17"/>
              </w:rPr>
              <w:t>-50.0%</w:t>
            </w:r>
          </w:p>
        </w:tc>
      </w:tr>
      <w:tr>
        <w:tc>
          <w:tcPr>
            <w:tcW w:type="dxa" w:w="1440"/>
            <w:shd w:fill="FFDCE0" w:val="clear"/>
          </w:tcPr>
          <w:p>
            <w:r>
              <w:rPr>
                <w:sz w:val="17"/>
              </w:rPr>
              <w:t>J+10  ⭐</w:t>
            </w:r>
          </w:p>
        </w:tc>
        <w:tc>
          <w:tcPr>
            <w:tcW w:type="dxa" w:w="1440"/>
            <w:shd w:fill="FFDCE0" w:val="clear"/>
          </w:tcPr>
          <w:p>
            <w:r>
              <w:rPr>
                <w:sz w:val="17"/>
              </w:rPr>
              <w:t>2026-09-10</w:t>
            </w:r>
          </w:p>
        </w:tc>
        <w:tc>
          <w:tcPr>
            <w:tcW w:type="dxa" w:w="1440"/>
            <w:shd w:fill="FFDCE0" w:val="clear"/>
          </w:tcPr>
          <w:p>
            <w:r>
              <w:rPr>
                <w:sz w:val="17"/>
              </w:rPr>
              <w:t>2,660</w:t>
            </w:r>
          </w:p>
        </w:tc>
        <w:tc>
          <w:tcPr>
            <w:tcW w:type="dxa" w:w="1440"/>
            <w:shd w:fill="FFDCE0" w:val="clear"/>
          </w:tcPr>
          <w:p>
            <w:r>
              <w:rPr>
                <w:b/>
                <w:sz w:val="17"/>
              </w:rPr>
              <w:t>3,264</w:t>
            </w:r>
          </w:p>
        </w:tc>
        <w:tc>
          <w:tcPr>
            <w:tcW w:type="dxa" w:w="1440"/>
            <w:shd w:fill="FFDCE0" w:val="clear"/>
          </w:tcPr>
          <w:p>
            <w:r>
              <w:rPr>
                <w:sz w:val="17"/>
              </w:rPr>
              <w:t>3,867</w:t>
            </w:r>
          </w:p>
        </w:tc>
        <w:tc>
          <w:tcPr>
            <w:tcW w:type="dxa" w:w="1440"/>
            <w:shd w:fill="FFDCE0" w:val="clear"/>
          </w:tcPr>
          <w:p>
            <w:r>
              <w:rPr>
                <w:b/>
                <w:color w:val="C00000"/>
                <w:sz w:val="17"/>
              </w:rPr>
              <w:t>-51.1%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137.728 Mds FCFA</w:t>
            </w:r>
          </w:p>
        </w:tc>
        <w:tc>
          <w:tcPr>
            <w:tcW w:type="dxa" w:w="5669"/>
            <w:shd w:fill="FFFFFF" w:val="clear"/>
          </w:tcPr>
          <w:p>
            <w:r>
              <w:rPr>
                <w:color w:val="282828"/>
                <w:sz w:val="15"/>
              </w:rPr>
              <w:t>Créances clients = 45.6%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50.134 Mds FCFA</w:t>
            </w:r>
          </w:p>
        </w:tc>
        <w:tc>
          <w:tcPr>
            <w:tcW w:type="dxa" w:w="5669"/>
            <w:shd w:fill="FFFFFF" w:val="clear"/>
          </w:tcPr>
          <w:p>
            <w:r>
              <w:rPr>
                <w:color w:val="282828"/>
                <w:sz w:val="15"/>
              </w:rPr>
              <w:t>Rotation stocks = 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1657.687 Mds FCFA</w:t>
            </w:r>
          </w:p>
        </w:tc>
        <w:tc>
          <w:tcPr>
            <w:tcW w:type="dxa" w:w="5669"/>
            <w:shd w:fill="FFFFFF" w:val="clear"/>
          </w:tcPr>
          <w:p>
            <w:r>
              <w:rPr>
                <w:color w:val="282828"/>
                <w:sz w:val="15"/>
              </w:rPr>
              <w:t>Ratio actif circ./passif circ. = 0.95x.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4.377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46.590 Mds FCFA</w:t>
            </w:r>
          </w:p>
        </w:tc>
        <w:tc>
          <w:tcPr>
            <w:tcW w:type="dxa" w:w="5669"/>
            <w:shd w:fill="FFFFFF" w:val="clear"/>
          </w:tcPr>
          <w:p>
            <w:r>
              <w:rPr>
                <w:color w:val="282828"/>
                <w:sz w:val="15"/>
              </w:rPr>
              <w:t>Outil industriel (2.3%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171.930 Mds FCFA</w:t>
            </w:r>
          </w:p>
        </w:tc>
        <w:tc>
          <w:tcPr>
            <w:tcW w:type="dxa" w:w="5669"/>
            <w:shd w:fill="FFFFFF" w:val="clear"/>
          </w:tcPr>
          <w:p>
            <w:r>
              <w:rPr>
                <w:color w:val="282828"/>
                <w:sz w:val="15"/>
              </w:rPr>
              <w:t>Actif immobilisé = 8.5%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188.307 Mds FCFA</w:t>
            </w:r>
          </w:p>
        </w:tc>
        <w:tc>
          <w:tcPr>
            <w:tcW w:type="dxa" w:w="5669"/>
            <w:shd w:fill="FFFFFF" w:val="clear"/>
          </w:tcPr>
          <w:p>
            <w:r>
              <w:rPr>
                <w:color w:val="282828"/>
                <w:sz w:val="15"/>
              </w:rPr>
              <w:t>Liquidités disponibles (9.3%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2018.446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8.835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35.962 Mds FCFA</w:t>
            </w:r>
          </w:p>
        </w:tc>
        <w:tc>
          <w:tcPr>
            <w:tcW w:type="dxa" w:w="5669"/>
            <w:shd w:fill="FFFFFF" w:val="clear"/>
          </w:tcPr>
          <w:p>
            <w:r>
              <w:rPr>
                <w:color w:val="282828"/>
                <w:sz w:val="15"/>
              </w:rPr>
              <w:t>Fonds propres = 1.8%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114.393 Mds FCFA</w:t>
            </w:r>
          </w:p>
        </w:tc>
        <w:tc>
          <w:tcPr>
            <w:tcW w:type="dxa" w:w="5669"/>
            <w:shd w:fill="FFFFFF" w:val="clear"/>
          </w:tcPr>
          <w:p>
            <w:r>
              <w:rPr>
                <w:color w:val="282828"/>
                <w:sz w:val="15"/>
              </w:rPr>
              <w:t>Capitaux permanents / Actif immobilisé = 0.67x.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278.106 Mds FCFA</w:t>
            </w:r>
          </w:p>
        </w:tc>
        <w:tc>
          <w:tcPr>
            <w:tcW w:type="dxa" w:w="5669"/>
            <w:shd w:fill="FFFFFF" w:val="clear"/>
          </w:tcPr>
          <w:p>
            <w:r>
              <w:rPr>
                <w:color w:val="282828"/>
                <w:sz w:val="15"/>
              </w:rPr>
              <w:t>Délai fournisseurs implicite ≈ 336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64.307 Mds FCFA</w:t>
            </w:r>
          </w:p>
        </w:tc>
        <w:tc>
          <w:tcPr>
            <w:tcW w:type="dxa" w:w="5669"/>
            <w:shd w:fill="FFFFFF" w:val="clear"/>
          </w:tcPr>
          <w:p>
            <w:r>
              <w:rPr>
                <w:color w:val="282828"/>
                <w:sz w:val="15"/>
              </w:rPr>
              <w:t>Dette LT/MT = 179%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220.424 Mds FCFA</w:t>
            </w:r>
          </w:p>
        </w:tc>
        <w:tc>
          <w:tcPr>
            <w:tcW w:type="dxa" w:w="5669"/>
            <w:shd w:fill="FFFFFF" w:val="clear"/>
          </w:tcPr>
          <w:p>
            <w:r>
              <w:rPr>
                <w:color w:val="282828"/>
                <w:sz w:val="15"/>
              </w:rPr>
              <w:t>Dette financière totale = 613%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1982.484 Mds FCFA</w:t>
            </w:r>
          </w:p>
        </w:tc>
        <w:tc>
          <w:tcPr>
            <w:tcW w:type="dxa" w:w="5669"/>
            <w:shd w:fill="FFFFFF" w:val="clear"/>
          </w:tcPr>
          <w:p>
            <w:r>
              <w:rPr>
                <w:color w:val="282828"/>
                <w:sz w:val="15"/>
              </w:rPr>
              <w:t>Dettes totales = 98.2%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302.320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302.320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15.895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70.391 Mds FCFA</w:t>
            </w:r>
          </w:p>
        </w:tc>
        <w:tc>
          <w:tcPr>
            <w:tcW w:type="dxa" w:w="5669"/>
            <w:shd w:fill="FFFFFF" w:val="clear"/>
          </w:tcPr>
          <w:p>
            <w:r>
              <w:rPr>
                <w:color w:val="282828"/>
                <w:sz w:val="15"/>
              </w:rPr>
              <w:t>Masse salariale = 23.3%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107.552 Mds FCFA</w:t>
            </w:r>
          </w:p>
        </w:tc>
        <w:tc>
          <w:tcPr>
            <w:tcW w:type="dxa" w:w="5669"/>
            <w:shd w:fill="FFFFFF" w:val="clear"/>
          </w:tcPr>
          <w:p>
            <w:r>
              <w:rPr>
                <w:color w:val="282828"/>
                <w:sz w:val="15"/>
              </w:rPr>
              <w:t>VA = 35.6%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37.161 Mds FCFA</w:t>
            </w:r>
          </w:p>
        </w:tc>
        <w:tc>
          <w:tcPr>
            <w:tcW w:type="dxa" w:w="5669"/>
            <w:shd w:fill="FFFFFF" w:val="clear"/>
          </w:tcPr>
          <w:p>
            <w:r>
              <w:rPr>
                <w:color w:val="282828"/>
                <w:sz w:val="15"/>
              </w:rPr>
              <w:t>EBE = 12.3%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22.381 Mds FCFA</w:t>
            </w:r>
          </w:p>
        </w:tc>
        <w:tc>
          <w:tcPr>
            <w:tcW w:type="dxa" w:w="5669"/>
            <w:shd w:fill="FFFFFF" w:val="clear"/>
          </w:tcPr>
          <w:p>
            <w:r>
              <w:rPr>
                <w:color w:val="282828"/>
                <w:sz w:val="15"/>
              </w:rPr>
              <w:t>Profit d'exploitation = 7.4%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15.895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13.127 Mds FCFA</w:t>
            </w:r>
          </w:p>
        </w:tc>
        <w:tc>
          <w:tcPr>
            <w:tcW w:type="dxa" w:w="5669"/>
            <w:shd w:fill="FFFFFF" w:val="clear"/>
          </w:tcPr>
          <w:p>
            <w:r>
              <w:rPr>
                <w:color w:val="282828"/>
                <w:sz w:val="15"/>
              </w:rPr>
              <w:t>Marge nette = 4.3%.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28.869 Mds FCFA</w:t>
            </w:r>
          </w:p>
        </w:tc>
        <w:tc>
          <w:tcPr>
            <w:tcW w:type="dxa" w:w="5669"/>
            <w:shd w:fill="FFFFFF" w:val="clear"/>
          </w:tcPr>
          <w:p>
            <w:r>
              <w:rPr>
                <w:color w:val="282828"/>
                <w:sz w:val="15"/>
              </w:rPr>
              <w:t>CAF = 28.87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43.912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-23.745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-15.375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20.167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-90.244 Mds FCFA</w:t>
            </w:r>
          </w:p>
        </w:tc>
        <w:tc>
          <w:tcPr>
            <w:tcW w:type="dxa" w:w="5669"/>
            <w:shd w:fill="FFFFFF" w:val="clear"/>
          </w:tcPr>
          <w:p>
            <w:r>
              <w:rPr>
                <w:color w:val="282828"/>
                <w:sz w:val="15"/>
              </w:rPr>
              <w:t>BFR = -29.9%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-57.537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32.190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12.29%</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4.34%</w:t>
            </w:r>
          </w:p>
        </w:tc>
        <w:tc>
          <w:tcPr>
            <w:tcW w:type="dxa" w:w="5669"/>
            <w:shd w:fill="FFFFFF" w:val="clear"/>
          </w:tcPr>
          <w:p>
            <w:r>
              <w:rPr>
                <w:color w:val="282828"/>
                <w:sz w:val="15"/>
              </w:rPr>
              <w:t>Résultat net / revenus = 4.34%.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7.40%</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36.50%</w:t>
            </w:r>
          </w:p>
        </w:tc>
        <w:tc>
          <w:tcPr>
            <w:tcW w:type="dxa" w:w="5669"/>
            <w:shd w:fill="FFFFFF" w:val="clear"/>
          </w:tcPr>
          <w:p>
            <w:r>
              <w:rPr>
                <w:color w:val="282828"/>
                <w:sz w:val="15"/>
              </w:rPr>
              <w:t>Résultat net / capitaux propres = 36.50%.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0.65%</w:t>
            </w:r>
          </w:p>
        </w:tc>
        <w:tc>
          <w:tcPr>
            <w:tcW w:type="dxa" w:w="5669"/>
            <w:shd w:fill="FFFFFF" w:val="clear"/>
          </w:tcPr>
          <w:p>
            <w:r>
              <w:rPr>
                <w:color w:val="282828"/>
                <w:sz w:val="15"/>
              </w:rPr>
              <w:t>Résultat net / total actif = 0.65%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14.98%</w:t>
            </w:r>
          </w:p>
        </w:tc>
        <w:tc>
          <w:tcPr>
            <w:tcW w:type="dxa" w:w="5669"/>
            <w:shd w:fill="FFFFFF" w:val="clear"/>
          </w:tcPr>
          <w:p>
            <w:r>
              <w:rPr>
                <w:color w:val="282828"/>
                <w:sz w:val="15"/>
              </w:rPr>
              <w:t>CA / total actif = 14.98x. ℹ️ Faible rotation — secteur à forte intensité capitalistique (normal).</w:t>
            </w:r>
          </w:p>
        </w:tc>
      </w:tr>
      <w:tr>
        <w:tc>
          <w:tcPr>
            <w:tcW w:type="dxa" w:w="2268"/>
            <w:shd w:fill="EEF2F7" w:val="clear"/>
          </w:tcPr>
          <w:p>
            <w:r>
              <w:rPr>
                <w:b/>
                <w:color w:val="1E1E3C"/>
                <w:sz w:val="16"/>
              </w:rPr>
              <w:t>Coût du risque</w:t>
            </w:r>
          </w:p>
        </w:tc>
        <w:tc>
          <w:tcPr>
            <w:tcW w:type="dxa" w:w="1984"/>
            <w:shd w:fill="FFC7CE" w:val="clear"/>
          </w:tcPr>
          <w:p>
            <w:r>
              <w:rPr>
                <w:b/>
                <w:color w:val="006400"/>
                <w:sz w:val="17"/>
              </w:rPr>
              <w:t>438.72%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14.82%</w:t>
            </w:r>
          </w:p>
        </w:tc>
        <w:tc>
          <w:tcPr>
            <w:tcW w:type="dxa" w:w="5669"/>
            <w:shd w:fill="FFFFFF" w:val="clear"/>
          </w:tcPr>
          <w:p>
            <w:r>
              <w:rPr>
                <w:color w:val="282828"/>
                <w:sz w:val="15"/>
              </w:rPr>
              <w:t>Croissance CA vs exercice précédent = 14.82%.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1.78%</w:t>
            </w:r>
          </w:p>
        </w:tc>
        <w:tc>
          <w:tcPr>
            <w:tcW w:type="dxa" w:w="5669"/>
            <w:shd w:fill="FFFFFF" w:val="clear"/>
          </w:tcPr>
          <w:p>
            <w:r>
              <w:rPr>
                <w:color w:val="282828"/>
                <w:sz w:val="15"/>
              </w:rPr>
              <w:t>Fonds propres / total bilan = 1.78%.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98.22%</w:t>
            </w:r>
          </w:p>
        </w:tc>
        <w:tc>
          <w:tcPr>
            <w:tcW w:type="dxa" w:w="5669"/>
            <w:shd w:fill="FFFFFF" w:val="clear"/>
          </w:tcPr>
          <w:p>
            <w:r>
              <w:rPr>
                <w:color w:val="282828"/>
                <w:sz w:val="15"/>
              </w:rPr>
              <w:t>Dettes financières / total bilan = 98.22%.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612.94%</w:t>
            </w:r>
          </w:p>
        </w:tc>
        <w:tc>
          <w:tcPr>
            <w:tcW w:type="dxa" w:w="5669"/>
            <w:shd w:fill="FFFFFF" w:val="clear"/>
          </w:tcPr>
          <w:p>
            <w:r>
              <w:rPr>
                <w:color w:val="282828"/>
                <w:sz w:val="15"/>
              </w:rPr>
              <w:t>Dettes totales / fonds propres = 612.94%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101.81%</w:t>
            </w:r>
          </w:p>
        </w:tc>
        <w:tc>
          <w:tcPr>
            <w:tcW w:type="dxa" w:w="5669"/>
            <w:shd w:fill="FFFFFF" w:val="clear"/>
          </w:tcPr>
          <w:p>
            <w:r>
              <w:rPr>
                <w:color w:val="282828"/>
                <w:sz w:val="15"/>
              </w:rPr>
              <w:t>Total actif / dettes totales = 101.81x.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96.95%</w:t>
            </w:r>
          </w:p>
        </w:tc>
        <w:tc>
          <w:tcPr>
            <w:tcW w:type="dxa" w:w="5669"/>
            <w:shd w:fill="FFFFFF" w:val="clear"/>
          </w:tcPr>
          <w:p>
            <w:r>
              <w:rPr>
                <w:color w:val="282828"/>
                <w:sz w:val="15"/>
              </w:rPr>
              <w:t>Actif circulant / passif circulant = 96.95x.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10.77%</w:t>
            </w:r>
          </w:p>
        </w:tc>
        <w:tc>
          <w:tcPr>
            <w:tcW w:type="dxa" w:w="5669"/>
            <w:shd w:fill="FFFFFF" w:val="clear"/>
          </w:tcPr>
          <w:p>
            <w:r>
              <w:rPr>
                <w:color w:val="282828"/>
                <w:sz w:val="15"/>
              </w:rPr>
              <w:t>Trésorerie / passif circulant = 10.77x.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94.32%</w:t>
            </w:r>
          </w:p>
        </w:tc>
        <w:tc>
          <w:tcPr>
            <w:tcW w:type="dxa" w:w="5669"/>
            <w:shd w:fill="FFFFFF" w:val="clear"/>
          </w:tcPr>
          <w:p>
            <w:r>
              <w:rPr>
                <w:color w:val="282828"/>
                <w:sz w:val="15"/>
              </w:rPr>
              <w:t>(Actif circ. - stocks) / passif circ. = 94.32x.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66.53%</w:t>
            </w:r>
          </w:p>
        </w:tc>
        <w:tc>
          <w:tcPr>
            <w:tcW w:type="dxa" w:w="5669"/>
            <w:shd w:fill="FFFFFF" w:val="clear"/>
          </w:tcPr>
          <w:p>
            <w:r>
              <w:rPr>
                <w:color w:val="282828"/>
                <w:sz w:val="15"/>
              </w:rPr>
              <w:t>Capitaux permanents / actif immobilisé = 66.53x.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EB9C" w:val="clear"/>
          </w:tcPr>
          <w:p>
            <w:r>
              <w:rPr>
                <w:b/>
                <w:color w:val="006400"/>
                <w:sz w:val="17"/>
              </w:rPr>
              <w:t>7.6 ans</w:t>
            </w:r>
          </w:p>
        </w:tc>
        <w:tc>
          <w:tcPr>
            <w:tcW w:type="dxa" w:w="5669"/>
            <w:shd w:fill="FFFFFF" w:val="clear"/>
          </w:tcPr>
          <w:p>
            <w:r>
              <w:rPr>
                <w:color w:val="282828"/>
                <w:sz w:val="15"/>
              </w:rPr>
              <w:t>Dettes financières / CAF = 7.6 ans. ⚠️ Remboursement long — endettement fort par rapport au cash.</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617.75%</w:t>
            </w:r>
          </w:p>
        </w:tc>
        <w:tc>
          <w:tcPr>
            <w:tcW w:type="dxa" w:w="5669"/>
            <w:shd w:fill="FFFFFF" w:val="clear"/>
          </w:tcPr>
          <w:p>
            <w:r>
              <w:rPr>
                <w:color w:val="282828"/>
                <w:sz w:val="15"/>
              </w:rPr>
              <w:t>Résultat exploit. / charges financières = 617.75x.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121.58%</w:t>
            </w:r>
          </w:p>
        </w:tc>
        <w:tc>
          <w:tcPr>
            <w:tcW w:type="dxa" w:w="5669"/>
            <w:shd w:fill="FFFFFF" w:val="clear"/>
          </w:tcPr>
          <w:p>
            <w:r>
              <w:rPr>
                <w:color w:val="282828"/>
                <w:sz w:val="15"/>
              </w:rPr>
              <w:t>CAF / investissements = 121.58x.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164.0 j</w:t>
            </w:r>
          </w:p>
        </w:tc>
        <w:tc>
          <w:tcPr>
            <w:tcW w:type="dxa" w:w="5669"/>
            <w:shd w:fill="FFFFFF" w:val="clear"/>
          </w:tcPr>
          <w:p>
            <w:r>
              <w:rPr>
                <w:color w:val="282828"/>
                <w:sz w:val="15"/>
              </w:rPr>
              <w:t>Les clients paient en moyenne en 164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970.3 j</w:t>
            </w:r>
          </w:p>
        </w:tc>
        <w:tc>
          <w:tcPr>
            <w:tcW w:type="dxa" w:w="5669"/>
            <w:shd w:fill="FFFFFF" w:val="clear"/>
          </w:tcPr>
          <w:p>
            <w:r>
              <w:rPr>
                <w:color w:val="282828"/>
                <w:sz w:val="15"/>
              </w:rPr>
              <w:t>Paiement des fournisseurs en 970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174.9 j</w:t>
            </w:r>
          </w:p>
        </w:tc>
        <w:tc>
          <w:tcPr>
            <w:tcW w:type="dxa" w:w="5669"/>
            <w:shd w:fill="FFFFFF" w:val="clear"/>
          </w:tcPr>
          <w:p>
            <w:r>
              <w:rPr>
                <w:color w:val="282828"/>
                <w:sz w:val="15"/>
              </w:rPr>
              <w:t>Stock écoulé en 175 jours. ❌ Stock quasi-bloqué — risque d'obsolescence ou de surstock.</w:t>
            </w:r>
          </w:p>
        </w:tc>
      </w:tr>
    </w:tbl>
    <w:p/>
    <w:p>
      <w:pPr>
        <w:spacing w:after="120" w:line="276" w:lineRule="auto"/>
      </w:pPr>
      <w:r>
        <w:t>Absolument. Voici un rapport d'analyse structuré et professionnel pour l'action CIEC, conforme à vos instructions.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la CIEC s'établit à 374,08 milliards FCFA, ce qui en fait une valeur de première importance sur la BRVM. Avec un BPA de 234 FCFA, le PER de 28,5x est très nettement supérieur à la moyenne historique du marché (8-12x), indiquant que les investisseurs paient une prime significative pour la croissance future anticipée. Cette prime est confirmée par un P/B de 10,40x, soit plus de 10 fois la valeur comptable des fonds propres, ce qui reflète des attentes de rendement très élevées. Enfin, un EV/EBITDA de 15,1x souligne une valorisation exigeante de la capacité opérationnelle de l'entreprise. Ces ratios suggèrent que le marché intègre déjà une trajectoire de croissance et de rentabilité soutenue.</w:t>
      </w:r>
    </w:p>
    <w:p>
      <w:pPr>
        <w:spacing w:after="120" w:line="276" w:lineRule="auto"/>
      </w:pPr>
      <w:r>
        <w:t>### **PARTIE 1 : ANALYSE DU COURS — STATISTIQUES ET ÉVOLUTION (100 derniers jours)**</w:t>
      </w:r>
    </w:p>
    <w:p>
      <w:pPr>
        <w:spacing w:after="120" w:line="276" w:lineRule="auto"/>
      </w:pPr>
      <w:r>
        <w:t>Sur les 100 derniers jours, l'action CIEC a connu une envolée spectaculaire de +96,47%, passant d'un plus bas de 3 000 FCFA à un plus haut de 7 190 FCFA, avant de clôturer à 6 680 FCFA. La dernière séance montre un repli de -4,16%, signe possible de prises de bénéfices après une telle hausse. La moyenne du cours sur la période (4 573 FCFA) est inférieure à la médiane (4 995 FCFA), ce qui, combiné à un skewness positif (0.123), indique une distribution légèrement asymétrique avec une queue de distribution vers les hauts cours, typique d'un mouvement haussier puissant. L'écart-type de 1 104 FCFA (CV de 24,1%) témoigne d'une dispersion importante des prix. Le kurtosis négatif (-0.743) suggère une distribution mésokurtique, sans pic excessif de volatilité extrême. La volatilité annualisée de 50,1% classe le titre comme très risqué, mais également très dynamique.</w:t>
      </w:r>
    </w:p>
    <w:p>
      <w:pPr>
        <w:spacing w:after="120" w:line="276" w:lineRule="auto"/>
      </w:pPr>
      <w:r>
        <w:t>### **PARTIE 2 : ANALYSE TECHNIQUE DÉTAILLÉE**</w:t>
      </w:r>
    </w:p>
    <w:p>
      <w:pPr>
        <w:spacing w:after="120" w:line="276" w:lineRule="auto"/>
      </w:pPr>
      <w:r>
        <w:t>**Moyennes Mobiles** : Le cours actuel (6 680 FCFA) est nettement au-dessus de sa MM20 (5 795,75 FCFA) et de sa MM50 (5 440,9 FCFA). Cette configuration haussière, où les moyennes courtes sont sous le prix, confirme une dynamique positive à court et moyen terme. La décision d'**Achat** est justifiée par cette tendance claire.</w:t>
      </w:r>
    </w:p>
    <w:p>
      <w:pPr>
        <w:spacing w:after="120" w:line="276" w:lineRule="auto"/>
      </w:pPr>
      <w:r>
        <w:t>**Bandes de Bollinger** : Le cours se situe à 6 680 FCFA, entre la borne supérieure (7 463,93 FCFA) et la borne inférieure (4 127,57 FCFA). Bien que proche de la borne supérieure, il n'est pas en situation de surachat extrême. La largeur des bandes reflète la volatilité élevée du titre. La décision **Neutre** est cohérente, le prix n'ayant pas encore touché les extrêmes.</w:t>
      </w:r>
    </w:p>
    <w:p>
      <w:pPr>
        <w:spacing w:after="120" w:line="276" w:lineRule="auto"/>
      </w:pPr>
      <w:r>
        <w:t>**MACD** : Le MACD (480,07) est nettement supérieur à sa ligne de signal (348,68), indiquant un momentum haussier très fort. L'écart positif entre les deux lignes suggère que la dynamique d'achat est toujours dominante. La décision d'**Achat** est pleinement justifiée par cette configuration.</w:t>
      </w:r>
    </w:p>
    <w:p>
      <w:pPr>
        <w:spacing w:after="120" w:line="276" w:lineRule="auto"/>
      </w:pPr>
      <w:r>
        <w:t>**RSI** : Le RSI est à 79,577, une valeur bien au-dessus du seuil de surachat de 70. Cela indique que le titre est techniquement suracheté après une hausse aussi rapide. La décision de **Vente** est un signal de prudence, suggérant un risque élevé de correction ou de consolidation à court terme.</w:t>
      </w:r>
    </w:p>
    <w:p>
      <w:pPr>
        <w:spacing w:after="120" w:line="276" w:lineRule="auto"/>
      </w:pPr>
      <w:r>
        <w:t>**Stochastique** : Le %K (76,498) est inférieur au %D (85,476), ce qui indique un croisement baissier potentiel au sein de la zone de surachat. Cette configuration signale un affaiblissement du momentum haussier. La décision **Neutre** est appropriée, car le signal n'est pas encore clairement vendeur mais montre une perte de vigueur.</w:t>
      </w:r>
    </w:p>
    <w:p>
      <w:pPr>
        <w:spacing w:after="120" w:line="276" w:lineRule="auto"/>
      </w:pPr>
      <w:r>
        <w:t>**Conclusion technique** : Les indicateurs de tendance (MM, MACD) sont résolument haussiers, mais les oscillateurs de momentum (RSI, Stochastique) signalent une condition de surachat extrême. Cette divergence classique suggère que la tendance de fond reste positive, mais qu'un repli technique ou une phase de consolidation est hautement probable à très court terme avant la poursuite de la tendance.</w:t>
      </w:r>
    </w:p>
    <w:p>
      <w:pPr>
        <w:spacing w:after="120" w:line="276" w:lineRule="auto"/>
      </w:pPr>
      <w:r>
        <w:t>### **PARTIE 3 : ANALYSE FONDAMENTALE (SECTION CRITIQUE)**</w:t>
      </w:r>
    </w:p>
    <w:p>
      <w:pPr>
        <w:spacing w:after="120" w:line="276" w:lineRule="auto"/>
      </w:pPr>
      <w:r>
        <w:t>En 2025, la CIEC affiche des résultats financiers solides. Le chiffre d'affaires s'établit à 302,320 milliards FCFA, en hausse de 14,8% par rapport à 2024, porté par une demande énergétique dynamique. Le résultat net atteint 13,127 milliards FCFA, soit une progression de 24,4% sur un an. Cette performance se traduit par un ROE exceptionnel de 36,5%, démontrant une excellente rentabilité des capitaux propres, bien que le ROA reste faible à 0,65% en raison d'un total de bilan très élevé (2 018,446 Mds FCFA). En tant qu'entreprise, l'analyse des délais est cruciale : le délai de paiement des clients est très long (164 jours), représentant un risque de trésorerie, mais il est largement compensé par un délai de paiement des fournisseurs extrêmement long (970 jours) et un BFR négatif de -90,244 milliards FCFA, ce qui est une position très favorable. Le rapport annuel 2025 (daté du 31/12/2025) confirme la croissance du CA et du résultat net, et souligne une politique de dividende généreuse avec un DPA proposé de 234 FCFA, soit un taux de distribution de 99,8%. Les rapports du S1 2025 (certifiés) montraient déjà une croissance de 18,85% du CA, laissant présager une année record. Sur la base de cette dynamique et des perspectives de croissance de la demande, on estime que l'exercice 2026 pourrait voir une nouvelle progression du chiffre d'affaires, bien que la rentabilité dépendera de la maîtrise des coûts et du cadre réglementaire de la concession.</w:t>
      </w:r>
    </w:p>
    <w:p>
      <w:pPr>
        <w:spacing w:after="120" w:line="276" w:lineRule="auto"/>
      </w:pPr>
      <w:r>
        <w:t>### **PARTIE 4 : CONCLUSION D'INVESTISSEMENT**</w:t>
      </w:r>
    </w:p>
    <w:p>
      <w:pPr>
        <w:spacing w:after="120" w:line="276" w:lineRule="auto"/>
      </w:pPr>
      <w:r>
        <w:t>La valorisation de la CIEC (PER 28,5x, P/B 10,4x) est extrêmement exigeante et reflète des attentes de croissance déjà intégrées par le marché. Cette surévaluation est en contradiction avec les signaux techniques de surachat (RSI à 79,6) et la prédiction IA qui anticipe une correction significative du cours vers 4 524 FCFA sur 10 jours. Cependant, les fondamentaux de l'entreprise sont solides, avec une croissance à deux chiffres du CA et du résultat net, un ROE excellent et une politique de dividende très attractive. La convergence entre la valorisation élevée, les signaux techniques de surachat et la prédiction IA baissière est un signal d'alerte majeur. Par conséquent, la recommandation finale est **VENTE** à court terme pour réaliser les gains importants accumulés, avec un niveau de confiance **Moyen** et un niveau de risque global **Élevé**. L'horizon d'investissement optimal serait de revenir à l'achat après une correction, sur un horizon de **moyen terme (3-12 mois)**, si les fondamentaux restent solides et que la valorisation redevient plus raisonnable.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d\u00e9montre une croissance solide et soutenue avec une am\u00e9lioration significative de sa rentabilit\u00e9 et une politique de dividende attractive. L'expansion de la base client\u00e8le et la croissance des ventes d'\u00e9nergie confirment les perspectives positives du secteur \u00e9lectrique en C\u00f4te d'Ivoire."}</w:t>
      </w:r>
    </w:p>
    <w:p>
      <w:pPr>
        <w:spacing w:before="40"/>
        <w:ind w:left="400"/>
      </w:pPr>
      <w:r>
        <w:rPr>
          <w:sz w:val="18"/>
        </w:rPr>
        <w:t xml:space="preserve">La Compagnie Ivoirienne d'Electricité (CIE) affiche des résultats solides en 2025 avec un chiffre d'affaires en hausse de 14,8% à 302,3 milliards FCFA et un résultat net en progression de 30% à 13,1 milliards FCFA. La société maintient sa profitabilité opérationnelle avec un excédent brut d'exploitation de 37,2 milliards FCFA, en amélioration par rapport à 2024. L'entreprise distribue un dividende attractif représentant 77% du résultat net, démontrant sa capacité à rémunérer ses actionnaires. La croissance des ventes d'énergie (+8,3% pour les ventes nationales et +21,7% pour l'export) témoigne d'une demande soutenue et d'une expansion réussie. La situation financière reste équilibrée malgré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'37,2 milliards FCFA', 'cafg': '28,9 milliards FCFA', 'nb_clients': '5 282 283', 'ventes_energie_gwh': '13 035 GWh'}</w:t>
            </w:r>
          </w:p>
        </w:tc>
        <w:tc>
          <w:tcPr>
            <w:tcW w:type="dxa" w:w="2160"/>
          </w:tcPr>
          <w:p>
            <w:pPr>
              <w:ind w:left="100"/>
            </w:pPr>
            <w:r/>
            <w:r>
              <w:rPr>
                <w:b/>
                <w:sz w:val="16"/>
              </w:rPr>
              <w:t>dividende</w:t>
              <w:br/>
            </w:r>
            <w:r>
              <w:rPr>
                <w:sz w:val="18"/>
              </w:rPr>
              <w:t>234 FCFA par action</w:t>
            </w:r>
          </w:p>
        </w:tc>
        <w:tc>
          <w:tcPr>
            <w:tcW w:type="dxa" w:w="2160"/>
          </w:tcPr>
          <w:p>
            <w:pPr>
              <w:ind w:left="100"/>
            </w:pPr>
            <w:r/>
            <w:r>
              <w:rPr>
                <w:b/>
                <w:sz w:val="16"/>
              </w:rPr>
              <w:t>marge_nette</w:t>
              <w:br/>
            </w:r>
            <w:r>
              <w:rPr>
                <w:sz w:val="18"/>
              </w:rPr>
              <w:t>4,3%</w:t>
            </w:r>
          </w:p>
        </w:tc>
        <w:tc>
          <w:tcPr>
            <w:tcW w:type="dxa" w:w="2160"/>
          </w:tcPr>
          <w:p>
            <w:pPr>
              <w:ind w:left="100"/>
            </w:pPr>
            <w:r/>
            <w:r>
              <w:rPr>
                <w:b/>
                <w:sz w:val="16"/>
              </w:rPr>
              <w:t>total_actif</w:t>
              <w:br/>
            </w:r>
            <w:r>
              <w:rPr>
                <w:sz w:val="18"/>
              </w:rPr>
              <w:t>2 018,4 milliards FCFA</w:t>
            </w:r>
          </w:p>
        </w:tc>
      </w:tr>
      <w:tr>
        <w:tc>
          <w:tcPr>
            <w:tcW w:type="dxa" w:w="2160"/>
          </w:tcPr>
          <w:p>
            <w:r/>
            <w:r>
              <w:rPr>
                <w:b/>
                <w:sz w:val="16"/>
              </w:rPr>
              <w:t>resultat_net</w:t>
              <w:br/>
            </w:r>
            <w:r>
              <w:rPr>
                <w:sz w:val="18"/>
              </w:rPr>
              <w:t>13,1 milliards FCFA</w:t>
            </w:r>
          </w:p>
        </w:tc>
        <w:tc>
          <w:tcPr>
            <w:tcW w:type="dxa" w:w="2160"/>
          </w:tcPr>
          <w:p>
            <w:r/>
            <w:r>
              <w:rPr>
                <w:b/>
                <w:sz w:val="16"/>
              </w:rPr>
              <w:t>capitaux_propres</w:t>
              <w:br/>
            </w:r>
            <w:r>
              <w:rPr>
                <w:sz w:val="18"/>
              </w:rPr>
              <w:t>43,0 milliards FCFA</w:t>
            </w:r>
          </w:p>
        </w:tc>
        <w:tc>
          <w:tcPr>
            <w:tcW w:type="dxa" w:w="2160"/>
          </w:tcPr>
          <w:p>
            <w:r/>
            <w:r>
              <w:rPr>
                <w:b/>
                <w:sz w:val="16"/>
              </w:rPr>
              <w:t>chiffre_affaires</w:t>
              <w:br/>
            </w:r>
            <w:r>
              <w:rPr>
                <w:sz w:val="18"/>
              </w:rPr>
              <w:t>302,3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14,8% atteignant 302,3 milliards FCFA en 2025</w:t>
      </w:r>
    </w:p>
    <w:p>
      <w:pPr>
        <w:pStyle w:val="ListBullet"/>
        <w:spacing w:before="20" w:after="20"/>
        <w:ind w:left="700"/>
      </w:pPr>
      <w:r>
        <w:rPr>
          <w:sz w:val="18"/>
        </w:rPr>
        <w:t>Progression remarquable du résultat net de 30% à 13,1 milliards FCFA</w:t>
      </w:r>
    </w:p>
    <w:p>
      <w:pPr>
        <w:pStyle w:val="ListBullet"/>
        <w:spacing w:before="20" w:after="20"/>
        <w:ind w:left="700"/>
      </w:pPr>
      <w:r>
        <w:rPr>
          <w:sz w:val="18"/>
        </w:rPr>
        <w:t>Amélioration de l'excédent brut d'exploitation de 23,2% à 37,2 milliards FCFA</w:t>
      </w:r>
    </w:p>
    <w:p>
      <w:pPr>
        <w:pStyle w:val="ListBullet"/>
        <w:spacing w:before="20" w:after="20"/>
        <w:ind w:left="700"/>
      </w:pPr>
      <w:r>
        <w:rPr>
          <w:sz w:val="18"/>
        </w:rPr>
        <w:t>Croissance des ventes d'énergie : +8,3% national et +21,7% export en volume</w:t>
      </w:r>
    </w:p>
    <w:p>
      <w:pPr>
        <w:pStyle w:val="ListBullet"/>
        <w:spacing w:before="20" w:after="20"/>
        <w:ind w:left="700"/>
      </w:pPr>
      <w:r>
        <w:rPr>
          <w:sz w:val="18"/>
        </w:rPr>
        <w:t>Dividende maintenu à un niveau attractif de 234 FCFA par action</w:t>
      </w:r>
    </w:p>
    <w:p>
      <w:pPr>
        <w:pStyle w:val="ListBullet"/>
        <w:spacing w:before="20" w:after="20"/>
        <w:ind w:left="700"/>
      </w:pPr>
      <w:r>
        <w:rPr>
          <w:sz w:val="18"/>
        </w:rPr>
        <w:t>Expansion significative de la base clientèle avec plus de 5,2 millions de clients (+15,1%)</w:t>
      </w:r>
    </w:p>
    <w:p>
      <w:pPr>
        <w:spacing w:before="40"/>
        <w:ind w:left="400"/>
      </w:pPr>
      <w:r>
        <w:rPr>
          <w:b/>
          <w:color w:val="C05000"/>
          <w:sz w:val="18"/>
        </w:rPr>
        <w:t xml:space="preserve">⚠️ Risques : </w:t>
      </w:r>
      <w:r>
        <w:rPr>
          <w:sz w:val="18"/>
        </w:rPr>
        <w:t>["Augmentation des dettes financi\u00e8res de 64,3 \u00e0 64,3 milliards FCFA n\u00e9cessitant une surveillance du levier financier", "D\u00e9pendance aux conditions \u00e9conomiques et r\u00e9glementaires du secteur \u00e9nerg\u00e9tique ivoirien", "Exposition aux variations des co\u00fbts des mati</w:t>
      </w:r>
    </w:p>
    <w:p>
      <w:pPr>
        <w:spacing w:before="40"/>
        <w:ind w:left="400"/>
      </w:pPr>
      <w:r>
        <w:rPr>
          <w:b/>
          <w:color w:val="0064A0"/>
          <w:sz w:val="18"/>
        </w:rPr>
        <w:t xml:space="preserve">🔮 Perspectives : </w:t>
      </w:r>
      <w:r>
        <w:rPr>
          <w:sz w:val="18"/>
        </w:rPr>
        <w:t>Les perspectives pour 2026 s'annoncent favorables avec la poursuite de la croissance de la demande énergétique en Côte d'Ivoire et dans la sous-région. L'expansion continue de la base clientèle et les investissements dans les infrastructures devraient soutenir la croissance du chiffre d'affaires. La</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solide du chiffre d'affaires et de la rentabilit\u00e9, la forte d\u00e9gradation de la qualit\u00e9 de service constitue un risque. La nouvelle convention offre un cadre stable mais les performances techniques doivent s'am\u00e9liorer."}</w:t>
      </w:r>
    </w:p>
    <w:p>
      <w:pPr>
        <w:spacing w:before="40"/>
        <w:ind w:left="400"/>
      </w:pPr>
      <w:r>
        <w:rPr>
          <w:sz w:val="18"/>
        </w:rPr>
        <w:t>La CIE (Compagnie Ivoirienne d'Electricité) affiche des résultats positifs au premier semestre 2021 avec une nouvelle convention de concession entrée en vigueur en janvier 2021. Le chiffre d'affaires atteint 109,1 milliards de FCFA en hausse de 9,9% par rapport au S1 2020. Le résultat net progresse de 17% à 4,26 milliards de FCFA malgré l'impact de travaux de réseaux. La société bénéficie d'une forte croissance de sa clientèle avec 342 000 nouveaux clients, atteignant 3,029 millions de clients. Les performances techniques montrent cependant une dégradation du temps moyen de coupure qui passe de 8h12mn à 27h43mn.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{'nombre_clients': '3,029 millions', 'ventes_nationales': '4 307 GWh', 'ventes_exportation': '429 GWh', 'temps_moyen_coupure': '27h43mn', 'branchements_ordinaires': '57 629'}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4,26 milliards de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109,1 milliards de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Nouvelle convention de concession de 12 ans (2021-2032) avec segmentation des activités et rémunération forfaitaire</w:t>
      </w:r>
    </w:p>
    <w:p>
      <w:pPr>
        <w:pStyle w:val="ListBullet"/>
        <w:spacing w:before="20" w:after="20"/>
        <w:ind w:left="700"/>
      </w:pPr>
      <w:r>
        <w:rPr>
          <w:sz w:val="18"/>
        </w:rPr>
        <w:t>Chiffre d'affaires en hausse de 9,9% à 109,1 milliards de FCFA au S1 2021</w:t>
      </w:r>
    </w:p>
    <w:p>
      <w:pPr>
        <w:pStyle w:val="ListBullet"/>
        <w:spacing w:before="20" w:after="20"/>
        <w:ind w:left="700"/>
      </w:pPr>
      <w:r>
        <w:rPr>
          <w:sz w:val="18"/>
        </w:rPr>
        <w:t>Croissance remarquable de la clientèle avec 342 000 nouveaux clients (+13,9%)</w:t>
      </w:r>
    </w:p>
    <w:p>
      <w:pPr>
        <w:pStyle w:val="ListBullet"/>
        <w:spacing w:before="20" w:after="20"/>
        <w:ind w:left="700"/>
      </w:pPr>
      <w:r>
        <w:rPr>
          <w:sz w:val="18"/>
        </w:rPr>
        <w:t>Résultat net en progression de 17% à 4,26 milliards de FCFA</w:t>
      </w:r>
    </w:p>
    <w:p>
      <w:pPr>
        <w:pStyle w:val="ListBullet"/>
        <w:spacing w:before="20" w:after="20"/>
        <w:ind w:left="700"/>
      </w:pPr>
      <w:r>
        <w:rPr>
          <w:sz w:val="18"/>
        </w:rPr>
        <w:t>Amélioration du résultat opérationnel IFRS de 58% à 8,701 millions de FCFA</w:t>
      </w:r>
    </w:p>
    <w:p>
      <w:pPr>
        <w:pStyle w:val="ListBullet"/>
        <w:spacing w:before="20" w:after="20"/>
        <w:ind w:left="700"/>
      </w:pPr>
      <w:r>
        <w:rPr>
          <w:sz w:val="18"/>
        </w:rPr>
        <w:t>Dégradation significative du temps moyen de coupure (de 8h12mn à 27h43mn)</w:t>
      </w:r>
    </w:p>
    <w:p>
      <w:pPr>
        <w:spacing w:before="40"/>
        <w:ind w:left="400"/>
      </w:pPr>
      <w:r>
        <w:rPr>
          <w:b/>
          <w:color w:val="C05000"/>
          <w:sz w:val="18"/>
        </w:rPr>
        <w:t xml:space="preserve">⚠️ Risques : </w:t>
      </w:r>
      <w:r>
        <w:rPr>
          <w:sz w:val="18"/>
        </w:rPr>
        <w:t>["D\u00e9gradation significative de la qualit\u00e9 de service avec un temps de coupure multipli\u00e9 par 3", "Impact des travaux de r\u00e9seaux sur les performances op\u00e9rationnelles", "D\u00e9pendance aux investissements d'infrastructure dans un contexte de croissance rapide de la client\u00e</w:t>
      </w:r>
    </w:p>
    <w:p>
      <w:pPr>
        <w:spacing w:before="40"/>
        <w:ind w:left="400"/>
      </w:pPr>
      <w:r>
        <w:rPr>
          <w:b/>
          <w:color w:val="0064A0"/>
          <w:sz w:val="18"/>
        </w:rPr>
        <w:t xml:space="preserve">🔮 Perspectives : </w:t>
      </w:r>
      <w:r>
        <w:rPr>
          <w:sz w:val="18"/>
        </w:rPr>
        <w:t>La CIE devrait bénéficier de la stabilité apportée par la nouvelle convention de concession sur 12 ans et de la croissance continue de sa base clientèle. L'amélioration des performances techniques sera cruciale pour maintenir la qualité de service et soutenir la croissance à long terme.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CIE montre une excellente g\u00e9n\u00e9ration de cash-flow et s'adapte avec succ\u00e8s \u00e0 sa nouvelle convention. La stabilit\u00e9 du dividende et l'am\u00e9lioration de la tr\u00e9sorerie t\u00e9moignent d'une gestion solide dans cette phase de transition."}</w:t>
      </w:r>
    </w:p>
    <w:p>
      <w:pPr>
        <w:spacing w:before="40"/>
        <w:ind w:left="400"/>
      </w:pPr>
      <w:r>
        <w:rPr>
          <w:sz w:val="18"/>
        </w:rPr>
        <w:t>La CIE présente des résultats mitigés pour 2021 avec un chiffre d'affaires de 231,1 milliards FCFA et un résultat net de 10,5 milliards FCFA, en baisse de 38,8% par rapport à 2020. La nouvelle convention entrée en vigueur le 1er janvier 2021 a considérablement réduit le bilan de la société, les actifs passant de 1 254,8 milliards à 558,2 milliards FCFA. Les capitaux propres restent stables à 37,5 milliards FCFA malgré la distribution de dividendes de 10,4 milliards. L'entreprise maintient une solide génération de flux de trésorerie opérationnels de 139,2 milliards FCFA. La transition vers son nouveau rôle de mandataire pour l'Autorité Concédante marque un tournant stratégique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{'endettement_net': '56,1 milliards FCFA', 'resultat_operationnel': '16,8 milliards FCFA', 'flux_tresorerie_operationnels': '139,2 milliards FCFA'}</w:t>
            </w:r>
          </w:p>
        </w:tc>
        <w:tc>
          <w:tcPr>
            <w:tcW w:type="dxa" w:w="2160"/>
          </w:tcPr>
          <w:p>
            <w:pPr>
              <w:ind w:left="100"/>
            </w:pPr>
            <w:r/>
            <w:r>
              <w:rPr>
                <w:b/>
                <w:sz w:val="16"/>
              </w:rPr>
              <w:t>dividende</w:t>
              <w:br/>
            </w:r>
            <w:r>
              <w:rPr>
                <w:sz w:val="18"/>
              </w:rPr>
              <w:t>186 FCFA par action</w:t>
            </w:r>
          </w:p>
        </w:tc>
        <w:tc>
          <w:tcPr>
            <w:tcW w:type="dxa" w:w="2160"/>
          </w:tcPr>
          <w:p>
            <w:pPr>
              <w:ind w:left="100"/>
            </w:pPr>
            <w:r/>
            <w:r>
              <w:rPr>
                <w:b/>
                <w:sz w:val="16"/>
              </w:rPr>
              <w:t>marge_nette</w:t>
              <w:br/>
            </w:r>
            <w:r>
              <w:rPr>
                <w:sz w:val="18"/>
              </w:rPr>
              <w:t>4,5%</w:t>
            </w:r>
          </w:p>
        </w:tc>
        <w:tc>
          <w:tcPr>
            <w:tcW w:type="dxa" w:w="2160"/>
          </w:tcPr>
          <w:p>
            <w:pPr>
              <w:ind w:left="100"/>
            </w:pPr>
            <w:r/>
            <w:r>
              <w:rPr>
                <w:b/>
                <w:sz w:val="16"/>
              </w:rPr>
              <w:t>total_actif</w:t>
              <w:br/>
            </w:r>
            <w:r>
              <w:rPr>
                <w:sz w:val="18"/>
              </w:rPr>
              <w:t>558,2 milliards FCFA</w:t>
            </w:r>
          </w:p>
        </w:tc>
      </w:tr>
      <w:tr>
        <w:tc>
          <w:tcPr>
            <w:tcW w:type="dxa" w:w="2160"/>
          </w:tcPr>
          <w:p>
            <w:r/>
            <w:r>
              <w:rPr>
                <w:b/>
                <w:sz w:val="16"/>
              </w:rPr>
              <w:t>resultat_net</w:t>
              <w:br/>
            </w:r>
            <w:r>
              <w:rPr>
                <w:sz w:val="18"/>
              </w:rPr>
              <w:t>10,5 milliards FCFA</w:t>
            </w:r>
          </w:p>
        </w:tc>
        <w:tc>
          <w:tcPr>
            <w:tcW w:type="dxa" w:w="2160"/>
          </w:tcPr>
          <w:p>
            <w:r/>
            <w:r>
              <w:rPr>
                <w:b/>
                <w:sz w:val="16"/>
              </w:rPr>
              <w:t>capitaux_propres</w:t>
              <w:br/>
            </w:r>
            <w:r>
              <w:rPr>
                <w:sz w:val="18"/>
              </w:rPr>
              <w:t>37,5 milliards FCFA</w:t>
            </w:r>
          </w:p>
        </w:tc>
        <w:tc>
          <w:tcPr>
            <w:tcW w:type="dxa" w:w="2160"/>
          </w:tcPr>
          <w:p>
            <w:r/>
            <w:r>
              <w:rPr>
                <w:b/>
                <w:sz w:val="16"/>
              </w:rPr>
              <w:t>chiffre_affaires</w:t>
              <w:br/>
            </w:r>
            <w:r>
              <w:rPr>
                <w:sz w:val="18"/>
              </w:rPr>
              <w:t>231,1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résultat net de 38,8% à 10,5 milliards FCFA contre 17,2 milliards en 2020</w:t>
      </w:r>
    </w:p>
    <w:p>
      <w:pPr>
        <w:pStyle w:val="ListBullet"/>
        <w:spacing w:before="20" w:after="20"/>
        <w:ind w:left="700"/>
      </w:pPr>
      <w:r>
        <w:rPr>
          <w:sz w:val="18"/>
        </w:rPr>
        <w:t>Réduction drastique du total actif de 55,5% suite à la nouvelle convention (558,2 vs 1 254,8 milliards FCFA)</w:t>
      </w:r>
    </w:p>
    <w:p>
      <w:pPr>
        <w:pStyle w:val="ListBullet"/>
        <w:spacing w:before="20" w:after="20"/>
        <w:ind w:left="700"/>
      </w:pPr>
      <w:r>
        <w:rPr>
          <w:sz w:val="18"/>
        </w:rPr>
        <w:t>Augmentation du chiffre d'affaires de 4,1% à 231,1 milliards FCFA avec croissance des prestations de service</w:t>
      </w:r>
    </w:p>
    <w:p>
      <w:pPr>
        <w:pStyle w:val="ListBullet"/>
        <w:spacing w:before="20" w:after="20"/>
        <w:ind w:left="700"/>
      </w:pPr>
      <w:r>
        <w:rPr>
          <w:sz w:val="18"/>
        </w:rPr>
        <w:t>Excellente génération de flux de trésorerie opérationnels de 139,2 milliards FCFA (+176,6%)</w:t>
      </w:r>
    </w:p>
    <w:p>
      <w:pPr>
        <w:pStyle w:val="ListBullet"/>
        <w:spacing w:before="20" w:after="20"/>
        <w:ind w:left="700"/>
      </w:pPr>
      <w:r>
        <w:rPr>
          <w:sz w:val="18"/>
        </w:rPr>
        <w:t>Distribution de dividendes maintenue à 186 FCFA par action malgré la baisse du résultat</w:t>
      </w:r>
    </w:p>
    <w:p>
      <w:pPr>
        <w:pStyle w:val="ListBullet"/>
        <w:spacing w:before="20" w:after="20"/>
        <w:ind w:left="700"/>
      </w:pPr>
      <w:r>
        <w:rPr>
          <w:sz w:val="18"/>
        </w:rPr>
        <w:t>Forte réduction des créances clients (60,3 vs 488,1 milliards) et des dettes fournisseurs (75,2 vs 396,1 milliards)</w:t>
      </w:r>
    </w:p>
    <w:p>
      <w:pPr>
        <w:spacing w:before="40"/>
        <w:ind w:left="400"/>
      </w:pPr>
      <w:r>
        <w:rPr>
          <w:b/>
          <w:color w:val="C05000"/>
          <w:sz w:val="18"/>
        </w:rPr>
        <w:t xml:space="preserve">⚠️ Risques : </w:t>
      </w:r>
      <w:r>
        <w:rPr>
          <w:sz w:val="18"/>
        </w:rPr>
        <w:t>["Impact de la nouvelle convention sur la rentabilit\u00e9 future et adaptation du mod\u00e8le \u00e9conomique", "D\u00e9pendance accrue vis-\u00e0-vis de l'Autorit\u00e9 Conc\u00e9dante dans le nouveau r\u00f4le de mandataire", "Pression sur les marges avec la baisse de 26,7% du r\u00e9sultat op\u0</w:t>
      </w:r>
    </w:p>
    <w:p>
      <w:pPr>
        <w:spacing w:before="40"/>
        <w:ind w:left="400"/>
      </w:pPr>
      <w:r>
        <w:rPr>
          <w:b/>
          <w:color w:val="0064A0"/>
          <w:sz w:val="18"/>
        </w:rPr>
        <w:t xml:space="preserve">🔮 Perspectives : </w:t>
      </w:r>
      <w:r>
        <w:rPr>
          <w:sz w:val="18"/>
        </w:rPr>
        <w:t>La société devrait bénéficier d'une meilleure visibilité de ses flux avec la nouvelle convention tout en conservant sa position dominante sur le marché ivoirien de l'électricité. L'amélioration de la trésorerie et la maîtrise des coûts laissent présager une stabilisation progressive des résultats. 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conserve une position de monopole dans le secteur \u00e9lectrique ivoirien et maintient sa capacit\u00e9 distributive. L'am\u00e9lioration de la tr\u00e9sorerie et les investissements importants sugg\u00e8rent une pr\u00e9paration pour la croissance future."}</w:t>
      </w:r>
    </w:p>
    <w:p>
      <w:pPr>
        <w:spacing w:before="40"/>
        <w:ind w:left="400"/>
      </w:pPr>
      <w:r>
        <w:rPr>
          <w:sz w:val="18"/>
        </w:rPr>
        <w:t>La Compagnie Ivoirienne d'Electricité (CIE) affiche une forte baisse de performance en 2021 avec un chiffre d'affaires qui s'effondre de 722,6 milliards à 231,8 milliards FCFA suite à un changement de modèle comptable lié à la nouvelle convention de concession. Le résultat net diminue également de 16,2 à 9,8 milliards FCFA, impactant négativement la rentabilité globale. Malgré cette baisse, la société maintient une position financière solide avec des capitaux propres de 32,3 milliards FCFA et une amélioration significative de sa trésorerie nette. Les flux de trésorerie opérationnels deviennent négatifs à -33,8 milliards FCFA, compensés par un financement externe important. La société propose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'82,8 milliards FCFA', 'tresorerie_nette': '40,1 milliards FCFA', 'dettes_financieres': '201,2 milliards FCFA', 'capacite_autofinancement': '22,0 milliards FCFA'}</w:t>
            </w:r>
          </w:p>
        </w:tc>
        <w:tc>
          <w:tcPr>
            <w:tcW w:type="dxa" w:w="2160"/>
          </w:tcPr>
          <w:p>
            <w:pPr>
              <w:ind w:left="100"/>
            </w:pPr>
            <w:r/>
            <w:r>
              <w:rPr>
                <w:b/>
                <w:sz w:val="16"/>
              </w:rPr>
              <w:t>dividende</w:t>
              <w:br/>
            </w:r>
            <w:r>
              <w:rPr>
                <w:sz w:val="18"/>
              </w:rPr>
              <w:t>9,5 milliards FCFA</w:t>
            </w:r>
          </w:p>
        </w:tc>
        <w:tc>
          <w:tcPr>
            <w:tcW w:type="dxa" w:w="2160"/>
          </w:tcPr>
          <w:p>
            <w:pPr>
              <w:ind w:left="100"/>
            </w:pPr>
            <w:r/>
            <w:r>
              <w:rPr>
                <w:b/>
                <w:sz w:val="16"/>
              </w:rPr>
              <w:t>marge_nette</w:t>
              <w:br/>
            </w:r>
            <w:r>
              <w:rPr>
                <w:sz w:val="18"/>
              </w:rPr>
              <w:t>4,2%</w:t>
            </w:r>
          </w:p>
        </w:tc>
        <w:tc>
          <w:tcPr>
            <w:tcW w:type="dxa" w:w="2160"/>
          </w:tcPr>
          <w:p>
            <w:pPr>
              <w:ind w:left="100"/>
            </w:pPr>
            <w:r/>
            <w:r>
              <w:rPr>
                <w:b/>
                <w:sz w:val="16"/>
              </w:rPr>
              <w:t>total_actif</w:t>
              <w:br/>
            </w:r>
            <w:r>
              <w:rPr>
                <w:sz w:val="18"/>
              </w:rPr>
              <w:t>1 679,6 milliards FCFA</w:t>
            </w:r>
          </w:p>
        </w:tc>
      </w:tr>
      <w:tr>
        <w:tc>
          <w:tcPr>
            <w:tcW w:type="dxa" w:w="2160"/>
          </w:tcPr>
          <w:p>
            <w:r/>
            <w:r>
              <w:rPr>
                <w:b/>
                <w:sz w:val="16"/>
              </w:rPr>
              <w:t>resultat_net</w:t>
              <w:br/>
            </w:r>
            <w:r>
              <w:rPr>
                <w:sz w:val="18"/>
              </w:rPr>
              <w:t>9,8 milliards FCFA</w:t>
            </w:r>
          </w:p>
        </w:tc>
        <w:tc>
          <w:tcPr>
            <w:tcW w:type="dxa" w:w="2160"/>
          </w:tcPr>
          <w:p>
            <w:r/>
            <w:r>
              <w:rPr>
                <w:b/>
                <w:sz w:val="16"/>
              </w:rPr>
              <w:t>capitaux_propres</w:t>
              <w:br/>
            </w:r>
            <w:r>
              <w:rPr>
                <w:sz w:val="18"/>
              </w:rPr>
              <w:t>32,3 milliards FCFA</w:t>
            </w:r>
          </w:p>
        </w:tc>
        <w:tc>
          <w:tcPr>
            <w:tcW w:type="dxa" w:w="2160"/>
          </w:tcPr>
          <w:p>
            <w:r/>
            <w:r>
              <w:rPr>
                <w:b/>
                <w:sz w:val="16"/>
              </w:rPr>
              <w:t>chiffre_affaires</w:t>
              <w:br/>
            </w:r>
            <w:r>
              <w:rPr>
                <w:sz w:val="18"/>
              </w:rPr>
              <w:t>231,8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Effondrement du chiffre d'affaires de 67,9% à 231,8 milliards FCFA suite au nouveau modèle de rémunération</w:t>
      </w:r>
    </w:p>
    <w:p>
      <w:pPr>
        <w:pStyle w:val="ListBullet"/>
        <w:spacing w:before="20" w:after="20"/>
        <w:ind w:left="700"/>
      </w:pPr>
      <w:r>
        <w:rPr>
          <w:sz w:val="18"/>
        </w:rPr>
        <w:t>Baisse du résultat net de 39,6% à 9,8 milliards FCFA</w:t>
      </w:r>
    </w:p>
    <w:p>
      <w:pPr>
        <w:pStyle w:val="ListBullet"/>
        <w:spacing w:before="20" w:after="20"/>
        <w:ind w:left="700"/>
      </w:pPr>
      <w:r>
        <w:rPr>
          <w:sz w:val="18"/>
        </w:rPr>
        <w:t>Amélioration spectaculaire de la trésorerie nette passant de -60,1 milliards à +40,1 milliards FCFA</w:t>
      </w:r>
    </w:p>
    <w:p>
      <w:pPr>
        <w:pStyle w:val="ListBullet"/>
        <w:spacing w:before="20" w:after="20"/>
        <w:ind w:left="700"/>
      </w:pPr>
      <w:r>
        <w:rPr>
          <w:sz w:val="18"/>
        </w:rPr>
        <w:t>Flux de trésorerie opérationnels négatifs à -33,8 milliards FCFA contre +53,2 milliards en 2020</w:t>
      </w:r>
    </w:p>
    <w:p>
      <w:pPr>
        <w:pStyle w:val="ListBullet"/>
        <w:spacing w:before="20" w:after="20"/>
        <w:ind w:left="700"/>
      </w:pPr>
      <w:r>
        <w:rPr>
          <w:sz w:val="18"/>
        </w:rPr>
        <w:t>Augmentation significative des immobilisations financières de 12,3 à 77,8 milliards FCFA</w:t>
      </w:r>
    </w:p>
    <w:p>
      <w:pPr>
        <w:pStyle w:val="ListBullet"/>
        <w:spacing w:before="20" w:after="20"/>
        <w:ind w:left="700"/>
      </w:pPr>
      <w:r>
        <w:rPr>
          <w:sz w:val="18"/>
        </w:rPr>
        <w:t>Maintien d'un dividende élevé de 9,5 milliards FCFA représentant 97% du résultat net</w:t>
      </w:r>
    </w:p>
    <w:p>
      <w:pPr>
        <w:spacing w:before="40"/>
        <w:ind w:left="400"/>
      </w:pPr>
      <w:r>
        <w:rPr>
          <w:b/>
          <w:color w:val="C05000"/>
          <w:sz w:val="18"/>
        </w:rPr>
        <w:t xml:space="preserve">⚠️ Risques : </w:t>
      </w:r>
      <w:r>
        <w:rPr>
          <w:sz w:val="18"/>
        </w:rPr>
        <w:t>["Endettement financier tr\u00e8s \u00e9lev\u00e9 (201,2 milliards FCFA) cr\u00e9ant une pression sur la structure financi\u00e8re", "Flux de tr\u00e9sorerie op\u00e9rationnels n\u00e9gatifs indiquant des difficult\u00e9s de g\u00e9n\u00e9ration de cash", "Politique de dividende non soutenable repr\</w:t>
      </w:r>
    </w:p>
    <w:p>
      <w:pPr>
        <w:spacing w:before="40"/>
        <w:ind w:left="400"/>
      </w:pPr>
      <w:r>
        <w:rPr>
          <w:b/>
          <w:color w:val="0064A0"/>
          <w:sz w:val="18"/>
        </w:rPr>
        <w:t xml:space="preserve">🔮 Perspectives : </w:t>
      </w:r>
      <w:r>
        <w:rPr>
          <w:sz w:val="18"/>
        </w:rPr>
        <w:t>La transition vers le nouveau modèle de concession devrait stabiliser les revenus et améliorer la visibilité financière à moyen terme. Les investissements massifs réalisés en 2021 devraient commencer à porter leurs fruits avec une amélioration progressive de la rentabilité opérationnelle. L'enjeu pr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CIE maintient sa rentabilit\u00e9 dans un secteur strat\u00e9gique avec des fondamentaux solides. Le positionnement monopolistique dans l'\u00e9lectricit\u00e9 ivoirienne offre une visibilit\u00e9 sur les revenus futurs malgr\u00e9 un endettement significatif."}</w:t>
      </w:r>
    </w:p>
    <w:p>
      <w:pPr>
        <w:spacing w:before="40"/>
        <w:ind w:left="400"/>
      </w:pPr>
      <w:r>
        <w:rPr>
          <w:sz w:val="18"/>
        </w:rPr>
        <w:t>La CIE (Compagnie Ivoirienne d'Électricité) présente des états financiers au 31 décembre 2021 avec un chiffre d'affaires de 725 milliards FCFA. La société maintient une rentabilité avec un résultat net de 41,3 milliards FCFA et affiche un total actif de 1 354 milliards FCFA. Les capitaux propres s'élèvent à 294 milliards FCFA, témoignant d'une structure financière solide. L'entreprise opère dans le secteur stratégique de l'électricité en Côte d'Ivoire avec des performances opérationnelles satisfaisantes. La marge nette de 5,7% reflète une gestion efficace des coûts dans un secteur capitalistique.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{'dettes': '1 060 milliards FCFA', 'stocks': '74 milliards FCFA', 'creances': '248 milliards FCFA', 'immobilisations': '1 136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5,7%</w:t>
            </w:r>
          </w:p>
        </w:tc>
        <w:tc>
          <w:tcPr>
            <w:tcW w:type="dxa" w:w="2160"/>
          </w:tcPr>
          <w:p>
            <w:pPr>
              <w:ind w:left="100"/>
            </w:pPr>
            <w:r/>
            <w:r>
              <w:rPr>
                <w:b/>
                <w:sz w:val="16"/>
              </w:rPr>
              <w:t>total_actif</w:t>
              <w:br/>
            </w:r>
            <w:r>
              <w:rPr>
                <w:sz w:val="18"/>
              </w:rPr>
              <w:t>1 354 milliards FCFA</w:t>
            </w:r>
          </w:p>
        </w:tc>
      </w:tr>
      <w:tr>
        <w:tc>
          <w:tcPr>
            <w:tcW w:type="dxa" w:w="2160"/>
          </w:tcPr>
          <w:p>
            <w:r/>
            <w:r>
              <w:rPr>
                <w:b/>
                <w:sz w:val="16"/>
              </w:rPr>
              <w:t>resultat_net</w:t>
              <w:br/>
            </w:r>
            <w:r>
              <w:rPr>
                <w:sz w:val="18"/>
              </w:rPr>
              <w:t>41,3 milliards FCFA</w:t>
            </w:r>
          </w:p>
        </w:tc>
        <w:tc>
          <w:tcPr>
            <w:tcW w:type="dxa" w:w="2160"/>
          </w:tcPr>
          <w:p>
            <w:r/>
            <w:r>
              <w:rPr>
                <w:b/>
                <w:sz w:val="16"/>
              </w:rPr>
              <w:t>capitaux_propres</w:t>
              <w:br/>
            </w:r>
            <w:r>
              <w:rPr>
                <w:sz w:val="18"/>
              </w:rPr>
              <w:t>294 milliards FCFA</w:t>
            </w:r>
          </w:p>
        </w:tc>
        <w:tc>
          <w:tcPr>
            <w:tcW w:type="dxa" w:w="2160"/>
          </w:tcPr>
          <w:p>
            <w:r/>
            <w:r>
              <w:rPr>
                <w:b/>
                <w:sz w:val="16"/>
              </w:rPr>
              <w:t>chiffre_affaires</w:t>
              <w:br/>
            </w:r>
            <w:r>
              <w:rPr>
                <w:sz w:val="18"/>
              </w:rPr>
              <w:t>725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725 milliards FCFA confirmant la position de leader sur le marché ivoirien de l'électricité</w:t>
      </w:r>
    </w:p>
    <w:p>
      <w:pPr>
        <w:pStyle w:val="ListBullet"/>
        <w:spacing w:before="20" w:after="20"/>
        <w:ind w:left="700"/>
      </w:pPr>
      <w:r>
        <w:rPr>
          <w:sz w:val="18"/>
        </w:rPr>
        <w:t>Résultat net positif de 41,3 milliards FCFA démontrant la rentabilité de l'activité</w:t>
      </w:r>
    </w:p>
    <w:p>
      <w:pPr>
        <w:pStyle w:val="ListBullet"/>
        <w:spacing w:before="20" w:after="20"/>
        <w:ind w:left="700"/>
      </w:pPr>
      <w:r>
        <w:rPr>
          <w:sz w:val="18"/>
        </w:rPr>
        <w:t>Total actif de 1 354 milliards FCFA avec des immobilisations importantes de 1 136 milliards FCFA</w:t>
      </w:r>
    </w:p>
    <w:p>
      <w:pPr>
        <w:pStyle w:val="ListBullet"/>
        <w:spacing w:before="20" w:after="20"/>
        <w:ind w:left="700"/>
      </w:pPr>
      <w:r>
        <w:rPr>
          <w:sz w:val="18"/>
        </w:rPr>
        <w:t>Capitaux propres solides de 294 milliards FCFA assurant une base financière stable</w:t>
      </w:r>
    </w:p>
    <w:p>
      <w:pPr>
        <w:pStyle w:val="ListBullet"/>
        <w:spacing w:before="20" w:after="20"/>
        <w:ind w:left="700"/>
      </w:pPr>
      <w:r>
        <w:rPr>
          <w:sz w:val="18"/>
        </w:rPr>
        <w:t>Marge nette de 5,7% dans un secteur d'infrastructure essentielle</w:t>
      </w:r>
    </w:p>
    <w:p>
      <w:pPr>
        <w:pStyle w:val="ListBullet"/>
        <w:spacing w:before="20" w:after="20"/>
        <w:ind w:left="700"/>
      </w:pPr>
      <w:r>
        <w:rPr>
          <w:sz w:val="18"/>
        </w:rPr>
        <w:t>Activité dans un secteur régulé stratégique pour l'économie ivoirienne</w:t>
      </w:r>
    </w:p>
    <w:p>
      <w:pPr>
        <w:spacing w:before="40"/>
        <w:ind w:left="400"/>
      </w:pPr>
      <w:r>
        <w:rPr>
          <w:b/>
          <w:color w:val="C05000"/>
          <w:sz w:val="18"/>
        </w:rPr>
        <w:t xml:space="preserve">⚠️ Risques : </w:t>
      </w:r>
      <w:r>
        <w:rPr>
          <w:sz w:val="18"/>
        </w:rPr>
        <w:t xml:space="preserve">["Niveau d'endettement \u00e9lev\u00e9 avec 1 060 milliards FCFA de dettes n\u00e9cessitant une gestion prudente du cash-flow", "D\u00e9pendance aux tarifs r\u00e9gul\u00e9s par l'\u00c9tat pouvant impacter la rentabilit\u00e9 en cas de r\u00e9vision d\u00e9favorable", "Exposition aux variations du </w:t>
      </w:r>
    </w:p>
    <w:p>
      <w:pPr>
        <w:spacing w:before="40"/>
        <w:ind w:left="400"/>
      </w:pPr>
      <w:r>
        <w:rPr>
          <w:b/>
          <w:color w:val="0064A0"/>
          <w:sz w:val="18"/>
        </w:rPr>
        <w:t xml:space="preserve">🔮 Perspectives : </w:t>
      </w:r>
      <w:r>
        <w:rPr>
          <w:sz w:val="18"/>
        </w:rPr>
        <w:t>Les perspectives restent positives compte tenu de la croissance économique ivoirienne et de l'augmentation de la demande électrique. La CIE devrait bénéficier des investissements dans l'infrastructure énergétique et du développement industriel du pays. La gestion de la dette et l'optimisation opérat</w:t>
      </w:r>
    </w:p>
    <w:p/>
    <w:p>
      <w:r>
        <w:t>════════════════════════════════════════════════════════════════════════════════</w:t>
      </w:r>
    </w:p>
    <w:p>
      <w:r>
        <w:br w:type="page"/>
      </w:r>
    </w:p>
    <w:p>
      <w:pPr>
        <w:pStyle w:val="Heading2"/>
        <w:spacing w:before="360"/>
      </w:pPr>
      <w:r>
        <w:rPr>
          <w:color w:val="0066CC"/>
        </w:rPr>
        <w:t>15. ECOC - ECOC - ECOBANK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ECOC</w:t>
            </w:r>
          </w:p>
          <w:p>
            <w:r>
              <w:rPr>
                <w:b/>
                <w:color w:val="323250"/>
                <w:sz w:val="16"/>
              </w:rPr>
              <w:t xml:space="preserve">Société : </w:t>
            </w:r>
            <w:r>
              <w:rPr>
                <w:color w:val="000000"/>
                <w:sz w:val="16"/>
              </w:rPr>
              <w:t>ECOC - ECOBANK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927.33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3,913 titres</w:t>
            </w:r>
          </w:p>
        </w:tc>
        <w:tc>
          <w:tcPr>
            <w:tcW w:type="dxa" w:w="2268"/>
            <w:shd w:fill="FFF2CC" w:val="clear"/>
          </w:tcPr>
          <w:p>
            <w:r>
              <w:rPr>
                <w:b/>
                <w:color w:val="503200"/>
                <w:sz w:val="16"/>
              </w:rPr>
              <w:t xml:space="preserve">Cours actuel : </w:t>
            </w:r>
            <w:r>
              <w:rPr>
                <w:color w:val="000000"/>
                <w:sz w:val="17"/>
              </w:rPr>
              <w:t>16,845 FCFA</w:t>
            </w:r>
          </w:p>
          <w:p>
            <w:r>
              <w:rPr>
                <w:b/>
                <w:color w:val="503200"/>
                <w:sz w:val="16"/>
              </w:rPr>
              <w:t xml:space="preserve">Var. 100 jours : </w:t>
            </w:r>
            <w:r>
              <w:rPr>
                <w:b/>
                <w:color w:val="007800"/>
                <w:sz w:val="17"/>
              </w:rPr>
              <w:t>+2.09%</w:t>
            </w:r>
          </w:p>
          <w:p>
            <w:r>
              <w:rPr>
                <w:b/>
                <w:color w:val="503200"/>
                <w:sz w:val="16"/>
              </w:rPr>
              <w:t xml:space="preserve">Plus haut 100j : </w:t>
            </w:r>
            <w:r>
              <w:rPr>
                <w:color w:val="000000"/>
                <w:sz w:val="17"/>
              </w:rPr>
              <w:t>17,270 FCFA</w:t>
            </w:r>
          </w:p>
          <w:p>
            <w:r>
              <w:rPr>
                <w:b/>
                <w:color w:val="503200"/>
                <w:sz w:val="16"/>
              </w:rPr>
              <w:t xml:space="preserve">Plus bas 100j : </w:t>
            </w:r>
            <w:r>
              <w:rPr>
                <w:color w:val="000000"/>
                <w:sz w:val="17"/>
              </w:rPr>
              <w:t>15,520 FCFA</w:t>
            </w:r>
          </w:p>
          <w:p>
            <w:r>
              <w:rPr>
                <w:b/>
                <w:color w:val="503200"/>
                <w:sz w:val="16"/>
              </w:rPr>
              <w:t xml:space="preserve">Volatilité ann. : </w:t>
            </w:r>
            <w:r>
              <w:rPr>
                <w:color w:val="000000"/>
                <w:sz w:val="17"/>
              </w:rPr>
              <w:t>27.7%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2.24% (Faible) — μ=16,329 FCFA, σ=366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β=0.3237 (Défensif) — Cov=0.000011, Var(idx)=0.000035, ρ=0.110,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3,913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σ_j=1.74%/j (Stable) — Vol. annualisée≈27.7%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17" name="Picture 1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2026-08-28</w:t>
            </w:r>
          </w:p>
        </w:tc>
        <w:tc>
          <w:tcPr>
            <w:tcW w:type="dxa" w:w="1440"/>
            <w:shd w:fill="FAFAFA" w:val="clear"/>
          </w:tcPr>
          <w:p>
            <w:r>
              <w:rPr>
                <w:sz w:val="17"/>
              </w:rPr>
              <w:t>16,303</w:t>
            </w:r>
          </w:p>
        </w:tc>
        <w:tc>
          <w:tcPr>
            <w:tcW w:type="dxa" w:w="1440"/>
            <w:shd w:fill="FAFAFA" w:val="clear"/>
          </w:tcPr>
          <w:p>
            <w:r>
              <w:rPr>
                <w:b/>
                <w:sz w:val="17"/>
              </w:rPr>
              <w:t>16,708</w:t>
            </w:r>
          </w:p>
        </w:tc>
        <w:tc>
          <w:tcPr>
            <w:tcW w:type="dxa" w:w="1440"/>
            <w:shd w:fill="FAFAFA" w:val="clear"/>
          </w:tcPr>
          <w:p>
            <w:r>
              <w:rPr>
                <w:sz w:val="17"/>
              </w:rPr>
              <w:t>17,113</w:t>
            </w:r>
          </w:p>
        </w:tc>
        <w:tc>
          <w:tcPr>
            <w:tcW w:type="dxa" w:w="1440"/>
            <w:shd w:fill="FAFAFA" w:val="clear"/>
          </w:tcPr>
          <w:p>
            <w:r>
              <w:rPr>
                <w:b/>
                <w:color w:val="C00000"/>
                <w:sz w:val="17"/>
              </w:rPr>
              <w:t>-0.8%</w:t>
            </w:r>
          </w:p>
        </w:tc>
      </w:tr>
      <w:tr>
        <w:tc>
          <w:tcPr>
            <w:tcW w:type="dxa" w:w="1440"/>
            <w:shd w:fill="FAFAFA" w:val="clear"/>
          </w:tcPr>
          <w:p>
            <w:r>
              <w:rPr>
                <w:sz w:val="17"/>
              </w:rPr>
              <w:t>J+2  ⭐⭐⭐</w:t>
            </w:r>
          </w:p>
        </w:tc>
        <w:tc>
          <w:tcPr>
            <w:tcW w:type="dxa" w:w="1440"/>
            <w:shd w:fill="FAFAFA" w:val="clear"/>
          </w:tcPr>
          <w:p>
            <w:r>
              <w:rPr>
                <w:sz w:val="17"/>
              </w:rPr>
              <w:t>2026-08-31</w:t>
            </w:r>
          </w:p>
        </w:tc>
        <w:tc>
          <w:tcPr>
            <w:tcW w:type="dxa" w:w="1440"/>
            <w:shd w:fill="FAFAFA" w:val="clear"/>
          </w:tcPr>
          <w:p>
            <w:r>
              <w:rPr>
                <w:sz w:val="17"/>
              </w:rPr>
              <w:t>16,122</w:t>
            </w:r>
          </w:p>
        </w:tc>
        <w:tc>
          <w:tcPr>
            <w:tcW w:type="dxa" w:w="1440"/>
            <w:shd w:fill="FAFAFA" w:val="clear"/>
          </w:tcPr>
          <w:p>
            <w:r>
              <w:rPr>
                <w:b/>
                <w:sz w:val="17"/>
              </w:rPr>
              <w:t>16,694</w:t>
            </w:r>
          </w:p>
        </w:tc>
        <w:tc>
          <w:tcPr>
            <w:tcW w:type="dxa" w:w="1440"/>
            <w:shd w:fill="FAFAFA" w:val="clear"/>
          </w:tcPr>
          <w:p>
            <w:r>
              <w:rPr>
                <w:sz w:val="17"/>
              </w:rPr>
              <w:t>17,267</w:t>
            </w:r>
          </w:p>
        </w:tc>
        <w:tc>
          <w:tcPr>
            <w:tcW w:type="dxa" w:w="1440"/>
            <w:shd w:fill="FAFAFA" w:val="clear"/>
          </w:tcPr>
          <w:p>
            <w:r>
              <w:rPr>
                <w:b/>
                <w:color w:val="C00000"/>
                <w:sz w:val="17"/>
              </w:rPr>
              <w:t>-0.9%</w:t>
            </w:r>
          </w:p>
        </w:tc>
      </w:tr>
      <w:tr>
        <w:tc>
          <w:tcPr>
            <w:tcW w:type="dxa" w:w="1440"/>
            <w:shd w:fill="FAFAFA" w:val="clear"/>
          </w:tcPr>
          <w:p>
            <w:r>
              <w:rPr>
                <w:sz w:val="17"/>
              </w:rPr>
              <w:t>J+3  ⭐⭐⭐</w:t>
            </w:r>
          </w:p>
        </w:tc>
        <w:tc>
          <w:tcPr>
            <w:tcW w:type="dxa" w:w="1440"/>
            <w:shd w:fill="FAFAFA" w:val="clear"/>
          </w:tcPr>
          <w:p>
            <w:r>
              <w:rPr>
                <w:sz w:val="17"/>
              </w:rPr>
              <w:t>2026-09-01</w:t>
            </w:r>
          </w:p>
        </w:tc>
        <w:tc>
          <w:tcPr>
            <w:tcW w:type="dxa" w:w="1440"/>
            <w:shd w:fill="FAFAFA" w:val="clear"/>
          </w:tcPr>
          <w:p>
            <w:r>
              <w:rPr>
                <w:sz w:val="17"/>
              </w:rPr>
              <w:t>15,973</w:t>
            </w:r>
          </w:p>
        </w:tc>
        <w:tc>
          <w:tcPr>
            <w:tcW w:type="dxa" w:w="1440"/>
            <w:shd w:fill="FAFAFA" w:val="clear"/>
          </w:tcPr>
          <w:p>
            <w:r>
              <w:rPr>
                <w:b/>
                <w:sz w:val="17"/>
              </w:rPr>
              <w:t>16,673</w:t>
            </w:r>
          </w:p>
        </w:tc>
        <w:tc>
          <w:tcPr>
            <w:tcW w:type="dxa" w:w="1440"/>
            <w:shd w:fill="FAFAFA" w:val="clear"/>
          </w:tcPr>
          <w:p>
            <w:r>
              <w:rPr>
                <w:sz w:val="17"/>
              </w:rPr>
              <w:t>17,373</w:t>
            </w:r>
          </w:p>
        </w:tc>
        <w:tc>
          <w:tcPr>
            <w:tcW w:type="dxa" w:w="1440"/>
            <w:shd w:fill="FAFAFA" w:val="clear"/>
          </w:tcPr>
          <w:p>
            <w:r>
              <w:rPr>
                <w:b/>
                <w:color w:val="C00000"/>
                <w:sz w:val="17"/>
              </w:rPr>
              <w:t>-1.0%</w:t>
            </w:r>
          </w:p>
        </w:tc>
      </w:tr>
      <w:tr>
        <w:tc>
          <w:tcPr>
            <w:tcW w:type="dxa" w:w="1440"/>
            <w:shd w:fill="FAFAFA" w:val="clear"/>
          </w:tcPr>
          <w:p>
            <w:r>
              <w:rPr>
                <w:sz w:val="17"/>
              </w:rPr>
              <w:t>J+4  Moyenne</w:t>
            </w:r>
          </w:p>
        </w:tc>
        <w:tc>
          <w:tcPr>
            <w:tcW w:type="dxa" w:w="1440"/>
            <w:shd w:fill="FAFAFA" w:val="clear"/>
          </w:tcPr>
          <w:p>
            <w:r>
              <w:rPr>
                <w:sz w:val="17"/>
              </w:rPr>
              <w:t>2026-09-02</w:t>
            </w:r>
          </w:p>
        </w:tc>
        <w:tc>
          <w:tcPr>
            <w:tcW w:type="dxa" w:w="1440"/>
            <w:shd w:fill="FAFAFA" w:val="clear"/>
          </w:tcPr>
          <w:p>
            <w:r>
              <w:rPr>
                <w:sz w:val="17"/>
              </w:rPr>
              <w:t>15,846</w:t>
            </w:r>
          </w:p>
        </w:tc>
        <w:tc>
          <w:tcPr>
            <w:tcW w:type="dxa" w:w="1440"/>
            <w:shd w:fill="FAFAFA" w:val="clear"/>
          </w:tcPr>
          <w:p>
            <w:r>
              <w:rPr>
                <w:b/>
                <w:sz w:val="17"/>
              </w:rPr>
              <w:t>16,653</w:t>
            </w:r>
          </w:p>
        </w:tc>
        <w:tc>
          <w:tcPr>
            <w:tcW w:type="dxa" w:w="1440"/>
            <w:shd w:fill="FAFAFA" w:val="clear"/>
          </w:tcPr>
          <w:p>
            <w:r>
              <w:rPr>
                <w:sz w:val="17"/>
              </w:rPr>
              <w:t>17,461</w:t>
            </w:r>
          </w:p>
        </w:tc>
        <w:tc>
          <w:tcPr>
            <w:tcW w:type="dxa" w:w="1440"/>
            <w:shd w:fill="FAFAFA" w:val="clear"/>
          </w:tcPr>
          <w:p>
            <w:r>
              <w:rPr>
                <w:b/>
                <w:color w:val="C00000"/>
                <w:sz w:val="17"/>
              </w:rPr>
              <w:t>-1.1%</w:t>
            </w:r>
          </w:p>
        </w:tc>
      </w:tr>
      <w:tr>
        <w:tc>
          <w:tcPr>
            <w:tcW w:type="dxa" w:w="1440"/>
            <w:shd w:fill="FAFAFA" w:val="clear"/>
          </w:tcPr>
          <w:p>
            <w:r>
              <w:rPr>
                <w:sz w:val="17"/>
              </w:rPr>
              <w:t>J+5  Moyenne</w:t>
            </w:r>
          </w:p>
        </w:tc>
        <w:tc>
          <w:tcPr>
            <w:tcW w:type="dxa" w:w="1440"/>
            <w:shd w:fill="FAFAFA" w:val="clear"/>
          </w:tcPr>
          <w:p>
            <w:r>
              <w:rPr>
                <w:sz w:val="17"/>
              </w:rPr>
              <w:t>2026-09-03</w:t>
            </w:r>
          </w:p>
        </w:tc>
        <w:tc>
          <w:tcPr>
            <w:tcW w:type="dxa" w:w="1440"/>
            <w:shd w:fill="FAFAFA" w:val="clear"/>
          </w:tcPr>
          <w:p>
            <w:r>
              <w:rPr>
                <w:sz w:val="17"/>
              </w:rPr>
              <w:t>15,733</w:t>
            </w:r>
          </w:p>
        </w:tc>
        <w:tc>
          <w:tcPr>
            <w:tcW w:type="dxa" w:w="1440"/>
            <w:shd w:fill="FAFAFA" w:val="clear"/>
          </w:tcPr>
          <w:p>
            <w:r>
              <w:rPr>
                <w:b/>
                <w:sz w:val="17"/>
              </w:rPr>
              <w:t>16,635</w:t>
            </w:r>
          </w:p>
        </w:tc>
        <w:tc>
          <w:tcPr>
            <w:tcW w:type="dxa" w:w="1440"/>
            <w:shd w:fill="FAFAFA" w:val="clear"/>
          </w:tcPr>
          <w:p>
            <w:r>
              <w:rPr>
                <w:sz w:val="17"/>
              </w:rPr>
              <w:t>17,537</w:t>
            </w:r>
          </w:p>
        </w:tc>
        <w:tc>
          <w:tcPr>
            <w:tcW w:type="dxa" w:w="1440"/>
            <w:shd w:fill="FAFAFA" w:val="clear"/>
          </w:tcPr>
          <w:p>
            <w:r>
              <w:rPr>
                <w:b/>
                <w:color w:val="C00000"/>
                <w:sz w:val="17"/>
              </w:rPr>
              <w:t>-1.2%</w:t>
            </w:r>
          </w:p>
        </w:tc>
      </w:tr>
      <w:tr>
        <w:tc>
          <w:tcPr>
            <w:tcW w:type="dxa" w:w="1440"/>
            <w:shd w:fill="FAFAFA" w:val="clear"/>
          </w:tcPr>
          <w:p>
            <w:r>
              <w:rPr>
                <w:sz w:val="17"/>
              </w:rPr>
              <w:t>J+6  Moyenne</w:t>
            </w:r>
          </w:p>
        </w:tc>
        <w:tc>
          <w:tcPr>
            <w:tcW w:type="dxa" w:w="1440"/>
            <w:shd w:fill="FAFAFA" w:val="clear"/>
          </w:tcPr>
          <w:p>
            <w:r>
              <w:rPr>
                <w:sz w:val="17"/>
              </w:rPr>
              <w:t>2026-09-04</w:t>
            </w:r>
          </w:p>
        </w:tc>
        <w:tc>
          <w:tcPr>
            <w:tcW w:type="dxa" w:w="1440"/>
            <w:shd w:fill="FAFAFA" w:val="clear"/>
          </w:tcPr>
          <w:p>
            <w:r>
              <w:rPr>
                <w:sz w:val="17"/>
              </w:rPr>
              <w:t>15,630</w:t>
            </w:r>
          </w:p>
        </w:tc>
        <w:tc>
          <w:tcPr>
            <w:tcW w:type="dxa" w:w="1440"/>
            <w:shd w:fill="FAFAFA" w:val="clear"/>
          </w:tcPr>
          <w:p>
            <w:r>
              <w:rPr>
                <w:b/>
                <w:sz w:val="17"/>
              </w:rPr>
              <w:t>16,617</w:t>
            </w:r>
          </w:p>
        </w:tc>
        <w:tc>
          <w:tcPr>
            <w:tcW w:type="dxa" w:w="1440"/>
            <w:shd w:fill="FAFAFA" w:val="clear"/>
          </w:tcPr>
          <w:p>
            <w:r>
              <w:rPr>
                <w:sz w:val="17"/>
              </w:rPr>
              <w:t>17,604</w:t>
            </w:r>
          </w:p>
        </w:tc>
        <w:tc>
          <w:tcPr>
            <w:tcW w:type="dxa" w:w="1440"/>
            <w:shd w:fill="FAFAFA" w:val="clear"/>
          </w:tcPr>
          <w:p>
            <w:r>
              <w:rPr>
                <w:b/>
                <w:color w:val="C00000"/>
                <w:sz w:val="17"/>
              </w:rPr>
              <w:t>-1.4%</w:t>
            </w:r>
          </w:p>
        </w:tc>
      </w:tr>
      <w:tr>
        <w:tc>
          <w:tcPr>
            <w:tcW w:type="dxa" w:w="1440"/>
            <w:shd w:fill="FAFAFA" w:val="clear"/>
          </w:tcPr>
          <w:p>
            <w:r>
              <w:rPr>
                <w:sz w:val="17"/>
              </w:rPr>
              <w:t>J+7  Moyenne</w:t>
            </w:r>
          </w:p>
        </w:tc>
        <w:tc>
          <w:tcPr>
            <w:tcW w:type="dxa" w:w="1440"/>
            <w:shd w:fill="FAFAFA" w:val="clear"/>
          </w:tcPr>
          <w:p>
            <w:r>
              <w:rPr>
                <w:sz w:val="17"/>
              </w:rPr>
              <w:t>2026-09-07</w:t>
            </w:r>
          </w:p>
        </w:tc>
        <w:tc>
          <w:tcPr>
            <w:tcW w:type="dxa" w:w="1440"/>
            <w:shd w:fill="FAFAFA" w:val="clear"/>
          </w:tcPr>
          <w:p>
            <w:r>
              <w:rPr>
                <w:sz w:val="17"/>
              </w:rPr>
              <w:t>15,535</w:t>
            </w:r>
          </w:p>
        </w:tc>
        <w:tc>
          <w:tcPr>
            <w:tcW w:type="dxa" w:w="1440"/>
            <w:shd w:fill="FAFAFA" w:val="clear"/>
          </w:tcPr>
          <w:p>
            <w:r>
              <w:rPr>
                <w:b/>
                <w:sz w:val="17"/>
              </w:rPr>
              <w:t>16,600</w:t>
            </w:r>
          </w:p>
        </w:tc>
        <w:tc>
          <w:tcPr>
            <w:tcW w:type="dxa" w:w="1440"/>
            <w:shd w:fill="FAFAFA" w:val="clear"/>
          </w:tcPr>
          <w:p>
            <w:r>
              <w:rPr>
                <w:sz w:val="17"/>
              </w:rPr>
              <w:t>17,665</w:t>
            </w:r>
          </w:p>
        </w:tc>
        <w:tc>
          <w:tcPr>
            <w:tcW w:type="dxa" w:w="1440"/>
            <w:shd w:fill="FAFAFA" w:val="clear"/>
          </w:tcPr>
          <w:p>
            <w:r>
              <w:rPr>
                <w:b/>
                <w:color w:val="C00000"/>
                <w:sz w:val="17"/>
              </w:rPr>
              <w:t>-1.5%</w:t>
            </w:r>
          </w:p>
        </w:tc>
      </w:tr>
      <w:tr>
        <w:tc>
          <w:tcPr>
            <w:tcW w:type="dxa" w:w="1440"/>
            <w:shd w:fill="FAFAFA" w:val="clear"/>
          </w:tcPr>
          <w:p>
            <w:r>
              <w:rPr>
                <w:sz w:val="17"/>
              </w:rPr>
              <w:t>J+8  Moyenne</w:t>
            </w:r>
          </w:p>
        </w:tc>
        <w:tc>
          <w:tcPr>
            <w:tcW w:type="dxa" w:w="1440"/>
            <w:shd w:fill="FAFAFA" w:val="clear"/>
          </w:tcPr>
          <w:p>
            <w:r>
              <w:rPr>
                <w:sz w:val="17"/>
              </w:rPr>
              <w:t>2026-09-08</w:t>
            </w:r>
          </w:p>
        </w:tc>
        <w:tc>
          <w:tcPr>
            <w:tcW w:type="dxa" w:w="1440"/>
            <w:shd w:fill="FAFAFA" w:val="clear"/>
          </w:tcPr>
          <w:p>
            <w:r>
              <w:rPr>
                <w:sz w:val="17"/>
              </w:rPr>
              <w:t>15,445</w:t>
            </w:r>
          </w:p>
        </w:tc>
        <w:tc>
          <w:tcPr>
            <w:tcW w:type="dxa" w:w="1440"/>
            <w:shd w:fill="FAFAFA" w:val="clear"/>
          </w:tcPr>
          <w:p>
            <w:r>
              <w:rPr>
                <w:b/>
                <w:sz w:val="17"/>
              </w:rPr>
              <w:t>16,582</w:t>
            </w:r>
          </w:p>
        </w:tc>
        <w:tc>
          <w:tcPr>
            <w:tcW w:type="dxa" w:w="1440"/>
            <w:shd w:fill="FAFAFA" w:val="clear"/>
          </w:tcPr>
          <w:p>
            <w:r>
              <w:rPr>
                <w:sz w:val="17"/>
              </w:rPr>
              <w:t>17,719</w:t>
            </w:r>
          </w:p>
        </w:tc>
        <w:tc>
          <w:tcPr>
            <w:tcW w:type="dxa" w:w="1440"/>
            <w:shd w:fill="FAFAFA" w:val="clear"/>
          </w:tcPr>
          <w:p>
            <w:r>
              <w:rPr>
                <w:b/>
                <w:color w:val="C00000"/>
                <w:sz w:val="17"/>
              </w:rPr>
              <w:t>-1.6%</w:t>
            </w:r>
          </w:p>
        </w:tc>
      </w:tr>
      <w:tr>
        <w:tc>
          <w:tcPr>
            <w:tcW w:type="dxa" w:w="1440"/>
            <w:shd w:fill="FAFAFA" w:val="clear"/>
          </w:tcPr>
          <w:p>
            <w:r>
              <w:rPr>
                <w:sz w:val="17"/>
              </w:rPr>
              <w:t>J+9  Moyenne</w:t>
            </w:r>
          </w:p>
        </w:tc>
        <w:tc>
          <w:tcPr>
            <w:tcW w:type="dxa" w:w="1440"/>
            <w:shd w:fill="FAFAFA" w:val="clear"/>
          </w:tcPr>
          <w:p>
            <w:r>
              <w:rPr>
                <w:sz w:val="17"/>
              </w:rPr>
              <w:t>2026-09-09</w:t>
            </w:r>
          </w:p>
        </w:tc>
        <w:tc>
          <w:tcPr>
            <w:tcW w:type="dxa" w:w="1440"/>
            <w:shd w:fill="FAFAFA" w:val="clear"/>
          </w:tcPr>
          <w:p>
            <w:r>
              <w:rPr>
                <w:sz w:val="17"/>
              </w:rPr>
              <w:t>15,360</w:t>
            </w:r>
          </w:p>
        </w:tc>
        <w:tc>
          <w:tcPr>
            <w:tcW w:type="dxa" w:w="1440"/>
            <w:shd w:fill="FAFAFA" w:val="clear"/>
          </w:tcPr>
          <w:p>
            <w:r>
              <w:rPr>
                <w:b/>
                <w:sz w:val="17"/>
              </w:rPr>
              <w:t>16,565</w:t>
            </w:r>
          </w:p>
        </w:tc>
        <w:tc>
          <w:tcPr>
            <w:tcW w:type="dxa" w:w="1440"/>
            <w:shd w:fill="FAFAFA" w:val="clear"/>
          </w:tcPr>
          <w:p>
            <w:r>
              <w:rPr>
                <w:sz w:val="17"/>
              </w:rPr>
              <w:t>17,770</w:t>
            </w:r>
          </w:p>
        </w:tc>
        <w:tc>
          <w:tcPr>
            <w:tcW w:type="dxa" w:w="1440"/>
            <w:shd w:fill="FAFAFA" w:val="clear"/>
          </w:tcPr>
          <w:p>
            <w:r>
              <w:rPr>
                <w:b/>
                <w:color w:val="C00000"/>
                <w:sz w:val="17"/>
              </w:rPr>
              <w:t>-1.7%</w:t>
            </w:r>
          </w:p>
        </w:tc>
      </w:tr>
      <w:tr>
        <w:tc>
          <w:tcPr>
            <w:tcW w:type="dxa" w:w="1440"/>
            <w:shd w:fill="FAFAFA" w:val="clear"/>
          </w:tcPr>
          <w:p>
            <w:r>
              <w:rPr>
                <w:sz w:val="17"/>
              </w:rPr>
              <w:t>J+10  Moyenne</w:t>
            </w:r>
          </w:p>
        </w:tc>
        <w:tc>
          <w:tcPr>
            <w:tcW w:type="dxa" w:w="1440"/>
            <w:shd w:fill="FAFAFA" w:val="clear"/>
          </w:tcPr>
          <w:p>
            <w:r>
              <w:rPr>
                <w:sz w:val="17"/>
              </w:rPr>
              <w:t>2026-09-10</w:t>
            </w:r>
          </w:p>
        </w:tc>
        <w:tc>
          <w:tcPr>
            <w:tcW w:type="dxa" w:w="1440"/>
            <w:shd w:fill="FAFAFA" w:val="clear"/>
          </w:tcPr>
          <w:p>
            <w:r>
              <w:rPr>
                <w:sz w:val="17"/>
              </w:rPr>
              <w:t>15,279</w:t>
            </w:r>
          </w:p>
        </w:tc>
        <w:tc>
          <w:tcPr>
            <w:tcW w:type="dxa" w:w="1440"/>
            <w:shd w:fill="FAFAFA" w:val="clear"/>
          </w:tcPr>
          <w:p>
            <w:r>
              <w:rPr>
                <w:b/>
                <w:sz w:val="17"/>
              </w:rPr>
              <w:t>16,548</w:t>
            </w:r>
          </w:p>
        </w:tc>
        <w:tc>
          <w:tcPr>
            <w:tcW w:type="dxa" w:w="1440"/>
            <w:shd w:fill="FAFAFA" w:val="clear"/>
          </w:tcPr>
          <w:p>
            <w:r>
              <w:rPr>
                <w:sz w:val="17"/>
              </w:rPr>
              <w:t>17,816</w:t>
            </w:r>
          </w:p>
        </w:tc>
        <w:tc>
          <w:tcPr>
            <w:tcW w:type="dxa" w:w="1440"/>
            <w:shd w:fill="FAFAFA" w:val="clear"/>
          </w:tcPr>
          <w:p>
            <w:r>
              <w:rPr>
                <w:b/>
                <w:color w:val="C00000"/>
                <w:sz w:val="17"/>
              </w:rPr>
              <w:t>-1.8%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82.987 Mds FCFA</w:t>
            </w:r>
          </w:p>
        </w:tc>
        <w:tc>
          <w:tcPr>
            <w:tcW w:type="dxa" w:w="5669"/>
            <w:shd w:fill="FFFFFF" w:val="clear"/>
          </w:tcPr>
          <w:p>
            <w:r>
              <w:rPr>
                <w:color w:val="282828"/>
                <w:sz w:val="15"/>
              </w:rPr>
              <w:t>Représente 4.0%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625.317 Mds FCFA</w:t>
            </w:r>
          </w:p>
        </w:tc>
        <w:tc>
          <w:tcPr>
            <w:tcW w:type="dxa" w:w="5669"/>
            <w:shd w:fill="FFFFFF" w:val="clear"/>
          </w:tcPr>
          <w:p>
            <w:r>
              <w:rPr>
                <w:color w:val="282828"/>
                <w:sz w:val="15"/>
              </w:rPr>
              <w:t>Titres d'État détenus (30.4%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79.503 Mds FCFA</w:t>
            </w:r>
          </w:p>
        </w:tc>
        <w:tc>
          <w:tcPr>
            <w:tcW w:type="dxa" w:w="5669"/>
            <w:shd w:fill="FFFFFF" w:val="clear"/>
          </w:tcPr>
          <w:p>
            <w:r>
              <w:rPr>
                <w:color w:val="282828"/>
                <w:sz w:val="15"/>
              </w:rPr>
              <w:t>Prêts aux autres banques (3.9%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1050.803 Mds FCFA</w:t>
            </w:r>
          </w:p>
        </w:tc>
        <w:tc>
          <w:tcPr>
            <w:tcW w:type="dxa" w:w="5669"/>
            <w:shd w:fill="FFFFFF" w:val="clear"/>
          </w:tcPr>
          <w:p>
            <w:r>
              <w:rPr>
                <w:color w:val="282828"/>
                <w:sz w:val="15"/>
              </w:rPr>
              <w:t>Portefeuille crédits (51.1%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695.00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28.902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2054.491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27.525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63.776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218.573 Mds FCFA</w:t>
            </w:r>
          </w:p>
        </w:tc>
        <w:tc>
          <w:tcPr>
            <w:tcW w:type="dxa" w:w="5669"/>
            <w:shd w:fill="FFFFFF" w:val="clear"/>
          </w:tcPr>
          <w:p>
            <w:r>
              <w:rPr>
                <w:color w:val="282828"/>
                <w:sz w:val="15"/>
              </w:rPr>
              <w:t>Fonds propres = 10.6%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218.573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141.670 Mds FCFA</w:t>
            </w:r>
          </w:p>
        </w:tc>
        <w:tc>
          <w:tcPr>
            <w:tcW w:type="dxa" w:w="5669"/>
            <w:shd w:fill="FFFFFF" w:val="clear"/>
          </w:tcPr>
          <w:p>
            <w:r>
              <w:rPr>
                <w:color w:val="282828"/>
                <w:sz w:val="15"/>
              </w:rPr>
              <w:t>Refinancement interbancaire (6.9%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1626.223 Mds FCFA</w:t>
            </w:r>
          </w:p>
        </w:tc>
        <w:tc>
          <w:tcPr>
            <w:tcW w:type="dxa" w:w="5669"/>
            <w:shd w:fill="FFFFFF" w:val="clear"/>
          </w:tcPr>
          <w:p>
            <w:r>
              <w:rPr>
                <w:color w:val="282828"/>
                <w:sz w:val="15"/>
              </w:rPr>
              <w:t>Dépôts clients = 79.2%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10.522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152.192 Mds FCFA</w:t>
            </w:r>
          </w:p>
        </w:tc>
        <w:tc>
          <w:tcPr>
            <w:tcW w:type="dxa" w:w="5669"/>
            <w:shd w:fill="FFFFFF" w:val="clear"/>
          </w:tcPr>
          <w:p>
            <w:r>
              <w:rPr>
                <w:color w:val="282828"/>
                <w:sz w:val="15"/>
              </w:rPr>
              <w:t>Dette financière totale = 70%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1835.918 Mds FCFA</w:t>
            </w:r>
          </w:p>
        </w:tc>
        <w:tc>
          <w:tcPr>
            <w:tcW w:type="dxa" w:w="5669"/>
            <w:shd w:fill="FFFFFF" w:val="clear"/>
          </w:tcPr>
          <w:p>
            <w:r>
              <w:rPr>
                <w:color w:val="282828"/>
                <w:sz w:val="15"/>
              </w:rPr>
              <w:t>Dettes totales = 89.4%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132.725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132.725 Mds FCFA</w:t>
            </w:r>
          </w:p>
        </w:tc>
        <w:tc>
          <w:tcPr>
            <w:tcW w:type="dxa" w:w="5669"/>
            <w:shd w:fill="FFFFFF" w:val="clear"/>
          </w:tcPr>
          <w:p>
            <w:r>
              <w:rPr>
                <w:color w:val="282828"/>
                <w:sz w:val="15"/>
              </w:rPr>
              <w:t>Revenu bancaire central (≡ CA). Croissance: 8.5%.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111.337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-23.290 Mds FCFA</w:t>
            </w:r>
          </w:p>
        </w:tc>
        <w:tc>
          <w:tcPr>
            <w:tcW w:type="dxa" w:w="5669"/>
            <w:shd w:fill="FFFFFF" w:val="clear"/>
          </w:tcPr>
          <w:p>
            <w:r>
              <w:rPr>
                <w:color w:val="282828"/>
                <w:sz w:val="15"/>
              </w:rPr>
              <w:t>Coût des dépôts collectés (-18%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32.366 Mds FCFA</w:t>
            </w:r>
          </w:p>
        </w:tc>
        <w:tc>
          <w:tcPr>
            <w:tcW w:type="dxa" w:w="5669"/>
            <w:shd w:fill="FFFFFF" w:val="clear"/>
          </w:tcPr>
          <w:p>
            <w:r>
              <w:rPr>
                <w:color w:val="282828"/>
                <w:sz w:val="15"/>
              </w:rPr>
              <w:t>Revenus de commissions (24.4%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53.746 Mds FCFA</w:t>
            </w:r>
          </w:p>
        </w:tc>
        <w:tc>
          <w:tcPr>
            <w:tcW w:type="dxa" w:w="5669"/>
            <w:shd w:fill="FFFFFF" w:val="clear"/>
          </w:tcPr>
          <w:p>
            <w:r>
              <w:rPr>
                <w:color w:val="282828"/>
                <w:sz w:val="15"/>
              </w:rPr>
              <w:t>40.5%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75.794 Mds FCFA</w:t>
            </w:r>
          </w:p>
        </w:tc>
        <w:tc>
          <w:tcPr>
            <w:tcW w:type="dxa" w:w="5669"/>
            <w:shd w:fill="FFFFFF" w:val="clear"/>
          </w:tcPr>
          <w:p>
            <w:r>
              <w:rPr>
                <w:color w:val="282828"/>
                <w:sz w:val="15"/>
              </w:rPr>
              <w:t>RBE = 57.1%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73.995 Mds FCFA</w:t>
            </w:r>
          </w:p>
        </w:tc>
        <w:tc>
          <w:tcPr>
            <w:tcW w:type="dxa" w:w="5669"/>
            <w:shd w:fill="FFFFFF" w:val="clear"/>
          </w:tcPr>
          <w:p>
            <w:r>
              <w:rPr>
                <w:color w:val="282828"/>
                <w:sz w:val="15"/>
              </w:rPr>
              <w:t>Profit d'exploitation = 55.8%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-1.799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63.482 Mds FCFA</w:t>
            </w:r>
          </w:p>
        </w:tc>
        <w:tc>
          <w:tcPr>
            <w:tcW w:type="dxa" w:w="5669"/>
            <w:shd w:fill="FFFFFF" w:val="clear"/>
          </w:tcPr>
          <w:p>
            <w:r>
              <w:rPr>
                <w:color w:val="282828"/>
                <w:sz w:val="15"/>
              </w:rPr>
              <w:t>Marge nette = 47.8%.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57.11%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47.83%</w:t>
            </w:r>
          </w:p>
        </w:tc>
        <w:tc>
          <w:tcPr>
            <w:tcW w:type="dxa" w:w="5669"/>
            <w:shd w:fill="FFFFFF" w:val="clear"/>
          </w:tcPr>
          <w:p>
            <w:r>
              <w:rPr>
                <w:color w:val="282828"/>
                <w:sz w:val="15"/>
              </w:rPr>
              <w:t>Résultat net / revenus = 47.83%.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55.75%</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29.04%</w:t>
            </w:r>
          </w:p>
        </w:tc>
        <w:tc>
          <w:tcPr>
            <w:tcW w:type="dxa" w:w="5669"/>
            <w:shd w:fill="FFFFFF" w:val="clear"/>
          </w:tcPr>
          <w:p>
            <w:r>
              <w:rPr>
                <w:color w:val="282828"/>
                <w:sz w:val="15"/>
              </w:rPr>
              <w:t>Résultat net / capitaux propres = 29.04%.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3.09%</w:t>
            </w:r>
          </w:p>
        </w:tc>
        <w:tc>
          <w:tcPr>
            <w:tcW w:type="dxa" w:w="5669"/>
            <w:shd w:fill="FFFFFF" w:val="clear"/>
          </w:tcPr>
          <w:p>
            <w:r>
              <w:rPr>
                <w:color w:val="282828"/>
                <w:sz w:val="15"/>
              </w:rPr>
              <w:t>Résultat net / total actif = 3.09%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6.46%</w:t>
            </w:r>
          </w:p>
        </w:tc>
        <w:tc>
          <w:tcPr>
            <w:tcW w:type="dxa" w:w="5669"/>
            <w:shd w:fill="FFFFFF" w:val="clear"/>
          </w:tcPr>
          <w:p>
            <w:r>
              <w:rPr>
                <w:color w:val="282828"/>
                <w:sz w:val="15"/>
              </w:rPr>
              <w:t>CA / total actif = 6.46x.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42.89%</w:t>
            </w:r>
          </w:p>
        </w:tc>
        <w:tc>
          <w:tcPr>
            <w:tcW w:type="dxa" w:w="5669"/>
            <w:shd w:fill="FFFFFF" w:val="clear"/>
          </w:tcPr>
          <w:p>
            <w:r>
              <w:rPr>
                <w:color w:val="282828"/>
                <w:sz w:val="15"/>
              </w:rPr>
              <w:t>Charges / PNB = 42.89% (cost-to-income). ✅ Excellent — banque très efficiente.</w:t>
            </w:r>
          </w:p>
        </w:tc>
      </w:tr>
      <w:tr>
        <w:tc>
          <w:tcPr>
            <w:tcW w:type="dxa" w:w="2268"/>
            <w:shd w:fill="EEF2F7" w:val="clear"/>
          </w:tcPr>
          <w:p>
            <w:r>
              <w:rPr>
                <w:b/>
                <w:color w:val="1E1E3C"/>
                <w:sz w:val="16"/>
              </w:rPr>
              <w:t>Coût du risque</w:t>
            </w:r>
          </w:p>
        </w:tc>
        <w:tc>
          <w:tcPr>
            <w:tcW w:type="dxa" w:w="1984"/>
            <w:shd w:fill="FFEB9C" w:val="clear"/>
          </w:tcPr>
          <w:p>
            <w:r>
              <w:rPr>
                <w:b/>
                <w:color w:val="006400"/>
                <w:sz w:val="17"/>
              </w:rPr>
              <w:t>1.36%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8.51%</w:t>
            </w:r>
          </w:p>
        </w:tc>
        <w:tc>
          <w:tcPr>
            <w:tcW w:type="dxa" w:w="5669"/>
            <w:shd w:fill="FFFFFF" w:val="clear"/>
          </w:tcPr>
          <w:p>
            <w:r>
              <w:rPr>
                <w:color w:val="282828"/>
                <w:sz w:val="15"/>
              </w:rPr>
              <w:t>Croissance PNB vs exercice précédent = 8.51%.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10.64%</w:t>
            </w:r>
          </w:p>
        </w:tc>
        <w:tc>
          <w:tcPr>
            <w:tcW w:type="dxa" w:w="5669"/>
            <w:shd w:fill="FFFFFF" w:val="clear"/>
          </w:tcPr>
          <w:p>
            <w:r>
              <w:rPr>
                <w:color w:val="282828"/>
                <w:sz w:val="15"/>
              </w:rPr>
              <w:t>Fonds propres / total bilan = 10.64%.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89.36%</w:t>
            </w:r>
          </w:p>
        </w:tc>
        <w:tc>
          <w:tcPr>
            <w:tcW w:type="dxa" w:w="5669"/>
            <w:shd w:fill="FFFFFF" w:val="clear"/>
          </w:tcPr>
          <w:p>
            <w:r>
              <w:rPr>
                <w:color w:val="282828"/>
                <w:sz w:val="15"/>
              </w:rPr>
              <w:t>Dettes financières / total bilan = 89.36%.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69.63%</w:t>
            </w:r>
          </w:p>
        </w:tc>
        <w:tc>
          <w:tcPr>
            <w:tcW w:type="dxa" w:w="5669"/>
            <w:shd w:fill="FFFFFF" w:val="clear"/>
          </w:tcPr>
          <w:p>
            <w:r>
              <w:rPr>
                <w:color w:val="282828"/>
                <w:sz w:val="15"/>
              </w:rPr>
              <w:t>Dettes totales / fonds propres = 69.63%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111.91%</w:t>
            </w:r>
          </w:p>
        </w:tc>
        <w:tc>
          <w:tcPr>
            <w:tcW w:type="dxa" w:w="5669"/>
            <w:shd w:fill="FFFFFF" w:val="clear"/>
          </w:tcPr>
          <w:p>
            <w:r>
              <w:rPr>
                <w:color w:val="282828"/>
                <w:sz w:val="15"/>
              </w:rPr>
              <w:t>Total actif / dettes totales = 111.91x.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317.71%</w:t>
            </w:r>
          </w:p>
        </w:tc>
        <w:tc>
          <w:tcPr>
            <w:tcW w:type="dxa" w:w="5669"/>
            <w:shd w:fill="FFFFFF" w:val="clear"/>
          </w:tcPr>
          <w:p>
            <w:r>
              <w:rPr>
                <w:color w:val="282828"/>
                <w:sz w:val="15"/>
              </w:rPr>
              <w:t>Résultat exploit. / charges financières = 317.71x. ✅ Excellente couverture des intérêts.</w:t>
            </w:r>
          </w:p>
        </w:tc>
      </w:tr>
    </w:tbl>
    <w:p/>
    <w:p>
      <w:pPr>
        <w:spacing w:after="120" w:line="276" w:lineRule="auto"/>
      </w:pPr>
      <w:r>
        <w:t>**RAPPORT D'ANALYSE FINANCIÈRE — ECOC (ECOBANK CÔTE D'IVOIRE)**</w:t>
        <w:br/>
        <w:t>**Date de l'analyse : 27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d'ECOC s'établit à 927,33 milliards FCFA, ce qui en fait l'une des plus importantes capitalisations de la BRVM, reflétant son statut de leader bancaire régional. Le BPA de 1 153 FCFA indique que chaque action génère un bénéfice substantiel, mais le PER de 14,6x se situe nettement au-dessus de la moyenne historique de la BRVM (8-12x), signifiant que les investisseurs paient une prime significative pour la croissance et la qualité des actifs de la banque. Le P/B de 4,24x confirme cette valorisation exigeante, le marché valorisant fortement les capitaux propres de l'entreprise, soit plus de quatre fois leur valeur comptable. Enfin, l'EV/EBITDA de 14,2x, bien que dans la fourchette haute (10-15x), reste cohérent avec une entreprise affichant une forte capacité opérationnelle et une rentabilité supérieure à la moyenne du secteur.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d'ECOC a progressé de +2,09%, avec une dernière séance en hausse de +0,87% à 16 845 FCFA, démontrant une dynamique positive récente. Le titre a évolué dans une fourchette de 15 520 FCFA (plus bas) à 17 270 FCFA (plus haut), soit une amplitude de 11,3%, indiquant une volatilité modérée. La moyenne (16 329 FCFA) et la médiane (16 300 FCFA) étant quasi identiques, la distribution des prix est remarquablement symétrique, confirmée par un skewness de 0,208. L'écart-type de 368 FCFA (CV=2,3%) révèle une dispersion très faible autour de la moyenne, témoignant d'une stabilité des cours. Le kurtosis de -0,196 (mésokurtique) indique l'absence de pics extrêmes, tandis que la volatilité annualisée de 27,7% classe le titre dans une zone de risque modéré, typique des valeurs bancaires de la région.</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(16 845 FCFA) se positionne au-dessus de la MM20 (16 340,75 FCFA) et de la MM50 (16 412 FCFA), indiquant une tendance haussière à court et moyen terme. Cependant, la décision de "Vente" suggère que le croisement des moyennes pourrait signaler un essoufflement imminent, le prix ayant potentiellement dépassé son juste niveau à court terme.</w:t>
      </w:r>
    </w:p>
    <w:p>
      <w:pPr>
        <w:spacing w:after="120" w:line="276" w:lineRule="auto"/>
      </w:pPr>
      <w:r>
        <w:t>**Bandes de Bollinger :** Le prix se situe entre la borne supérieure (17 030,58 FCFA) et la borne inférieure (15 650,92 FCFA), plus près de la borne haute, ce qui indique une pression acheteuse soutenue. La décision "Neutre" reflète une volatilité normale, sans condition de surachat ou de survente extrême, bien que le titre approche la zone de résistance supérieure.</w:t>
      </w:r>
    </w:p>
    <w:p>
      <w:pPr>
        <w:spacing w:after="120" w:line="276" w:lineRule="auto"/>
      </w:pPr>
      <w:r>
        <w:t>**MACD :** Le MACD (141,268) est nettement supérieur à son signal (55,676), générant une décision d'**Achat**. Cette divergence positive confirme un momentum haussier solide, les acheteurs contrôlant la tendance de fond, avec une dynamique qui pourrait se poursuivre à court terme.</w:t>
      </w:r>
    </w:p>
    <w:p>
      <w:pPr>
        <w:spacing w:after="120" w:line="276" w:lineRule="auto"/>
      </w:pPr>
      <w:r>
        <w:t>**RSI :** À 67,641, le RSI se trouve en zone neutre-haute, proche du seuil de surachat (70). La décision "Neutre" suggère que le titre conserve un potentiel de hausse, mais la prudence est de mise car une entrée en zone de surachat pourrait précéder une correction technique.</w:t>
      </w:r>
    </w:p>
    <w:p>
      <w:pPr>
        <w:spacing w:after="120" w:line="276" w:lineRule="auto"/>
      </w:pPr>
      <w:r>
        <w:t>**Stochastique :** Le %K (95,48) et le %D (89,454) sont tous deux en zone de surachat extrême, avec une décision de **Vente**. Ce signal indique que le mouvement haussier est arrivé à maturité et qu'un retournement ou une consolidation est probable à très court terme.</w:t>
      </w:r>
    </w:p>
    <w:p>
      <w:pPr>
        <w:spacing w:after="120" w:line="276" w:lineRule="auto"/>
      </w:pPr>
      <w:r>
        <w:t>**Conclusion technique :** Les indicateurs sont mitigés : le MACD et la position du cours au-dessus des moyennes mobiles soutiennent une tendance haussière, mais le RSI proche du surachat et surtout le Stochastique en zone extrême signalent un risque de correction. La prudence est recommandée à court terme, avec un possible repli vers les 16 400-16 500 FCFA avant une reprise.</w:t>
      </w:r>
    </w:p>
    <w:p>
      <w:pPr>
        <w:spacing w:after="120" w:line="276" w:lineRule="auto"/>
      </w:pPr>
      <w:r>
        <w:t>---</w:t>
      </w:r>
    </w:p>
    <w:p>
      <w:pPr>
        <w:spacing w:after="120" w:line="276" w:lineRule="auto"/>
      </w:pPr>
      <w:r>
        <w:t>### PARTIE 3 : ANALYSE FONDAMENTALE (SECTION CRITIQUE)</w:t>
      </w:r>
    </w:p>
    <w:p>
      <w:pPr>
        <w:spacing w:after="120" w:line="276" w:lineRule="auto"/>
      </w:pPr>
      <w:r>
        <w:t>En 2025, Ecobank Côte d'Ivoire affiche des fondamentaux exceptionnels. Le Produit Net Bancaire (PNB) s'établit à 132,725 milliards FCFA, en croissance de 8,5%, porté par une marge nette d'intérêts robuste (111,337 milliards FCFA) et des commissions en hausse (32,366 milliards FCFA). Le résultat net atteint 63,482 milliards FCFA, soit une marge nette de 47,8%, avec un ROE de 29,04% et un ROA de 3,09%, tous deux largement au-dessus des seuils d'excellence du secteur bancaire. Le coefficient d'exploitation de 42,9% témoigne d'une gestion rigoureuse des coûts, tandis que le coût du risque modéré (1,36%) reflète une bonne qualité du portefeuille de crédits (1 050,8 milliards FCFA). Les dépôts clientèle (1 626,2 milliards FCFA) financent confortablement les crédits, avec un ratio de transformation sain. Les rapports trimestriels 2025 confirment cette dynamique : le T3 2025 (PNB 96,4 milliards FCFA, +11,3% ; résultat net 44,4 milliards FCFA, +15,4%) et le S1 2025 (ROE 31,4%) montrent une accélération. Sur la base du T1 2026 (PNB 30,8 milliards FCFA, +3,7% ; résultat net 13,0 milliards FCFA, -1,6% dû à un coût du risque en hausse), on estime que l'exercice 2026 pourrait voir un PNB autour de 137-140 milliards FCFA et un résultat net stable ou en légère hausse, entre 63 et 66 milliards FCFA, selon la maîtrise du risque. La banque propose un dividende de 888 FCFA par action pour 2025, soit un rendement attractif d'environ 5,3%.</w:t>
      </w:r>
    </w:p>
    <w:p>
      <w:pPr>
        <w:spacing w:after="120" w:line="276" w:lineRule="auto"/>
      </w:pPr>
      <w:r>
        <w:t>---</w:t>
      </w:r>
    </w:p>
    <w:p>
      <w:pPr>
        <w:spacing w:after="120" w:line="276" w:lineRule="auto"/>
      </w:pPr>
      <w:r>
        <w:t>### PARTIE 4 : CONCLUSION D'INVESTISSEMENT</w:t>
      </w:r>
    </w:p>
    <w:p>
      <w:pPr>
        <w:spacing w:after="120" w:line="276" w:lineRule="auto"/>
      </w:pPr>
      <w:r>
        <w:t>La valorisation d'ECOC (PER 14,6x, P/B 4,24x) est exigeante mais justifiée par une rentabilité hors normes (ROE &gt;29%) et une croissance soutenue du PNB. Le comportement du cours sur 100 jours montre une stabilité remarquable (CV 2,3%) avec une tendance haussière modérée, bien que les statistiques suggèrent un risque de consolidation. Les signaux techniques sont divergents : le MACD et les moyennes mobiles sont positifs, mais le Stochastique et le RSI appellent à la prudence à court terme. Les fondamentaux restent le principal moteur, avec une banque extrêmement bien gérée, un coefficient d'exploitation de 42,9% et une qualité d'actifs maîtrisée. Les prédictions IA (16 708 à 16 635 FCFA sur 10 jours) anticipent une légère correction, en ligne avec les signaux techniques de surachat. En synthèse, la convergence entre des fondamentaux excellents et une valorisation élevée suggère une recommandation **CONSERVER**, avec un niveau de confiance **Moyen** et un risque global **Moyen**. L'horizon d'investissement optimal est le **moyen terme (3-12 mois)**, en attendant une éventuelle correction pour renforcer la position, ou une confirmation de la croissance 2026 pour justifier la prime actuelle.</w:t>
      </w:r>
    </w:p>
    <w:p/>
    <w:p/>
    <w:p>
      <w:pPr>
        <w:pStyle w:val="Heading3"/>
      </w:pPr>
      <w:r>
        <w:rPr>
          <w:color w:val="00467F"/>
        </w:rPr>
        <w:t>📎 DOCUMENTS &amp; COMMUNICATIONS OFFICIELS BRVM</w:t>
      </w:r>
    </w:p>
    <w:p>
      <w:r>
        <w:rPr>
          <w:i/>
          <w:color w:val="646464"/>
          <w:sz w:val="18"/>
        </w:rPr>
        <w:t>10 document(s) disponible(s) pour cette société (affichage des 5 plus récents).</w:t>
      </w:r>
    </w:p>
    <w:p>
      <w:pPr>
        <w:spacing w:before="160"/>
      </w:pPr>
      <w:r>
        <w:rPr>
          <w:b/>
          <w:color w:val="0066CC"/>
          <w:sz w:val="20"/>
        </w:rPr>
        <w:t xml:space="preserve">[1] </w:t>
      </w:r>
      <w:r>
        <w:rPr>
          <w:b/>
          <w:sz w:val="20"/>
        </w:rPr>
        <w:t>20260410   avis de convocation   assemblee generale ordinaire   ecobank ci</w:t>
      </w:r>
    </w:p>
    <w:p>
      <w:pPr>
        <w:spacing w:before="20"/>
        <w:ind w:left="400"/>
      </w:pPr>
      <w:r>
        <w:rPr>
          <w:color w:val="505050"/>
          <w:sz w:val="17"/>
        </w:rPr>
        <w:t xml:space="preserve">Date : 10/04/2026  |  Catégorie : convocation AG  |  Impact : </w:t>
      </w:r>
      <w:r>
        <w:rPr>
          <w:b/>
          <w:color w:val="008000"/>
          <w:sz w:val="17"/>
        </w:rPr>
        <w:t>🟢 POSITIF</w:t>
      </w:r>
    </w:p>
    <w:p>
      <w:pPr>
        <w:spacing w:before="40"/>
        <w:ind w:left="400"/>
      </w:pPr>
      <w:r>
        <w:rPr>
          <w:sz w:val="18"/>
        </w:rPr>
        <w:t>Avis de convocation d'Ecobank Côte d'Ivoire pour l'Assemblée Générale Ordinaire du 28 avril 2026. La banque présente un bénéfice net de 63,482 milliards FCFA pour 2025 et propose un dividende de 888 FCFA brut par action. L'ordre du jour comprend l'approbation des comptes,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Bénéfice net 2025 de 63,482 milliards FCFA</w:t>
      </w:r>
    </w:p>
    <w:p>
      <w:pPr>
        <w:pStyle w:val="ListBullet"/>
        <w:spacing w:before="20" w:after="20"/>
        <w:ind w:left="700"/>
      </w:pPr>
      <w:r>
        <w:rPr>
          <w:sz w:val="18"/>
        </w:rPr>
        <w:t>Dividende proposé de 888 FCFA brut par action, soit 781 FCFA net pour les personnes physiques</w:t>
      </w:r>
    </w:p>
    <w:p>
      <w:pPr>
        <w:pStyle w:val="ListBullet"/>
        <w:spacing w:before="20" w:after="20"/>
        <w:ind w:left="700"/>
      </w:pPr>
      <w:r>
        <w:rPr>
          <w:sz w:val="18"/>
        </w:rPr>
        <w:t>Paiement du dividende prévu le 22 mai 2026</w:t>
      </w:r>
    </w:p>
    <w:p>
      <w:pPr>
        <w:pStyle w:val="ListBullet"/>
        <w:spacing w:before="20" w:after="20"/>
        <w:ind w:left="700"/>
      </w:pPr>
      <w:r>
        <w:rPr>
          <w:sz w:val="18"/>
        </w:rPr>
        <w:t>Renouvellement de mandats d'administrateurs et nomination de Monsieur Oumar Sangaré</w:t>
      </w:r>
    </w:p>
    <w:p>
      <w:pPr>
        <w:pStyle w:val="ListBullet"/>
        <w:spacing w:before="20" w:after="20"/>
        <w:ind w:left="700"/>
      </w:pPr>
      <w:r>
        <w:rPr>
          <w:sz w:val="18"/>
        </w:rPr>
        <w:t>Assemblée hybride avec participation possible en présentiel ou par visioconférence</w:t>
      </w:r>
    </w:p>
    <w:p>
      <w:pPr>
        <w:ind w:left="400"/>
      </w:pPr>
      <w:r>
        <w:rPr>
          <w:color w:val="B4B4B4"/>
          <w:sz w:val="14"/>
        </w:rPr>
        <w:t xml:space="preserve">· · · · · · · · · · · · · · · · · · · · · · · · · · · · · · </w:t>
      </w:r>
    </w:p>
    <w:p>
      <w:pPr>
        <w:spacing w:before="160"/>
      </w:pPr>
      <w:r>
        <w:rPr>
          <w:b/>
          <w:color w:val="0066CC"/>
          <w:sz w:val="20"/>
        </w:rPr>
        <w:t xml:space="preserve">[2] </w:t>
      </w:r>
      <w:r>
        <w:rPr>
          <w:b/>
          <w:sz w:val="20"/>
        </w:rPr>
        <w:t>20260722   avis de convocation   assemblee generale extraordinaire   eti tg</w:t>
      </w:r>
    </w:p>
    <w:p>
      <w:pPr>
        <w:spacing w:before="20"/>
        <w:ind w:left="400"/>
      </w:pPr>
      <w:r>
        <w:rPr>
          <w:color w:val="505050"/>
          <w:sz w:val="17"/>
        </w:rPr>
        <w:t xml:space="preserve">Date : 23/07/2026  |  Catégorie : convocation AG  |  Impact : </w:t>
      </w:r>
      <w:r>
        <w:rPr>
          <w:b/>
          <w:color w:val="646464"/>
          <w:sz w:val="17"/>
        </w:rPr>
        <w:t>⚪ NEUTRE</w:t>
      </w:r>
    </w:p>
    <w:p>
      <w:pPr>
        <w:spacing w:before="40"/>
        <w:ind w:left="400"/>
      </w:pPr>
      <w:r>
        <w:rPr>
          <w:sz w:val="18"/>
        </w:rPr>
        <w:t>Ecobank Transnational Incorporated convoque ses actionnaires à une Assemblée Générale Extraordinaire qui se tiendra par visioconférence le 13 août 2026. L'ordre du jour porte sur une modification des statuts de la société. Les actionnaires doivent s'inscrire en ligne et soumettre leurs procurations avant la date limite.</w:t>
      </w:r>
    </w:p>
    <w:p>
      <w:pPr>
        <w:spacing w:before="60"/>
        <w:ind w:left="400"/>
      </w:pPr>
      <w:r>
        <w:rPr>
          <w:b/>
          <w:sz w:val="18"/>
        </w:rPr>
        <w:t>Points clés :</w:t>
      </w:r>
    </w:p>
    <w:p>
      <w:pPr>
        <w:pStyle w:val="ListBullet"/>
        <w:spacing w:before="20" w:after="20"/>
        <w:ind w:left="700"/>
      </w:pPr>
      <w:r>
        <w:rPr>
          <w:sz w:val="18"/>
        </w:rPr>
        <w:t>Convocation à l'Assemblée Générale Extraordinaire d'Ecobank Transnational Incorporated.</w:t>
      </w:r>
    </w:p>
    <w:p>
      <w:pPr>
        <w:pStyle w:val="ListBullet"/>
        <w:spacing w:before="20" w:after="20"/>
        <w:ind w:left="700"/>
      </w:pPr>
      <w:r>
        <w:rPr>
          <w:sz w:val="18"/>
        </w:rPr>
        <w:t>Réunion par visioconférence le jeudi 13 août 2026 à 10h30 GMT.</w:t>
      </w:r>
    </w:p>
    <w:p>
      <w:pPr>
        <w:pStyle w:val="ListBullet"/>
        <w:spacing w:before="20" w:after="20"/>
        <w:ind w:left="700"/>
      </w:pPr>
      <w:r>
        <w:rPr>
          <w:sz w:val="18"/>
        </w:rPr>
        <w:t>Ordre du jour : modification des Statuts.</w:t>
      </w:r>
    </w:p>
    <w:p>
      <w:pPr>
        <w:pStyle w:val="ListBullet"/>
        <w:spacing w:before="20" w:after="20"/>
        <w:ind w:left="700"/>
      </w:pPr>
      <w:r>
        <w:rPr>
          <w:sz w:val="18"/>
        </w:rPr>
        <w:t>Inscription en ligne du 30 juillet au 11 août 2026 sur le site dédié.</w:t>
      </w:r>
    </w:p>
    <w:p>
      <w:pPr>
        <w:pStyle w:val="ListBullet"/>
        <w:spacing w:before="20" w:after="20"/>
        <w:ind w:left="700"/>
      </w:pPr>
      <w:r>
        <w:rPr>
          <w:sz w:val="18"/>
        </w:rPr>
        <w:t>Procurations à envoyer avant le 12 août 2026 par email ou courrier.</w:t>
      </w:r>
    </w:p>
    <w:p>
      <w:pPr>
        <w:ind w:left="400"/>
      </w:pPr>
      <w:r>
        <w:rPr>
          <w:color w:val="B4B4B4"/>
          <w:sz w:val="14"/>
        </w:rPr>
        <w:t xml:space="preserve">· · · · · · · · · · · · · · · · · · · · · · · · · · · · · · </w:t>
      </w:r>
    </w:p>
    <w:p>
      <w:pPr>
        <w:spacing w:before="160"/>
      </w:pPr>
      <w:r>
        <w:rPr>
          <w:b/>
          <w:color w:val="0066CC"/>
          <w:sz w:val="20"/>
        </w:rPr>
        <w:t xml:space="preserve">[3] </w:t>
      </w:r>
      <w:r>
        <w:rPr>
          <w:b/>
          <w:sz w:val="20"/>
        </w:rPr>
        <w:t>20250818   communique de presse   eti tg</w:t>
      </w:r>
    </w:p>
    <w:p>
      <w:pPr>
        <w:spacing w:before="20"/>
        <w:ind w:left="400"/>
      </w:pPr>
      <w:r>
        <w:rPr>
          <w:color w:val="505050"/>
          <w:sz w:val="17"/>
        </w:rPr>
        <w:t xml:space="preserve">Date : 18/08/2025  |  Catégorie : communiqué divers  |  Impact : </w:t>
      </w:r>
      <w:r>
        <w:rPr>
          <w:b/>
          <w:color w:val="008000"/>
          <w:sz w:val="17"/>
        </w:rPr>
        <w:t>🟢 POSITIF</w:t>
      </w:r>
    </w:p>
    <w:p>
      <w:pPr>
        <w:spacing w:before="40"/>
        <w:ind w:left="400"/>
      </w:pPr>
      <w:r>
        <w:rPr>
          <w:sz w:val="18"/>
        </w:rPr>
        <w:t>Bosquet Investments Ltd., véhicule d'investissement d'Alain Nkontchou, acquiert 21,22% du capital d'Ecobank Transnational Incorporated auprès du groupe Nedbank. Cette transaction, soumise à approbation réglementaire, s'inscrit dans la réorientation stratégique de Nedbank vers ses marchés clés d'Afrique australe et orientale. Alain Nkontchou, ancien président du conseil d'ETI, devient ainsi un actionnaire significatif du premier groupe bancaire panafricain privé.</w:t>
      </w:r>
    </w:p>
    <w:p>
      <w:pPr>
        <w:spacing w:before="60"/>
        <w:ind w:left="400"/>
      </w:pPr>
      <w:r>
        <w:rPr>
          <w:b/>
          <w:sz w:val="18"/>
        </w:rPr>
        <w:t>Points clés :</w:t>
      </w:r>
    </w:p>
    <w:p>
      <w:pPr>
        <w:pStyle w:val="ListBullet"/>
        <w:spacing w:before="20" w:after="20"/>
        <w:ind w:left="700"/>
      </w:pPr>
      <w:r>
        <w:rPr>
          <w:sz w:val="18"/>
        </w:rPr>
        <w:t>Acquisition de 21,22% du capital d'ETI par Bosquet Investments Ltd. auprès de Nedbank</w:t>
      </w:r>
    </w:p>
    <w:p>
      <w:pPr>
        <w:pStyle w:val="ListBullet"/>
        <w:spacing w:before="20" w:after="20"/>
        <w:ind w:left="700"/>
      </w:pPr>
      <w:r>
        <w:rPr>
          <w:sz w:val="18"/>
        </w:rPr>
        <w:t>Transaction soumise à l'approbation des autorités réglementaires</w:t>
      </w:r>
    </w:p>
    <w:p>
      <w:pPr>
        <w:pStyle w:val="ListBullet"/>
        <w:spacing w:before="20" w:after="20"/>
        <w:ind w:left="700"/>
      </w:pPr>
      <w:r>
        <w:rPr>
          <w:sz w:val="18"/>
        </w:rPr>
        <w:t>Alain Nkontchou était déjà membre du conseil d'ETI depuis 2014 et président de 2020 à 2024</w:t>
      </w:r>
    </w:p>
    <w:p>
      <w:pPr>
        <w:pStyle w:val="ListBullet"/>
        <w:spacing w:before="20" w:after="20"/>
        <w:ind w:left="700"/>
      </w:pPr>
      <w:r>
        <w:rPr>
          <w:sz w:val="18"/>
        </w:rPr>
        <w:t>Nedbank se repositionne stratégiquement vers ses marchés d'Afrique australe et orientale</w:t>
      </w:r>
    </w:p>
    <w:p>
      <w:pPr>
        <w:pStyle w:val="ListBullet"/>
        <w:spacing w:before="20" w:after="20"/>
        <w:ind w:left="700"/>
      </w:pPr>
      <w:r>
        <w:rPr>
          <w:sz w:val="18"/>
        </w:rPr>
        <w:t>Enko Capital Management et Absa Bank ont agi comme conseillers pour cette transaction</w:t>
      </w:r>
    </w:p>
    <w:p>
      <w:pPr>
        <w:ind w:left="400"/>
      </w:pPr>
      <w:r>
        <w:rPr>
          <w:color w:val="B4B4B4"/>
          <w:sz w:val="14"/>
        </w:rPr>
        <w:t xml:space="preserve">· · · · · · · · · · · · · · · · · · · · · · · · · · · · · · </w:t>
      </w:r>
    </w:p>
    <w:p>
      <w:pPr>
        <w:spacing w:before="160"/>
      </w:pPr>
      <w:r>
        <w:rPr>
          <w:b/>
          <w:color w:val="0066CC"/>
          <w:sz w:val="20"/>
        </w:rPr>
        <w:t xml:space="preserve">[4] </w:t>
      </w:r>
      <w:r>
        <w:rPr>
          <w:b/>
          <w:sz w:val="20"/>
        </w:rPr>
        <w:t>20260817   communique de presse   eti tg</w:t>
      </w:r>
    </w:p>
    <w:p>
      <w:pPr>
        <w:spacing w:before="20"/>
        <w:ind w:left="400"/>
      </w:pPr>
      <w:r>
        <w:rPr>
          <w:color w:val="505050"/>
          <w:sz w:val="17"/>
        </w:rPr>
        <w:t xml:space="preserve">Date : 17/08/2026  |  Catégorie : communiqué divers  |  Impact : </w:t>
      </w:r>
      <w:r>
        <w:rPr>
          <w:b/>
          <w:color w:val="008000"/>
          <w:sz w:val="17"/>
        </w:rPr>
        <w:t>🟢 POSITIF</w:t>
      </w:r>
    </w:p>
    <w:p>
      <w:pPr>
        <w:spacing w:before="40"/>
        <w:ind w:left="400"/>
      </w:pPr>
      <w:r>
        <w:rPr>
          <w:sz w:val="18"/>
        </w:rPr>
        <w:t>Ecobank Transnational Incorporated (ETI) a tenu une Assemblée Générale Extraordinaire le 13 août 2026, au cours de laquelle les actionnaires ont approuvé plusieurs amendements aux statuts. Ces changements concernent le quorum des assemblées générales, la taille du conseil d'administration, la durée des mandats des administrateurs et le quorum des réunions du conseil. Ces mesures visent à renforcer la gouvernance d'entreprise.</w:t>
      </w:r>
    </w:p>
    <w:p>
      <w:pPr>
        <w:spacing w:before="60"/>
        <w:ind w:left="400"/>
      </w:pPr>
      <w:r>
        <w:rPr>
          <w:b/>
          <w:sz w:val="18"/>
        </w:rPr>
        <w:t>Points clés :</w:t>
      </w:r>
    </w:p>
    <w:p>
      <w:pPr>
        <w:pStyle w:val="ListBullet"/>
        <w:spacing w:before="20" w:after="20"/>
        <w:ind w:left="700"/>
      </w:pPr>
      <w:r>
        <w:rPr>
          <w:sz w:val="18"/>
        </w:rPr>
        <w:t>Le quorum pour les assemblées générales passe à 25% du capital social libéré, remplaçant le seuil de présence de 20 actionnaires.</w:t>
      </w:r>
    </w:p>
    <w:p>
      <w:pPr>
        <w:pStyle w:val="ListBullet"/>
        <w:spacing w:before="20" w:after="20"/>
        <w:ind w:left="700"/>
      </w:pPr>
      <w:r>
        <w:rPr>
          <w:sz w:val="18"/>
        </w:rPr>
        <w:t>Le nombre maximal d'administrateurs au Conseil d'administration est réduit de 15 à 12.</w:t>
      </w:r>
    </w:p>
    <w:p>
      <w:pPr>
        <w:pStyle w:val="ListBullet"/>
        <w:spacing w:before="20" w:after="20"/>
        <w:ind w:left="700"/>
      </w:pPr>
      <w:r>
        <w:rPr>
          <w:sz w:val="18"/>
        </w:rPr>
        <w:t>La limite de durée de mandat pour les administrateurs non exécutifs est supprimée, avec maintien de l'âge de départ à la retraite à 70 ans.</w:t>
      </w:r>
    </w:p>
    <w:p>
      <w:pPr>
        <w:pStyle w:val="ListBullet"/>
        <w:spacing w:before="20" w:after="20"/>
        <w:ind w:left="700"/>
      </w:pPr>
      <w:r>
        <w:rPr>
          <w:sz w:val="18"/>
        </w:rPr>
        <w:t>Le quorum du Conseil d'administration passe d'un minimum de trois administrateurs à plus de la moitié des administrateurs en fonction.</w:t>
      </w:r>
    </w:p>
    <w:p>
      <w:pPr>
        <w:pStyle w:val="ListBullet"/>
        <w:spacing w:before="20" w:after="20"/>
        <w:ind w:left="700"/>
      </w:pPr>
      <w:r>
        <w:rPr>
          <w:sz w:val="18"/>
        </w:rPr>
        <w:t>Ces amendements ont été approuvés lors de l'AGE du 13 août 2026 et témoignent de l'engagement d'ETI envers une gouvernance d'entreprise de haut niveau.</w:t>
      </w:r>
    </w:p>
    <w:p>
      <w:pPr>
        <w:ind w:left="400"/>
      </w:pPr>
      <w:r>
        <w:rPr>
          <w:color w:val="B4B4B4"/>
          <w:sz w:val="14"/>
        </w:rPr>
        <w:t xml:space="preserve">· · · · · · · · · · · · · · · · · · · · · · · · · · · · · · </w:t>
      </w:r>
    </w:p>
    <w:p>
      <w:pPr>
        <w:spacing w:before="160"/>
      </w:pPr>
      <w:r>
        <w:rPr>
          <w:b/>
          <w:color w:val="0066CC"/>
          <w:sz w:val="20"/>
        </w:rPr>
        <w:t xml:space="preserve">[5] </w:t>
      </w:r>
      <w:r>
        <w:rPr>
          <w:b/>
          <w:sz w:val="20"/>
        </w:rPr>
        <w:t>20260415   avis de convocation   assemblee generale extraordinaire   eti tg</w:t>
      </w:r>
    </w:p>
    <w:p>
      <w:pPr>
        <w:spacing w:before="20"/>
        <w:ind w:left="400"/>
      </w:pPr>
      <w:r>
        <w:rPr>
          <w:color w:val="505050"/>
          <w:sz w:val="17"/>
        </w:rPr>
        <w:t xml:space="preserve">Date : 16/04/2026  |  Catégorie : convocation AG  |  Impact : </w:t>
      </w:r>
      <w:r>
        <w:rPr>
          <w:b/>
          <w:color w:val="008000"/>
          <w:sz w:val="17"/>
        </w:rPr>
        <w:t>🟢 POSITIF</w:t>
      </w:r>
    </w:p>
    <w:p>
      <w:pPr>
        <w:spacing w:before="40"/>
        <w:ind w:left="400"/>
      </w:pPr>
      <w:r>
        <w:rPr>
          <w:sz w:val="18"/>
        </w:rPr>
        <w:t>Ecobank Transnational Incorporated convoque ses actionnaires à une Assemblée Générale Extraordinaire le 7 mai 2026 par visioconférence. L'ordre du jour porte sur l'émission d'Euro-obligations. Les actionnaires peuvent s'inscrire en ligne à partir du 24 avril 2026 et doivent soumettre leurs procurations avant le 5 mai 2026.</w:t>
      </w:r>
    </w:p>
    <w:p>
      <w:pPr>
        <w:spacing w:before="60"/>
        <w:ind w:left="400"/>
      </w:pPr>
      <w:r>
        <w:rPr>
          <w:b/>
          <w:sz w:val="18"/>
        </w:rPr>
        <w:t>Points clés :</w:t>
      </w:r>
    </w:p>
    <w:p>
      <w:pPr>
        <w:pStyle w:val="ListBullet"/>
        <w:spacing w:before="20" w:after="20"/>
        <w:ind w:left="700"/>
      </w:pPr>
      <w:r>
        <w:rPr>
          <w:sz w:val="18"/>
        </w:rPr>
        <w:t>Assemblée Générale Extraordinaire convoquée le 7 mai 2026 à 10h30 GMT par visioconférence</w:t>
      </w:r>
    </w:p>
    <w:p>
      <w:pPr>
        <w:pStyle w:val="ListBullet"/>
        <w:spacing w:before="20" w:after="20"/>
        <w:ind w:left="700"/>
      </w:pPr>
      <w:r>
        <w:rPr>
          <w:sz w:val="18"/>
        </w:rPr>
        <w:t>Ordre du jour unique : émission d'Euro-obligations</w:t>
      </w:r>
    </w:p>
    <w:p>
      <w:pPr>
        <w:pStyle w:val="ListBullet"/>
        <w:spacing w:before="20" w:after="20"/>
        <w:ind w:left="700"/>
      </w:pPr>
      <w:r>
        <w:rPr>
          <w:sz w:val="18"/>
        </w:rPr>
        <w:t>Inscription en ligne disponible sur https://ecobank.com/agm à partir du 24 avril 2026</w:t>
      </w:r>
    </w:p>
    <w:p>
      <w:pPr>
        <w:pStyle w:val="ListBullet"/>
        <w:spacing w:before="20" w:after="20"/>
        <w:ind w:left="700"/>
      </w:pPr>
      <w:r>
        <w:rPr>
          <w:sz w:val="18"/>
        </w:rPr>
        <w:t>Date limite de soumission des procurations fixée au 5 mai 2026</w:t>
      </w:r>
    </w:p>
    <w:p>
      <w:pPr>
        <w:pStyle w:val="ListBullet"/>
        <w:spacing w:before="20" w:after="20"/>
        <w:ind w:left="700"/>
      </w:pPr>
      <w:r>
        <w:rPr>
          <w:sz w:val="18"/>
        </w:rPr>
        <w:t>Documents disponibles au siège social à Lomé et sur le site internet de la société</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l\u00e9g\u00e8re baisse du r\u00e9sultat net, la banque maintient une rentabilit\u00e9 solide et am\u00e9liore son efficacit\u00e9 op\u00e9rationnelle dans un contexte macro\u00e9conomique difficile. La prudence dans l'octroi de cr\u00e9dits et la forte collecte de d\u00e9p\u00f4ts t\u00e9moignent d'une gestion rigoureuse."}</w:t>
      </w:r>
    </w:p>
    <w:p>
      <w:pPr>
        <w:spacing w:before="40"/>
        <w:ind w:left="400"/>
      </w:pPr>
      <w:r>
        <w:rPr>
          <w:sz w:val="18"/>
        </w:rPr>
        <w:t>Ecobank Côte d'Ivoire présente des résultats mitigés au premier trimestre 2026 avec un Produit Net Bancaire en croissance de 3,7% à 30,8 milliards FCFA. Malgré une amélioration de l'efficacité opérationnelle avec un coefficient d'exploitation de 45,7%, le résultat net recule de 1,6% à 13,0 milliards FCFA. La banque maintient une collecte de dépôts dynamique (+12%) témoignant de la confiance de sa clientèle. Les encours de crédits diminuent de 2,6% reflétant une politique d'origination sélective dans un contexte économique difficile. La rentabilité reste solide avec un ROE de 23% malgré la hausse du coût du risque.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 'roe': '23,0%', 'cout_du_risque': '-0,7%', 'taux_couverture': '99,1%', 'ratio_credits_depots': '58,3%', 'coefficient_exploitation': '45,7%', 'taux_creances_souffrance': '3,9%'}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42,3%</w:t>
            </w:r>
          </w:p>
        </w:tc>
        <w:tc>
          <w:tcPr>
            <w:tcW w:type="dxa" w:w="2160"/>
          </w:tcPr>
          <w:p>
            <w:pPr>
              <w:ind w:left="100"/>
            </w:pPr>
            <w:r/>
            <w:r>
              <w:rPr>
                <w:b/>
                <w:sz w:val="16"/>
              </w:rPr>
              <w:t>total_actif</w:t>
              <w:br/>
            </w:r>
            <w:r>
              <w:rPr>
                <w:sz w:val="18"/>
              </w:rPr>
              <w:t>2 058,9 milliards FCFA</w:t>
            </w:r>
          </w:p>
        </w:tc>
      </w:tr>
      <w:tr>
        <w:tc>
          <w:tcPr>
            <w:tcW w:type="dxa" w:w="2160"/>
          </w:tcPr>
          <w:p>
            <w:r/>
            <w:r>
              <w:rPr>
                <w:b/>
                <w:sz w:val="16"/>
              </w:rPr>
              <w:t>resultat_net</w:t>
              <w:br/>
            </w:r>
            <w:r>
              <w:rPr>
                <w:sz w:val="18"/>
              </w:rPr>
              <w:t>13,0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3,7% à 30,8 milliards FCFA porté par la hausse de 12,7% de la marge nette d'intérêts</w:t>
      </w:r>
    </w:p>
    <w:p>
      <w:pPr>
        <w:pStyle w:val="ListBullet"/>
        <w:spacing w:before="20" w:after="20"/>
        <w:ind w:left="700"/>
      </w:pPr>
      <w:r>
        <w:rPr>
          <w:sz w:val="18"/>
        </w:rPr>
        <w:t>Amélioration continue de l'efficacité opérationnelle avec un coefficient d'exploitation à 45,7% (-77 points de base)</w:t>
      </w:r>
    </w:p>
    <w:p>
      <w:pPr>
        <w:pStyle w:val="ListBullet"/>
        <w:spacing w:before="20" w:after="20"/>
        <w:ind w:left="700"/>
      </w:pPr>
      <w:r>
        <w:rPr>
          <w:sz w:val="18"/>
        </w:rPr>
        <w:t>Forte croissance des dépôts clientèle de 12% à 1 709 milliards FCFA témoignant de la confiance des clients</w:t>
      </w:r>
    </w:p>
    <w:p>
      <w:pPr>
        <w:pStyle w:val="ListBullet"/>
        <w:spacing w:before="20" w:after="20"/>
        <w:ind w:left="700"/>
      </w:pPr>
      <w:r>
        <w:rPr>
          <w:sz w:val="18"/>
        </w:rPr>
        <w:t>Politique de crédit sélective avec une baisse des encours nets de 2,6% à 959 milliards FCFA</w:t>
      </w:r>
    </w:p>
    <w:p>
      <w:pPr>
        <w:pStyle w:val="ListBullet"/>
        <w:spacing w:before="20" w:after="20"/>
        <w:ind w:left="700"/>
      </w:pPr>
      <w:r>
        <w:rPr>
          <w:sz w:val="18"/>
        </w:rPr>
        <w:t>Hausse significative du coût du risque à 1,7 milliard FCFA contre 0,5 milliard au T1 2025</w:t>
      </w:r>
    </w:p>
    <w:p>
      <w:pPr>
        <w:pStyle w:val="ListBullet"/>
        <w:spacing w:before="20" w:after="20"/>
        <w:ind w:left="700"/>
      </w:pPr>
      <w:r>
        <w:rPr>
          <w:sz w:val="18"/>
        </w:rPr>
        <w:t>Taux de créances en souffrance en hausse à 3,9% mais taux de couverture élevé à 99,1%</w:t>
      </w:r>
    </w:p>
    <w:p>
      <w:pPr>
        <w:spacing w:before="40"/>
        <w:ind w:left="400"/>
      </w:pPr>
      <w:r>
        <w:rPr>
          <w:b/>
          <w:color w:val="C05000"/>
          <w:sz w:val="18"/>
        </w:rPr>
        <w:t xml:space="preserve">⚠️ Risques : </w:t>
      </w:r>
      <w:r>
        <w:rPr>
          <w:sz w:val="18"/>
        </w:rPr>
        <w:t xml:space="preserve">["Hausse significative du co\u00fbt du risque dans un environnement macro\u00e9conomique complexe et g\u00e9opolitique incertain", "Baisse des produits hors int\u00e9r\u00eats de 17,2% impactant la diversification des revenus", "D\u00e9t\u00e9rioration du taux de cr\u00e9ances en souffrance passant </w:t>
      </w:r>
    </w:p>
    <w:p>
      <w:pPr>
        <w:spacing w:before="40"/>
        <w:ind w:left="400"/>
      </w:pPr>
      <w:r>
        <w:rPr>
          <w:b/>
          <w:color w:val="0064A0"/>
          <w:sz w:val="18"/>
        </w:rPr>
        <w:t xml:space="preserve">🔮 Perspectives : </w:t>
      </w:r>
      <w:r>
        <w:rPr>
          <w:sz w:val="18"/>
        </w:rPr>
        <w:t xml:space="preserve">La banque devrait poursuivre sa politique prudente de gestion des risques dans un contexte économique sous pression. L'amélioration continue de l'efficacité opérationnelle et la forte base de dépôts constituent des atouts pour maintenir une rentabilité satisfaisante. La sélectivité dans l'octroi de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"Les r\u00e9sultats exceptionnels du S1 2023 avec une croissance \u00e0 deux chiffres de tous les indicateurs cl\u00e9s et l'am\u00e9lioration significative de l'efficacit\u00e9 op\u00e9rationnelle justifient une recommandation d'achat. La banque b\u00e9n\u00e9ficie d'un environnement \u00e9conomique favorable en C\u00f4te d'Ivoire avec une croissance du PIB attendue \u00e0 7,2% en 2023."}</w:t>
      </w:r>
    </w:p>
    <w:p>
      <w:pPr>
        <w:spacing w:before="40"/>
        <w:ind w:left="400"/>
      </w:pPr>
      <w:r>
        <w:rPr>
          <w:sz w:val="18"/>
        </w:rPr>
        <w:t>Ecobank Côte d'Ivoire affiche une performance remarquable au premier semestre 2023 avec un résultat net de 23,9 milliards FCFA, en hausse de 35% par rapport à juin 2022. Le produit net bancaire s'élève à 53,2 milliards FCFA (+16,4%) soutenu par la croissance de la marge nette d'intérêts. La banque maintient une structure financière solide avec un total bilan de 1 821 milliards FCFA et des capitaux propres de 154 milliards FCFA. Le coefficient d'exploitation s'améliore à 42,1% contre 45,5% un an plus tôt, témoignant d'une meilleure efficacité opérationnelle. La qualité du portefeuille de crédit s'améliore avec une réduction significative du coût du risque à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'-0,6%', 'rendement_actifs': '2,6%', 'ratio_solvabilite': '17,2%', 'coefficient_exploitation': '42,1%', 'rendement_capitaux_propres': '31,1%'}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45,0%</w:t>
            </w:r>
          </w:p>
        </w:tc>
        <w:tc>
          <w:tcPr>
            <w:tcW w:type="dxa" w:w="2160"/>
          </w:tcPr>
          <w:p>
            <w:pPr>
              <w:ind w:left="100"/>
            </w:pPr>
            <w:r/>
            <w:r>
              <w:rPr>
                <w:b/>
                <w:sz w:val="16"/>
              </w:rPr>
              <w:t>total_actif</w:t>
              <w:br/>
            </w:r>
            <w:r>
              <w:rPr>
                <w:sz w:val="18"/>
              </w:rPr>
              <w:t>1 821 milliards FCFA</w:t>
            </w:r>
          </w:p>
        </w:tc>
      </w:tr>
      <w:tr>
        <w:tc>
          <w:tcPr>
            <w:tcW w:type="dxa" w:w="2160"/>
          </w:tcPr>
          <w:p>
            <w:r/>
            <w:r>
              <w:rPr>
                <w:b/>
                <w:sz w:val="16"/>
              </w:rPr>
              <w:t>resultat_net</w:t>
              <w:br/>
            </w:r>
            <w:r>
              <w:rPr>
                <w:sz w:val="18"/>
              </w:rPr>
              <w:t>23,9 milliards FCFA (S1 2023)</w:t>
            </w:r>
          </w:p>
        </w:tc>
        <w:tc>
          <w:tcPr>
            <w:tcW w:type="dxa" w:w="2160"/>
          </w:tcPr>
          <w:p>
            <w:r/>
            <w:r>
              <w:rPr>
                <w:b/>
                <w:sz w:val="16"/>
              </w:rPr>
              <w:t>capitaux_propres</w:t>
              <w:br/>
            </w:r>
            <w:r>
              <w:rPr>
                <w:sz w:val="18"/>
              </w:rPr>
              <w:t>154 milliards FCFA</w:t>
            </w:r>
          </w:p>
        </w:tc>
        <w:tc>
          <w:tcPr>
            <w:tcW w:type="dxa" w:w="2160"/>
          </w:tcPr>
          <w:p>
            <w:r/>
            <w:r>
              <w:rPr>
                <w:b/>
                <w:sz w:val="16"/>
              </w:rPr>
              <w:t>chiffre_affaires</w:t>
              <w:br/>
            </w:r>
            <w:r>
              <w:rPr>
                <w:sz w:val="18"/>
              </w:rPr>
              <w:t>53,2 milliards FCFA (PNB S1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35% à 23,9 milliards FCFA au S1 2023</w:t>
      </w:r>
    </w:p>
    <w:p>
      <w:pPr>
        <w:pStyle w:val="ListBullet"/>
        <w:spacing w:before="20" w:after="20"/>
        <w:ind w:left="700"/>
      </w:pPr>
      <w:r>
        <w:rPr>
          <w:sz w:val="18"/>
        </w:rPr>
        <w:t>Produit net bancaire en hausse de 16,4% à 53,2 milliards FCFA</w:t>
      </w:r>
    </w:p>
    <w:p>
      <w:pPr>
        <w:pStyle w:val="ListBullet"/>
        <w:spacing w:before="20" w:after="20"/>
        <w:ind w:left="700"/>
      </w:pPr>
      <w:r>
        <w:rPr>
          <w:sz w:val="18"/>
        </w:rPr>
        <w:t>Amélioration du coefficient d'exploitation de 339 points de base à 42,1%</w:t>
      </w:r>
    </w:p>
    <w:p>
      <w:pPr>
        <w:pStyle w:val="ListBullet"/>
        <w:spacing w:before="20" w:after="20"/>
        <w:ind w:left="700"/>
      </w:pPr>
      <w:r>
        <w:rPr>
          <w:sz w:val="18"/>
        </w:rPr>
        <w:t>Réduction drastique du coût du risque qui passe de -1,7% à -0,6%</w:t>
      </w:r>
    </w:p>
    <w:p>
      <w:pPr>
        <w:pStyle w:val="ListBullet"/>
        <w:spacing w:before="20" w:after="20"/>
        <w:ind w:left="700"/>
      </w:pPr>
      <w:r>
        <w:rPr>
          <w:sz w:val="18"/>
        </w:rPr>
        <w:t>Croissance des crédits nets à la clientèle de 28,8% à 941,7 milliards FCFA</w:t>
      </w:r>
    </w:p>
    <w:p>
      <w:pPr>
        <w:pStyle w:val="ListBullet"/>
        <w:spacing w:before="20" w:after="20"/>
        <w:ind w:left="700"/>
      </w:pPr>
      <w:r>
        <w:rPr>
          <w:sz w:val="18"/>
        </w:rPr>
        <w:t>Progression des dépôts clientèle de 2,4% à 1 319 milliards FCFA</w:t>
      </w:r>
    </w:p>
    <w:p>
      <w:pPr>
        <w:spacing w:before="40"/>
        <w:ind w:left="400"/>
      </w:pPr>
      <w:r>
        <w:rPr>
          <w:b/>
          <w:color w:val="C05000"/>
          <w:sz w:val="18"/>
        </w:rPr>
        <w:t xml:space="preserve">⚠️ Risques : </w:t>
      </w:r>
      <w:r>
        <w:rPr>
          <w:sz w:val="18"/>
        </w:rPr>
        <w:t>["Exposition aux tensions inflationnistes et aux effets persistants de la crise russo-ukrainienne", "Risques g\u00e9opolitiques li\u00e9s aux r\u00e9cents d\u00e9veloppements au Niger", "Concentration g\u00e9ographique sur le march\u00e9 ivoirien malgr\u00e9 la diversification r\u00e9gionale"]</w:t>
      </w:r>
    </w:p>
    <w:p>
      <w:pPr>
        <w:spacing w:before="40"/>
        <w:ind w:left="400"/>
      </w:pPr>
      <w:r>
        <w:rPr>
          <w:b/>
          <w:color w:val="0064A0"/>
          <w:sz w:val="18"/>
        </w:rPr>
        <w:t xml:space="preserve">🔮 Perspectives : </w:t>
      </w:r>
      <w:r>
        <w:rPr>
          <w:sz w:val="18"/>
        </w:rPr>
        <w:t xml:space="preserve">Les perspectives restent favorables avec la poursuite de la mise en œuvre du Plan National de Développement 2021-2025 et une croissance économique robuste attendue. La banque devrait continuer à bénéficier de l'accélération de ses actions commerciales et de l'amélioration continue de son efficience </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avec am\u00e9lioration de tous ses indicateurs cl\u00e9s et une qualit\u00e9 de cr\u00e9dit renforc\u00e9e. Le ROE de 29,7% et l'efficacit\u00e9 op\u00e9rationnelle croissante t\u00e9moignent d'une performance exceptionnelle."}</w:t>
      </w:r>
    </w:p>
    <w:p>
      <w:pPr>
        <w:spacing w:before="40"/>
        <w:ind w:left="400"/>
      </w:pPr>
      <w:r>
        <w:rPr>
          <w:sz w:val="18"/>
        </w:rPr>
        <w:t>Ecobank Côte d'Ivoire affiche des résultats solides au troisième trimestre 2025 avec un Produit Net Bancaire en hausse de 11% à 96,4 milliards de FCFA. Le résultat net progresse de 15% pour atteindre 44,4 milliards de FCFA, témoignant d'une création de valeur soutenue. La banque démontre une amélioration notable de sa qualité de crédit avec une contraction du coût du risque de 54%. Le total bilan s'élève à 2 026 milliards de FCFA en hausse de 15,5%, soutenu par une forte collecte de dépôts (+33%). Le coefficient d'exploitation s'améliore à 44,7%, reflétant la poursuite de l'efficacité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'0,1%', 'rendement_actifs': '2,9%', 'taux_degradation': '3,8%', 'coefficient_exploitation': '44,7%', 'rendement_capitaux_propres': '29,7%'}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2 026 milliards FCFA</w:t>
            </w:r>
          </w:p>
        </w:tc>
      </w:tr>
      <w:tr>
        <w:tc>
          <w:tcPr>
            <w:tcW w:type="dxa" w:w="2160"/>
          </w:tcPr>
          <w:p>
            <w:r/>
            <w:r>
              <w:rPr>
                <w:b/>
                <w:sz w:val="16"/>
              </w:rPr>
              <w:t>resultat_net</w:t>
              <w:br/>
            </w:r>
            <w:r>
              <w:rPr>
                <w:sz w:val="18"/>
              </w:rPr>
              <w:t>44,4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croissance de 11,3% à 96,4 milliards de FCFA</w:t>
      </w:r>
    </w:p>
    <w:p>
      <w:pPr>
        <w:pStyle w:val="ListBullet"/>
        <w:spacing w:before="20" w:after="20"/>
        <w:ind w:left="700"/>
      </w:pPr>
      <w:r>
        <w:rPr>
          <w:sz w:val="18"/>
        </w:rPr>
        <w:t>Résultat net en progression de 15,4% à 44,4 milliards de FCFA</w:t>
      </w:r>
    </w:p>
    <w:p>
      <w:pPr>
        <w:pStyle w:val="ListBullet"/>
        <w:spacing w:before="20" w:after="20"/>
        <w:ind w:left="700"/>
      </w:pPr>
      <w:r>
        <w:rPr>
          <w:sz w:val="18"/>
        </w:rPr>
        <w:t>Amélioration significative du coût du risque (-54,1%) à 0,7 milliard de FCFA</w:t>
      </w:r>
    </w:p>
    <w:p>
      <w:pPr>
        <w:pStyle w:val="ListBullet"/>
        <w:spacing w:before="20" w:after="20"/>
        <w:ind w:left="700"/>
      </w:pPr>
      <w:r>
        <w:rPr>
          <w:sz w:val="18"/>
        </w:rPr>
        <w:t>Forte progression du total bilan (+15,5%) à 2 026 milliards de FCFA</w:t>
      </w:r>
    </w:p>
    <w:p>
      <w:pPr>
        <w:pStyle w:val="ListBullet"/>
        <w:spacing w:before="20" w:after="20"/>
        <w:ind w:left="700"/>
      </w:pPr>
      <w:r>
        <w:rPr>
          <w:sz w:val="18"/>
        </w:rPr>
        <w:t>Collecte de dépôts exceptionnelle (+33,2%) atteignant 1 649 milliards de FCFA</w:t>
      </w:r>
    </w:p>
    <w:p>
      <w:pPr>
        <w:pStyle w:val="ListBullet"/>
        <w:spacing w:before="20" w:after="20"/>
        <w:ind w:left="700"/>
      </w:pPr>
      <w:r>
        <w:rPr>
          <w:sz w:val="18"/>
        </w:rPr>
        <w:t>Amélioration du coefficient d'exploitation à 44,7% contre 46,3% l'année précédente</w:t>
      </w:r>
    </w:p>
    <w:p>
      <w:pPr>
        <w:spacing w:before="40"/>
        <w:ind w:left="400"/>
      </w:pPr>
      <w:r>
        <w:rPr>
          <w:b/>
          <w:color w:val="C05000"/>
          <w:sz w:val="18"/>
        </w:rPr>
        <w:t xml:space="preserve">⚠️ Risques : </w:t>
      </w:r>
      <w:r>
        <w:rPr>
          <w:sz w:val="18"/>
        </w:rPr>
        <w:t>["Exposition aux risques \u00e9conomiques et politiques du march\u00e9 ivoirien", "Concentration g\u00e9ographique sur la C\u00f4te d'Ivoire", "Risques de cr\u00e9dit malgr\u00e9 l'am\u00e9lioration observ\u00e9e"]</w:t>
      </w:r>
    </w:p>
    <w:p>
      <w:pPr>
        <w:spacing w:before="40"/>
        <w:ind w:left="400"/>
      </w:pPr>
      <w:r>
        <w:rPr>
          <w:b/>
          <w:color w:val="0064A0"/>
          <w:sz w:val="18"/>
        </w:rPr>
        <w:t xml:space="preserve">🔮 Perspectives : </w:t>
      </w:r>
      <w:r>
        <w:rPr>
          <w:sz w:val="18"/>
        </w:rPr>
        <w:t>La dynamique positive devrait se poursuivre avec la stratégie d'amélioration continue de la qualité du portefeuille et l'optimisation du mix de ressources. La forte collecte de dépôts et l'efficacité opérationnelle renforcée positionnent bien la banque pour maintenir sa croissance rentable.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premier semestre avec une croissance du r\u00e9sultat net de 35% et l'am\u00e9lioration de tous les indicateurs de performance t\u00e9moignent d'une dynamique tr\u00e8s positive. La forte progression des cr\u00e9dits (+27%) coupl\u00e9e \u00e0 la baisse du co\u00fbt du risque confirme la solidit\u00e9 du mod\u00e8le."}</w:t>
      </w:r>
    </w:p>
    <w:p>
      <w:pPr>
        <w:spacing w:before="40"/>
        <w:ind w:left="400"/>
      </w:pPr>
      <w:r>
        <w:rPr>
          <w:sz w:val="18"/>
        </w:rPr>
        <w:t>Ecobank Côte d'Ivoire présente des résultats semestriels 2022 très solides avec une croissance généralisée de ses indicateurs clés. Le total bilan progresse de 5,6% à 1 637,8 milliards FCFA, porté par une hausse remarquable des crédits nets (+27,4%) et des dépôts (+11,5%). La rentabilité s'améliore significativement avec un résultat net en progression de 35,1% à 19,9 milliards FCFA grâce à l'augmentation du produit net bancaire (+8%) et à la forte baisse du coût du risque (-41%). Les ratios de performance s'améliorent avec un ROE de 28,7% et un ROA de 2,4%. La banque renforce sa position avec un niveau de couverture des créances en souffrance à 86,8%.</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'1 287,7 milliards FCFA', 'credits_nets_clientele': '734,3 milliards FCFA', 'coefficient_exploitation': '45,5%', 'taux_couverture_creances': '86,8%'}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43,6%</w:t>
            </w:r>
          </w:p>
        </w:tc>
        <w:tc>
          <w:tcPr>
            <w:tcW w:type="dxa" w:w="2160"/>
          </w:tcPr>
          <w:p>
            <w:pPr>
              <w:ind w:left="100"/>
            </w:pPr>
            <w:r/>
            <w:r>
              <w:rPr>
                <w:b/>
                <w:sz w:val="16"/>
              </w:rPr>
              <w:t>total_actif</w:t>
              <w:br/>
            </w:r>
            <w:r>
              <w:rPr>
                <w:sz w:val="18"/>
              </w:rPr>
              <w:t>1 637,8 milliards FCFA</w:t>
            </w:r>
          </w:p>
        </w:tc>
      </w:tr>
      <w:tr>
        <w:tc>
          <w:tcPr>
            <w:tcW w:type="dxa" w:w="2160"/>
          </w:tcPr>
          <w:p>
            <w:r/>
            <w:r>
              <w:rPr>
                <w:b/>
                <w:sz w:val="16"/>
              </w:rPr>
              <w:t>resultat_net</w:t>
              <w:br/>
            </w:r>
            <w:r>
              <w:rPr>
                <w:sz w:val="18"/>
              </w:rPr>
              <w:t>19,9 milliards FCFA</w:t>
            </w:r>
          </w:p>
        </w:tc>
        <w:tc>
          <w:tcPr>
            <w:tcW w:type="dxa" w:w="2160"/>
          </w:tcPr>
          <w:p>
            <w:r/>
            <w:r>
              <w:rPr>
                <w:b/>
                <w:sz w:val="16"/>
              </w:rPr>
              <w:t>capitaux_propres</w:t>
              <w:br/>
            </w:r>
            <w:r>
              <w:rPr>
                <w:sz w:val="18"/>
              </w:rPr>
              <w:t>139,0 milliards FCFA</w:t>
            </w:r>
          </w:p>
        </w:tc>
        <w:tc>
          <w:tcPr>
            <w:tcW w:type="dxa" w:w="2160"/>
          </w:tcPr>
          <w:p>
            <w:r/>
            <w:r>
              <w:rPr>
                <w:b/>
                <w:sz w:val="16"/>
              </w:rPr>
              <w:t>chiffre_affaires</w:t>
              <w:br/>
            </w:r>
            <w:r>
              <w:rPr>
                <w:sz w:val="18"/>
              </w:rPr>
              <w:t>45,7 milliards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des crédits nets à la clientèle de 27,4% à 734,3 milliards FCFA</w:t>
      </w:r>
    </w:p>
    <w:p>
      <w:pPr>
        <w:pStyle w:val="ListBullet"/>
        <w:spacing w:before="20" w:after="20"/>
        <w:ind w:left="700"/>
      </w:pPr>
      <w:r>
        <w:rPr>
          <w:sz w:val="18"/>
        </w:rPr>
        <w:t>Augmentation soutenue des dépôts de 11,5% à 1 287,7 milliards FCFA grâce à la digitalisation</w:t>
      </w:r>
    </w:p>
    <w:p>
      <w:pPr>
        <w:pStyle w:val="ListBullet"/>
        <w:spacing w:before="20" w:after="20"/>
        <w:ind w:left="700"/>
      </w:pPr>
      <w:r>
        <w:rPr>
          <w:sz w:val="18"/>
        </w:rPr>
        <w:t>Progression remarquable du résultat net de 35,1% à 19,9 milliards FCFA</w:t>
      </w:r>
    </w:p>
    <w:p>
      <w:pPr>
        <w:pStyle w:val="ListBullet"/>
        <w:spacing w:before="20" w:after="20"/>
        <w:ind w:left="700"/>
      </w:pPr>
      <w:r>
        <w:rPr>
          <w:sz w:val="18"/>
        </w:rPr>
        <w:t>Amélioration du produit net bancaire de 8% à 45,7 milliards FCFA</w:t>
      </w:r>
    </w:p>
    <w:p>
      <w:pPr>
        <w:pStyle w:val="ListBullet"/>
        <w:spacing w:before="20" w:after="20"/>
        <w:ind w:left="700"/>
      </w:pPr>
      <w:r>
        <w:rPr>
          <w:sz w:val="18"/>
        </w:rPr>
        <w:t>Forte baisse du coût du risque de 41% témoignant d'une meilleure gestion des créances</w:t>
      </w:r>
    </w:p>
    <w:p>
      <w:pPr>
        <w:pStyle w:val="ListBullet"/>
        <w:spacing w:before="20" w:after="20"/>
        <w:ind w:left="700"/>
      </w:pPr>
      <w:r>
        <w:rPr>
          <w:sz w:val="18"/>
        </w:rPr>
        <w:t>Renforcement du niveau de couverture des créances en souffrance à 86,8%</w:t>
      </w:r>
    </w:p>
    <w:p>
      <w:pPr>
        <w:spacing w:before="40"/>
        <w:ind w:left="400"/>
      </w:pPr>
      <w:r>
        <w:rPr>
          <w:b/>
          <w:color w:val="C05000"/>
          <w:sz w:val="18"/>
        </w:rPr>
        <w:t xml:space="preserve">⚠️ Risques : </w:t>
      </w:r>
      <w:r>
        <w:rPr>
          <w:sz w:val="18"/>
        </w:rPr>
        <w:t>["Concentration g\u00e9ographique sur le march\u00e9 ivoirien expos\u00e9 aux risques pays", "Croissance rapide des cr\u00e9dits (+27%) n\u00e9cessitant une surveillance accrue de la qualit\u00e9 du portefeuille", "Contexte post-COVID avec retour progressif \u00e0 la normale pouvant impacter les cha</w:t>
      </w:r>
    </w:p>
    <w:p>
      <w:pPr>
        <w:spacing w:before="40"/>
        <w:ind w:left="400"/>
      </w:pPr>
      <w:r>
        <w:rPr>
          <w:b/>
          <w:color w:val="0064A0"/>
          <w:sz w:val="18"/>
        </w:rPr>
        <w:t xml:space="preserve">🔮 Perspectives : </w:t>
      </w:r>
      <w:r>
        <w:rPr>
          <w:sz w:val="18"/>
        </w:rPr>
        <w:t>Les perspectives restent favorables avec la poursuite de la stratégie de digitalisation pour la collecte des dépôts et la croissance soutenue de l'activité de crédit. L'amélioration continue de la gestion des risques et le renforcement des fonds propres devraient permettre de maintenir cette dynamiq</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performance remarquable avec un r\u00e9sultat net en hausse de 20,3% et une am\u00e9lioration de tous ses indicateurs cl\u00e9s. La croissance soutenue des cr\u00e9dits (+26,9%) et la ma\u00eetrise du co\u00fbt du risque d\u00e9montrent une gestion efficace et des perspectives favorables."}</w:t>
      </w:r>
    </w:p>
    <w:p>
      <w:pPr>
        <w:spacing w:before="40"/>
        <w:ind w:left="400"/>
      </w:pPr>
      <w:r>
        <w:rPr>
          <w:sz w:val="18"/>
        </w:rPr>
        <w:t>Ecobank Côte d'Ivoire présente des résultats solides pour le premier semestre 2022 avec une croissance généralisée de ses indicateurs financiers. Le total bilan a progressé de 5,9% à 1 642 milliards de FCFA, soutenu par une hausse des crédits nets (+26,9%) et des dépôts clientèle (+11,5%). Le Produit Net Bancaire s'est amélioré de 8,0% à 45,7 milliards de FCFA, bénéficiant de la performance des marges d'intérêts et des produits hors intérêts. Le Résultat Brut d'Exploitation a bondi de 10,4% à 24,9 milliards de FCFA malgré une hausse des charges d'exploitation. Le résultat net ressort à 17,7 milliards de FCFA, en progression de 20,3% par rapport au premier semestre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'1 287 720 millions de FCFA', 'cout_net_du_risque': '-1,7%', 'rendement_des_actifs': '2,2%', 'credits_nets_clientele': '731 371 millions de FCFA', 'coefficient_exploitation': '45,5%', 'rendement_des_capitaux_propres': '25,9%'}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1 641 965 millions de FCFA</w:t>
            </w:r>
          </w:p>
        </w:tc>
      </w:tr>
      <w:tr>
        <w:tc>
          <w:tcPr>
            <w:tcW w:type="dxa" w:w="2160"/>
          </w:tcPr>
          <w:p>
            <w:r/>
            <w:r>
              <w:rPr>
                <w:b/>
                <w:sz w:val="16"/>
              </w:rPr>
              <w:t>resultat_net</w:t>
              <w:br/>
            </w:r>
            <w:r>
              <w:rPr>
                <w:sz w:val="18"/>
              </w:rPr>
              <w:t>17 726 millions de FCFA</w:t>
            </w:r>
          </w:p>
        </w:tc>
        <w:tc>
          <w:tcPr>
            <w:tcW w:type="dxa" w:w="2160"/>
          </w:tcPr>
          <w:p>
            <w:r/>
            <w:r>
              <w:rPr>
                <w:b/>
                <w:sz w:val="16"/>
              </w:rPr>
              <w:t>capitaux_propres</w:t>
              <w:br/>
            </w:r>
            <w:r>
              <w:rPr>
                <w:sz w:val="18"/>
              </w:rPr>
              <w:t>136 847 millions de FCFA</w:t>
            </w:r>
          </w:p>
        </w:tc>
        <w:tc>
          <w:tcPr>
            <w:tcW w:type="dxa" w:w="2160"/>
          </w:tcPr>
          <w:p>
            <w:r/>
            <w:r>
              <w:rPr>
                <w:b/>
                <w:sz w:val="16"/>
              </w:rPr>
              <w:t>chiffre_affaires</w:t>
              <w:br/>
            </w:r>
            <w:r>
              <w:rPr>
                <w:sz w:val="18"/>
              </w:rPr>
              <w:t>45 650 millions de FCFA (PNB)</w:t>
            </w:r>
          </w:p>
        </w:tc>
        <w:tc>
          <w:tcPr>
            <w:tcW w:type="dxa" w:w="2160"/>
          </w:tcPr>
          <w:p/>
        </w:tc>
      </w:tr>
    </w:tbl>
    <w:p/>
    <w:p>
      <w:pPr>
        <w:spacing w:before="60"/>
        <w:ind w:left="400"/>
      </w:pPr>
      <w:r>
        <w:rPr>
          <w:b/>
          <w:sz w:val="18"/>
        </w:rPr>
        <w:t>Points clés :</w:t>
      </w:r>
    </w:p>
    <w:p>
      <w:pPr>
        <w:pStyle w:val="ListBullet"/>
        <w:spacing w:before="20" w:after="20"/>
        <w:ind w:left="700"/>
      </w:pPr>
      <w:r>
        <w:rPr>
          <w:sz w:val="18"/>
        </w:rPr>
        <w:t>Total bilan en hausse de 5,9% à 1 642 milliards de FCFA au 30 juin 2022</w:t>
      </w:r>
    </w:p>
    <w:p>
      <w:pPr>
        <w:pStyle w:val="ListBullet"/>
        <w:spacing w:before="20" w:after="20"/>
        <w:ind w:left="700"/>
      </w:pPr>
      <w:r>
        <w:rPr>
          <w:sz w:val="18"/>
        </w:rPr>
        <w:t>Croissance des crédits nets à la clientèle de 26,9% à 731,4 milliards de FCFA</w:t>
      </w:r>
    </w:p>
    <w:p>
      <w:pPr>
        <w:pStyle w:val="ListBullet"/>
        <w:spacing w:before="20" w:after="20"/>
        <w:ind w:left="700"/>
      </w:pPr>
      <w:r>
        <w:rPr>
          <w:sz w:val="18"/>
        </w:rPr>
        <w:t>Progression des dépôts de la clientèle de 11,5% à 1 287,7 milliards de FCFA</w:t>
      </w:r>
    </w:p>
    <w:p>
      <w:pPr>
        <w:pStyle w:val="ListBullet"/>
        <w:spacing w:before="20" w:after="20"/>
        <w:ind w:left="700"/>
      </w:pPr>
      <w:r>
        <w:rPr>
          <w:sz w:val="18"/>
        </w:rPr>
        <w:t>Produit Net Bancaire en hausse de 8,0% à 45,7 milliards de FCFA</w:t>
      </w:r>
    </w:p>
    <w:p>
      <w:pPr>
        <w:pStyle w:val="ListBullet"/>
        <w:spacing w:before="20" w:after="20"/>
        <w:ind w:left="700"/>
      </w:pPr>
      <w:r>
        <w:rPr>
          <w:sz w:val="18"/>
        </w:rPr>
        <w:t>Résultat Brut d'Exploitation en progression de 10,4% à 24,9 milliards de FCFA</w:t>
      </w:r>
    </w:p>
    <w:p>
      <w:pPr>
        <w:pStyle w:val="ListBullet"/>
        <w:spacing w:before="20" w:after="20"/>
        <w:ind w:left="700"/>
      </w:pPr>
      <w:r>
        <w:rPr>
          <w:sz w:val="18"/>
        </w:rPr>
        <w:t>Amélioration du coût du risque de 5,3% avec une baisse à 6,6 milliards de FCFA</w:t>
      </w:r>
    </w:p>
    <w:p>
      <w:pPr>
        <w:spacing w:before="40"/>
        <w:ind w:left="400"/>
      </w:pPr>
      <w:r>
        <w:rPr>
          <w:b/>
          <w:color w:val="C05000"/>
          <w:sz w:val="18"/>
        </w:rPr>
        <w:t xml:space="preserve">⚠️ Risques : </w:t>
      </w:r>
      <w:r>
        <w:rPr>
          <w:sz w:val="18"/>
        </w:rPr>
        <w:t>["Exposition au risque de cr\u00e9dit dans un environnement \u00e9conomique incertain", "Pression concurrentielle sur les marges dans le secteur bancaire ivoirien", "Risques op\u00e9rationnels li\u00e9s \u00e0 la transformation digitale en cours"]</w:t>
      </w:r>
    </w:p>
    <w:p>
      <w:pPr>
        <w:spacing w:before="40"/>
        <w:ind w:left="400"/>
      </w:pPr>
      <w:r>
        <w:rPr>
          <w:b/>
          <w:color w:val="0064A0"/>
          <w:sz w:val="18"/>
        </w:rPr>
        <w:t xml:space="preserve">🔮 Perspectives : </w:t>
      </w:r>
      <w:r>
        <w:rPr>
          <w:sz w:val="18"/>
        </w:rPr>
        <w:t>Ecobank Côte d'Ivoire semble bien positionnée pour poursuivre sa croissance avec une stratégie axée sur la digitalisation et le développement commercial. La banque devrait bénéficier de la reprise économique post-Covid et de sa stratégie de développement des crédits à moyen terme. L'amélioration con</w:t>
      </w:r>
    </w:p>
    <w:p/>
    <w:p>
      <w:r>
        <w:t>════════════════════════════════════════════════════════════════════════════════</w:t>
      </w:r>
    </w:p>
    <w:p>
      <w:r>
        <w:br w:type="page"/>
      </w:r>
    </w:p>
    <w:p>
      <w:pPr>
        <w:pStyle w:val="Heading2"/>
        <w:spacing w:before="360"/>
      </w:pPr>
      <w:r>
        <w:rPr>
          <w:color w:val="0066CC"/>
        </w:rPr>
        <w:t>16. ETIT - ETIT - Ecobank Transnational Incorporated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ETIT</w:t>
            </w:r>
          </w:p>
          <w:p>
            <w:r>
              <w:rPr>
                <w:b/>
                <w:color w:val="323250"/>
                <w:sz w:val="16"/>
              </w:rPr>
              <w:t xml:space="preserve">Société : </w:t>
            </w:r>
            <w:r>
              <w:rPr>
                <w:color w:val="000000"/>
                <w:sz w:val="16"/>
              </w:rPr>
              <w:t>ETIT - Ecobank Transnational Incorporate...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1211.64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1,450,044 titres</w:t>
            </w:r>
          </w:p>
        </w:tc>
        <w:tc>
          <w:tcPr>
            <w:tcW w:type="dxa" w:w="2268"/>
            <w:shd w:fill="FFF2CC" w:val="clear"/>
          </w:tcPr>
          <w:p>
            <w:r>
              <w:rPr>
                <w:b/>
                <w:color w:val="503200"/>
                <w:sz w:val="16"/>
              </w:rPr>
              <w:t xml:space="preserve">Cours actuel : </w:t>
            </w:r>
            <w:r>
              <w:rPr>
                <w:color w:val="000000"/>
                <w:sz w:val="17"/>
              </w:rPr>
              <w:t>67 FCFA</w:t>
            </w:r>
          </w:p>
          <w:p>
            <w:r>
              <w:rPr>
                <w:b/>
                <w:color w:val="503200"/>
                <w:sz w:val="16"/>
              </w:rPr>
              <w:t xml:space="preserve">Var. 100 jours : </w:t>
            </w:r>
            <w:r>
              <w:rPr>
                <w:b/>
                <w:color w:val="007800"/>
                <w:sz w:val="17"/>
              </w:rPr>
              <w:t>+103.03%</w:t>
            </w:r>
          </w:p>
          <w:p>
            <w:r>
              <w:rPr>
                <w:b/>
                <w:color w:val="503200"/>
                <w:sz w:val="16"/>
              </w:rPr>
              <w:t xml:space="preserve">Plus haut 100j : </w:t>
            </w:r>
            <w:r>
              <w:rPr>
                <w:color w:val="000000"/>
                <w:sz w:val="17"/>
              </w:rPr>
              <w:t>78 FCFA</w:t>
            </w:r>
          </w:p>
          <w:p>
            <w:r>
              <w:rPr>
                <w:b/>
                <w:color w:val="503200"/>
                <w:sz w:val="16"/>
              </w:rPr>
              <w:t xml:space="preserve">Plus bas 100j : </w:t>
            </w:r>
            <w:r>
              <w:rPr>
                <w:color w:val="000000"/>
                <w:sz w:val="17"/>
              </w:rPr>
              <w:t>26 FCFA</w:t>
            </w:r>
          </w:p>
          <w:p>
            <w:r>
              <w:rPr>
                <w:b/>
                <w:color w:val="503200"/>
                <w:sz w:val="16"/>
              </w:rPr>
              <w:t xml:space="preserve">Volatilité ann. : </w:t>
            </w:r>
            <w:r>
              <w:rPr>
                <w:color w:val="000000"/>
                <w:sz w:val="17"/>
              </w:rPr>
              <w:t>65.1%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38.30% (Élevée) — μ=45 FCFA, σ=17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β=2.6980 (Très agressif) — Cov=0.000096, Var(idx)=0.000035, ρ=0.390,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C6EFCE" w:val="clear"/>
          </w:tcPr>
          <w:p>
            <w:r>
              <w:rPr>
                <w:b/>
                <w:sz w:val="15"/>
              </w:rPr>
              <w:t>1,450,044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σ_j=4.10%/j (Modérée) — Vol. annualisée≈65.1%</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594080"/>
            <wp:docPr id="18" name="Picture 1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669280" cy="259408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2026-08-28</w:t>
            </w:r>
          </w:p>
        </w:tc>
        <w:tc>
          <w:tcPr>
            <w:tcW w:type="dxa" w:w="1440"/>
            <w:shd w:fill="FFDCE0" w:val="clear"/>
          </w:tcPr>
          <w:p>
            <w:r>
              <w:rPr>
                <w:sz w:val="17"/>
              </w:rPr>
              <w:t>57</w:t>
            </w:r>
          </w:p>
        </w:tc>
        <w:tc>
          <w:tcPr>
            <w:tcW w:type="dxa" w:w="1440"/>
            <w:shd w:fill="FFDCE0" w:val="clear"/>
          </w:tcPr>
          <w:p>
            <w:r>
              <w:rPr>
                <w:b/>
                <w:sz w:val="17"/>
              </w:rPr>
              <w:t>62</w:t>
            </w:r>
          </w:p>
        </w:tc>
        <w:tc>
          <w:tcPr>
            <w:tcW w:type="dxa" w:w="1440"/>
            <w:shd w:fill="FFDCE0" w:val="clear"/>
          </w:tcPr>
          <w:p>
            <w:r>
              <w:rPr>
                <w:sz w:val="17"/>
              </w:rPr>
              <w:t>67</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2026-08-31</w:t>
            </w:r>
          </w:p>
        </w:tc>
        <w:tc>
          <w:tcPr>
            <w:tcW w:type="dxa" w:w="1440"/>
            <w:shd w:fill="FFDCE0" w:val="clear"/>
          </w:tcPr>
          <w:p>
            <w:r>
              <w:rPr>
                <w:sz w:val="17"/>
              </w:rPr>
              <w:t>51</w:t>
            </w:r>
          </w:p>
        </w:tc>
        <w:tc>
          <w:tcPr>
            <w:tcW w:type="dxa" w:w="1440"/>
            <w:shd w:fill="FFDCE0" w:val="clear"/>
          </w:tcPr>
          <w:p>
            <w:r>
              <w:rPr>
                <w:b/>
                <w:sz w:val="17"/>
              </w:rPr>
              <w:t>57</w:t>
            </w:r>
          </w:p>
        </w:tc>
        <w:tc>
          <w:tcPr>
            <w:tcW w:type="dxa" w:w="1440"/>
            <w:shd w:fill="FFDCE0" w:val="clear"/>
          </w:tcPr>
          <w:p>
            <w:r>
              <w:rPr>
                <w:sz w:val="17"/>
              </w:rPr>
              <w:t>64</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2026-09-01</w:t>
            </w:r>
          </w:p>
        </w:tc>
        <w:tc>
          <w:tcPr>
            <w:tcW w:type="dxa" w:w="1440"/>
            <w:shd w:fill="FFDCE0" w:val="clear"/>
          </w:tcPr>
          <w:p>
            <w:r>
              <w:rPr>
                <w:sz w:val="17"/>
              </w:rPr>
              <w:t>46</w:t>
            </w:r>
          </w:p>
        </w:tc>
        <w:tc>
          <w:tcPr>
            <w:tcW w:type="dxa" w:w="1440"/>
            <w:shd w:fill="FFDCE0" w:val="clear"/>
          </w:tcPr>
          <w:p>
            <w:r>
              <w:rPr>
                <w:b/>
                <w:sz w:val="17"/>
              </w:rPr>
              <w:t>53</w:t>
            </w:r>
          </w:p>
        </w:tc>
        <w:tc>
          <w:tcPr>
            <w:tcW w:type="dxa" w:w="1440"/>
            <w:shd w:fill="FFDCE0" w:val="clear"/>
          </w:tcPr>
          <w:p>
            <w:r>
              <w:rPr>
                <w:sz w:val="17"/>
              </w:rPr>
              <w:t>60</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2026-09-02</w:t>
            </w:r>
          </w:p>
        </w:tc>
        <w:tc>
          <w:tcPr>
            <w:tcW w:type="dxa" w:w="1440"/>
            <w:shd w:fill="FFDCE0" w:val="clear"/>
          </w:tcPr>
          <w:p>
            <w:r>
              <w:rPr>
                <w:sz w:val="17"/>
              </w:rPr>
              <w:t>41</w:t>
            </w:r>
          </w:p>
        </w:tc>
        <w:tc>
          <w:tcPr>
            <w:tcW w:type="dxa" w:w="1440"/>
            <w:shd w:fill="FFDCE0" w:val="clear"/>
          </w:tcPr>
          <w:p>
            <w:r>
              <w:rPr>
                <w:b/>
                <w:sz w:val="17"/>
              </w:rPr>
              <w:t>49</w:t>
            </w:r>
          </w:p>
        </w:tc>
        <w:tc>
          <w:tcPr>
            <w:tcW w:type="dxa" w:w="1440"/>
            <w:shd w:fill="FFDCE0" w:val="clear"/>
          </w:tcPr>
          <w:p>
            <w:r>
              <w:rPr>
                <w:sz w:val="17"/>
              </w:rPr>
              <w:t>57</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2026-09-03</w:t>
            </w:r>
          </w:p>
        </w:tc>
        <w:tc>
          <w:tcPr>
            <w:tcW w:type="dxa" w:w="1440"/>
            <w:shd w:fill="FFDCE0" w:val="clear"/>
          </w:tcPr>
          <w:p>
            <w:r>
              <w:rPr>
                <w:sz w:val="17"/>
              </w:rPr>
              <w:t>38</w:t>
            </w:r>
          </w:p>
        </w:tc>
        <w:tc>
          <w:tcPr>
            <w:tcW w:type="dxa" w:w="1440"/>
            <w:shd w:fill="FFDCE0" w:val="clear"/>
          </w:tcPr>
          <w:p>
            <w:r>
              <w:rPr>
                <w:b/>
                <w:sz w:val="17"/>
              </w:rPr>
              <w:t>45</w:t>
            </w:r>
          </w:p>
        </w:tc>
        <w:tc>
          <w:tcPr>
            <w:tcW w:type="dxa" w:w="1440"/>
            <w:shd w:fill="FFDCE0" w:val="clear"/>
          </w:tcPr>
          <w:p>
            <w:r>
              <w:rPr>
                <w:sz w:val="17"/>
              </w:rPr>
              <w:t>53</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2026-09-04</w:t>
            </w:r>
          </w:p>
        </w:tc>
        <w:tc>
          <w:tcPr>
            <w:tcW w:type="dxa" w:w="1440"/>
            <w:shd w:fill="FFDCE0" w:val="clear"/>
          </w:tcPr>
          <w:p>
            <w:r>
              <w:rPr>
                <w:sz w:val="17"/>
              </w:rPr>
              <w:t>34</w:t>
            </w:r>
          </w:p>
        </w:tc>
        <w:tc>
          <w:tcPr>
            <w:tcW w:type="dxa" w:w="1440"/>
            <w:shd w:fill="FFDCE0" w:val="clear"/>
          </w:tcPr>
          <w:p>
            <w:r>
              <w:rPr>
                <w:b/>
                <w:sz w:val="17"/>
              </w:rPr>
              <w:t>42</w:t>
            </w:r>
          </w:p>
        </w:tc>
        <w:tc>
          <w:tcPr>
            <w:tcW w:type="dxa" w:w="1440"/>
            <w:shd w:fill="FFDCE0" w:val="clear"/>
          </w:tcPr>
          <w:p>
            <w:r>
              <w:rPr>
                <w:sz w:val="17"/>
              </w:rPr>
              <w:t>50</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2026-09-07</w:t>
            </w:r>
          </w:p>
        </w:tc>
        <w:tc>
          <w:tcPr>
            <w:tcW w:type="dxa" w:w="1440"/>
            <w:shd w:fill="FFDCE0" w:val="clear"/>
          </w:tcPr>
          <w:p>
            <w:r>
              <w:rPr>
                <w:sz w:val="17"/>
              </w:rPr>
              <w:t>31</w:t>
            </w:r>
          </w:p>
        </w:tc>
        <w:tc>
          <w:tcPr>
            <w:tcW w:type="dxa" w:w="1440"/>
            <w:shd w:fill="FFDCE0" w:val="clear"/>
          </w:tcPr>
          <w:p>
            <w:r>
              <w:rPr>
                <w:b/>
                <w:sz w:val="17"/>
              </w:rPr>
              <w:t>39</w:t>
            </w:r>
          </w:p>
        </w:tc>
        <w:tc>
          <w:tcPr>
            <w:tcW w:type="dxa" w:w="1440"/>
            <w:shd w:fill="FFDCE0" w:val="clear"/>
          </w:tcPr>
          <w:p>
            <w:r>
              <w:rPr>
                <w:sz w:val="17"/>
              </w:rPr>
              <w:t>47</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2026-09-08</w:t>
            </w:r>
          </w:p>
        </w:tc>
        <w:tc>
          <w:tcPr>
            <w:tcW w:type="dxa" w:w="1440"/>
            <w:shd w:fill="FFDCE0" w:val="clear"/>
          </w:tcPr>
          <w:p>
            <w:r>
              <w:rPr>
                <w:sz w:val="17"/>
              </w:rPr>
              <w:t>28</w:t>
            </w:r>
          </w:p>
        </w:tc>
        <w:tc>
          <w:tcPr>
            <w:tcW w:type="dxa" w:w="1440"/>
            <w:shd w:fill="FFDCE0" w:val="clear"/>
          </w:tcPr>
          <w:p>
            <w:r>
              <w:rPr>
                <w:b/>
                <w:sz w:val="17"/>
              </w:rPr>
              <w:t>36</w:t>
            </w:r>
          </w:p>
        </w:tc>
        <w:tc>
          <w:tcPr>
            <w:tcW w:type="dxa" w:w="1440"/>
            <w:shd w:fill="FFDCE0" w:val="clear"/>
          </w:tcPr>
          <w:p>
            <w:r>
              <w:rPr>
                <w:sz w:val="17"/>
              </w:rPr>
              <w:t>44</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2026-09-09</w:t>
            </w:r>
          </w:p>
        </w:tc>
        <w:tc>
          <w:tcPr>
            <w:tcW w:type="dxa" w:w="1440"/>
            <w:shd w:fill="FFDCE0" w:val="clear"/>
          </w:tcPr>
          <w:p>
            <w:r>
              <w:rPr>
                <w:sz w:val="17"/>
              </w:rPr>
              <w:t>25</w:t>
            </w:r>
          </w:p>
        </w:tc>
        <w:tc>
          <w:tcPr>
            <w:tcW w:type="dxa" w:w="1440"/>
            <w:shd w:fill="FFDCE0" w:val="clear"/>
          </w:tcPr>
          <w:p>
            <w:r>
              <w:rPr>
                <w:b/>
                <w:sz w:val="17"/>
              </w:rPr>
              <w:t>33</w:t>
            </w:r>
          </w:p>
        </w:tc>
        <w:tc>
          <w:tcPr>
            <w:tcW w:type="dxa" w:w="1440"/>
            <w:shd w:fill="FFDCE0" w:val="clear"/>
          </w:tcPr>
          <w:p>
            <w:r>
              <w:rPr>
                <w:sz w:val="17"/>
              </w:rPr>
              <w:t>41</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2026-09-10</w:t>
            </w:r>
          </w:p>
        </w:tc>
        <w:tc>
          <w:tcPr>
            <w:tcW w:type="dxa" w:w="1440"/>
            <w:shd w:fill="FFDCE0" w:val="clear"/>
          </w:tcPr>
          <w:p>
            <w:r>
              <w:rPr>
                <w:sz w:val="17"/>
              </w:rPr>
              <w:t>23</w:t>
            </w:r>
          </w:p>
        </w:tc>
        <w:tc>
          <w:tcPr>
            <w:tcW w:type="dxa" w:w="1440"/>
            <w:shd w:fill="FFDCE0" w:val="clear"/>
          </w:tcPr>
          <w:p>
            <w:r>
              <w:rPr>
                <w:b/>
                <w:sz w:val="17"/>
              </w:rPr>
              <w:t>31</w:t>
            </w:r>
          </w:p>
        </w:tc>
        <w:tc>
          <w:tcPr>
            <w:tcW w:type="dxa" w:w="1440"/>
            <w:shd w:fill="FFDCE0" w:val="clear"/>
          </w:tcPr>
          <w:p>
            <w:r>
              <w:rPr>
                <w:sz w:val="17"/>
              </w:rPr>
              <w:t>38</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C6EFCE" w:val="clear"/>
          </w:tcPr>
          <w:p>
            <w:r>
              <w:rPr>
                <w:b/>
                <w:color w:val="006400"/>
                <w:sz w:val="17"/>
              </w:rPr>
              <w:t>3280.341 Mds FCFA</w:t>
            </w:r>
          </w:p>
        </w:tc>
        <w:tc>
          <w:tcPr>
            <w:tcW w:type="dxa" w:w="5669"/>
            <w:shd w:fill="FFFFFF" w:val="clear"/>
          </w:tcPr>
          <w:p>
            <w:r>
              <w:rPr>
                <w:color w:val="282828"/>
                <w:sz w:val="15"/>
              </w:rPr>
              <w:t>Représente 17.0% du bilan. ✅ Réserves confortables, bonne capacité à honorer les réserves obligatoires.</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1271.816 Mds FCFA</w:t>
            </w:r>
          </w:p>
        </w:tc>
        <w:tc>
          <w:tcPr>
            <w:tcW w:type="dxa" w:w="5669"/>
            <w:shd w:fill="FFFFFF" w:val="clear"/>
          </w:tcPr>
          <w:p>
            <w:r>
              <w:rPr>
                <w:color w:val="282828"/>
                <w:sz w:val="15"/>
              </w:rPr>
              <w:t>Titres d'État détenus (6.6%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1611.202 Mds FCFA</w:t>
            </w:r>
          </w:p>
        </w:tc>
        <w:tc>
          <w:tcPr>
            <w:tcW w:type="dxa" w:w="5669"/>
            <w:shd w:fill="FFFFFF" w:val="clear"/>
          </w:tcPr>
          <w:p>
            <w:r>
              <w:rPr>
                <w:color w:val="282828"/>
                <w:sz w:val="15"/>
              </w:rPr>
              <w:t>Prêts aux autres banques (8.4%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6570.385 Mds FCFA</w:t>
            </w:r>
          </w:p>
        </w:tc>
        <w:tc>
          <w:tcPr>
            <w:tcW w:type="dxa" w:w="5669"/>
            <w:shd w:fill="FFFFFF" w:val="clear"/>
          </w:tcPr>
          <w:p>
            <w:r>
              <w:rPr>
                <w:color w:val="282828"/>
                <w:sz w:val="15"/>
              </w:rPr>
              <w:t>Portefeuille crédits (34.1%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22.254 Mds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373.043 Mds FCFA</w:t>
            </w:r>
          </w:p>
        </w:tc>
        <w:tc>
          <w:tcPr>
            <w:tcW w:type="dxa" w:w="5669"/>
            <w:shd w:fill="FFFFFF" w:val="clear"/>
          </w:tcPr>
          <w:p>
            <w:r>
              <w:rPr>
                <w:color w:val="282828"/>
                <w:sz w:val="15"/>
              </w:rPr>
              <w:t>Outil industriel (1.9%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19243.865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1334.755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-257.103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1597.846 Mds FCFA</w:t>
            </w:r>
          </w:p>
        </w:tc>
        <w:tc>
          <w:tcPr>
            <w:tcW w:type="dxa" w:w="5669"/>
            <w:shd w:fill="FFFFFF" w:val="clear"/>
          </w:tcPr>
          <w:p>
            <w:r>
              <w:rPr>
                <w:color w:val="282828"/>
                <w:sz w:val="15"/>
              </w:rPr>
              <w:t>Fonds propres = 8.3%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2600.855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1458.592 Mds FCFA</w:t>
            </w:r>
          </w:p>
        </w:tc>
        <w:tc>
          <w:tcPr>
            <w:tcW w:type="dxa" w:w="5669"/>
            <w:shd w:fill="FFFFFF" w:val="clear"/>
          </w:tcPr>
          <w:p>
            <w:r>
              <w:rPr>
                <w:color w:val="282828"/>
                <w:sz w:val="15"/>
              </w:rPr>
              <w:t>Refinancement interbancaire (7.6%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14120.139 Mds FCFA</w:t>
            </w:r>
          </w:p>
        </w:tc>
        <w:tc>
          <w:tcPr>
            <w:tcW w:type="dxa" w:w="5669"/>
            <w:shd w:fill="FFFFFF" w:val="clear"/>
          </w:tcPr>
          <w:p>
            <w:r>
              <w:rPr>
                <w:color w:val="282828"/>
                <w:sz w:val="15"/>
              </w:rPr>
              <w:t>Dépôts clients = 73.4%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1003.009 Mds FCFA</w:t>
            </w:r>
          </w:p>
        </w:tc>
        <w:tc>
          <w:tcPr>
            <w:tcW w:type="dxa" w:w="5669"/>
            <w:shd w:fill="FFFFFF" w:val="clear"/>
          </w:tcPr>
          <w:p>
            <w:r>
              <w:rPr>
                <w:color w:val="282828"/>
                <w:sz w:val="15"/>
              </w:rPr>
              <w:t>Dette LT/MT = 63%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2461.601 Mds FCFA</w:t>
            </w:r>
          </w:p>
        </w:tc>
        <w:tc>
          <w:tcPr>
            <w:tcW w:type="dxa" w:w="5669"/>
            <w:shd w:fill="FFFFFF" w:val="clear"/>
          </w:tcPr>
          <w:p>
            <w:r>
              <w:rPr>
                <w:color w:val="282828"/>
                <w:sz w:val="15"/>
              </w:rPr>
              <w:t>Dette financière totale = 154%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17646.019 Mds FCFA</w:t>
            </w:r>
          </w:p>
        </w:tc>
        <w:tc>
          <w:tcPr>
            <w:tcW w:type="dxa" w:w="5669"/>
            <w:shd w:fill="FFFFFF" w:val="clear"/>
          </w:tcPr>
          <w:p>
            <w:r>
              <w:rPr>
                <w:color w:val="282828"/>
                <w:sz w:val="15"/>
              </w:rPr>
              <w:t>Dettes totales = 91.7%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1424.261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1424.261 Mds FCFA</w:t>
            </w:r>
          </w:p>
        </w:tc>
        <w:tc>
          <w:tcPr>
            <w:tcW w:type="dxa" w:w="5669"/>
            <w:shd w:fill="FFFFFF" w:val="clear"/>
          </w:tcPr>
          <w:p>
            <w:r>
              <w:rPr>
                <w:color w:val="282828"/>
                <w:sz w:val="15"/>
              </w:rPr>
              <w:t>Revenu bancaire central (≡ CA). Croissance: 12.5%.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1219.618 Mds FCFA</w:t>
            </w:r>
          </w:p>
        </w:tc>
        <w:tc>
          <w:tcPr>
            <w:tcW w:type="dxa" w:w="5669"/>
            <w:shd w:fill="FFFFFF" w:val="clear"/>
          </w:tcPr>
          <w:p>
            <w:r>
              <w:rPr>
                <w:color w:val="282828"/>
                <w:sz w:val="15"/>
              </w:rPr>
              <w:t>Revenus d'intérêts sur crédits (86%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-398.927 Mds FCFA</w:t>
            </w:r>
          </w:p>
        </w:tc>
        <w:tc>
          <w:tcPr>
            <w:tcW w:type="dxa" w:w="5669"/>
            <w:shd w:fill="FFFFFF" w:val="clear"/>
          </w:tcPr>
          <w:p>
            <w:r>
              <w:rPr>
                <w:color w:val="282828"/>
                <w:sz w:val="15"/>
              </w:rPr>
              <w:t>Coût des dépôts collectés (-28%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393.171 Mds FCFA</w:t>
            </w:r>
          </w:p>
        </w:tc>
        <w:tc>
          <w:tcPr>
            <w:tcW w:type="dxa" w:w="5669"/>
            <w:shd w:fill="FFFFFF" w:val="clear"/>
          </w:tcPr>
          <w:p>
            <w:r>
              <w:rPr>
                <w:color w:val="282828"/>
                <w:sz w:val="15"/>
              </w:rPr>
              <w:t>Revenus de commissions (27.6%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006400"/>
                <w:sz w:val="17"/>
              </w:rPr>
              <w:t>342.712 Mds FCFA</w:t>
            </w:r>
          </w:p>
        </w:tc>
        <w:tc>
          <w:tcPr>
            <w:tcW w:type="dxa" w:w="5669"/>
            <w:shd w:fill="FFFFFF" w:val="clear"/>
          </w:tcPr>
          <w:p>
            <w:r>
              <w:rPr>
                <w:color w:val="282828"/>
                <w:sz w:val="15"/>
              </w:rPr>
              <w:t>24.1%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46.765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298.949 Mds FCFA</w:t>
            </w:r>
          </w:p>
        </w:tc>
        <w:tc>
          <w:tcPr>
            <w:tcW w:type="dxa" w:w="5669"/>
            <w:shd w:fill="FFFFFF" w:val="clear"/>
          </w:tcPr>
          <w:p>
            <w:r>
              <w:rPr>
                <w:color w:val="282828"/>
                <w:sz w:val="15"/>
              </w:rPr>
              <w:t>Masse salariale = 21.0% des revenus. ✅ Productivité par employé satisfaisante.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735.835 Mds FCFA</w:t>
            </w:r>
          </w:p>
        </w:tc>
        <w:tc>
          <w:tcPr>
            <w:tcW w:type="dxa" w:w="5669"/>
            <w:shd w:fill="FFFFFF" w:val="clear"/>
          </w:tcPr>
          <w:p>
            <w:r>
              <w:rPr>
                <w:color w:val="282828"/>
                <w:sz w:val="15"/>
              </w:rPr>
              <w:t>RBE = 51.7%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465.618 Mds FCFA</w:t>
            </w:r>
          </w:p>
        </w:tc>
        <w:tc>
          <w:tcPr>
            <w:tcW w:type="dxa" w:w="5669"/>
            <w:shd w:fill="FFFFFF" w:val="clear"/>
          </w:tcPr>
          <w:p>
            <w:r>
              <w:rPr>
                <w:color w:val="282828"/>
                <w:sz w:val="15"/>
              </w:rPr>
              <w:t>Profit d'exploitation = 32.7%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-270.217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345.523 Mds FCFA</w:t>
            </w:r>
          </w:p>
        </w:tc>
        <w:tc>
          <w:tcPr>
            <w:tcW w:type="dxa" w:w="5669"/>
            <w:shd w:fill="FFFFFF" w:val="clear"/>
          </w:tcPr>
          <w:p>
            <w:r>
              <w:rPr>
                <w:color w:val="282828"/>
                <w:sz w:val="15"/>
              </w:rPr>
              <w:t>Marge nette = 24.3%.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654.473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-311.226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-275.366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343.247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51.66%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24.26%</w:t>
            </w:r>
          </w:p>
        </w:tc>
        <w:tc>
          <w:tcPr>
            <w:tcW w:type="dxa" w:w="5669"/>
            <w:shd w:fill="FFFFFF" w:val="clear"/>
          </w:tcPr>
          <w:p>
            <w:r>
              <w:rPr>
                <w:color w:val="282828"/>
                <w:sz w:val="15"/>
              </w:rPr>
              <w:t>Résultat net / revenus = 24.26%.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32.69%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21.62%</w:t>
            </w:r>
          </w:p>
        </w:tc>
        <w:tc>
          <w:tcPr>
            <w:tcW w:type="dxa" w:w="5669"/>
            <w:shd w:fill="FFFFFF" w:val="clear"/>
          </w:tcPr>
          <w:p>
            <w:r>
              <w:rPr>
                <w:color w:val="282828"/>
                <w:sz w:val="15"/>
              </w:rPr>
              <w:t>Résultat net / capitaux propres = 21.62%.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1.80%</w:t>
            </w:r>
          </w:p>
        </w:tc>
        <w:tc>
          <w:tcPr>
            <w:tcW w:type="dxa" w:w="5669"/>
            <w:shd w:fill="FFFFFF" w:val="clear"/>
          </w:tcPr>
          <w:p>
            <w:r>
              <w:rPr>
                <w:color w:val="282828"/>
                <w:sz w:val="15"/>
              </w:rPr>
              <w:t>Résultat net / total actif = 1.80%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7.40%</w:t>
            </w:r>
          </w:p>
        </w:tc>
        <w:tc>
          <w:tcPr>
            <w:tcW w:type="dxa" w:w="5669"/>
            <w:shd w:fill="FFFFFF" w:val="clear"/>
          </w:tcPr>
          <w:p>
            <w:r>
              <w:rPr>
                <w:color w:val="282828"/>
                <w:sz w:val="15"/>
              </w:rPr>
              <w:t>CA / total actif = 7.40x.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27.35%</w:t>
            </w:r>
          </w:p>
        </w:tc>
        <w:tc>
          <w:tcPr>
            <w:tcW w:type="dxa" w:w="5669"/>
            <w:shd w:fill="FFFFFF" w:val="clear"/>
          </w:tcPr>
          <w:p>
            <w:r>
              <w:rPr>
                <w:color w:val="282828"/>
                <w:sz w:val="15"/>
              </w:rPr>
              <w:t>Charges / PNB = 27.35%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18.97%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12.45%</w:t>
            </w:r>
          </w:p>
        </w:tc>
        <w:tc>
          <w:tcPr>
            <w:tcW w:type="dxa" w:w="5669"/>
            <w:shd w:fill="FFFFFF" w:val="clear"/>
          </w:tcPr>
          <w:p>
            <w:r>
              <w:rPr>
                <w:color w:val="282828"/>
                <w:sz w:val="15"/>
              </w:rPr>
              <w:t>Croissance PNB vs exercice précédent = 12.45%.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8.30%</w:t>
            </w:r>
          </w:p>
        </w:tc>
        <w:tc>
          <w:tcPr>
            <w:tcW w:type="dxa" w:w="5669"/>
            <w:shd w:fill="FFFFFF" w:val="clear"/>
          </w:tcPr>
          <w:p>
            <w:r>
              <w:rPr>
                <w:color w:val="282828"/>
                <w:sz w:val="15"/>
              </w:rPr>
              <w:t>Fonds propres / total bilan = 8.30%.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91.70%</w:t>
            </w:r>
          </w:p>
        </w:tc>
        <w:tc>
          <w:tcPr>
            <w:tcW w:type="dxa" w:w="5669"/>
            <w:shd w:fill="FFFFFF" w:val="clear"/>
          </w:tcPr>
          <w:p>
            <w:r>
              <w:rPr>
                <w:color w:val="282828"/>
                <w:sz w:val="15"/>
              </w:rPr>
              <w:t>Dettes financières / total bilan = 91.70%.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154.06%</w:t>
            </w:r>
          </w:p>
        </w:tc>
        <w:tc>
          <w:tcPr>
            <w:tcW w:type="dxa" w:w="5669"/>
            <w:shd w:fill="FFFFFF" w:val="clear"/>
          </w:tcPr>
          <w:p>
            <w:r>
              <w:rPr>
                <w:color w:val="282828"/>
                <w:sz w:val="15"/>
              </w:rPr>
              <w:t>Dettes totales / fonds propres = 154.06%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109.05%</w:t>
            </w:r>
          </w:p>
        </w:tc>
        <w:tc>
          <w:tcPr>
            <w:tcW w:type="dxa" w:w="5669"/>
            <w:shd w:fill="FFFFFF" w:val="clear"/>
          </w:tcPr>
          <w:p>
            <w:r>
              <w:rPr>
                <w:color w:val="282828"/>
                <w:sz w:val="15"/>
              </w:rPr>
              <w:t>Total actif / dettes totales = 109.05x. ✅ Solvable.</w:t>
            </w:r>
          </w:p>
        </w:tc>
      </w:tr>
      <w:tr>
        <w:tc>
          <w:tcPr>
            <w:tcW w:type="dxa" w:w="2268"/>
            <w:shd w:fill="EEF2F7" w:val="clear"/>
          </w:tcPr>
          <w:p>
            <w:r>
              <w:rPr>
                <w:b/>
                <w:color w:val="1E1E3C"/>
                <w:sz w:val="16"/>
              </w:rPr>
              <w:t>Couverture des intérêts</w:t>
            </w:r>
          </w:p>
        </w:tc>
        <w:tc>
          <w:tcPr>
            <w:tcW w:type="dxa" w:w="1984"/>
            <w:shd w:fill="FFEB9C" w:val="clear"/>
          </w:tcPr>
          <w:p>
            <w:r>
              <w:rPr>
                <w:b/>
                <w:color w:val="006400"/>
                <w:sz w:val="17"/>
              </w:rPr>
              <w:t>116.72%</w:t>
            </w:r>
          </w:p>
        </w:tc>
        <w:tc>
          <w:tcPr>
            <w:tcW w:type="dxa" w:w="5669"/>
            <w:shd w:fill="FFFFFF" w:val="clear"/>
          </w:tcPr>
          <w:p>
            <w:r>
              <w:rPr>
                <w:color w:val="282828"/>
                <w:sz w:val="15"/>
              </w:rPr>
              <w:t>Résultat exploit. / charges financières = 116.72x. ⚠️ Couverture limite — sensible aux hausses de taux.</w:t>
            </w:r>
          </w:p>
        </w:tc>
      </w:tr>
    </w:tbl>
    <w:p/>
    <w:p>
      <w:pPr>
        <w:spacing w:after="120" w:line="276" w:lineRule="auto"/>
      </w:pPr>
      <w:r>
        <w:t>**RAPPORT D'ANALYSE FINANCIÈRE — ETIT (ECOBANK TRANSNATIONAL INCORPORATED)**</w:t>
        <w:br/>
        <w:t>**Date de l'analyse : 27 août 2026**</w:t>
        <w:br/>
        <w:t>**Cours de référence : 67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d'ETIT s'établit à 1 211,64 milliards FCFA, ce qui en fait l'une des toutes premières capitalisations de la BRVM, conférant au titre un poids systémique dans l'indice. Avec un BPA de 19 FCFA, le titre se négocie à un PER de 3,5x, très inférieur à la moyenne historique de la BRVM (8-12x), signalant une sous-évaluation potentielle du bénéfice par action. Le P/B de 0,76x indique que le marché valorise le titre sous sa valeur comptable, une situation souvent associée à une décote injustifiée ou à une méfiance des investisseurs. Enfin, un EV/EBITDA de 5,0x confirme que la valeur totale de l'entreprise reste très raisonnable par rapport à sa capacité opérationnelle de génération de cash-flow. Ces ratios combinés suggèrent une valorisation intrinsèquement attractive.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ETIT a connu une progression spectaculaire de +103,03 %, passant d'un plus bas de 26 FCFA à un plus haut de 78 FCFA, avec un cours actuel de 67 FCFA. La variation de +3,08 % sur la dernière séance confirme une dynamique haussière toujours active. La moyenne du cours sur la période est de 45 FCFA, tandis que la médiane est de 34 FCFA ; cet écart important (moyenne &gt; médiane) indique une distribution asymétrique positive (skewness de 0,550), signifiant que le titre a passé plus de temps sous sa moyenne, avec des poussées haussières récentes. L'écart-type de 17 FCFA (CV de 38,5 %) témoigne d'une dispersion élevée, et le kurtosis de -1,488 (platykurtique) suggère une distribution aplatie, sans pics extrêmes. La volatilité annualisée de 65,1 % classe le titre comme extrêmement volatil, un niveau bien supérieur au seuil de 30 % considéré comme élevé, ce qui implique un risque de marché substantiel.</w:t>
      </w:r>
    </w:p>
    <w:p>
      <w:pPr>
        <w:spacing w:after="120" w:line="276" w:lineRule="auto"/>
      </w:pPr>
      <w:r>
        <w:t>---</w:t>
      </w:r>
    </w:p>
    <w:p>
      <w:pPr>
        <w:spacing w:after="120" w:line="276" w:lineRule="auto"/>
      </w:pPr>
      <w:r>
        <w:t>### PARTIE 2 : ANALYSE TECHNIQUE DÉTAILLÉE</w:t>
      </w:r>
    </w:p>
    <w:p>
      <w:pPr>
        <w:spacing w:after="120" w:line="276" w:lineRule="auto"/>
      </w:pPr>
      <w:r>
        <w:t>**Moyennes Mobiles :** Les moyennes mobiles sur 20 jours (66,4 FCFA) et sur 50 jours (59,1 FCFA) sont toutes deux inférieures au cours actuel de 67 FCFA, et la MM20 est au-dessus de la MM50. Cette configuration en "courbe ascendante" est un signal haussier classique, confirmant la tendance de fond positive. La décision est donc un **Achat**.</w:t>
      </w:r>
    </w:p>
    <w:p>
      <w:pPr>
        <w:spacing w:after="120" w:line="276" w:lineRule="auto"/>
      </w:pPr>
      <w:r>
        <w:t>**Bandes de Bollinger :** Le cours se situe à 67 FCFA, à l'intérieur des bandes (borne supérieure à 69,67 FCFA, borne inférieure à 63,13 FCFA). La position proche de la borne supérieure indique une pression acheteuse soutenue, mais sans franchissement, ce qui suggère une phase de consolidation ou de légère surchauffe. La décision est **Neutre**, avec une vigilance sur une possible sortie par le haut.</w:t>
      </w:r>
    </w:p>
    <w:p>
      <w:pPr>
        <w:spacing w:after="120" w:line="276" w:lineRule="auto"/>
      </w:pPr>
      <w:r>
        <w:t>**MACD :** La valeur du MACD (1,501) est inférieure à sa ligne de signal (2,284), formant une divergence négative. Ce croisement baissier indique un ralentissement du momentum haussier à court terme, signalant une possible correction ou consolidation. La décision est **Vente**.</w:t>
      </w:r>
    </w:p>
    <w:p>
      <w:pPr>
        <w:spacing w:after="120" w:line="276" w:lineRule="auto"/>
      </w:pPr>
      <w:r>
        <w:t>**RSI :** Le RSI est à 56,0, une valeur neutre située dans la zone médiane (30-70). Le titre n'est ni suracheté ni survendu, ce qui laisse de la marge pour une poursuite de la hausse ou une baisse sans signal extrême. La décision est **Neutre**.</w:t>
      </w:r>
    </w:p>
    <w:p>
      <w:pPr>
        <w:spacing w:after="120" w:line="276" w:lineRule="auto"/>
      </w:pPr>
      <w:r>
        <w:t>**Stochastique :** Le %K (50,0) est supérieur au %D (43,333), indiquant un croisement haussier récent. Cependant, les deux lignes restent en zone neutre, ce qui limite la force du signal. La décision est **Neutre**.</w:t>
      </w:r>
    </w:p>
    <w:p>
      <w:pPr>
        <w:spacing w:after="120" w:line="276" w:lineRule="auto"/>
      </w:pPr>
      <w:r>
        <w:t>**Conclusion technique :** La tendance de fond reste haussière, soutenue par les moyennes mobiles, mais les indicateurs de momentum (MACD, RSI, Stochastique) montrent des signes de fatigue ou de neutralité. Le titre semble entrer dans une phase de consolidation après une forte hausse, avec un biais haussier à moyen terme mais un risque de repli technique à court terme.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annuelles font état d'un Produit Net Bancaire (PNB) de 1 424,261 milliards FCFA, en croissance de 12,45 % par rapport à l'exercice précédent. Le résultat net s'établit à 345,523 milliards FCFA, portant la marge nette à 24,26 %. La rentabilité des fonds propres (ROE) est excellente à 21,62 %, et le ROA de 1,80 % est sain pour le secteur. Le coefficient d'exploitation de 27,35 % est exceptionnellement bas, démontrant une efficacité opérationnelle remarquable, bien en deçà du seuil de 60 % considéré comme bon. Le coût du risque, à 18,97 % des charges financières, reste élevé, reflétant un environnement de crédit difficile. Les dépôts clientèle (14 120,139 Mds FCFA) couvrent largement les créances sur la clientèle (6 570,385 Mds FCFA), indiquant une transformation saine et une forte liquidité. Les rapports narratifs confirment cette dynamique : le rapport semestriel 2026 (analysé par DeepSeek le 30/07/2026) fait état d'un PNB en hausse de 15 % à 721,318 milliards FCFA, avec un résultat net de 166,682 milliards FCFA (+6 %). Le rapport du T1 2026 montre une accélération avec un PNB en hausse de 23 %. Sur la base de ces performances semestrielles et trimestrielles, on estime que l'exercice 2026 devrait voir un PNB dépasser les 1 600 milliards FCFA et un résultat net supérieur à 380 milliards FCFA, confirmant la solidité et la croissance du groupe.</w:t>
      </w:r>
    </w:p>
    <w:p>
      <w:pPr>
        <w:spacing w:after="120" w:line="276" w:lineRule="auto"/>
      </w:pPr>
      <w:r>
        <w:t>---</w:t>
      </w:r>
    </w:p>
    <w:p>
      <w:pPr>
        <w:spacing w:after="120" w:line="276" w:lineRule="auto"/>
      </w:pPr>
      <w:r>
        <w:t>### PARTIE 4 : CONCLUSION D'INVESTISSEMENT</w:t>
      </w:r>
    </w:p>
    <w:p>
      <w:pPr>
        <w:spacing w:after="120" w:line="276" w:lineRule="auto"/>
      </w:pPr>
      <w:r>
        <w:t>La valorisation d'ETIT est extrêmement attractive (PER de 3,5x, P/B de 0,76x, EV/EBITDA de 5,0x), indiquant une nette sous-évaluation par rapport aux fondamentaux. Le comportement du cours sur 100 jours est très positif (+103 %), mais la volatilité de 65,1 % et les statistiques (kurtosis platykurtique, skewness positif) suggèrent un risque élevé et une distribution des rendements atypique. Les signaux techniques sont mitigés : la tendance de fond est haussière (MM), mais le MACD en divergence négative et le RSI neutre appellent à la prudence à court terme. Les fondamentaux sont excellents, avec une croissance soutenue du PNB et une rentabilité élevée, bien que le coût du risque reste un point de vigilance. Les prédictions IA pour les 10 prochains jours (62, 57, 53, 49, 45 FCFA) anticipent une correction brutale de plus de 30 %, contredisant fortement la tendance haussière récente. Cette divergence entre les prédictions IA et les signaux techniques/fondamentaux suggère un scénario de consolidation ou de correction à court terme.</w:t>
      </w:r>
    </w:p>
    <w:p>
      <w:pPr>
        <w:spacing w:after="120" w:line="276" w:lineRule="auto"/>
      </w:pPr>
      <w:r>
        <w:t>**Recommandation finale : CONSERVER**</w:t>
        <w:br/>
        <w:t>- **Justification :** Les fondamentaux solides et la valorisation attractive soutiennent le titre à moyen/long terme, mais les signaux techniques mitigés et les prédictions IA baissières à court terme recommandent de ne pas initier de nouvelle position à ce niveau de prix.</w:t>
        <w:br/>
        <w:t>- **Niveau de confiance :** Moyen</w:t>
        <w:br/>
        <w:t>- **Niveau de risque global :** Élevé (volatilité extrême)</w:t>
        <w:br/>
        <w:t>- **Horizon d'investissement optimal :** Moyen terme (3-12 mois), en attendant une stabilisation du cours ou une confirmation de la poursuite de la tendance haussière après la correction anticipée.</w:t>
      </w:r>
    </w:p>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"Le groupe affiche une croissance solide de son produit net bancaire (+15%) et une am\u00e9lioration de son efficacit\u00e9 op\u00e9rationnelle et de la qualit\u00e9 de ses actifs, avec un BPA en hausse. La confiance de la direction et les investissements technologiques soutiennent les perspectives, justifiant une position d'achat en attendant la poursuite de la cr\u00e9ation de valeur."}</w:t>
      </w:r>
    </w:p>
    <w:p>
      <w:pPr>
        <w:spacing w:before="40"/>
        <w:ind w:left="400"/>
      </w:pPr>
      <w:r>
        <w:rPr>
          <w:sz w:val="18"/>
        </w:rPr>
        <w:t xml:space="preserve">L'examen limité de Grant Thornton conclut à la sincérité des états financiers intermédiaires consolidés du groupe Ecobank Transnational Incorporated (ETI) au 30 juin 2026, conformément aux normes IFRS. Le produit net bancaire progresse de 15% à 1,28 milliard de dollars EU (721,3 milliards FCFA), grâce aux activités CIB et CCB. Le résultat net consolidé s'établit à 296,1 millions de dollars EU, en hausse de 6%, et le bénéfice par action à 0,80 dollar EU (+2%). Le coefficient d'exploitation s'améliore à 48,4% et le ratio de prêts non performants recule à 7,6%, malgré une hausse de 40% du coût du risque. Le total bilan s'élève à 35,64 milliards de dollars EU au 30 juin 2026, et la direction 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{'bpa': '0,80 $EU (4,53 FCFA)', 'variation_pnb': '+15%', 'depots_clientele': '26 991 677 milliers $EU (15 539 213 millions FCFA)', 'resultat_avant_impot': '422 988 milliers $EU (238 118 millions FCFA)', 'coefficient_exploitation': '48,4%', 'resultat_net_part_du_groupe': '197 957 milliers $EU (111 438 millions FCFA)', 'produit_net_bancaire_s1_2025': '1 116 569 milliers $EU (671 278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 (20 519 415 millions FCFA)</w:t>
            </w:r>
          </w:p>
        </w:tc>
      </w:tr>
      <w:tr>
        <w:tc>
          <w:tcPr>
            <w:tcW w:type="dxa" w:w="2160"/>
          </w:tcPr>
          <w:p>
            <w:r/>
            <w:r>
              <w:rPr>
                <w:b/>
                <w:sz w:val="16"/>
              </w:rPr>
              <w:t>resultat_net</w:t>
              <w:br/>
            </w:r>
            <w:r>
              <w:rPr>
                <w:sz w:val="18"/>
              </w:rPr>
              <w:t>296 091 milliers $EU (166 682 millions FCFA)</w:t>
            </w:r>
          </w:p>
        </w:tc>
        <w:tc>
          <w:tcPr>
            <w:tcW w:type="dxa" w:w="2160"/>
          </w:tcPr>
          <w:p>
            <w:r/>
            <w:r>
              <w:rPr>
                <w:b/>
                <w:sz w:val="16"/>
              </w:rPr>
              <w:t>capitaux_propres</w:t>
              <w:br/>
            </w:r>
            <w:r>
              <w:rPr>
                <w:sz w:val="18"/>
              </w:rPr>
              <w:t>2 740 646 milliers $EU (1 577 802 millions FCFA)</w:t>
            </w:r>
          </w:p>
        </w:tc>
        <w:tc>
          <w:tcPr>
            <w:tcW w:type="dxa" w:w="2160"/>
          </w:tcPr>
          <w:p>
            <w:r/>
            <w:r>
              <w:rPr>
                <w:b/>
                <w:sz w:val="16"/>
              </w:rPr>
              <w:t>chiffre_affaires</w:t>
              <w:br/>
            </w:r>
            <w:r>
              <w:rPr>
                <w:sz w:val="18"/>
              </w:rPr>
              <w:t>1 281 330 milliers $EU (721 318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1 281,3 millions $EU (721 318 millions FCFA) sur le S1 2026.</w:t>
      </w:r>
    </w:p>
    <w:p>
      <w:pPr>
        <w:pStyle w:val="ListBullet"/>
        <w:spacing w:before="20" w:after="20"/>
        <w:ind w:left="700"/>
      </w:pPr>
      <w:r>
        <w:rPr>
          <w:sz w:val="18"/>
        </w:rPr>
        <w:t>Résultat avant impôt en progression de 6% à 422,9 millions $EU; résultat net consolidé +6% à 296,1 millions $EU.</w:t>
      </w:r>
    </w:p>
    <w:p>
      <w:pPr>
        <w:pStyle w:val="ListBullet"/>
        <w:spacing w:before="20" w:after="20"/>
        <w:ind w:left="700"/>
      </w:pPr>
      <w:r>
        <w:rPr>
          <w:sz w:val="18"/>
        </w:rPr>
        <w:t>Bénéfice par action de 0,80 $EU (+2%) et valeur comptable tangible par action en hausse de 24%.</w:t>
      </w:r>
    </w:p>
    <w:p>
      <w:pPr>
        <w:pStyle w:val="ListBullet"/>
        <w:spacing w:before="20" w:after="20"/>
        <w:ind w:left="700"/>
      </w:pPr>
      <w:r>
        <w:rPr>
          <w:sz w:val="18"/>
        </w:rPr>
        <w:t>Coefficient d'exploitation amélioré à 48,4%, reflétant une discipline opérationnelle renforcée.</w:t>
      </w:r>
    </w:p>
    <w:p>
      <w:pPr>
        <w:pStyle w:val="ListBullet"/>
        <w:spacing w:before="20" w:after="20"/>
        <w:ind w:left="700"/>
      </w:pPr>
      <w:r>
        <w:rPr>
          <w:sz w:val="18"/>
        </w:rPr>
        <w:t>Coût du risque en hausse de 40% à 238,0 millions $EU, avec un ratio de prêts non performants en baisse à 7,6%.</w:t>
      </w:r>
    </w:p>
    <w:p>
      <w:pPr>
        <w:pStyle w:val="ListBullet"/>
        <w:spacing w:before="20" w:after="20"/>
        <w:ind w:left="700"/>
      </w:pPr>
      <w:r>
        <w:rPr>
          <w:sz w:val="18"/>
        </w:rPr>
        <w:t>Dépôts de la clientèle en augmentation de 7% à 26 991,7 millions $EU, soutenus par les dépôts à faible coût (CASA).</w:t>
      </w:r>
    </w:p>
    <w:p>
      <w:pPr>
        <w:spacing w:before="40"/>
        <w:ind w:left="400"/>
      </w:pPr>
      <w:r>
        <w:rPr>
          <w:b/>
          <w:color w:val="C05000"/>
          <w:sz w:val="18"/>
        </w:rPr>
        <w:t xml:space="preserve">⚠️ Risques : </w:t>
      </w:r>
      <w:r>
        <w:rPr>
          <w:sz w:val="18"/>
        </w:rPr>
        <w:t>["Hausse significative du co\u00fbt du risque (+40% en glissement annuel), li\u00e9e aux provisions sur actifs financiers.", "Tensions g\u00e9opolitiques et hausse des prix de l'\u00e9nergie dans plusieurs march\u00e9s africains, pouvant peser sur l'activit\u00e9 et la qualit\u00e9 des actifs.", "Ni</w:t>
      </w:r>
    </w:p>
    <w:p>
      <w:pPr>
        <w:spacing w:before="40"/>
        <w:ind w:left="400"/>
      </w:pPr>
      <w:r>
        <w:rPr>
          <w:b/>
          <w:color w:val="0064A0"/>
          <w:sz w:val="18"/>
        </w:rPr>
        <w:t xml:space="preserve">🔮 Perspectives : </w:t>
      </w:r>
      <w:r>
        <w:rPr>
          <w:sz w:val="18"/>
        </w:rPr>
        <w:t xml:space="preserve">Pour l'exercice 2026, le groupe Ecobank est confiant, porté par la croissance des dépôts à faible coût, la dynamique des activités CIB et CCB et l'amélioration du coefficient d'exploitation. La modernisation technologique (cloud, API, mobile, IA) et le partenariat avec Google devraient renforcer la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semestriels sont solides avec une croissance du PNB de 15% et une am\u00e9lioration de l'efficacit\u00e9 op\u00e9rationnelle. La baisse des pr\u00eats non performants et la confiance affich\u00e9e pour 2026 justifient une opinion positive sur le titre."}</w:t>
      </w:r>
    </w:p>
    <w:p>
      <w:pPr>
        <w:spacing w:before="40"/>
        <w:ind w:left="400"/>
      </w:pPr>
      <w:r>
        <w:rPr>
          <w:sz w:val="18"/>
        </w:rPr>
        <w:t>Ecobank Group (maison mère) publie des résultats semestriels 2026 en hausse. Le produit net bancaire progresse de 15% à 1,28 milliard USD, porté par les activités de banque de grande clientèle et de détail. Le résultat net s'établit à 296 millions USD, en croissance de 6% malgré un coût du risque en forte hausse. La solidité du bilan se confirme avec un total actif de 35,6 milliards USD et des capitaux propres de 2,74 milliards USD. Le groupe se dit confiant pour la fin d'exercice 2026 grâce à sa stratégie GTR et ses investissements technologiques.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{'resultat_net_fcfa': '166 682 millions FCFA', 'resultat_par_action': '0,80 $EU', 'coefficient_exploitation': '48,4%', 'resultat_net_part_groupe': '197 957 milliers $EU', 'produit_net_bancaire_fcfa': '721 318 millions FCFA', 'ratio_prêts_non_performants': '7,6%'}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23.1%</w:t>
            </w:r>
          </w:p>
        </w:tc>
        <w:tc>
          <w:tcPr>
            <w:tcW w:type="dxa" w:w="2160"/>
          </w:tcPr>
          <w:p>
            <w:pPr>
              <w:ind w:left="100"/>
            </w:pPr>
            <w:r/>
            <w:r>
              <w:rPr>
                <w:b/>
                <w:sz w:val="16"/>
              </w:rPr>
              <w:t>total_actif</w:t>
              <w:br/>
            </w:r>
            <w:r>
              <w:rPr>
                <w:sz w:val="18"/>
              </w:rPr>
              <w:t>35 642 304 milliers $EU</w:t>
            </w:r>
          </w:p>
        </w:tc>
      </w:tr>
      <w:tr>
        <w:tc>
          <w:tcPr>
            <w:tcW w:type="dxa" w:w="2160"/>
          </w:tcPr>
          <w:p>
            <w:r/>
            <w:r>
              <w:rPr>
                <w:b/>
                <w:sz w:val="16"/>
              </w:rPr>
              <w:t>resultat_net</w:t>
              <w:br/>
            </w:r>
            <w:r>
              <w:rPr>
                <w:sz w:val="18"/>
              </w:rPr>
              <w:t>296 091 milliers $EU</w:t>
            </w:r>
          </w:p>
        </w:tc>
        <w:tc>
          <w:tcPr>
            <w:tcW w:type="dxa" w:w="2160"/>
          </w:tcPr>
          <w:p>
            <w:r/>
            <w:r>
              <w:rPr>
                <w:b/>
                <w:sz w:val="16"/>
              </w:rPr>
              <w:t>capitaux_propres</w:t>
              <w:br/>
            </w:r>
            <w:r>
              <w:rPr>
                <w:sz w:val="18"/>
              </w:rPr>
              <w:t>2 740 646 milliers $EU</w:t>
            </w:r>
          </w:p>
        </w:tc>
        <w:tc>
          <w:tcPr>
            <w:tcW w:type="dxa" w:w="2160"/>
          </w:tcPr>
          <w:p>
            <w:r/>
            <w:r>
              <w:rPr>
                <w:b/>
                <w:sz w:val="16"/>
              </w:rPr>
              <w:t>chiffre_affaires</w:t>
              <w:br/>
            </w:r>
            <w:r>
              <w:rPr>
                <w:sz w:val="18"/>
              </w:rPr>
              <w:t>1 281 330 milliers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hausse de 15% à 1 281 330 milliers $EU au S1 2026.</w:t>
      </w:r>
    </w:p>
    <w:p>
      <w:pPr>
        <w:pStyle w:val="ListBullet"/>
        <w:spacing w:before="20" w:after="20"/>
        <w:ind w:left="700"/>
      </w:pPr>
      <w:r>
        <w:rPr>
          <w:sz w:val="18"/>
        </w:rPr>
        <w:t>Résultat net consolidé en hausse de 6% à 296 091 milliers $EU.</w:t>
      </w:r>
    </w:p>
    <w:p>
      <w:pPr>
        <w:pStyle w:val="ListBullet"/>
        <w:spacing w:before="20" w:after="20"/>
        <w:ind w:left="700"/>
      </w:pPr>
      <w:r>
        <w:rPr>
          <w:sz w:val="18"/>
        </w:rPr>
        <w:t>Coefficient d'exploitation amélioré à 48,4%.</w:t>
      </w:r>
    </w:p>
    <w:p>
      <w:pPr>
        <w:pStyle w:val="ListBullet"/>
        <w:spacing w:before="20" w:after="20"/>
        <w:ind w:left="700"/>
      </w:pPr>
      <w:r>
        <w:rPr>
          <w:sz w:val="18"/>
        </w:rPr>
        <w:t>Ratio de prêts non performants en baisse à 7,6%.</w:t>
      </w:r>
    </w:p>
    <w:p>
      <w:pPr>
        <w:pStyle w:val="ListBullet"/>
        <w:spacing w:before="20" w:after="20"/>
        <w:ind w:left="700"/>
      </w:pPr>
      <w:r>
        <w:rPr>
          <w:sz w:val="18"/>
        </w:rPr>
        <w:t>Dépôts de la clientèle en hausse de 7% à 26 991 677 milliers $EU.</w:t>
      </w:r>
    </w:p>
    <w:p>
      <w:pPr>
        <w:pStyle w:val="ListBullet"/>
        <w:spacing w:before="20" w:after="20"/>
        <w:ind w:left="700"/>
      </w:pPr>
      <w:r>
        <w:rPr>
          <w:sz w:val="18"/>
        </w:rPr>
        <w:t>Bénéfice par action de 0,80 $EU, en hausse de 2%.</w:t>
      </w:r>
    </w:p>
    <w:p>
      <w:pPr>
        <w:spacing w:before="40"/>
        <w:ind w:left="400"/>
      </w:pPr>
      <w:r>
        <w:rPr>
          <w:b/>
          <w:color w:val="C05000"/>
          <w:sz w:val="18"/>
        </w:rPr>
        <w:t xml:space="preserve">⚠️ Risques : </w:t>
      </w:r>
      <w:r>
        <w:rPr>
          <w:sz w:val="18"/>
        </w:rPr>
        <w:t>["Tensions g\u00e9opolitiques et hausse des prix de l'\u00e9nergie sur plusieurs march\u00e9s.", "Hausse significative du co\u00fbt du risque (+40% par rapport au S1 2025).", "Augmentation des charges d'exploitation et pression sur la marge."]</w:t>
      </w:r>
    </w:p>
    <w:p>
      <w:pPr>
        <w:spacing w:before="40"/>
        <w:ind w:left="400"/>
      </w:pPr>
      <w:r>
        <w:rPr>
          <w:b/>
          <w:color w:val="0064A0"/>
          <w:sz w:val="18"/>
        </w:rPr>
        <w:t xml:space="preserve">🔮 Perspectives : </w:t>
      </w:r>
      <w:r>
        <w:rPr>
          <w:sz w:val="18"/>
        </w:rPr>
        <w:t>Ecobank prévoit de poursuivre sa dynamique positive pour l'exercice 2026, portée par sa stratégie GTR et ses investissements dans la technologie. Le groupe vise à continuer d'améliorer son efficacité opérationnelle et sa rentabilité, tout en maintenant une gestion prudente du risque. L'environnement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croissance solide des revenus et une am\u00e9lioration de l'efficacit\u00e9 op\u00e9rationnelle, la forte hausse du co\u00fbt du risque de 73% constitue un signal d'alerte qui n\u00e9cessite une surveillance attentive. La strat\u00e9gie de transformation digitale porte ses fruits mais la prudence est recommand\u00e9e."}</w:t>
      </w:r>
    </w:p>
    <w:p>
      <w:pPr>
        <w:spacing w:before="40"/>
        <w:ind w:left="400"/>
      </w:pPr>
      <w:r>
        <w:rPr>
          <w:sz w:val="18"/>
        </w:rPr>
        <w:t>Ecobank présente des résultats solides pour le premier trimestre 2026 avec un produit net bancaire en hausse de 23% à 636,2 millions $EU. Le résultat net consolidé progresse de 16% à 142,5 millions $EU, reflétant une croissance significative des dépôts (+5 milliards $EU) et une amélioration de la marge d'intérêt nette de 32%. Le coefficient d'exploitation s'améliore à 49,0% contre 51,6% l'année précédente, témoignant des gains d'efficacité. Cependant, le coût du risque augmente fortement de 73% à 129,4 millions $EU, représentant un défi à surveiller. La banque maintient sa stratégie de transformation numérique avec une progression de 54% des transactions digitales.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'129,4 millions $EU', 'marge_interet_nette': '389,965 millions $EU', 'resultat_par_action': '0,38 cents $EU', 'coefficient_exploitation': '49,0%'}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22,4%</w:t>
            </w:r>
          </w:p>
        </w:tc>
        <w:tc>
          <w:tcPr>
            <w:tcW w:type="dxa" w:w="2160"/>
          </w:tcPr>
          <w:p>
            <w:pPr>
              <w:ind w:left="100"/>
            </w:pPr>
            <w:r/>
            <w:r>
              <w:rPr>
                <w:b/>
                <w:sz w:val="16"/>
              </w:rPr>
              <w:t>total_actif</w:t>
              <w:br/>
            </w:r>
            <w:r>
              <w:rPr>
                <w:sz w:val="18"/>
              </w:rPr>
              <w:t>35,157 milliards $EU</w:t>
            </w:r>
          </w:p>
        </w:tc>
      </w:tr>
      <w:tr>
        <w:tc>
          <w:tcPr>
            <w:tcW w:type="dxa" w:w="2160"/>
          </w:tcPr>
          <w:p>
            <w:r/>
            <w:r>
              <w:rPr>
                <w:b/>
                <w:sz w:val="16"/>
              </w:rPr>
              <w:t>resultat_net</w:t>
              <w:br/>
            </w:r>
            <w:r>
              <w:rPr>
                <w:sz w:val="18"/>
              </w:rPr>
              <w:t>142,5 millions $EU</w:t>
            </w:r>
          </w:p>
        </w:tc>
        <w:tc>
          <w:tcPr>
            <w:tcW w:type="dxa" w:w="2160"/>
          </w:tcPr>
          <w:p>
            <w:r/>
            <w:r>
              <w:rPr>
                <w:b/>
                <w:sz w:val="16"/>
              </w:rPr>
              <w:t>capitaux_propres</w:t>
              <w:br/>
            </w:r>
            <w:r>
              <w:rPr>
                <w:sz w:val="18"/>
              </w:rPr>
              <w:t>2,859 milliards $EU</w:t>
            </w:r>
          </w:p>
        </w:tc>
        <w:tc>
          <w:tcPr>
            <w:tcW w:type="dxa" w:w="2160"/>
          </w:tcPr>
          <w:p>
            <w:r/>
            <w:r>
              <w:rPr>
                <w:b/>
                <w:sz w:val="16"/>
              </w:rPr>
              <w:t>chiffre_affaires</w:t>
              <w:br/>
            </w:r>
            <w:r>
              <w:rPr>
                <w:sz w:val="18"/>
              </w:rPr>
              <w:t>636,2 millions $EU</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forte croissance de 23% à 636,2 millions $EU</w:t>
      </w:r>
    </w:p>
    <w:p>
      <w:pPr>
        <w:pStyle w:val="ListBullet"/>
        <w:spacing w:before="20" w:after="20"/>
        <w:ind w:left="700"/>
      </w:pPr>
      <w:r>
        <w:rPr>
          <w:sz w:val="18"/>
        </w:rPr>
        <w:t>Marge nette des intérêts en hausse de 32% à 389,965 millions $EU</w:t>
      </w:r>
    </w:p>
    <w:p>
      <w:pPr>
        <w:pStyle w:val="ListBullet"/>
        <w:spacing w:before="20" w:after="20"/>
        <w:ind w:left="700"/>
      </w:pPr>
      <w:r>
        <w:rPr>
          <w:sz w:val="18"/>
        </w:rPr>
        <w:t>Croissance significative des dépôts de la clientèle de 5 milliards $EU</w:t>
      </w:r>
    </w:p>
    <w:p>
      <w:pPr>
        <w:pStyle w:val="ListBullet"/>
        <w:spacing w:before="20" w:after="20"/>
        <w:ind w:left="700"/>
      </w:pPr>
      <w:r>
        <w:rPr>
          <w:sz w:val="18"/>
        </w:rPr>
        <w:t>Amélioration du coefficient d'exploitation à 49,0% vs 51,6% en 2025</w:t>
      </w:r>
    </w:p>
    <w:p>
      <w:pPr>
        <w:pStyle w:val="ListBullet"/>
        <w:spacing w:before="20" w:after="20"/>
        <w:ind w:left="700"/>
      </w:pPr>
      <w:r>
        <w:rPr>
          <w:sz w:val="18"/>
        </w:rPr>
        <w:t>Forte augmentation du coût du risque de 73% à 129,4 millions $EU</w:t>
      </w:r>
    </w:p>
    <w:p>
      <w:pPr>
        <w:pStyle w:val="ListBullet"/>
        <w:spacing w:before="20" w:after="20"/>
        <w:ind w:left="700"/>
      </w:pPr>
      <w:r>
        <w:rPr>
          <w:sz w:val="18"/>
        </w:rPr>
        <w:t>Progression de 54% des transactions numériques à 25,7 milliards $</w:t>
      </w:r>
    </w:p>
    <w:p>
      <w:pPr>
        <w:spacing w:before="40"/>
        <w:ind w:left="400"/>
      </w:pPr>
      <w:r>
        <w:rPr>
          <w:b/>
          <w:color w:val="C05000"/>
          <w:sz w:val="18"/>
        </w:rPr>
        <w:t xml:space="preserve">⚠️ Risques : </w:t>
      </w:r>
      <w:r>
        <w:rPr>
          <w:sz w:val="18"/>
        </w:rPr>
        <w:t>["Augmentation significative du co\u00fbt du risque (+73%) qui pourrait impacter la rentabilit\u00e9 future", "Environnement op\u00e9rationnel difficile mentionn\u00e9 par la direction dans plusieurs pays africains", "D\u00e9pendance aux fluctuations des devises (exposition FCFA/USD) dans un context</w:t>
      </w:r>
    </w:p>
    <w:p>
      <w:pPr>
        <w:spacing w:before="40"/>
        <w:ind w:left="400"/>
      </w:pPr>
      <w:r>
        <w:rPr>
          <w:b/>
          <w:color w:val="0064A0"/>
          <w:sz w:val="18"/>
        </w:rPr>
        <w:t xml:space="preserve">🔮 Perspectives : </w:t>
      </w:r>
      <w:r>
        <w:rPr>
          <w:sz w:val="18"/>
        </w:rPr>
        <w:t>Ecobank poursuit sa stratégie 'Croissance, Transformation et Rendements' avec des investissements continus dans la digitalisation et l'expansion de sa base clientèle. La banque reste confiante dans ses capacités à maintenir sa dynamique commerciale malgré les défis macroéconomiques. L'accent sera mi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une gestion des risques renforc\u00e9e. La trajectoire d'am\u00e9lioration op\u00e9rationnelle et le renforcement des fonds propres positionnent favorablement la banque."}</w:t>
      </w:r>
    </w:p>
    <w:p>
      <w:pPr>
        <w:spacing w:before="40"/>
        <w:ind w:left="400"/>
      </w:pPr>
      <w:r>
        <w:rPr>
          <w:sz w:val="18"/>
        </w:rPr>
        <w:t xml:space="preserve">Ecobank Transnational Inc. affiche une performance exceptionnelle au troisième trimestre 2021 avec un résultat net de 256,2 millions USD, soit une hausse spectaculaire de 847% par rapport à 2020. Le produit net bancaire progresse modestement de 4% à 1,27 milliard USD tandis que le résultat d'exploitation bondit de 35% à 382,1 millions USD. La banque améliore significativement ses ratios opérationnels avec un coefficient d'exploitation de 58,3% et réduit son taux de créances douteuses de 9,9% à 6,9%. Le renforcement des fonds propres se poursuit avec un investissement AT1 de 75 millions USD et une émission Tier 2 de 350 millions USD. Le total du bilan s'établit à 26,4 milliards USD en hausse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{'roe_tangible': '17,9%', 'resultat_par_action': '0,738 USD', 'taux_creances_douteuses': '6,9%', 'coefficient_exploitation': '58,3%'}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20,3%</w:t>
            </w:r>
          </w:p>
        </w:tc>
        <w:tc>
          <w:tcPr>
            <w:tcW w:type="dxa" w:w="2160"/>
          </w:tcPr>
          <w:p>
            <w:pPr>
              <w:ind w:left="100"/>
            </w:pPr>
            <w:r/>
            <w:r>
              <w:rPr>
                <w:b/>
                <w:sz w:val="16"/>
              </w:rPr>
              <w:t>total_actif</w:t>
              <w:br/>
            </w:r>
            <w:r>
              <w:rPr>
                <w:sz w:val="18"/>
              </w:rPr>
              <w:t>26 416,8 millions USD</w:t>
            </w:r>
          </w:p>
        </w:tc>
      </w:tr>
      <w:tr>
        <w:tc>
          <w:tcPr>
            <w:tcW w:type="dxa" w:w="2160"/>
          </w:tcPr>
          <w:p>
            <w:r/>
            <w:r>
              <w:rPr>
                <w:b/>
                <w:sz w:val="16"/>
              </w:rPr>
              <w:t>resultat_net</w:t>
              <w:br/>
            </w:r>
            <w:r>
              <w:rPr>
                <w:sz w:val="18"/>
              </w:rPr>
              <w:t>256,2 millions USD</w:t>
            </w:r>
          </w:p>
        </w:tc>
        <w:tc>
          <w:tcPr>
            <w:tcW w:type="dxa" w:w="2160"/>
          </w:tcPr>
          <w:p>
            <w:r/>
            <w:r>
              <w:rPr>
                <w:b/>
                <w:sz w:val="16"/>
              </w:rPr>
              <w:t>capitaux_propres</w:t>
              <w:br/>
            </w:r>
            <w:r>
              <w:rPr>
                <w:sz w:val="18"/>
              </w:rPr>
              <w:t>2 121,6 millions USD</w:t>
            </w:r>
          </w:p>
        </w:tc>
        <w:tc>
          <w:tcPr>
            <w:tcW w:type="dxa" w:w="2160"/>
          </w:tcPr>
          <w:p>
            <w:r/>
            <w:r>
              <w:rPr>
                <w:b/>
                <w:sz w:val="16"/>
              </w:rPr>
              <w:t>chiffre_affaires</w:t>
              <w:br/>
            </w:r>
            <w:r>
              <w:rPr>
                <w:sz w:val="18"/>
              </w:rPr>
              <w:t>1 265,3 millions USD</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exceptionnel de 256,2 millions USD (+847% vs 2020)</w:t>
      </w:r>
    </w:p>
    <w:p>
      <w:pPr>
        <w:pStyle w:val="ListBullet"/>
        <w:spacing w:before="20" w:after="20"/>
        <w:ind w:left="700"/>
      </w:pPr>
      <w:r>
        <w:rPr>
          <w:sz w:val="18"/>
        </w:rPr>
        <w:t>Produit net bancaire stable à 1,27 milliard USD (+4%)</w:t>
      </w:r>
    </w:p>
    <w:p>
      <w:pPr>
        <w:pStyle w:val="ListBullet"/>
        <w:spacing w:before="20" w:after="20"/>
        <w:ind w:left="700"/>
      </w:pPr>
      <w:r>
        <w:rPr>
          <w:sz w:val="18"/>
        </w:rPr>
        <w:t>Amélioration du coefficient d'exploitation à 58,3%</w:t>
      </w:r>
    </w:p>
    <w:p>
      <w:pPr>
        <w:pStyle w:val="ListBullet"/>
        <w:spacing w:before="20" w:after="20"/>
        <w:ind w:left="700"/>
      </w:pPr>
      <w:r>
        <w:rPr>
          <w:sz w:val="18"/>
        </w:rPr>
        <w:t>Réduction significative du taux de créances douteuses de 9,9% à 6,9%</w:t>
      </w:r>
    </w:p>
    <w:p>
      <w:pPr>
        <w:pStyle w:val="ListBullet"/>
        <w:spacing w:before="20" w:after="20"/>
        <w:ind w:left="700"/>
      </w:pPr>
      <w:r>
        <w:rPr>
          <w:sz w:val="18"/>
        </w:rPr>
        <w:t>Taux de couverture des provisions à 91,2% des créances douteuses</w:t>
      </w:r>
    </w:p>
    <w:p>
      <w:pPr>
        <w:pStyle w:val="ListBullet"/>
        <w:spacing w:before="20" w:after="20"/>
        <w:ind w:left="700"/>
      </w:pPr>
      <w:r>
        <w:rPr>
          <w:sz w:val="18"/>
        </w:rPr>
        <w:t>Rendement des capitaux propres tangibles à 17,9%</w:t>
      </w:r>
    </w:p>
    <w:p>
      <w:pPr>
        <w:spacing w:before="40"/>
        <w:ind w:left="400"/>
      </w:pPr>
      <w:r>
        <w:rPr>
          <w:b/>
          <w:color w:val="C05000"/>
          <w:sz w:val="18"/>
        </w:rPr>
        <w:t xml:space="preserve">⚠️ Risques : </w:t>
      </w:r>
      <w:r>
        <w:rPr>
          <w:sz w:val="18"/>
        </w:rPr>
        <w:t>["Exposition aux \u00e9conomies africaines volatiles et risques pays", "Concentration g\u00e9ographique sur des march\u00e9s \u00e9mergents fragiles", "Impact potentiel de l'inflation sur les co\u00fbts op\u00e9rationnels"]</w:t>
      </w:r>
    </w:p>
    <w:p>
      <w:pPr>
        <w:spacing w:before="40"/>
        <w:ind w:left="400"/>
      </w:pPr>
      <w:r>
        <w:rPr>
          <w:b/>
          <w:color w:val="0064A0"/>
          <w:sz w:val="18"/>
        </w:rPr>
        <w:t xml:space="preserve">🔮 Perspectives : </w:t>
      </w:r>
      <w:r>
        <w:rPr>
          <w:sz w:val="18"/>
        </w:rPr>
        <w:t xml:space="preserve">La banque est bien positionnée pour poursuivre sa trajectoire positive avec des investissements continus dans le digital et une amélioration structurelle de l'efficacité opérationnelle. La solidification du bilan et l'accélération de l'adoption des canaux numériques devraient soutenir la croissance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am\u00e9lioration de la rentabilit\u00e9 avec un r\u00e9sultat net multipli\u00e9 par 4 et l'absence de d\u00e9pr\u00e9ciation de goodwill d\u00e9montrent un redressement r\u00e9ussi. La croissance soutenue des d\u00e9p\u00f4ts client\u00e8le et la solidit\u00e9 du bilan offrent des perspectives attractives pour cette banque panafricaine de r\u00e9f\u00e9rence."}</w:t>
      </w:r>
    </w:p>
    <w:p>
      <w:pPr>
        <w:spacing w:before="40"/>
        <w:ind w:left="400"/>
      </w:pPr>
      <w:r>
        <w:rPr>
          <w:sz w:val="18"/>
        </w:rPr>
        <w:t>Ecobank Transnational Incorporated présente des résultats financiers solides pour 2021 avec une croissance significative de la rentabilité. Le produit net bancaire progresse de 4% à 1,7 milliard $EU tandis que le résultat net consolidé bondit spectaculairement de 296% à 349,5 millions $EU. Le total du bilan augmente de 5% à 27,3 milliards $EU, démontrant la solidité de la structure financière. Les capitaux propres se renforcent de 5% à 2,1 milliards $EU, témoignant d'une base de capital solide. La banque panafricaine confirme sa position de leader avec une présence dans 39 pays et 13 167 employés.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{'credits_clientele': '9,6 milliards $EU', 'deposits_clientele': '19,5 milliards $EU', 'resultat_par_action': '1,041 cents $EU', 'ratio_credits_deposits': '49,1%'}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20,1%</w:t>
            </w:r>
          </w:p>
        </w:tc>
        <w:tc>
          <w:tcPr>
            <w:tcW w:type="dxa" w:w="2160"/>
          </w:tcPr>
          <w:p>
            <w:pPr>
              <w:ind w:left="100"/>
            </w:pPr>
            <w:r/>
            <w:r>
              <w:rPr>
                <w:b/>
                <w:sz w:val="16"/>
              </w:rPr>
              <w:t>total_actif</w:t>
              <w:br/>
            </w:r>
            <w:r>
              <w:rPr>
                <w:sz w:val="18"/>
              </w:rPr>
              <w:t>27,3 milliards $EU</w:t>
            </w:r>
          </w:p>
        </w:tc>
      </w:tr>
      <w:tr>
        <w:tc>
          <w:tcPr>
            <w:tcW w:type="dxa" w:w="2160"/>
          </w:tcPr>
          <w:p>
            <w:r/>
            <w:r>
              <w:rPr>
                <w:b/>
                <w:sz w:val="16"/>
              </w:rPr>
              <w:t>resultat_net</w:t>
              <w:br/>
            </w:r>
            <w:r>
              <w:rPr>
                <w:sz w:val="18"/>
              </w:rPr>
              <w:t>349,5 millions $EU</w:t>
            </w:r>
          </w:p>
        </w:tc>
        <w:tc>
          <w:tcPr>
            <w:tcW w:type="dxa" w:w="2160"/>
          </w:tcPr>
          <w:p>
            <w:r/>
            <w:r>
              <w:rPr>
                <w:b/>
                <w:sz w:val="16"/>
              </w:rPr>
              <w:t>capitaux_propres</w:t>
              <w:br/>
            </w:r>
            <w:r>
              <w:rPr>
                <w:sz w:val="18"/>
              </w:rPr>
              <w:t>2,1 milliards $EU</w:t>
            </w:r>
          </w:p>
        </w:tc>
        <w:tc>
          <w:tcPr>
            <w:tcW w:type="dxa" w:w="2160"/>
          </w:tcPr>
          <w:p>
            <w:r/>
            <w:r>
              <w:rPr>
                <w:b/>
                <w:sz w:val="16"/>
              </w:rPr>
              <w:t>chiffre_affaires</w:t>
              <w:br/>
            </w:r>
            <w:r>
              <w:rPr>
                <w:sz w:val="18"/>
              </w:rPr>
              <w:t>1,741 milliard $EU</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consolidé de 296% à 349,5 millions $EU</w:t>
      </w:r>
    </w:p>
    <w:p>
      <w:pPr>
        <w:pStyle w:val="ListBullet"/>
        <w:spacing w:before="20" w:after="20"/>
        <w:ind w:left="700"/>
      </w:pPr>
      <w:r>
        <w:rPr>
          <w:sz w:val="18"/>
        </w:rPr>
        <w:t>Progression du produit net bancaire de 4% à 1,7 milliard $EU malgré un contexte économique difficile</w:t>
      </w:r>
    </w:p>
    <w:p>
      <w:pPr>
        <w:pStyle w:val="ListBullet"/>
        <w:spacing w:before="20" w:after="20"/>
        <w:ind w:left="700"/>
      </w:pPr>
      <w:r>
        <w:rPr>
          <w:sz w:val="18"/>
        </w:rPr>
        <w:t>Augmentation des dépôts clientèle de 7% à 19,5 milliards $EU, reflétant la confiance des clients</w:t>
      </w:r>
    </w:p>
    <w:p>
      <w:pPr>
        <w:pStyle w:val="ListBullet"/>
        <w:spacing w:before="20" w:after="20"/>
        <w:ind w:left="700"/>
      </w:pPr>
      <w:r>
        <w:rPr>
          <w:sz w:val="18"/>
        </w:rPr>
        <w:t>Croissance des crédits à la clientèle de 3,8% à 9,6 milliards $EU</w:t>
      </w:r>
    </w:p>
    <w:p>
      <w:pPr>
        <w:pStyle w:val="ListBullet"/>
        <w:spacing w:before="20" w:after="20"/>
        <w:ind w:left="700"/>
      </w:pPr>
      <w:r>
        <w:rPr>
          <w:sz w:val="18"/>
        </w:rPr>
        <w:t>Renforcement du total du bilan de 5% à 27,3 milliards $EU</w:t>
      </w:r>
    </w:p>
    <w:p>
      <w:pPr>
        <w:pStyle w:val="ListBullet"/>
        <w:spacing w:before="20" w:after="20"/>
        <w:ind w:left="700"/>
      </w:pPr>
      <w:r>
        <w:rPr>
          <w:sz w:val="18"/>
        </w:rPr>
        <w:t>Amélioration significative du résultat par action qui passe de 0,010 à 1,041 cents $EU</w:t>
      </w:r>
    </w:p>
    <w:p>
      <w:pPr>
        <w:spacing w:before="40"/>
        <w:ind w:left="400"/>
      </w:pPr>
      <w:r>
        <w:rPr>
          <w:b/>
          <w:color w:val="C05000"/>
          <w:sz w:val="18"/>
        </w:rPr>
        <w:t xml:space="preserve">⚠️ Risques : </w:t>
      </w:r>
      <w:r>
        <w:rPr>
          <w:sz w:val="18"/>
        </w:rPr>
        <w:t>["Exposition aux risques politiques et \u00e9conomiques dans 39 pays africains", "Volatilit\u00e9 des taux de change impactant les r\u00e9sultats consolid\u00e9s", "Risque de cr\u00e9dit \u00e9lev\u00e9 avec des provisions sur actifs financiers de 201,9 millions $EU"]</w:t>
      </w:r>
    </w:p>
    <w:p>
      <w:pPr>
        <w:spacing w:before="40"/>
        <w:ind w:left="400"/>
      </w:pPr>
      <w:r>
        <w:rPr>
          <w:b/>
          <w:color w:val="0064A0"/>
          <w:sz w:val="18"/>
        </w:rPr>
        <w:t xml:space="preserve">🔮 Perspectives : </w:t>
      </w:r>
      <w:r>
        <w:rPr>
          <w:sz w:val="18"/>
        </w:rPr>
        <w:t>Les perspectives pour 2022 semblent favorables compte tenu de la dynamique de croissance retrouvée et de la solidité financière démontrée. La banque devrait bénéficier de la reprise économique progressive en Afrique et de sa position de leader sur le marché bancaire panafricain. La poursuite de la c</w:t>
      </w:r>
    </w:p>
    <w:p/>
    <w:p>
      <w:r>
        <w:t>════════════════════════════════════════════════════════════════════════════════</w:t>
      </w:r>
    </w:p>
    <w:p>
      <w:r>
        <w:br w:type="page"/>
      </w:r>
    </w:p>
    <w:p>
      <w:pPr>
        <w:pStyle w:val="Heading2"/>
        <w:spacing w:before="360"/>
      </w:pPr>
      <w:r>
        <w:rPr>
          <w:color w:val="0066CC"/>
        </w:rPr>
        <w:t>17. FTSC - FTSC - FILTISAC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FTSC</w:t>
            </w:r>
          </w:p>
          <w:p>
            <w:r>
              <w:rPr>
                <w:b/>
                <w:color w:val="323250"/>
                <w:sz w:val="16"/>
              </w:rPr>
              <w:t xml:space="preserve">Société : </w:t>
            </w:r>
            <w:r>
              <w:rPr>
                <w:color w:val="000000"/>
                <w:sz w:val="16"/>
              </w:rPr>
              <w:t>FTSC - FILTISAC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30.39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3,977 titres</w:t>
            </w:r>
          </w:p>
        </w:tc>
        <w:tc>
          <w:tcPr>
            <w:tcW w:type="dxa" w:w="2268"/>
            <w:shd w:fill="FFF2CC" w:val="clear"/>
          </w:tcPr>
          <w:p>
            <w:r>
              <w:rPr>
                <w:b/>
                <w:color w:val="503200"/>
                <w:sz w:val="16"/>
              </w:rPr>
              <w:t xml:space="preserve">Cours actuel : </w:t>
            </w:r>
            <w:r>
              <w:rPr>
                <w:color w:val="000000"/>
                <w:sz w:val="17"/>
              </w:rPr>
              <w:t>2,155 FCFA</w:t>
            </w:r>
          </w:p>
          <w:p>
            <w:r>
              <w:rPr>
                <w:b/>
                <w:color w:val="503200"/>
                <w:sz w:val="16"/>
              </w:rPr>
              <w:t xml:space="preserve">Var. 100 jours : </w:t>
            </w:r>
            <w:r>
              <w:rPr>
                <w:b/>
                <w:color w:val="B40000"/>
                <w:sz w:val="17"/>
              </w:rPr>
              <w:t>-6.30%</w:t>
            </w:r>
          </w:p>
          <w:p>
            <w:r>
              <w:rPr>
                <w:b/>
                <w:color w:val="503200"/>
                <w:sz w:val="16"/>
              </w:rPr>
              <w:t xml:space="preserve">Plus haut 100j : </w:t>
            </w:r>
            <w:r>
              <w:rPr>
                <w:color w:val="000000"/>
                <w:sz w:val="17"/>
              </w:rPr>
              <w:t>2,430 FCFA</w:t>
            </w:r>
          </w:p>
          <w:p>
            <w:r>
              <w:rPr>
                <w:b/>
                <w:color w:val="503200"/>
                <w:sz w:val="16"/>
              </w:rPr>
              <w:t xml:space="preserve">Plus bas 100j : </w:t>
            </w:r>
            <w:r>
              <w:rPr>
                <w:color w:val="000000"/>
                <w:sz w:val="17"/>
              </w:rPr>
              <w:t>1,910 FCFA</w:t>
            </w:r>
          </w:p>
          <w:p>
            <w:r>
              <w:rPr>
                <w:b/>
                <w:color w:val="503200"/>
                <w:sz w:val="16"/>
              </w:rPr>
              <w:t xml:space="preserve">Volatilité ann. : </w:t>
            </w:r>
            <w:r>
              <w:rPr>
                <w:color w:val="000000"/>
                <w:sz w:val="17"/>
              </w:rPr>
              <w:t>35.3%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19.1/100 → Faible</w:t>
      </w:r>
    </w:p>
    <w:p>
      <w:pPr>
        <w:spacing w:before="40" w:after="80"/>
      </w:pPr>
      <w:r>
        <w:rPr>
          <w:rFonts w:ascii="Courier New" w:hAnsi="Courier New"/>
          <w:color w:val="006400"/>
          <w:sz w:val="18"/>
        </w:rPr>
        <w:t>███░░░░░░░░░░░░░░░░░  19.1/100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6.33% (Moyenne) — μ=2,154 FCFA, σ=136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β=0.7440 (Défensif) — Cov=0.000026, Var(idx)=0.000035, ρ=0.198,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3,977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σ_j=2.22%/j (Stable) — Vol. annualisée≈35.3%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19" name="Picture 19"/>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2026-08-28</w:t>
            </w:r>
          </w:p>
        </w:tc>
        <w:tc>
          <w:tcPr>
            <w:tcW w:type="dxa" w:w="1440"/>
            <w:shd w:fill="FAFAFA" w:val="clear"/>
          </w:tcPr>
          <w:p>
            <w:r>
              <w:rPr>
                <w:sz w:val="17"/>
              </w:rPr>
              <w:t>2,099</w:t>
            </w:r>
          </w:p>
        </w:tc>
        <w:tc>
          <w:tcPr>
            <w:tcW w:type="dxa" w:w="1440"/>
            <w:shd w:fill="FAFAFA" w:val="clear"/>
          </w:tcPr>
          <w:p>
            <w:r>
              <w:rPr>
                <w:b/>
                <w:sz w:val="17"/>
              </w:rPr>
              <w:t>2,166</w:t>
            </w:r>
          </w:p>
        </w:tc>
        <w:tc>
          <w:tcPr>
            <w:tcW w:type="dxa" w:w="1440"/>
            <w:shd w:fill="FAFAFA" w:val="clear"/>
          </w:tcPr>
          <w:p>
            <w:r>
              <w:rPr>
                <w:sz w:val="17"/>
              </w:rPr>
              <w:t>2,232</w:t>
            </w:r>
          </w:p>
        </w:tc>
        <w:tc>
          <w:tcPr>
            <w:tcW w:type="dxa" w:w="1440"/>
            <w:shd w:fill="FAFAFA" w:val="clear"/>
          </w:tcPr>
          <w:p>
            <w:r>
              <w:rPr>
                <w:b/>
                <w:color w:val="008000"/>
                <w:sz w:val="17"/>
              </w:rPr>
              <w:t>+0.5%</w:t>
            </w:r>
          </w:p>
        </w:tc>
      </w:tr>
      <w:tr>
        <w:tc>
          <w:tcPr>
            <w:tcW w:type="dxa" w:w="1440"/>
            <w:shd w:fill="FAFAFA" w:val="clear"/>
          </w:tcPr>
          <w:p>
            <w:r>
              <w:rPr>
                <w:sz w:val="17"/>
              </w:rPr>
              <w:t>J+2  ⭐⭐⭐</w:t>
            </w:r>
          </w:p>
        </w:tc>
        <w:tc>
          <w:tcPr>
            <w:tcW w:type="dxa" w:w="1440"/>
            <w:shd w:fill="FAFAFA" w:val="clear"/>
          </w:tcPr>
          <w:p>
            <w:r>
              <w:rPr>
                <w:sz w:val="17"/>
              </w:rPr>
              <w:t>2026-08-31</w:t>
            </w:r>
          </w:p>
        </w:tc>
        <w:tc>
          <w:tcPr>
            <w:tcW w:type="dxa" w:w="1440"/>
            <w:shd w:fill="FAFAFA" w:val="clear"/>
          </w:tcPr>
          <w:p>
            <w:r>
              <w:rPr>
                <w:sz w:val="17"/>
              </w:rPr>
              <w:t>2,081</w:t>
            </w:r>
          </w:p>
        </w:tc>
        <w:tc>
          <w:tcPr>
            <w:tcW w:type="dxa" w:w="1440"/>
            <w:shd w:fill="FAFAFA" w:val="clear"/>
          </w:tcPr>
          <w:p>
            <w:r>
              <w:rPr>
                <w:b/>
                <w:sz w:val="17"/>
              </w:rPr>
              <w:t>2,176</w:t>
            </w:r>
          </w:p>
        </w:tc>
        <w:tc>
          <w:tcPr>
            <w:tcW w:type="dxa" w:w="1440"/>
            <w:shd w:fill="FAFAFA" w:val="clear"/>
          </w:tcPr>
          <w:p>
            <w:r>
              <w:rPr>
                <w:sz w:val="17"/>
              </w:rPr>
              <w:t>2,271</w:t>
            </w:r>
          </w:p>
        </w:tc>
        <w:tc>
          <w:tcPr>
            <w:tcW w:type="dxa" w:w="1440"/>
            <w:shd w:fill="FAFAFA" w:val="clear"/>
          </w:tcPr>
          <w:p>
            <w:r>
              <w:rPr>
                <w:b/>
                <w:color w:val="008000"/>
                <w:sz w:val="17"/>
              </w:rPr>
              <w:t>+1.0%</w:t>
            </w:r>
          </w:p>
        </w:tc>
      </w:tr>
      <w:tr>
        <w:tc>
          <w:tcPr>
            <w:tcW w:type="dxa" w:w="1440"/>
            <w:shd w:fill="FAFAFA" w:val="clear"/>
          </w:tcPr>
          <w:p>
            <w:r>
              <w:rPr>
                <w:sz w:val="17"/>
              </w:rPr>
              <w:t>J+3  ⭐⭐⭐</w:t>
            </w:r>
          </w:p>
        </w:tc>
        <w:tc>
          <w:tcPr>
            <w:tcW w:type="dxa" w:w="1440"/>
            <w:shd w:fill="FAFAFA" w:val="clear"/>
          </w:tcPr>
          <w:p>
            <w:r>
              <w:rPr>
                <w:sz w:val="17"/>
              </w:rPr>
              <w:t>2026-09-01</w:t>
            </w:r>
          </w:p>
        </w:tc>
        <w:tc>
          <w:tcPr>
            <w:tcW w:type="dxa" w:w="1440"/>
            <w:shd w:fill="FAFAFA" w:val="clear"/>
          </w:tcPr>
          <w:p>
            <w:r>
              <w:rPr>
                <w:sz w:val="17"/>
              </w:rPr>
              <w:t>2,069</w:t>
            </w:r>
          </w:p>
        </w:tc>
        <w:tc>
          <w:tcPr>
            <w:tcW w:type="dxa" w:w="1440"/>
            <w:shd w:fill="FAFAFA" w:val="clear"/>
          </w:tcPr>
          <w:p>
            <w:r>
              <w:rPr>
                <w:b/>
                <w:sz w:val="17"/>
              </w:rPr>
              <w:t>2,186</w:t>
            </w:r>
          </w:p>
        </w:tc>
        <w:tc>
          <w:tcPr>
            <w:tcW w:type="dxa" w:w="1440"/>
            <w:shd w:fill="FAFAFA" w:val="clear"/>
          </w:tcPr>
          <w:p>
            <w:r>
              <w:rPr>
                <w:sz w:val="17"/>
              </w:rPr>
              <w:t>2,303</w:t>
            </w:r>
          </w:p>
        </w:tc>
        <w:tc>
          <w:tcPr>
            <w:tcW w:type="dxa" w:w="1440"/>
            <w:shd w:fill="FAFAFA" w:val="clear"/>
          </w:tcPr>
          <w:p>
            <w:r>
              <w:rPr>
                <w:b/>
                <w:color w:val="008000"/>
                <w:sz w:val="17"/>
              </w:rPr>
              <w:t>+1.4%</w:t>
            </w:r>
          </w:p>
        </w:tc>
      </w:tr>
      <w:tr>
        <w:tc>
          <w:tcPr>
            <w:tcW w:type="dxa" w:w="1440"/>
            <w:shd w:fill="FAFAFA" w:val="clear"/>
          </w:tcPr>
          <w:p>
            <w:r>
              <w:rPr>
                <w:sz w:val="17"/>
              </w:rPr>
              <w:t>J+4  Moyenne</w:t>
            </w:r>
          </w:p>
        </w:tc>
        <w:tc>
          <w:tcPr>
            <w:tcW w:type="dxa" w:w="1440"/>
            <w:shd w:fill="FAFAFA" w:val="clear"/>
          </w:tcPr>
          <w:p>
            <w:r>
              <w:rPr>
                <w:sz w:val="17"/>
              </w:rPr>
              <w:t>2026-09-02</w:t>
            </w:r>
          </w:p>
        </w:tc>
        <w:tc>
          <w:tcPr>
            <w:tcW w:type="dxa" w:w="1440"/>
            <w:shd w:fill="FAFAFA" w:val="clear"/>
          </w:tcPr>
          <w:p>
            <w:r>
              <w:rPr>
                <w:sz w:val="17"/>
              </w:rPr>
              <w:t>2,060</w:t>
            </w:r>
          </w:p>
        </w:tc>
        <w:tc>
          <w:tcPr>
            <w:tcW w:type="dxa" w:w="1440"/>
            <w:shd w:fill="FAFAFA" w:val="clear"/>
          </w:tcPr>
          <w:p>
            <w:r>
              <w:rPr>
                <w:b/>
                <w:sz w:val="17"/>
              </w:rPr>
              <w:t>2,195</w:t>
            </w:r>
          </w:p>
        </w:tc>
        <w:tc>
          <w:tcPr>
            <w:tcW w:type="dxa" w:w="1440"/>
            <w:shd w:fill="FAFAFA" w:val="clear"/>
          </w:tcPr>
          <w:p>
            <w:r>
              <w:rPr>
                <w:sz w:val="17"/>
              </w:rPr>
              <w:t>2,331</w:t>
            </w:r>
          </w:p>
        </w:tc>
        <w:tc>
          <w:tcPr>
            <w:tcW w:type="dxa" w:w="1440"/>
            <w:shd w:fill="FAFAFA" w:val="clear"/>
          </w:tcPr>
          <w:p>
            <w:r>
              <w:rPr>
                <w:b/>
                <w:color w:val="008000"/>
                <w:sz w:val="17"/>
              </w:rPr>
              <w:t>+1.9%</w:t>
            </w:r>
          </w:p>
        </w:tc>
      </w:tr>
      <w:tr>
        <w:tc>
          <w:tcPr>
            <w:tcW w:type="dxa" w:w="1440"/>
            <w:shd w:fill="C6EFCE" w:val="clear"/>
          </w:tcPr>
          <w:p>
            <w:r>
              <w:rPr>
                <w:sz w:val="17"/>
              </w:rPr>
              <w:t>J+5  Moyenne</w:t>
            </w:r>
          </w:p>
        </w:tc>
        <w:tc>
          <w:tcPr>
            <w:tcW w:type="dxa" w:w="1440"/>
            <w:shd w:fill="C6EFCE" w:val="clear"/>
          </w:tcPr>
          <w:p>
            <w:r>
              <w:rPr>
                <w:sz w:val="17"/>
              </w:rPr>
              <w:t>2026-09-03</w:t>
            </w:r>
          </w:p>
        </w:tc>
        <w:tc>
          <w:tcPr>
            <w:tcW w:type="dxa" w:w="1440"/>
            <w:shd w:fill="C6EFCE" w:val="clear"/>
          </w:tcPr>
          <w:p>
            <w:r>
              <w:rPr>
                <w:sz w:val="17"/>
              </w:rPr>
              <w:t>2,053</w:t>
            </w:r>
          </w:p>
        </w:tc>
        <w:tc>
          <w:tcPr>
            <w:tcW w:type="dxa" w:w="1440"/>
            <w:shd w:fill="C6EFCE" w:val="clear"/>
          </w:tcPr>
          <w:p>
            <w:r>
              <w:rPr>
                <w:b/>
                <w:sz w:val="17"/>
              </w:rPr>
              <w:t>2,205</w:t>
            </w:r>
          </w:p>
        </w:tc>
        <w:tc>
          <w:tcPr>
            <w:tcW w:type="dxa" w:w="1440"/>
            <w:shd w:fill="C6EFCE" w:val="clear"/>
          </w:tcPr>
          <w:p>
            <w:r>
              <w:rPr>
                <w:sz w:val="17"/>
              </w:rPr>
              <w:t>2,357</w:t>
            </w:r>
          </w:p>
        </w:tc>
        <w:tc>
          <w:tcPr>
            <w:tcW w:type="dxa" w:w="1440"/>
            <w:shd w:fill="C6EFCE" w:val="clear"/>
          </w:tcPr>
          <w:p>
            <w:r>
              <w:rPr>
                <w:b/>
                <w:color w:val="008000"/>
                <w:sz w:val="17"/>
              </w:rPr>
              <w:t>+2.3%</w:t>
            </w:r>
          </w:p>
        </w:tc>
      </w:tr>
      <w:tr>
        <w:tc>
          <w:tcPr>
            <w:tcW w:type="dxa" w:w="1440"/>
            <w:shd w:fill="C6EFCE" w:val="clear"/>
          </w:tcPr>
          <w:p>
            <w:r>
              <w:rPr>
                <w:sz w:val="17"/>
              </w:rPr>
              <w:t>J+6  Moyenne</w:t>
            </w:r>
          </w:p>
        </w:tc>
        <w:tc>
          <w:tcPr>
            <w:tcW w:type="dxa" w:w="1440"/>
            <w:shd w:fill="C6EFCE" w:val="clear"/>
          </w:tcPr>
          <w:p>
            <w:r>
              <w:rPr>
                <w:sz w:val="17"/>
              </w:rPr>
              <w:t>2026-09-04</w:t>
            </w:r>
          </w:p>
        </w:tc>
        <w:tc>
          <w:tcPr>
            <w:tcW w:type="dxa" w:w="1440"/>
            <w:shd w:fill="C6EFCE" w:val="clear"/>
          </w:tcPr>
          <w:p>
            <w:r>
              <w:rPr>
                <w:sz w:val="17"/>
              </w:rPr>
              <w:t>2,047</w:t>
            </w:r>
          </w:p>
        </w:tc>
        <w:tc>
          <w:tcPr>
            <w:tcW w:type="dxa" w:w="1440"/>
            <w:shd w:fill="C6EFCE" w:val="clear"/>
          </w:tcPr>
          <w:p>
            <w:r>
              <w:rPr>
                <w:b/>
                <w:sz w:val="17"/>
              </w:rPr>
              <w:t>2,215</w:t>
            </w:r>
          </w:p>
        </w:tc>
        <w:tc>
          <w:tcPr>
            <w:tcW w:type="dxa" w:w="1440"/>
            <w:shd w:fill="C6EFCE" w:val="clear"/>
          </w:tcPr>
          <w:p>
            <w:r>
              <w:rPr>
                <w:sz w:val="17"/>
              </w:rPr>
              <w:t>2,382</w:t>
            </w:r>
          </w:p>
        </w:tc>
        <w:tc>
          <w:tcPr>
            <w:tcW w:type="dxa" w:w="1440"/>
            <w:shd w:fill="C6EFCE" w:val="clear"/>
          </w:tcPr>
          <w:p>
            <w:r>
              <w:rPr>
                <w:b/>
                <w:color w:val="008000"/>
                <w:sz w:val="17"/>
              </w:rPr>
              <w:t>+2.8%</w:t>
            </w:r>
          </w:p>
        </w:tc>
      </w:tr>
      <w:tr>
        <w:tc>
          <w:tcPr>
            <w:tcW w:type="dxa" w:w="1440"/>
            <w:shd w:fill="C6EFCE" w:val="clear"/>
          </w:tcPr>
          <w:p>
            <w:r>
              <w:rPr>
                <w:sz w:val="17"/>
              </w:rPr>
              <w:t>J+7  Moyenne</w:t>
            </w:r>
          </w:p>
        </w:tc>
        <w:tc>
          <w:tcPr>
            <w:tcW w:type="dxa" w:w="1440"/>
            <w:shd w:fill="C6EFCE" w:val="clear"/>
          </w:tcPr>
          <w:p>
            <w:r>
              <w:rPr>
                <w:sz w:val="17"/>
              </w:rPr>
              <w:t>2026-09-07</w:t>
            </w:r>
          </w:p>
        </w:tc>
        <w:tc>
          <w:tcPr>
            <w:tcW w:type="dxa" w:w="1440"/>
            <w:shd w:fill="C6EFCE" w:val="clear"/>
          </w:tcPr>
          <w:p>
            <w:r>
              <w:rPr>
                <w:sz w:val="17"/>
              </w:rPr>
              <w:t>2,042</w:t>
            </w:r>
          </w:p>
        </w:tc>
        <w:tc>
          <w:tcPr>
            <w:tcW w:type="dxa" w:w="1440"/>
            <w:shd w:fill="C6EFCE" w:val="clear"/>
          </w:tcPr>
          <w:p>
            <w:r>
              <w:rPr>
                <w:b/>
                <w:sz w:val="17"/>
              </w:rPr>
              <w:t>2,224</w:t>
            </w:r>
          </w:p>
        </w:tc>
        <w:tc>
          <w:tcPr>
            <w:tcW w:type="dxa" w:w="1440"/>
            <w:shd w:fill="C6EFCE" w:val="clear"/>
          </w:tcPr>
          <w:p>
            <w:r>
              <w:rPr>
                <w:sz w:val="17"/>
              </w:rPr>
              <w:t>2,406</w:t>
            </w:r>
          </w:p>
        </w:tc>
        <w:tc>
          <w:tcPr>
            <w:tcW w:type="dxa" w:w="1440"/>
            <w:shd w:fill="C6EFCE" w:val="clear"/>
          </w:tcPr>
          <w:p>
            <w:r>
              <w:rPr>
                <w:b/>
                <w:color w:val="008000"/>
                <w:sz w:val="17"/>
              </w:rPr>
              <w:t>+3.2%</w:t>
            </w:r>
          </w:p>
        </w:tc>
      </w:tr>
      <w:tr>
        <w:tc>
          <w:tcPr>
            <w:tcW w:type="dxa" w:w="1440"/>
            <w:shd w:fill="C6EFCE" w:val="clear"/>
          </w:tcPr>
          <w:p>
            <w:r>
              <w:rPr>
                <w:sz w:val="17"/>
              </w:rPr>
              <w:t>J+8  Moyenne</w:t>
            </w:r>
          </w:p>
        </w:tc>
        <w:tc>
          <w:tcPr>
            <w:tcW w:type="dxa" w:w="1440"/>
            <w:shd w:fill="C6EFCE" w:val="clear"/>
          </w:tcPr>
          <w:p>
            <w:r>
              <w:rPr>
                <w:sz w:val="17"/>
              </w:rPr>
              <w:t>2026-09-08</w:t>
            </w:r>
          </w:p>
        </w:tc>
        <w:tc>
          <w:tcPr>
            <w:tcW w:type="dxa" w:w="1440"/>
            <w:shd w:fill="C6EFCE" w:val="clear"/>
          </w:tcPr>
          <w:p>
            <w:r>
              <w:rPr>
                <w:sz w:val="17"/>
              </w:rPr>
              <w:t>2,038</w:t>
            </w:r>
          </w:p>
        </w:tc>
        <w:tc>
          <w:tcPr>
            <w:tcW w:type="dxa" w:w="1440"/>
            <w:shd w:fill="C6EFCE" w:val="clear"/>
          </w:tcPr>
          <w:p>
            <w:r>
              <w:rPr>
                <w:b/>
                <w:sz w:val="17"/>
              </w:rPr>
              <w:t>2,234</w:t>
            </w:r>
          </w:p>
        </w:tc>
        <w:tc>
          <w:tcPr>
            <w:tcW w:type="dxa" w:w="1440"/>
            <w:shd w:fill="C6EFCE" w:val="clear"/>
          </w:tcPr>
          <w:p>
            <w:r>
              <w:rPr>
                <w:sz w:val="17"/>
              </w:rPr>
              <w:t>2,429</w:t>
            </w:r>
          </w:p>
        </w:tc>
        <w:tc>
          <w:tcPr>
            <w:tcW w:type="dxa" w:w="1440"/>
            <w:shd w:fill="C6EFCE" w:val="clear"/>
          </w:tcPr>
          <w:p>
            <w:r>
              <w:rPr>
                <w:b/>
                <w:color w:val="008000"/>
                <w:sz w:val="17"/>
              </w:rPr>
              <w:t>+3.6%</w:t>
            </w:r>
          </w:p>
        </w:tc>
      </w:tr>
      <w:tr>
        <w:tc>
          <w:tcPr>
            <w:tcW w:type="dxa" w:w="1440"/>
            <w:shd w:fill="C6EFCE" w:val="clear"/>
          </w:tcPr>
          <w:p>
            <w:r>
              <w:rPr>
                <w:sz w:val="17"/>
              </w:rPr>
              <w:t>J+9  Moyenne</w:t>
            </w:r>
          </w:p>
        </w:tc>
        <w:tc>
          <w:tcPr>
            <w:tcW w:type="dxa" w:w="1440"/>
            <w:shd w:fill="C6EFCE" w:val="clear"/>
          </w:tcPr>
          <w:p>
            <w:r>
              <w:rPr>
                <w:sz w:val="17"/>
              </w:rPr>
              <w:t>2026-09-09</w:t>
            </w:r>
          </w:p>
        </w:tc>
        <w:tc>
          <w:tcPr>
            <w:tcW w:type="dxa" w:w="1440"/>
            <w:shd w:fill="C6EFCE" w:val="clear"/>
          </w:tcPr>
          <w:p>
            <w:r>
              <w:rPr>
                <w:sz w:val="17"/>
              </w:rPr>
              <w:t>2,035</w:t>
            </w:r>
          </w:p>
        </w:tc>
        <w:tc>
          <w:tcPr>
            <w:tcW w:type="dxa" w:w="1440"/>
            <w:shd w:fill="C6EFCE" w:val="clear"/>
          </w:tcPr>
          <w:p>
            <w:r>
              <w:rPr>
                <w:b/>
                <w:sz w:val="17"/>
              </w:rPr>
              <w:t>2,243</w:t>
            </w:r>
          </w:p>
        </w:tc>
        <w:tc>
          <w:tcPr>
            <w:tcW w:type="dxa" w:w="1440"/>
            <w:shd w:fill="C6EFCE" w:val="clear"/>
          </w:tcPr>
          <w:p>
            <w:r>
              <w:rPr>
                <w:sz w:val="17"/>
              </w:rPr>
              <w:t>2,451</w:t>
            </w:r>
          </w:p>
        </w:tc>
        <w:tc>
          <w:tcPr>
            <w:tcW w:type="dxa" w:w="1440"/>
            <w:shd w:fill="C6EFCE" w:val="clear"/>
          </w:tcPr>
          <w:p>
            <w:r>
              <w:rPr>
                <w:b/>
                <w:color w:val="008000"/>
                <w:sz w:val="17"/>
              </w:rPr>
              <w:t>+4.1%</w:t>
            </w:r>
          </w:p>
        </w:tc>
      </w:tr>
      <w:tr>
        <w:tc>
          <w:tcPr>
            <w:tcW w:type="dxa" w:w="1440"/>
            <w:shd w:fill="C6EFCE" w:val="clear"/>
          </w:tcPr>
          <w:p>
            <w:r>
              <w:rPr>
                <w:sz w:val="17"/>
              </w:rPr>
              <w:t>J+10  Moyenne</w:t>
            </w:r>
          </w:p>
        </w:tc>
        <w:tc>
          <w:tcPr>
            <w:tcW w:type="dxa" w:w="1440"/>
            <w:shd w:fill="C6EFCE" w:val="clear"/>
          </w:tcPr>
          <w:p>
            <w:r>
              <w:rPr>
                <w:sz w:val="17"/>
              </w:rPr>
              <w:t>2026-09-10</w:t>
            </w:r>
          </w:p>
        </w:tc>
        <w:tc>
          <w:tcPr>
            <w:tcW w:type="dxa" w:w="1440"/>
            <w:shd w:fill="C6EFCE" w:val="clear"/>
          </w:tcPr>
          <w:p>
            <w:r>
              <w:rPr>
                <w:sz w:val="17"/>
              </w:rPr>
              <w:t>2,032</w:t>
            </w:r>
          </w:p>
        </w:tc>
        <w:tc>
          <w:tcPr>
            <w:tcW w:type="dxa" w:w="1440"/>
            <w:shd w:fill="C6EFCE" w:val="clear"/>
          </w:tcPr>
          <w:p>
            <w:r>
              <w:rPr>
                <w:b/>
                <w:sz w:val="17"/>
              </w:rPr>
              <w:t>2,253</w:t>
            </w:r>
          </w:p>
        </w:tc>
        <w:tc>
          <w:tcPr>
            <w:tcW w:type="dxa" w:w="1440"/>
            <w:shd w:fill="C6EFCE" w:val="clear"/>
          </w:tcPr>
          <w:p>
            <w:r>
              <w:rPr>
                <w:sz w:val="17"/>
              </w:rPr>
              <w:t>2,473</w:t>
            </w:r>
          </w:p>
        </w:tc>
        <w:tc>
          <w:tcPr>
            <w:tcW w:type="dxa" w:w="1440"/>
            <w:shd w:fill="C6EFCE" w:val="clear"/>
          </w:tcPr>
          <w:p>
            <w:r>
              <w:rPr>
                <w:b/>
                <w:color w:val="008000"/>
                <w:sz w:val="17"/>
              </w:rPr>
              <w:t>+4.5%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18.801 Mds FCFA</w:t>
            </w:r>
          </w:p>
        </w:tc>
        <w:tc>
          <w:tcPr>
            <w:tcW w:type="dxa" w:w="5669"/>
            <w:shd w:fill="FFFFFF" w:val="clear"/>
          </w:tcPr>
          <w:p>
            <w:r>
              <w:rPr>
                <w:color w:val="282828"/>
                <w:sz w:val="15"/>
              </w:rPr>
              <w:t>Créances clients = 58.6% du CA. ❌ Niveau critique — risque trésorerie élevé.</w:t>
            </w:r>
          </w:p>
        </w:tc>
      </w:tr>
      <w:tr>
        <w:tc>
          <w:tcPr>
            <w:tcW w:type="dxa" w:w="2268"/>
            <w:shd w:fill="EEF2F7" w:val="clear"/>
          </w:tcPr>
          <w:p>
            <w:r>
              <w:rPr>
                <w:b/>
                <w:color w:val="1E1E3C"/>
                <w:sz w:val="16"/>
              </w:rPr>
              <w:t>Stocks</w:t>
            </w:r>
          </w:p>
        </w:tc>
        <w:tc>
          <w:tcPr>
            <w:tcW w:type="dxa" w:w="1984"/>
            <w:shd w:fill="FFEB9C" w:val="clear"/>
          </w:tcPr>
          <w:p>
            <w:r>
              <w:rPr>
                <w:b/>
                <w:color w:val="006400"/>
                <w:sz w:val="17"/>
              </w:rPr>
              <w:t>12.387 Mds FCFA</w:t>
            </w:r>
          </w:p>
        </w:tc>
        <w:tc>
          <w:tcPr>
            <w:tcW w:type="dxa" w:w="5669"/>
            <w:shd w:fill="FFFFFF" w:val="clear"/>
          </w:tcPr>
          <w:p>
            <w:r>
              <w:rPr>
                <w:color w:val="282828"/>
                <w:sz w:val="15"/>
              </w:rPr>
              <w:t>Rotation stocks = 2.6x/an.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31.188 Mds FCFA</w:t>
            </w:r>
          </w:p>
        </w:tc>
        <w:tc>
          <w:tcPr>
            <w:tcW w:type="dxa" w:w="5669"/>
            <w:shd w:fill="FFFFFF" w:val="clear"/>
          </w:tcPr>
          <w:p>
            <w:r>
              <w:rPr>
                <w:color w:val="282828"/>
                <w:sz w:val="15"/>
              </w:rPr>
              <w:t>Ratio actif circ./passif circ. = 1.59x.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1.595 Mds FCFA</w:t>
            </w:r>
          </w:p>
        </w:tc>
        <w:tc>
          <w:tcPr>
            <w:tcW w:type="dxa" w:w="5669"/>
            <w:shd w:fill="FFFFFF" w:val="clear"/>
          </w:tcPr>
          <w:p>
            <w:r>
              <w:rPr>
                <w:color w:val="282828"/>
                <w:sz w:val="15"/>
              </w:rPr>
              <w:t>Brevets, logiciels, fonds commercial (4.1%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4.640 Mds FCFA</w:t>
            </w:r>
          </w:p>
        </w:tc>
        <w:tc>
          <w:tcPr>
            <w:tcW w:type="dxa" w:w="5669"/>
            <w:shd w:fill="FFFFFF" w:val="clear"/>
          </w:tcPr>
          <w:p>
            <w:r>
              <w:rPr>
                <w:color w:val="282828"/>
                <w:sz w:val="15"/>
              </w:rPr>
              <w:t>Outil industriel (11.9%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7.950 Mds FCFA</w:t>
            </w:r>
          </w:p>
        </w:tc>
        <w:tc>
          <w:tcPr>
            <w:tcW w:type="dxa" w:w="5669"/>
            <w:shd w:fill="FFFFFF" w:val="clear"/>
          </w:tcPr>
          <w:p>
            <w:r>
              <w:rPr>
                <w:color w:val="282828"/>
                <w:sz w:val="15"/>
              </w:rPr>
              <w:t>Actif immobilisé = 20.3%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10.63 M FCFA</w:t>
            </w:r>
          </w:p>
        </w:tc>
        <w:tc>
          <w:tcPr>
            <w:tcW w:type="dxa" w:w="5669"/>
            <w:shd w:fill="FFFFFF" w:val="clear"/>
          </w:tcPr>
          <w:p>
            <w:r>
              <w:rPr>
                <w:color w:val="282828"/>
                <w:sz w:val="15"/>
              </w:rPr>
              <w:t>Liquidités disponibles (0.0%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39.149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8.815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6.422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15.703 Mds FCFA</w:t>
            </w:r>
          </w:p>
        </w:tc>
        <w:tc>
          <w:tcPr>
            <w:tcW w:type="dxa" w:w="5669"/>
            <w:shd w:fill="FFFFFF" w:val="clear"/>
          </w:tcPr>
          <w:p>
            <w:r>
              <w:rPr>
                <w:color w:val="282828"/>
                <w:sz w:val="15"/>
              </w:rPr>
              <w:t>Fonds propres = 40.1%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19.490 Mds FCFA</w:t>
            </w:r>
          </w:p>
        </w:tc>
        <w:tc>
          <w:tcPr>
            <w:tcW w:type="dxa" w:w="5669"/>
            <w:shd w:fill="FFFFFF" w:val="clear"/>
          </w:tcPr>
          <w:p>
            <w:r>
              <w:rPr>
                <w:color w:val="282828"/>
                <w:sz w:val="15"/>
              </w:rPr>
              <w:t>Capitaux permanents / Actif immobilisé = 2.45x.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8.120 Mds FCFA</w:t>
            </w:r>
          </w:p>
        </w:tc>
        <w:tc>
          <w:tcPr>
            <w:tcW w:type="dxa" w:w="5669"/>
            <w:shd w:fill="FFFFFF" w:val="clear"/>
          </w:tcPr>
          <w:p>
            <w:r>
              <w:rPr>
                <w:color w:val="282828"/>
                <w:sz w:val="15"/>
              </w:rPr>
              <w:t>Délai fournisseurs implicite ≈ 92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3.787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15.326 Mds FCFA</w:t>
            </w:r>
          </w:p>
        </w:tc>
        <w:tc>
          <w:tcPr>
            <w:tcW w:type="dxa" w:w="5669"/>
            <w:shd w:fill="FFFFFF" w:val="clear"/>
          </w:tcPr>
          <w:p>
            <w:r>
              <w:rPr>
                <w:color w:val="282828"/>
                <w:sz w:val="15"/>
              </w:rPr>
              <w:t>Dette financière totale = 98%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23.446 Mds FCFA</w:t>
            </w:r>
          </w:p>
        </w:tc>
        <w:tc>
          <w:tcPr>
            <w:tcW w:type="dxa" w:w="5669"/>
            <w:shd w:fill="FFFFFF" w:val="clear"/>
          </w:tcPr>
          <w:p>
            <w:r>
              <w:rPr>
                <w:color w:val="282828"/>
                <w:sz w:val="15"/>
              </w:rPr>
              <w:t>Dettes totales = 59.9%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32.109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32.109 Mds FCFA</w:t>
            </w:r>
          </w:p>
        </w:tc>
        <w:tc>
          <w:tcPr>
            <w:tcW w:type="dxa" w:w="5669"/>
            <w:shd w:fill="FFFFFF" w:val="clear"/>
          </w:tcPr>
          <w:p>
            <w:r>
              <w:rPr>
                <w:color w:val="282828"/>
                <w:sz w:val="15"/>
              </w:rPr>
              <w:t>Chiffre d'affaires. Croissance: 4.6%.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-27.840 Mds FCFA</w:t>
            </w:r>
          </w:p>
        </w:tc>
        <w:tc>
          <w:tcPr>
            <w:tcW w:type="dxa" w:w="5669"/>
            <w:shd w:fill="FFFFFF" w:val="clear"/>
          </w:tcPr>
          <w:p>
            <w:r>
              <w:rPr>
                <w:color w:val="282828"/>
                <w:sz w:val="15"/>
              </w:rPr>
              <w:t>-86.7%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-2.587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-5.039 Mds FCFA</w:t>
            </w:r>
          </w:p>
        </w:tc>
        <w:tc>
          <w:tcPr>
            <w:tcW w:type="dxa" w:w="5669"/>
            <w:shd w:fill="FFFFFF" w:val="clear"/>
          </w:tcPr>
          <w:p>
            <w:r>
              <w:rPr>
                <w:color w:val="282828"/>
                <w:sz w:val="15"/>
              </w:rPr>
              <w:t>Masse salariale = -15.7%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6.540 Mds FCFA</w:t>
            </w:r>
          </w:p>
        </w:tc>
        <w:tc>
          <w:tcPr>
            <w:tcW w:type="dxa" w:w="5669"/>
            <w:shd w:fill="FFFFFF" w:val="clear"/>
          </w:tcPr>
          <w:p>
            <w:r>
              <w:rPr>
                <w:color w:val="282828"/>
                <w:sz w:val="15"/>
              </w:rPr>
              <w:t>VA = 20.4% du CA. ℹ️ VA standard pour le secteur.</w:t>
            </w:r>
          </w:p>
        </w:tc>
      </w:tr>
      <w:tr>
        <w:tc>
          <w:tcPr>
            <w:tcW w:type="dxa" w:w="2268"/>
            <w:shd w:fill="EEF2F7" w:val="clear"/>
          </w:tcPr>
          <w:p>
            <w:r>
              <w:rPr>
                <w:b/>
                <w:color w:val="1E1E3C"/>
                <w:sz w:val="16"/>
              </w:rPr>
              <w:t>EBE</w:t>
            </w:r>
          </w:p>
        </w:tc>
        <w:tc>
          <w:tcPr>
            <w:tcW w:type="dxa" w:w="1984"/>
            <w:shd w:fill="FFEB9C" w:val="clear"/>
          </w:tcPr>
          <w:p>
            <w:r>
              <w:rPr>
                <w:b/>
                <w:color w:val="006400"/>
                <w:sz w:val="17"/>
              </w:rPr>
              <w:t>1.501 Mds FCFA</w:t>
            </w:r>
          </w:p>
        </w:tc>
        <w:tc>
          <w:tcPr>
            <w:tcW w:type="dxa" w:w="5669"/>
            <w:shd w:fill="FFFFFF" w:val="clear"/>
          </w:tcPr>
          <w:p>
            <w:r>
              <w:rPr>
                <w:color w:val="282828"/>
                <w:sz w:val="15"/>
              </w:rPr>
              <w:t>EBE = 4.7%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275.04 M FCFA</w:t>
            </w:r>
          </w:p>
        </w:tc>
        <w:tc>
          <w:tcPr>
            <w:tcW w:type="dxa" w:w="5669"/>
            <w:shd w:fill="FFFFFF" w:val="clear"/>
          </w:tcPr>
          <w:p>
            <w:r>
              <w:rPr>
                <w:color w:val="282828"/>
                <w:sz w:val="15"/>
              </w:rPr>
              <w:t>Profit d'exploitation = 0.9%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-1.226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465.98 M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1.334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-1.826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-756.42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-27.766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577.83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C7CE" w:val="clear"/>
          </w:tcPr>
          <w:p>
            <w:r>
              <w:rPr>
                <w:b/>
                <w:color w:val="006400"/>
                <w:sz w:val="17"/>
              </w:rPr>
              <w:t>11.529 Mds FCFA</w:t>
            </w:r>
          </w:p>
        </w:tc>
        <w:tc>
          <w:tcPr>
            <w:tcW w:type="dxa" w:w="5669"/>
            <w:shd w:fill="FFFFFF" w:val="clear"/>
          </w:tcPr>
          <w:p>
            <w:r>
              <w:rPr>
                <w:color w:val="282828"/>
                <w:sz w:val="15"/>
              </w:rPr>
              <w:t>BFR = 35.9%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11.540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-11.528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20.37%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1.45%</w:t>
            </w:r>
          </w:p>
        </w:tc>
        <w:tc>
          <w:tcPr>
            <w:tcW w:type="dxa" w:w="5669"/>
            <w:shd w:fill="FFFFFF" w:val="clear"/>
          </w:tcPr>
          <w:p>
            <w:r>
              <w:rPr>
                <w:color w:val="282828"/>
                <w:sz w:val="15"/>
              </w:rPr>
              <w:t>Résultat net / revenus = 1.45%.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0.86%</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FFEB9C" w:val="clear"/>
          </w:tcPr>
          <w:p>
            <w:r>
              <w:rPr>
                <w:b/>
                <w:color w:val="006400"/>
                <w:sz w:val="17"/>
              </w:rPr>
              <w:t>2.97%</w:t>
            </w:r>
          </w:p>
        </w:tc>
        <w:tc>
          <w:tcPr>
            <w:tcW w:type="dxa" w:w="5669"/>
            <w:shd w:fill="FFFFFF" w:val="clear"/>
          </w:tcPr>
          <w:p>
            <w:r>
              <w:rPr>
                <w:color w:val="282828"/>
                <w:sz w:val="15"/>
              </w:rPr>
              <w:t>Résultat net / capitaux propres = 2.97%. ⚠️ Faible rémunération des actionnaires.</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1.19%</w:t>
            </w:r>
          </w:p>
        </w:tc>
        <w:tc>
          <w:tcPr>
            <w:tcW w:type="dxa" w:w="5669"/>
            <w:shd w:fill="FFFFFF" w:val="clear"/>
          </w:tcPr>
          <w:p>
            <w:r>
              <w:rPr>
                <w:color w:val="282828"/>
                <w:sz w:val="15"/>
              </w:rPr>
              <w:t>Résultat net / total actif = 1.19%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82.02%</w:t>
            </w:r>
          </w:p>
        </w:tc>
        <w:tc>
          <w:tcPr>
            <w:tcW w:type="dxa" w:w="5669"/>
            <w:shd w:fill="FFFFFF" w:val="clear"/>
          </w:tcPr>
          <w:p>
            <w:r>
              <w:rPr>
                <w:color w:val="282828"/>
                <w:sz w:val="15"/>
              </w:rPr>
              <w:t>CA / total actif = 82.02x.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2.11%</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4.61%</w:t>
            </w:r>
          </w:p>
        </w:tc>
        <w:tc>
          <w:tcPr>
            <w:tcW w:type="dxa" w:w="5669"/>
            <w:shd w:fill="FFFFFF" w:val="clear"/>
          </w:tcPr>
          <w:p>
            <w:r>
              <w:rPr>
                <w:color w:val="282828"/>
                <w:sz w:val="15"/>
              </w:rPr>
              <w:t>Croissance CA vs exercice précédent = 4.61%.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40.11%</w:t>
            </w:r>
          </w:p>
        </w:tc>
        <w:tc>
          <w:tcPr>
            <w:tcW w:type="dxa" w:w="5669"/>
            <w:shd w:fill="FFFFFF" w:val="clear"/>
          </w:tcPr>
          <w:p>
            <w:r>
              <w:rPr>
                <w:color w:val="282828"/>
                <w:sz w:val="15"/>
              </w:rPr>
              <w:t>Fonds propres / total bilan = 40.11%.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59.89%</w:t>
            </w:r>
          </w:p>
        </w:tc>
        <w:tc>
          <w:tcPr>
            <w:tcW w:type="dxa" w:w="5669"/>
            <w:shd w:fill="FFFFFF" w:val="clear"/>
          </w:tcPr>
          <w:p>
            <w:r>
              <w:rPr>
                <w:color w:val="282828"/>
                <w:sz w:val="15"/>
              </w:rPr>
              <w:t>Dettes financières / total bilan = 59.89%.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97.60%</w:t>
            </w:r>
          </w:p>
        </w:tc>
        <w:tc>
          <w:tcPr>
            <w:tcW w:type="dxa" w:w="5669"/>
            <w:shd w:fill="FFFFFF" w:val="clear"/>
          </w:tcPr>
          <w:p>
            <w:r>
              <w:rPr>
                <w:color w:val="282828"/>
                <w:sz w:val="15"/>
              </w:rPr>
              <w:t>Dettes totales / fonds propres = 97.60%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166.98%</w:t>
            </w:r>
          </w:p>
        </w:tc>
        <w:tc>
          <w:tcPr>
            <w:tcW w:type="dxa" w:w="5669"/>
            <w:shd w:fill="FFFFFF" w:val="clear"/>
          </w:tcPr>
          <w:p>
            <w:r>
              <w:rPr>
                <w:color w:val="282828"/>
                <w:sz w:val="15"/>
              </w:rPr>
              <w:t>Total actif / dettes totales = 166.98x.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158.64%</w:t>
            </w:r>
          </w:p>
        </w:tc>
        <w:tc>
          <w:tcPr>
            <w:tcW w:type="dxa" w:w="5669"/>
            <w:shd w:fill="FFFFFF" w:val="clear"/>
          </w:tcPr>
          <w:p>
            <w:r>
              <w:rPr>
                <w:color w:val="282828"/>
                <w:sz w:val="15"/>
              </w:rPr>
              <w:t>Actif circulant / passif circulant = 158.64x.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0.05%</w:t>
            </w:r>
          </w:p>
        </w:tc>
        <w:tc>
          <w:tcPr>
            <w:tcW w:type="dxa" w:w="5669"/>
            <w:shd w:fill="FFFFFF" w:val="clear"/>
          </w:tcPr>
          <w:p>
            <w:r>
              <w:rPr>
                <w:color w:val="282828"/>
                <w:sz w:val="15"/>
              </w:rPr>
              <w:t>Trésorerie / passif circulant = 0.05x. ❌ Cash quasi inexistant face aux dettes CT.</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95.63%</w:t>
            </w:r>
          </w:p>
        </w:tc>
        <w:tc>
          <w:tcPr>
            <w:tcW w:type="dxa" w:w="5669"/>
            <w:shd w:fill="FFFFFF" w:val="clear"/>
          </w:tcPr>
          <w:p>
            <w:r>
              <w:rPr>
                <w:color w:val="282828"/>
                <w:sz w:val="15"/>
              </w:rPr>
              <w:t>(Actif circ. - stocks) / passif circ. = 95.63x.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245.15%</w:t>
            </w:r>
          </w:p>
        </w:tc>
        <w:tc>
          <w:tcPr>
            <w:tcW w:type="dxa" w:w="5669"/>
            <w:shd w:fill="FFFFFF" w:val="clear"/>
          </w:tcPr>
          <w:p>
            <w:r>
              <w:rPr>
                <w:color w:val="282828"/>
                <w:sz w:val="15"/>
              </w:rPr>
              <w:t>Capitaux permanents / actif immobilisé = 245.15x.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11.5 ans</w:t>
            </w:r>
          </w:p>
        </w:tc>
        <w:tc>
          <w:tcPr>
            <w:tcW w:type="dxa" w:w="5669"/>
            <w:shd w:fill="FFFFFF" w:val="clear"/>
          </w:tcPr>
          <w:p>
            <w:r>
              <w:rPr>
                <w:color w:val="282828"/>
                <w:sz w:val="15"/>
              </w:rPr>
              <w:t>Dettes financières / CAF = 11.5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40.58%</w:t>
            </w:r>
          </w:p>
        </w:tc>
        <w:tc>
          <w:tcPr>
            <w:tcW w:type="dxa" w:w="5669"/>
            <w:shd w:fill="FFFFFF" w:val="clear"/>
          </w:tcPr>
          <w:p>
            <w:r>
              <w:rPr>
                <w:color w:val="282828"/>
                <w:sz w:val="15"/>
              </w:rPr>
              <w:t>Résultat exploit. / charges financières = 40.58x.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176.39%</w:t>
            </w:r>
          </w:p>
        </w:tc>
        <w:tc>
          <w:tcPr>
            <w:tcW w:type="dxa" w:w="5669"/>
            <w:shd w:fill="FFFFFF" w:val="clear"/>
          </w:tcPr>
          <w:p>
            <w:r>
              <w:rPr>
                <w:color w:val="282828"/>
                <w:sz w:val="15"/>
              </w:rPr>
              <w:t>CAF / investissements = 176.39x.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213.7 j</w:t>
            </w:r>
          </w:p>
        </w:tc>
        <w:tc>
          <w:tcPr>
            <w:tcW w:type="dxa" w:w="5669"/>
            <w:shd w:fill="FFFFFF" w:val="clear"/>
          </w:tcPr>
          <w:p>
            <w:r>
              <w:rPr>
                <w:color w:val="282828"/>
                <w:sz w:val="15"/>
              </w:rPr>
              <w:t>Les clients paient en moyenne en 214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140.7 j</w:t>
            </w:r>
          </w:p>
        </w:tc>
        <w:tc>
          <w:tcPr>
            <w:tcW w:type="dxa" w:w="5669"/>
            <w:shd w:fill="FFFFFF" w:val="clear"/>
          </w:tcPr>
          <w:p>
            <w:r>
              <w:rPr>
                <w:color w:val="282828"/>
                <w:sz w:val="15"/>
              </w:rPr>
              <w:t>Paiement des fournisseurs en 141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214.7 j</w:t>
            </w:r>
          </w:p>
        </w:tc>
        <w:tc>
          <w:tcPr>
            <w:tcW w:type="dxa" w:w="5669"/>
            <w:shd w:fill="FFFFFF" w:val="clear"/>
          </w:tcPr>
          <w:p>
            <w:r>
              <w:rPr>
                <w:color w:val="282828"/>
                <w:sz w:val="15"/>
              </w:rPr>
              <w:t>Stock écoulé en 215 jours. ❌ Stock quasi-bloqué — risque d'obsolescence ou de surstock.</w:t>
            </w:r>
          </w:p>
        </w:tc>
      </w:tr>
    </w:tbl>
    <w:p/>
    <w:p>
      <w:pPr>
        <w:spacing w:after="120" w:line="276" w:lineRule="auto"/>
      </w:pPr>
      <w:r>
        <w:t>**RAPPORT D'ANALYSE FINANCIÈRE — FILTISAC CI (FTSC)**</w:t>
        <w:br/>
        <w:t>**Date : 27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FTSC s'établit à 30,39 milliards FCFA, un niveau modeste pour la BRVM, reflétant un profil de valeur moyenne. Avec un BPA de 33 FCFA, le titre se paie actuellement 65,2 fois ses bénéfices (PER), un niveau extrêmement élevé comparé à la moyenne historique de la BRVM (8-12x), signalant une décote sévère des bénéfices ou une anticipation de croissance future très forte. Le P/B de 1,94x indique que le marché valorise la société à près du double de sa valeur comptable, ce qui reste raisonnable pour une entreprise industrielle. Enfin, l'EV/EBITDA de 38,1x est très exigeant, signifiant que la valeur totale de l'entreprise (capitaux propres + dettes) est très élevée par rapport à sa capacité opérationnelle de génération de cash (EBITDA). Ces ratios combinés suggèrent une valorisation qui intègre un scénario de redressement ambitieux, avec une prime de risque importante.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FTSC a enregistré une baisse de 6,30%, mais a légèrement rebondi de +0,23% lors de la dernière séance, clôturant à 2 155 FCFA. Le titre a évolué dans une fourchette de 1 910 FCFA (plus bas) à 2 430 FCFA (plus haut), montrant une amplitude de trading de 520 FCFA. La moyenne du cours sur la période (2 154 FCFA) est très proche de la médiane (2 190 FCFA), indiquant une distribution quasi symétrique, confirmée par un skewness de -0,129. L'écart-type de 137 FCFA (CV=6,4%) révèle une dispersion modérée des prix autour de la moyenne. Le kurtosis de -1,138 (platykurtique) indique une distribution aplatie avec peu de valeurs extrêmes, suggérant une absence de mouvements violents et imprévisibles. La volatilité annualisée de 35,3% classe le titre comme très volatil (&gt;30%), un niveau élevé qui reflète une incertitude marquée des investisseurs malgré une distribution statistique des prix relativement stable sur la période.</w:t>
      </w:r>
    </w:p>
    <w:p>
      <w:pPr>
        <w:spacing w:after="120" w:line="276" w:lineRule="auto"/>
      </w:pPr>
      <w:r>
        <w:t>---</w:t>
      </w:r>
    </w:p>
    <w:p>
      <w:pPr>
        <w:spacing w:after="120" w:line="276" w:lineRule="auto"/>
      </w:pPr>
      <w:r>
        <w:t>### PARTIE 2 : ANALYSE TECHNIQUE DÉTAILLÉE</w:t>
      </w:r>
    </w:p>
    <w:p>
      <w:pPr>
        <w:spacing w:after="120" w:line="276" w:lineRule="auto"/>
      </w:pPr>
      <w:r>
        <w:t>**Moyennes Mobiles** : Les MM20 (2 092,25 FCFA) et MM50 (2 042,8 FCFA) sont toutes deux inférieures au cours actuel (2 155 FCFA), ce qui configure une tendance haussière de court et moyen terme. Le cours évolue au-dessus de ces supports dynamiques, confirmant la dynamique positive et justifiant la décision d'achat.</w:t>
      </w:r>
    </w:p>
    <w:p>
      <w:pPr>
        <w:spacing w:after="120" w:line="276" w:lineRule="auto"/>
      </w:pPr>
      <w:r>
        <w:t>**Bandes de Bollinger** : Le cours se situe à 2 155 FCFA, entre la borne inférieure (1 885,6 FCFA) et la borne supérieure (2 298,8 FCFA), proche de la moyenne mobile. La position médiane du prix indique une volatilité modérée sans excès, d'où une décision neutre. Une cassure au-dessus de la borne supérieure pourrait signaler une accélération haussière.</w:t>
      </w:r>
    </w:p>
    <w:p>
      <w:pPr>
        <w:spacing w:after="120" w:line="276" w:lineRule="auto"/>
      </w:pPr>
      <w:r>
        <w:t>**MACD** : Le MACD (37,54) est supérieur à son signal (32,80), avec un histogramme positif, indiquant un momentum haussier en cours. Cette configuration technique est un signal d'achat classique, suggérant que la dynamique positive pourrait se poursuivre à court terme.</w:t>
      </w:r>
    </w:p>
    <w:p>
      <w:pPr>
        <w:spacing w:after="120" w:line="276" w:lineRule="auto"/>
      </w:pPr>
      <w:r>
        <w:t>**RSI** : Le RSI s'établit à 72,6, dépassant le seuil de surachat de 70. Cette valeur indique que le titre est techniquement suracheté, ce qui pourrait précéder une consolidation ou un repli à court terme. La décision associée est une vente, signalant une prudence pour les acheteurs à ces niveaux.</w:t>
      </w:r>
    </w:p>
    <w:p>
      <w:pPr>
        <w:spacing w:after="120" w:line="276" w:lineRule="auto"/>
      </w:pPr>
      <w:r>
        <w:t>**Stochastique** : Le %K (81,58) et le %D (81,13) sont tous deux dans la zone de surachat (&gt;80), avec un écart très faible. Cette configuration suggère un essoufflement du mouvement haussier et un risque de retournement, justifiant une décision de vente.</w:t>
      </w:r>
    </w:p>
    <w:p>
      <w:pPr>
        <w:spacing w:after="120" w:line="276" w:lineRule="auto"/>
      </w:pPr>
      <w:r>
        <w:t>**Conclusion technique** : Les indicateurs de tendance (MM, MACD) sont positifs, mais les oscillateurs (RSI, Stochastique) signalent une condition de surachat. Cette divergence suggère un potentiel de hausse limité à court terme, avec un risque de correction technique. La prudence est de mise pour les nouveaux achats, tandis que les investisseurs existants pourraient conserver leurs positions en attendant une consolidation.</w:t>
      </w:r>
    </w:p>
    <w:p>
      <w:pPr>
        <w:spacing w:after="120" w:line="276" w:lineRule="auto"/>
      </w:pPr>
      <w:r>
        <w:t>---</w:t>
      </w:r>
    </w:p>
    <w:p>
      <w:pPr>
        <w:spacing w:after="120" w:line="276" w:lineRule="auto"/>
      </w:pPr>
      <w:r>
        <w:t>### PARTIE 3 : ANALYSE FONDAMENTALE (SECTION CRITIQUE)</w:t>
      </w:r>
    </w:p>
    <w:p>
      <w:pPr>
        <w:spacing w:after="120" w:line="276" w:lineRule="auto"/>
      </w:pPr>
      <w:r>
        <w:t>**Données structurées (2025)** : En 2025, FILTISAC CI a réalisé un chiffre d'affaires de 32,109 milliards FCFA, en croissance de 5% par rapport à 2024. Le résultat net s'établit à 465,98 millions FCFA, en chute spectaculaire par rapport aux 18,6 milliards de 2024, qui étaient artificiellement gonflés par des produits exceptionnels de cession de filiales. La marge nette ressort à 1,45%, et le ROE à 2,97%, un niveau très faible qui reflète une rentabilité des capitaux propres dégradée. Le ROA est de 1,19%, indiquant une faible efficacité de l'utilisation des actifs. La trésorerie nette est fortement négative à -11,528 milliards FCFA, suite au versement massif de dividendes en 2024, ce qui constitue un risque de liquidité majeur. Le BFR est de 11,529 milliards FCFA, avec un délai clients très élevé de 213,7 jours et une durée de stockage de 214,6 jours, indiquant une immobilisation importante de capital et un risque de trésorerie. Le ratio d'endettement est de 97,6%, et la capacité de remboursement est de 11,49 ans, un niveau préoccupant.</w:t>
      </w:r>
    </w:p>
    <w:p>
      <w:pPr>
        <w:spacing w:after="120" w:line="276" w:lineRule="auto"/>
      </w:pPr>
      <w:r>
        <w:t>**Estimations basées sur les rapports trimestriels** : Le rapport du 3e trimestre 2025 (publié fin 2025) montre un CA de 18,371 milliards FCFA sur 9 mois, en léger retrait de 1%, avec un résultat courant avant impôt négatif de -216 millions FCFA. Le rapport du 1er trimestre 2026 (publié en 2026) indique un CA de 8,901 milliards FCFA, en hausse de 55% par rapport au T1 2025, porté par la forte demande d'emballages pour le cacao. Le résultat d'exploitation est redevenu positif à 75 millions FCFA, mais le résultat net reste déficitaire à -154 millions FCFA. On estime que l'exercice 2026 pourrait voir une amélioration significative de l'activité, mais la rentabilité nette pourrait rester fragile, dépendante de la maîtrise des coûts et de la campagne cacaoyère. La société a également communiqué sur la continuité de ses activités (communiqué du 08/07/2026), malgré l'arrêt de la filature dû à l'interdiction d'exportation de fibre de jute par le Bangladesh, avec une solution alternative d'importation de fil mise en place.</w:t>
      </w:r>
    </w:p>
    <w:p>
      <w:pPr>
        <w:spacing w:after="120" w:line="276" w:lineRule="auto"/>
      </w:pPr>
      <w:r>
        <w:t>---</w:t>
      </w:r>
    </w:p>
    <w:p>
      <w:pPr>
        <w:spacing w:after="120" w:line="276" w:lineRule="auto"/>
      </w:pPr>
      <w:r>
        <w:t>### PARTIE 4 : CONCLUSION D'INVESTISSEMENT</w:t>
      </w:r>
    </w:p>
    <w:p>
      <w:pPr>
        <w:spacing w:after="120" w:line="276" w:lineRule="auto"/>
      </w:pPr>
      <w:r>
        <w:t>La valorisation de FTSC est extrêmement exigeante (PER 65,2x, EV/EBITDA 38,1x), reflétant une anticipation de redressement qui ne s'est pas encore matérialisée dans les bénéfices. Le comportement du cours montre une tendance baissière sur 100 jours (-6,3%) avec une volatilité élevée (35,3%), mais une distribution statistique stable (kurtosis platykurtique). Les signaux techniques sont mitigés : les moyennes mobiles et le MACD sont positifs, mais le RSI et le stochastique sont en zone de surachat, suggérant un risque de correction à court terme. Les fondamentaux sont préoccupants : la rentabilité est très faible (ROE 2,97%), la trésorerie est négative, et les délais clients/stocks sont élevés. Cependant, les prédictions IA pour les 10 prochains jours (2 166 à 2 205 FCFA) anticipent une hausse modérée, en ligne avec les signaux de tendance mais en contradiction avec les signaux de surachat. La forte croissance du CA au T1 2026 (+55%) et l'amélioration du résultat d'exploitation sont des signaux positifs, mais le résultat net reste déficitaire. En synthèse, la convergence entre une valorisation excessive, des fondamentaux fragiles et des signaux techniques mitigés conduit à une recommandation **CONSERVER**. Le niveau de confiance est **Moyen**, le risque global est **Élevé**. L'horizon d'investissement optimal serait le **moyen terme (3-12 mois)**, en attendant de voir si le redressement opérationnel se confirme et si la trésorerie s'améliore.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20260707   communique   filtisac ci</w:t>
      </w:r>
    </w:p>
    <w:p>
      <w:pPr>
        <w:spacing w:before="20"/>
        <w:ind w:left="400"/>
      </w:pPr>
      <w:r>
        <w:rPr>
          <w:color w:val="505050"/>
          <w:sz w:val="17"/>
        </w:rPr>
        <w:t xml:space="preserve">Date : 08/07/2026  |  Catégorie : communiqué divers  |  Impact : </w:t>
      </w:r>
      <w:r>
        <w:rPr>
          <w:b/>
          <w:color w:val="646464"/>
          <w:sz w:val="17"/>
        </w:rPr>
        <w:t>⚪ NEUTRE</w:t>
      </w:r>
    </w:p>
    <w:p>
      <w:pPr>
        <w:spacing w:before="40"/>
        <w:ind w:left="400"/>
      </w:pPr>
      <w:r>
        <w:rPr>
          <w:sz w:val="18"/>
        </w:rPr>
        <w:t>FILTISAC CI rassure ses partenaires sur la continuité de ses activités de production. L'arrêt de la filature est dû à une interdiction d'exportation de fibre de jute par le Bangladesh, mais une solution alternative d'importation de fil a été mise en place. Les autres activités se poursuivent normalement et la pérennité de l'entreprise n'est pas remise en cause.</w:t>
      </w:r>
    </w:p>
    <w:p>
      <w:pPr>
        <w:spacing w:before="60"/>
        <w:ind w:left="400"/>
      </w:pPr>
      <w:r>
        <w:rPr>
          <w:b/>
          <w:sz w:val="18"/>
        </w:rPr>
        <w:t>Points clés :</w:t>
      </w:r>
    </w:p>
    <w:p>
      <w:pPr>
        <w:pStyle w:val="ListBullet"/>
        <w:spacing w:before="20" w:after="20"/>
        <w:ind w:left="700"/>
      </w:pPr>
      <w:r>
        <w:rPr>
          <w:sz w:val="18"/>
        </w:rPr>
        <w:t>FILTISAC clarifie que ses activités de production n'ont pas cessé.</w:t>
      </w:r>
    </w:p>
    <w:p>
      <w:pPr>
        <w:pStyle w:val="ListBullet"/>
        <w:spacing w:before="20" w:after="20"/>
        <w:ind w:left="700"/>
      </w:pPr>
      <w:r>
        <w:rPr>
          <w:sz w:val="18"/>
        </w:rPr>
        <w:t>L'arrêt de l'atelier de filature est dû à l'interdiction d'exportation de fibre de jute par le Bangladesh.</w:t>
      </w:r>
    </w:p>
    <w:p>
      <w:pPr>
        <w:pStyle w:val="ListBullet"/>
        <w:spacing w:before="20" w:after="20"/>
        <w:ind w:left="700"/>
      </w:pPr>
      <w:r>
        <w:rPr>
          <w:sz w:val="18"/>
        </w:rPr>
        <w:t>La société a mis en place une solution alternative : importer directement du fil de jute.</w:t>
      </w:r>
    </w:p>
    <w:p>
      <w:pPr>
        <w:pStyle w:val="ListBullet"/>
        <w:spacing w:before="20" w:after="20"/>
        <w:ind w:left="700"/>
      </w:pPr>
      <w:r>
        <w:rPr>
          <w:sz w:val="18"/>
        </w:rPr>
        <w:t>Les activités de tissage, confection, impression et livraison de sacs jute se poursuivent normalement.</w:t>
      </w:r>
    </w:p>
    <w:p>
      <w:pPr>
        <w:pStyle w:val="ListBullet"/>
        <w:spacing w:before="20" w:after="20"/>
        <w:ind w:left="700"/>
      </w:pPr>
      <w:r>
        <w:rPr>
          <w:sz w:val="18"/>
        </w:rPr>
        <w:t>La situation ne concerne que moins de 10% des effectifs et ne remet pas en cause la pérennité de l'entreprise.</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l'am\u00e9lioration du r\u00e9sultat d'exploitation sont encourageantes, mais le r\u00e9sultat net reste n\u00e9gatif et les risques sur les co\u00fbts persistent. Il est prudent de conserver la valeur en attendant de voir l'\u00e9volution de la rentabilit\u00e9."}</w:t>
      </w:r>
    </w:p>
    <w:p>
      <w:pPr>
        <w:spacing w:before="40"/>
        <w:ind w:left="400"/>
      </w:pPr>
      <w:r>
        <w:rPr>
          <w:sz w:val="18"/>
        </w:rPr>
        <w:t xml:space="preserve">Au premier trimestre 2026, Filtisac CI a réalisé un chiffre d'affaires de 8 901 millions FCFA, en hausse de 55% par rapport à l'année précédente, porté par la forte demande d'emballages pour le cacao. Le résultat d'exploitation s'est établi à 75 millions FCFA, contre -78 millions au premier trimestre 2025, soit une amélioration de 153 millions FCFA grâce à la maîtrise des charges opérationnelles. Toutefois, le résultat net reste déficitaire à -154 millions FCFA, bien qu'en amélioration de 14% par rapport à -179 millions FCFA au premier trimestre 2025. La société fait face à des difficultés d'approvisionnement en matières premières et à une hausse des coûts due à l'interdiction d'exportation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'resultat_exploitation': '75 millions FCFA', 'resultat_activites_ordinaires': '-119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8 901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55% à 8 901 millions FCFA au 1er trimestre 2026.</w:t>
      </w:r>
    </w:p>
    <w:p>
      <w:pPr>
        <w:pStyle w:val="ListBullet"/>
        <w:spacing w:before="20" w:after="20"/>
        <w:ind w:left="700"/>
      </w:pPr>
      <w:r>
        <w:rPr>
          <w:sz w:val="18"/>
        </w:rPr>
        <w:t>Forte demande d'emballages pour le cacao, principal moteur de la croissance.</w:t>
      </w:r>
    </w:p>
    <w:p>
      <w:pPr>
        <w:pStyle w:val="ListBullet"/>
        <w:spacing w:before="20" w:after="20"/>
        <w:ind w:left="700"/>
      </w:pPr>
      <w:r>
        <w:rPr>
          <w:sz w:val="18"/>
        </w:rPr>
        <w:t>Résultat d'exploitation positif de 75 millions FCFA, contre -78 millions un an plus tôt.</w:t>
      </w:r>
    </w:p>
    <w:p>
      <w:pPr>
        <w:pStyle w:val="ListBullet"/>
        <w:spacing w:before="20" w:after="20"/>
        <w:ind w:left="700"/>
      </w:pPr>
      <w:r>
        <w:rPr>
          <w:sz w:val="18"/>
        </w:rPr>
        <w:t>Résultat net toujours négatif à -154 millions FCFA, mais en amélioration de 14%.</w:t>
      </w:r>
    </w:p>
    <w:p>
      <w:pPr>
        <w:pStyle w:val="ListBullet"/>
        <w:spacing w:before="20" w:after="20"/>
        <w:ind w:left="700"/>
      </w:pPr>
      <w:r>
        <w:rPr>
          <w:sz w:val="18"/>
        </w:rPr>
        <w:t>Rareté de la matière première et interdiction d'exportation impactent les coûts des intrants.</w:t>
      </w:r>
    </w:p>
    <w:p>
      <w:pPr>
        <w:pStyle w:val="ListBullet"/>
        <w:spacing w:before="20" w:after="20"/>
        <w:ind w:left="700"/>
      </w:pPr>
      <w:r>
        <w:rPr>
          <w:sz w:val="18"/>
        </w:rPr>
        <w:t>Crise au Moyen-Orient entraîne une hausse du fret maritime.</w:t>
      </w:r>
    </w:p>
    <w:p>
      <w:pPr>
        <w:spacing w:before="40"/>
        <w:ind w:left="400"/>
      </w:pPr>
      <w:r>
        <w:rPr>
          <w:b/>
          <w:color w:val="C05000"/>
          <w:sz w:val="18"/>
        </w:rPr>
        <w:t xml:space="preserve">⚠️ Risques : </w:t>
      </w:r>
      <w:r>
        <w:rPr>
          <w:sz w:val="18"/>
        </w:rPr>
        <w:t>["Raret\u00e9 et interdiction d'exportation de la mati\u00e8re premi\u00e8re", "Crise au Moyen-Orient entra\u00eenant une hausse du fret maritime", "D\u00e9pendance \u00e0 la demande d'emballages pour le cacao"]</w:t>
      </w:r>
    </w:p>
    <w:p>
      <w:pPr>
        <w:spacing w:before="40"/>
        <w:ind w:left="400"/>
      </w:pPr>
      <w:r>
        <w:rPr>
          <w:b/>
          <w:color w:val="0064A0"/>
          <w:sz w:val="18"/>
        </w:rPr>
        <w:t xml:space="preserve">🔮 Perspectives : </w:t>
      </w:r>
      <w:r>
        <w:rPr>
          <w:sz w:val="18"/>
        </w:rPr>
        <w:t>L'exercice 2026 bénéficie d'une dynamique favorable portée par la demande de cacao, mais Filtisac devra continuer à mitiger les conséquences des crises politiques et sécuritaires mondiales sur sa chaîne de valeur. Si la société parvient à stabiliser ses coûts d'approvisionnement et à maintenir sa cr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du r\u00e9sultat net et la d\u00e9gradation de la tr\u00e9sorerie indiquent des risques financiers \u00e9lev\u00e9s. La soci\u00e9t\u00e9 ne distribue plus de dividende et ses capitaux propres se sont fortement r\u00e9duits."}</w:t>
      </w:r>
    </w:p>
    <w:p>
      <w:pPr>
        <w:spacing w:before="40"/>
        <w:ind w:left="400"/>
      </w:pPr>
      <w:r>
        <w:rPr>
          <w:sz w:val="18"/>
        </w:rPr>
        <w:t>FILTISAC CI enregistre une hausse de 5% de son chiffre d'affaires en 2025, atteignant 32,1 milliards FCFA. Cependant, le résultat net chute de manière spectaculaire à 466 millions FCFA contre 18,6 milliards en 2024, principalement en raison de l'absence de produits exceptionnels. La trésorerie nette devient fortement négative, passant de +18,8 milliards à -11,5 milliards, suite au versement de dividendes massifs. Les capitaux propres se réduisent considérablement, passant de 43,4 à 15,7 milliards FCFA. La situation financière est préoccupante avec un risque de liquidité élevé.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'-11 517 359 Kfcfa', 'dettes_financieres': '3 786 625 Kfcfa', 'resultat_exceptionnel_haO': '381 643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1.45%</w:t>
            </w:r>
          </w:p>
        </w:tc>
        <w:tc>
          <w:tcPr>
            <w:tcW w:type="dxa" w:w="2160"/>
          </w:tcPr>
          <w:p>
            <w:pPr>
              <w:ind w:left="100"/>
            </w:pPr>
            <w:r/>
            <w:r>
              <w:rPr>
                <w:b/>
                <w:sz w:val="16"/>
              </w:rPr>
              <w:t>total_actif</w:t>
              <w:br/>
            </w:r>
            <w:r>
              <w:rPr>
                <w:sz w:val="18"/>
              </w:rPr>
              <w:t>39 148 981 Kfcfa</w:t>
            </w:r>
          </w:p>
        </w:tc>
      </w:tr>
      <w:tr>
        <w:tc>
          <w:tcPr>
            <w:tcW w:type="dxa" w:w="2160"/>
          </w:tcPr>
          <w:p>
            <w:r/>
            <w:r>
              <w:rPr>
                <w:b/>
                <w:sz w:val="16"/>
              </w:rPr>
              <w:t>resultat_net</w:t>
              <w:br/>
            </w:r>
            <w:r>
              <w:rPr>
                <w:sz w:val="18"/>
              </w:rPr>
              <w:t>465 981 Kfcfa</w:t>
            </w:r>
          </w:p>
        </w:tc>
        <w:tc>
          <w:tcPr>
            <w:tcW w:type="dxa" w:w="2160"/>
          </w:tcPr>
          <w:p>
            <w:r/>
            <w:r>
              <w:rPr>
                <w:b/>
                <w:sz w:val="16"/>
              </w:rPr>
              <w:t>capitaux_propres</w:t>
              <w:br/>
            </w:r>
            <w:r>
              <w:rPr>
                <w:sz w:val="18"/>
              </w:rPr>
              <w:t>15 703 201 Kfcfa</w:t>
            </w:r>
          </w:p>
        </w:tc>
        <w:tc>
          <w:tcPr>
            <w:tcW w:type="dxa" w:w="2160"/>
          </w:tcPr>
          <w:p>
            <w:r/>
            <w:r>
              <w:rPr>
                <w:b/>
                <w:sz w:val="16"/>
              </w:rPr>
              <w:t>chiffre_affaires</w:t>
              <w:br/>
            </w:r>
            <w:r>
              <w:rPr>
                <w:sz w:val="18"/>
              </w:rPr>
              <w:t>32 108 628 Kfcfa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progresse de 5% à 32,1 Mds FCFA.</w:t>
      </w:r>
    </w:p>
    <w:p>
      <w:pPr>
        <w:pStyle w:val="ListBullet"/>
        <w:spacing w:before="20" w:after="20"/>
        <w:ind w:left="700"/>
      </w:pPr>
      <w:r>
        <w:rPr>
          <w:sz w:val="18"/>
        </w:rPr>
        <w:t>Le résultat net s'effondre à 465,9 M FCFA contre 18,6 Mds FCFA en 2024.</w:t>
      </w:r>
    </w:p>
    <w:p>
      <w:pPr>
        <w:pStyle w:val="ListBullet"/>
        <w:spacing w:before="20" w:after="20"/>
        <w:ind w:left="700"/>
      </w:pPr>
      <w:r>
        <w:rPr>
          <w:sz w:val="18"/>
        </w:rPr>
        <w:t>La marge nette chute à 1,45%.</w:t>
      </w:r>
    </w:p>
    <w:p>
      <w:pPr>
        <w:pStyle w:val="ListBullet"/>
        <w:spacing w:before="20" w:after="20"/>
        <w:ind w:left="700"/>
      </w:pPr>
      <w:r>
        <w:rPr>
          <w:sz w:val="18"/>
        </w:rPr>
        <w:t>La trésorerie nette est négative de 11,5 Mds FCFA.</w:t>
      </w:r>
    </w:p>
    <w:p>
      <w:pPr>
        <w:pStyle w:val="ListBullet"/>
        <w:spacing w:before="20" w:after="20"/>
        <w:ind w:left="700"/>
      </w:pPr>
      <w:r>
        <w:rPr>
          <w:sz w:val="18"/>
        </w:rPr>
        <w:t>Les capitaux propres diminuent de 27,7 Mds FCFA en raison des dividendes versés.</w:t>
      </w:r>
    </w:p>
    <w:p>
      <w:pPr>
        <w:pStyle w:val="ListBullet"/>
        <w:spacing w:before="20" w:after="20"/>
        <w:ind w:left="700"/>
      </w:pPr>
      <w:r>
        <w:rPr>
          <w:sz w:val="18"/>
        </w:rPr>
        <w:t>Aucun dividende proposé pour l'exercice 2025.</w:t>
      </w:r>
    </w:p>
    <w:p>
      <w:pPr>
        <w:spacing w:before="40"/>
        <w:ind w:left="400"/>
      </w:pPr>
      <w:r>
        <w:rPr>
          <w:b/>
          <w:color w:val="C05000"/>
          <w:sz w:val="18"/>
        </w:rPr>
        <w:t xml:space="preserve">⚠️ Risques : </w:t>
      </w:r>
      <w:r>
        <w:rPr>
          <w:sz w:val="18"/>
        </w:rPr>
        <w:t>["Risque de liquidit\u00e9 avec une tr\u00e9sorerie nette fortement n\u00e9gative", "Risque de poursuite de la baisse de la rentabilit\u00e9 op\u00e9rationnelle", "Risque de d\u00e9pr\u00e9ciation des actifs (stocks et cr\u00e9ances)"]</w:t>
      </w:r>
    </w:p>
    <w:p>
      <w:pPr>
        <w:spacing w:before="40"/>
        <w:ind w:left="400"/>
      </w:pPr>
      <w:r>
        <w:rPr>
          <w:b/>
          <w:color w:val="0064A0"/>
          <w:sz w:val="18"/>
        </w:rPr>
        <w:t xml:space="preserve">🔮 Perspectives : </w:t>
      </w:r>
      <w:r>
        <w:rPr>
          <w:sz w:val="18"/>
        </w:rPr>
        <w:t>Les perspectives pour 2026 sont incertaines. La société devra améliorer sa gestion du besoin en fonds de roulement et restaurer sa trésorerie. Une attention particulière doit être portée à la réduction des charges et à la génération de flux de trésorerie positifs.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CA, la forte d\u00e9gradation de la rentabilit\u00e9 et les incertitudes sur la cha\u00eene d'approvisionnement justifient une position prudente. L'anticipation d'une demande soutenue offre n\u00e9anmoins des perspectives de redressement."}</w:t>
      </w:r>
    </w:p>
    <w:p>
      <w:pPr>
        <w:spacing w:before="40"/>
        <w:ind w:left="400"/>
      </w:pPr>
      <w:r>
        <w:rPr>
          <w:sz w:val="18"/>
        </w:rPr>
        <w:t>FILTISAC CI affiche un chiffre d'affaires en croissance de 4% au T1 2021 à 9,921 milliards FCFA malgré le contexte Covid-19. Cependant, la hausse des coûts des matières premières et du fret maritime impacte lourdement la rentabilité. Le résultat d'exploitation chute de 32% et le résultat courant avant impôt recule de 41% à 204 millions FCFA. La société fait face à des défis d'approvisionnement et d'instabilité de la chaîne logistique. Les perspectives restent incertaines notamment pour le dernier trimestre en raison des changements de politiques sanitaires.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'8,814 milliards FCFA', 'resultat_exploitation': '322 millions FCFA', 'resultat_courant_avant_impot': '204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 au T1 2021 (9,921 milliards FCFA vs 9,531 milliards FCFA)</w:t>
      </w:r>
    </w:p>
    <w:p>
      <w:pPr>
        <w:pStyle w:val="ListBullet"/>
        <w:spacing w:before="20" w:after="20"/>
        <w:ind w:left="700"/>
      </w:pPr>
      <w:r>
        <w:rPr>
          <w:sz w:val="18"/>
        </w:rPr>
        <w:t>Forte détérioration du résultat d'exploitation (-32%) passant de 475M à 322M FCFA</w:t>
      </w:r>
    </w:p>
    <w:p>
      <w:pPr>
        <w:pStyle w:val="ListBullet"/>
        <w:spacing w:before="20" w:after="20"/>
        <w:ind w:left="700"/>
      </w:pPr>
      <w:r>
        <w:rPr>
          <w:sz w:val="18"/>
        </w:rPr>
        <w:t>Résultat courant avant impôt en baisse de 41% à 204 millions FCFA</w:t>
      </w:r>
    </w:p>
    <w:p>
      <w:pPr>
        <w:pStyle w:val="ListBullet"/>
        <w:spacing w:before="20" w:after="20"/>
        <w:ind w:left="700"/>
      </w:pPr>
      <w:r>
        <w:rPr>
          <w:sz w:val="18"/>
        </w:rPr>
        <w:t>Impact négatif de la hausse des prix des matières premières et du fret maritime</w:t>
      </w:r>
    </w:p>
    <w:p>
      <w:pPr>
        <w:pStyle w:val="ListBullet"/>
        <w:spacing w:before="20" w:after="20"/>
        <w:ind w:left="700"/>
      </w:pPr>
      <w:r>
        <w:rPr>
          <w:sz w:val="18"/>
        </w:rPr>
        <w:t>Difficultés d'approvisionnement affectant les niveaux et coûts de production</w:t>
      </w:r>
    </w:p>
    <w:p>
      <w:pPr>
        <w:pStyle w:val="ListBullet"/>
        <w:spacing w:before="20" w:after="20"/>
        <w:ind w:left="700"/>
      </w:pPr>
      <w:r>
        <w:rPr>
          <w:sz w:val="18"/>
        </w:rPr>
        <w:t>Anticipation d'une demande soutenue pour les mois à venir</w:t>
      </w:r>
    </w:p>
    <w:p>
      <w:pPr>
        <w:spacing w:before="40"/>
        <w:ind w:left="400"/>
      </w:pPr>
      <w:r>
        <w:rPr>
          <w:b/>
          <w:color w:val="C05000"/>
          <w:sz w:val="18"/>
        </w:rPr>
        <w:t xml:space="preserve">⚠️ Risques : </w:t>
      </w:r>
      <w:r>
        <w:rPr>
          <w:sz w:val="18"/>
        </w:rPr>
        <w:t>["Persistance de la hausse des co\u00fbts des mati\u00e8res premi\u00e8res et du fret maritime", "Instabilit\u00e9 continue de la cha\u00eene d'approvisionnement li\u00e9e aux politiques sanitaires", "Difficult\u00e9s d'approvisionnement r\u00e9gulier impactant la production"]</w:t>
      </w:r>
    </w:p>
    <w:p>
      <w:pPr>
        <w:spacing w:before="40"/>
        <w:ind w:left="400"/>
      </w:pPr>
      <w:r>
        <w:rPr>
          <w:b/>
          <w:color w:val="0064A0"/>
          <w:sz w:val="18"/>
        </w:rPr>
        <w:t xml:space="preserve">🔮 Perspectives : </w:t>
      </w:r>
      <w:r>
        <w:rPr>
          <w:sz w:val="18"/>
        </w:rPr>
        <w:t>FILTISAC anticipe une demande soutenue dans les mois à venir et a pris des mesures pour sécuriser son approvisionnement. Cependant, l'instabilité de la chaîne logistique due aux changements de politiques sanitaires en Europe et Asie crée des incertitudes importantes sur les performances du dernier 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sociaux d\u00e9ficitaires, la forte croissance consolid\u00e9e (+19% de CA) et le retour \u00e0 la rentabilit\u00e9 t\u00e9moignent d'une dynamique positive. Les perspectives favorables li\u00e9es \u00e0 la campagne cacaoy\u00e8re justifient une position d'attente."}</w:t>
      </w:r>
    </w:p>
    <w:p>
      <w:pPr>
        <w:spacing w:before="40"/>
        <w:ind w:left="400"/>
      </w:pPr>
      <w:r>
        <w:rPr>
          <w:sz w:val="18"/>
        </w:rPr>
        <w:t>FILTISAC CI présente des résultats mitigés au 1er semestre 2021 avec un chiffre d'affaires en hausse de 7% à 18,2 milliards FCFA mais un résultat net déficitaire de -136 millions FCFA contre un bénéfice de 744 millions l'année précédente. La société souffre de l'impact persistant de la Covid-19 qui a entraîné une flambée des prix des matières premières et un renchérissement du fret maritime. Au niveau consolidé, les performances sont meilleures avec un CA en hausse de 19% à 104,9 milliards FCFA et un retour à la rentabilité. La campagne cacaoyère s'annonce satisfaisante ce qui laisse entrevoir des perspectives favorables malgré les tensions sur les approvisionnements. Les comptes ont fait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'53 MFCFA (social)', 'resultat_exploitation': '-79 MFCFA (social)', 'resultat_courant_consolide': '4 593 MFCFA'}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-0,75% (social) / 1,70% (consolidé part groupe)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-136 MFCFA (social) / 1 784 MFCFA (part groupe consolidé)</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18 227 MFCFA (social) / 104 862 MFCFA (consolidé)</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social en hausse de 7% à 18,2 milliards FCFA au S1 2021</w:t>
      </w:r>
    </w:p>
    <w:p>
      <w:pPr>
        <w:pStyle w:val="ListBullet"/>
        <w:spacing w:before="20" w:after="20"/>
        <w:ind w:left="700"/>
      </w:pPr>
      <w:r>
        <w:rPr>
          <w:sz w:val="18"/>
        </w:rPr>
        <w:t>Résultat net social déficitaire de -136 millions FCFA contre +744 millions au S1 2020</w:t>
      </w:r>
    </w:p>
    <w:p>
      <w:pPr>
        <w:pStyle w:val="ListBullet"/>
        <w:spacing w:before="20" w:after="20"/>
        <w:ind w:left="700"/>
      </w:pPr>
      <w:r>
        <w:rPr>
          <w:sz w:val="18"/>
        </w:rPr>
        <w:t>Impact négatif persistant de la Covid-19 sur les coûts d'approvisionnement</w:t>
      </w:r>
    </w:p>
    <w:p>
      <w:pPr>
        <w:pStyle w:val="ListBullet"/>
        <w:spacing w:before="20" w:after="20"/>
        <w:ind w:left="700"/>
      </w:pPr>
      <w:r>
        <w:rPr>
          <w:sz w:val="18"/>
        </w:rPr>
        <w:t>Flambée des prix des matières premières et renchérissement du fret maritime</w:t>
      </w:r>
    </w:p>
    <w:p>
      <w:pPr>
        <w:pStyle w:val="ListBullet"/>
        <w:spacing w:before="20" w:after="20"/>
        <w:ind w:left="700"/>
      </w:pPr>
      <w:r>
        <w:rPr>
          <w:sz w:val="18"/>
        </w:rPr>
        <w:t>Chiffre d'affaires consolidé en forte hausse de 19% à 104,9 milliards FCFA</w:t>
      </w:r>
    </w:p>
    <w:p>
      <w:pPr>
        <w:pStyle w:val="ListBullet"/>
        <w:spacing w:before="20" w:after="20"/>
        <w:ind w:left="700"/>
      </w:pPr>
      <w:r>
        <w:rPr>
          <w:sz w:val="18"/>
        </w:rPr>
        <w:t>Retour à la rentabilité au niveau consolidé avec un résultat courant de 4,6 milliards FCFA</w:t>
      </w:r>
    </w:p>
    <w:p>
      <w:pPr>
        <w:spacing w:before="40"/>
        <w:ind w:left="400"/>
      </w:pPr>
      <w:r>
        <w:rPr>
          <w:b/>
          <w:color w:val="C05000"/>
          <w:sz w:val="18"/>
        </w:rPr>
        <w:t xml:space="preserve">⚠️ Risques : </w:t>
      </w:r>
      <w:r>
        <w:rPr>
          <w:sz w:val="18"/>
        </w:rPr>
        <w:t>["Volatilit\u00e9 continue des prix des mati\u00e8res premi\u00e8res", "Persistance des surco\u00fbts logistiques et du fret maritime", "D\u00e9pendance aux cycles agricoles (cacao, coton)"]</w:t>
      </w:r>
    </w:p>
    <w:p>
      <w:pPr>
        <w:spacing w:before="40"/>
        <w:ind w:left="400"/>
      </w:pPr>
      <w:r>
        <w:rPr>
          <w:b/>
          <w:color w:val="0064A0"/>
          <w:sz w:val="18"/>
        </w:rPr>
        <w:t xml:space="preserve">🔮 Perspectives : </w:t>
      </w:r>
      <w:r>
        <w:rPr>
          <w:sz w:val="18"/>
        </w:rPr>
        <w:t>La campagne cacaoyère s'annonce satisfaisante avec des volumes de fèves favorables, laissant envisager une fin d'année positive pour les ventes de sacs jute. Cependant, les tensions persistent sur les approvisionnements avec des coûts élevés des matières premières et du transport maritime. L'activit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n\u00e9gatifs au T3 2021, la soci\u00e9t\u00e9 montre une am\u00e9lioration op\u00e9rationnelle et des perspectives favorables avec la campagne cacaoy\u00e8re. La croissance du chiffre d'affaires et les \u00e9l\u00e9ments exceptionnels sugg\u00e8rent une situation temporaire."}</w:t>
      </w:r>
    </w:p>
    <w:p>
      <w:pPr>
        <w:spacing w:before="40"/>
        <w:ind w:left="400"/>
      </w:pPr>
      <w:r>
        <w:rPr>
          <w:sz w:val="18"/>
        </w:rPr>
        <w:t>FILTISAC CI affiche un chiffre d'affaires en croissance de 5% à 25 280 millions FCFA au 3ème trimestre 2021. Malgré cette progression commerciale, la société enregistre des résultats négatifs avec un résultat d'exploitation déficitaire de -53 millions FCFA et un résultat courant avant impôts de -450 millions FCFA. La rentabilité est impactée par la flambée des coûts des matières premières et du fret maritime liée à la pandémie COVID-19. Le résultat financier s'effondre de 1 346 millions FCFA en 2020 à -126 millions FCFA en 2021, principalement en raison de la baisse des revenus des filiales. Les provisions exceptionnelles liées à la sortie des filiales du Burkina Faso pèsent également sur 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'8 814 837 500 FCFA', 'resultat_financier': '-126 millions FCFA', 'resultat_exploitation': '-53 millions FCFA', 'resultat_courant_avant_impots': '-450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25 280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 à 25 280 millions FCFA</w:t>
      </w:r>
    </w:p>
    <w:p>
      <w:pPr>
        <w:pStyle w:val="ListBullet"/>
        <w:spacing w:before="20" w:after="20"/>
        <w:ind w:left="700"/>
      </w:pPr>
      <w:r>
        <w:rPr>
          <w:sz w:val="18"/>
        </w:rPr>
        <w:t>Amélioration du résultat d'exploitation de -179 à -53 millions FCFA</w:t>
      </w:r>
    </w:p>
    <w:p>
      <w:pPr>
        <w:pStyle w:val="ListBullet"/>
        <w:spacing w:before="20" w:after="20"/>
        <w:ind w:left="700"/>
      </w:pPr>
      <w:r>
        <w:rPr>
          <w:sz w:val="18"/>
        </w:rPr>
        <w:t>Effondrement du résultat financier de +1 346 à -126 millions FCFA (-109%)</w:t>
      </w:r>
    </w:p>
    <w:p>
      <w:pPr>
        <w:pStyle w:val="ListBullet"/>
        <w:spacing w:before="20" w:after="20"/>
        <w:ind w:left="700"/>
      </w:pPr>
      <w:r>
        <w:rPr>
          <w:sz w:val="18"/>
        </w:rPr>
        <w:t>Impact négatif de la flambée des prix des matières premières et du fret maritime</w:t>
      </w:r>
    </w:p>
    <w:p>
      <w:pPr>
        <w:pStyle w:val="ListBullet"/>
        <w:spacing w:before="20" w:after="20"/>
        <w:ind w:left="700"/>
      </w:pPr>
      <w:r>
        <w:rPr>
          <w:sz w:val="18"/>
        </w:rPr>
        <w:t>Provisions exceptionnelles liées à la sortie des filiales du Burkina Faso</w:t>
      </w:r>
    </w:p>
    <w:p>
      <w:pPr>
        <w:pStyle w:val="ListBullet"/>
        <w:spacing w:before="20" w:after="20"/>
        <w:ind w:left="700"/>
      </w:pPr>
      <w:r>
        <w:rPr>
          <w:sz w:val="18"/>
        </w:rPr>
        <w:t>Baisse significative des revenus financiers provenant des filiales</w:t>
      </w:r>
    </w:p>
    <w:p>
      <w:pPr>
        <w:spacing w:before="40"/>
        <w:ind w:left="400"/>
      </w:pPr>
      <w:r>
        <w:rPr>
          <w:b/>
          <w:color w:val="C05000"/>
          <w:sz w:val="18"/>
        </w:rPr>
        <w:t xml:space="preserve">⚠️ Risques : </w:t>
      </w:r>
      <w:r>
        <w:rPr>
          <w:sz w:val="18"/>
        </w:rPr>
        <w:t>["Persistance de la hausse des co\u00fbts des mati\u00e8res premi\u00e8res et du fret maritime", "Tensions continues sur les approvisionnements", "D\u00e9pendance aux revenus des filiales et risque de nouvelles restructurations"]</w:t>
      </w:r>
    </w:p>
    <w:p>
      <w:pPr>
        <w:spacing w:before="40"/>
        <w:ind w:left="400"/>
      </w:pPr>
      <w:r>
        <w:rPr>
          <w:b/>
          <w:color w:val="0064A0"/>
          <w:sz w:val="18"/>
        </w:rPr>
        <w:t xml:space="preserve">🔮 Perspectives : </w:t>
      </w:r>
      <w:r>
        <w:rPr>
          <w:sz w:val="18"/>
        </w:rPr>
        <w:t>Les perspectives pour la fin d'année s'annoncent favorables selon la direction, soutenues par un démarrage satisfaisant de la campagne cacaoyère. Toutefois, les tensions persistantes sur les approvisionnements constituent un défi à surveiller. La normalisation progressive des coûts post-pandémie dev</w:t>
      </w:r>
    </w:p>
    <w:p/>
    <w:p>
      <w:r>
        <w:t>════════════════════════════════════════════════════════════════════════════════</w:t>
      </w:r>
    </w:p>
    <w:p>
      <w:r>
        <w:br w:type="page"/>
      </w:r>
    </w:p>
    <w:p>
      <w:pPr>
        <w:pStyle w:val="Heading2"/>
        <w:spacing w:before="360"/>
      </w:pPr>
      <w:r>
        <w:rPr>
          <w:color w:val="0066CC"/>
        </w:rPr>
        <w:t>18. LNBB - LNBB - LOTERIE NATIONALE DU BENIN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LNBB</w:t>
            </w:r>
          </w:p>
          <w:p>
            <w:r>
              <w:rPr>
                <w:b/>
                <w:color w:val="323250"/>
                <w:sz w:val="16"/>
              </w:rPr>
              <w:t xml:space="preserve">Société : </w:t>
            </w:r>
            <w:r>
              <w:rPr>
                <w:color w:val="000000"/>
                <w:sz w:val="16"/>
              </w:rPr>
              <w:t>LNBB - LOTERIE NATIONALE DU BENIN</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80.10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3,510 titres</w:t>
            </w:r>
          </w:p>
        </w:tc>
        <w:tc>
          <w:tcPr>
            <w:tcW w:type="dxa" w:w="2268"/>
            <w:shd w:fill="FFF2CC" w:val="clear"/>
          </w:tcPr>
          <w:p>
            <w:r>
              <w:rPr>
                <w:b/>
                <w:color w:val="503200"/>
                <w:sz w:val="16"/>
              </w:rPr>
              <w:t xml:space="preserve">Cours actuel : </w:t>
            </w:r>
            <w:r>
              <w:rPr>
                <w:color w:val="000000"/>
                <w:sz w:val="17"/>
              </w:rPr>
              <w:t>4,005 FCFA</w:t>
            </w:r>
          </w:p>
          <w:p>
            <w:r>
              <w:rPr>
                <w:b/>
                <w:color w:val="503200"/>
                <w:sz w:val="16"/>
              </w:rPr>
              <w:t xml:space="preserve">Var. 100 jours : </w:t>
            </w:r>
            <w:r>
              <w:rPr>
                <w:b/>
                <w:color w:val="007800"/>
                <w:sz w:val="17"/>
              </w:rPr>
              <w:t>+2.17%</w:t>
            </w:r>
          </w:p>
          <w:p>
            <w:r>
              <w:rPr>
                <w:b/>
                <w:color w:val="503200"/>
                <w:sz w:val="16"/>
              </w:rPr>
              <w:t xml:space="preserve">Plus haut 100j : </w:t>
            </w:r>
            <w:r>
              <w:rPr>
                <w:color w:val="000000"/>
                <w:sz w:val="17"/>
              </w:rPr>
              <w:t>4,560 FCFA</w:t>
            </w:r>
          </w:p>
          <w:p>
            <w:r>
              <w:rPr>
                <w:b/>
                <w:color w:val="503200"/>
                <w:sz w:val="16"/>
              </w:rPr>
              <w:t xml:space="preserve">Plus bas 100j : </w:t>
            </w:r>
            <w:r>
              <w:rPr>
                <w:color w:val="000000"/>
                <w:sz w:val="17"/>
              </w:rPr>
              <w:t>3,825 FCFA</w:t>
            </w:r>
          </w:p>
          <w:p>
            <w:r>
              <w:rPr>
                <w:b/>
                <w:color w:val="503200"/>
                <w:sz w:val="16"/>
              </w:rPr>
              <w:t xml:space="preserve">Volatilité ann. : </w:t>
            </w:r>
            <w:r>
              <w:rPr>
                <w:color w:val="000000"/>
                <w:sz w:val="17"/>
              </w:rPr>
              <w:t>36.4%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5.00% (Moyenne) — μ=4,052 FCFA, σ=203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β=0.0616 (Défensif) — Cov=0.000002, Var(idx)=0.000035, ρ=0.016,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3,510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σ_j=2.29%/j (Stable) — Vol. annualisée≈36.4%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0" name="Picture 2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2026-08-28</w:t>
            </w:r>
          </w:p>
        </w:tc>
        <w:tc>
          <w:tcPr>
            <w:tcW w:type="dxa" w:w="1440"/>
            <w:shd w:fill="FAFAFA" w:val="clear"/>
          </w:tcPr>
          <w:p>
            <w:r>
              <w:rPr>
                <w:sz w:val="17"/>
              </w:rPr>
              <w:t>3,827</w:t>
            </w:r>
          </w:p>
        </w:tc>
        <w:tc>
          <w:tcPr>
            <w:tcW w:type="dxa" w:w="1440"/>
            <w:shd w:fill="FAFAFA" w:val="clear"/>
          </w:tcPr>
          <w:p>
            <w:r>
              <w:rPr>
                <w:b/>
                <w:sz w:val="17"/>
              </w:rPr>
              <w:t>4,000</w:t>
            </w:r>
          </w:p>
        </w:tc>
        <w:tc>
          <w:tcPr>
            <w:tcW w:type="dxa" w:w="1440"/>
            <w:shd w:fill="FAFAFA" w:val="clear"/>
          </w:tcPr>
          <w:p>
            <w:r>
              <w:rPr>
                <w:sz w:val="17"/>
              </w:rPr>
              <w:t>4,173</w:t>
            </w:r>
          </w:p>
        </w:tc>
        <w:tc>
          <w:tcPr>
            <w:tcW w:type="dxa" w:w="1440"/>
            <w:shd w:fill="FAFAFA" w:val="clear"/>
          </w:tcPr>
          <w:p>
            <w:r>
              <w:rPr>
                <w:b/>
                <w:color w:val="C00000"/>
                <w:sz w:val="17"/>
              </w:rPr>
              <w:t>-0.1%</w:t>
            </w:r>
          </w:p>
        </w:tc>
      </w:tr>
      <w:tr>
        <w:tc>
          <w:tcPr>
            <w:tcW w:type="dxa" w:w="1440"/>
            <w:shd w:fill="FAFAFA" w:val="clear"/>
          </w:tcPr>
          <w:p>
            <w:r>
              <w:rPr>
                <w:sz w:val="17"/>
              </w:rPr>
              <w:t>J+2  Moyenne</w:t>
            </w:r>
          </w:p>
        </w:tc>
        <w:tc>
          <w:tcPr>
            <w:tcW w:type="dxa" w:w="1440"/>
            <w:shd w:fill="FAFAFA" w:val="clear"/>
          </w:tcPr>
          <w:p>
            <w:r>
              <w:rPr>
                <w:sz w:val="17"/>
              </w:rPr>
              <w:t>2026-08-31</w:t>
            </w:r>
          </w:p>
        </w:tc>
        <w:tc>
          <w:tcPr>
            <w:tcW w:type="dxa" w:w="1440"/>
            <w:shd w:fill="FAFAFA" w:val="clear"/>
          </w:tcPr>
          <w:p>
            <w:r>
              <w:rPr>
                <w:sz w:val="17"/>
              </w:rPr>
              <w:t>3,744</w:t>
            </w:r>
          </w:p>
        </w:tc>
        <w:tc>
          <w:tcPr>
            <w:tcW w:type="dxa" w:w="1440"/>
            <w:shd w:fill="FAFAFA" w:val="clear"/>
          </w:tcPr>
          <w:p>
            <w:r>
              <w:rPr>
                <w:b/>
                <w:sz w:val="17"/>
              </w:rPr>
              <w:t>3,987</w:t>
            </w:r>
          </w:p>
        </w:tc>
        <w:tc>
          <w:tcPr>
            <w:tcW w:type="dxa" w:w="1440"/>
            <w:shd w:fill="FAFAFA" w:val="clear"/>
          </w:tcPr>
          <w:p>
            <w:r>
              <w:rPr>
                <w:sz w:val="17"/>
              </w:rPr>
              <w:t>4,231</w:t>
            </w:r>
          </w:p>
        </w:tc>
        <w:tc>
          <w:tcPr>
            <w:tcW w:type="dxa" w:w="1440"/>
            <w:shd w:fill="FAFAFA" w:val="clear"/>
          </w:tcPr>
          <w:p>
            <w:r>
              <w:rPr>
                <w:b/>
                <w:color w:val="C00000"/>
                <w:sz w:val="17"/>
              </w:rPr>
              <w:t>-0.4%</w:t>
            </w:r>
          </w:p>
        </w:tc>
      </w:tr>
      <w:tr>
        <w:tc>
          <w:tcPr>
            <w:tcW w:type="dxa" w:w="1440"/>
            <w:shd w:fill="FAFAFA" w:val="clear"/>
          </w:tcPr>
          <w:p>
            <w:r>
              <w:rPr>
                <w:sz w:val="17"/>
              </w:rPr>
              <w:t>J+3  Moyenne</w:t>
            </w:r>
          </w:p>
        </w:tc>
        <w:tc>
          <w:tcPr>
            <w:tcW w:type="dxa" w:w="1440"/>
            <w:shd w:fill="FAFAFA" w:val="clear"/>
          </w:tcPr>
          <w:p>
            <w:r>
              <w:rPr>
                <w:sz w:val="17"/>
              </w:rPr>
              <w:t>2026-09-01</w:t>
            </w:r>
          </w:p>
        </w:tc>
        <w:tc>
          <w:tcPr>
            <w:tcW w:type="dxa" w:w="1440"/>
            <w:shd w:fill="FAFAFA" w:val="clear"/>
          </w:tcPr>
          <w:p>
            <w:r>
              <w:rPr>
                <w:sz w:val="17"/>
              </w:rPr>
              <w:t>3,678</w:t>
            </w:r>
          </w:p>
        </w:tc>
        <w:tc>
          <w:tcPr>
            <w:tcW w:type="dxa" w:w="1440"/>
            <w:shd w:fill="FAFAFA" w:val="clear"/>
          </w:tcPr>
          <w:p>
            <w:r>
              <w:rPr>
                <w:b/>
                <w:sz w:val="17"/>
              </w:rPr>
              <w:t>3,976</w:t>
            </w:r>
          </w:p>
        </w:tc>
        <w:tc>
          <w:tcPr>
            <w:tcW w:type="dxa" w:w="1440"/>
            <w:shd w:fill="FAFAFA" w:val="clear"/>
          </w:tcPr>
          <w:p>
            <w:r>
              <w:rPr>
                <w:sz w:val="17"/>
              </w:rPr>
              <w:t>4,273</w:t>
            </w:r>
          </w:p>
        </w:tc>
        <w:tc>
          <w:tcPr>
            <w:tcW w:type="dxa" w:w="1440"/>
            <w:shd w:fill="FAFAFA" w:val="clear"/>
          </w:tcPr>
          <w:p>
            <w:r>
              <w:rPr>
                <w:b/>
                <w:color w:val="C00000"/>
                <w:sz w:val="17"/>
              </w:rPr>
              <w:t>-0.7%</w:t>
            </w:r>
          </w:p>
        </w:tc>
      </w:tr>
      <w:tr>
        <w:tc>
          <w:tcPr>
            <w:tcW w:type="dxa" w:w="1440"/>
            <w:shd w:fill="FAFAFA" w:val="clear"/>
          </w:tcPr>
          <w:p>
            <w:r>
              <w:rPr>
                <w:sz w:val="17"/>
              </w:rPr>
              <w:t>J+4  ⭐</w:t>
            </w:r>
          </w:p>
        </w:tc>
        <w:tc>
          <w:tcPr>
            <w:tcW w:type="dxa" w:w="1440"/>
            <w:shd w:fill="FAFAFA" w:val="clear"/>
          </w:tcPr>
          <w:p>
            <w:r>
              <w:rPr>
                <w:sz w:val="17"/>
              </w:rPr>
              <w:t>2026-09-02</w:t>
            </w:r>
          </w:p>
        </w:tc>
        <w:tc>
          <w:tcPr>
            <w:tcW w:type="dxa" w:w="1440"/>
            <w:shd w:fill="FAFAFA" w:val="clear"/>
          </w:tcPr>
          <w:p>
            <w:r>
              <w:rPr>
                <w:sz w:val="17"/>
              </w:rPr>
              <w:t>3,624</w:t>
            </w:r>
          </w:p>
        </w:tc>
        <w:tc>
          <w:tcPr>
            <w:tcW w:type="dxa" w:w="1440"/>
            <w:shd w:fill="FAFAFA" w:val="clear"/>
          </w:tcPr>
          <w:p>
            <w:r>
              <w:rPr>
                <w:b/>
                <w:sz w:val="17"/>
              </w:rPr>
              <w:t>3,966</w:t>
            </w:r>
          </w:p>
        </w:tc>
        <w:tc>
          <w:tcPr>
            <w:tcW w:type="dxa" w:w="1440"/>
            <w:shd w:fill="FAFAFA" w:val="clear"/>
          </w:tcPr>
          <w:p>
            <w:r>
              <w:rPr>
                <w:sz w:val="17"/>
              </w:rPr>
              <w:t>4,308</w:t>
            </w:r>
          </w:p>
        </w:tc>
        <w:tc>
          <w:tcPr>
            <w:tcW w:type="dxa" w:w="1440"/>
            <w:shd w:fill="FAFAFA" w:val="clear"/>
          </w:tcPr>
          <w:p>
            <w:r>
              <w:rPr>
                <w:b/>
                <w:color w:val="C00000"/>
                <w:sz w:val="17"/>
              </w:rPr>
              <w:t>-1.0%</w:t>
            </w:r>
          </w:p>
        </w:tc>
      </w:tr>
      <w:tr>
        <w:tc>
          <w:tcPr>
            <w:tcW w:type="dxa" w:w="1440"/>
            <w:shd w:fill="FAFAFA" w:val="clear"/>
          </w:tcPr>
          <w:p>
            <w:r>
              <w:rPr>
                <w:sz w:val="17"/>
              </w:rPr>
              <w:t>J+5  ⭐</w:t>
            </w:r>
          </w:p>
        </w:tc>
        <w:tc>
          <w:tcPr>
            <w:tcW w:type="dxa" w:w="1440"/>
            <w:shd w:fill="FAFAFA" w:val="clear"/>
          </w:tcPr>
          <w:p>
            <w:r>
              <w:rPr>
                <w:sz w:val="17"/>
              </w:rPr>
              <w:t>2026-09-03</w:t>
            </w:r>
          </w:p>
        </w:tc>
        <w:tc>
          <w:tcPr>
            <w:tcW w:type="dxa" w:w="1440"/>
            <w:shd w:fill="FAFAFA" w:val="clear"/>
          </w:tcPr>
          <w:p>
            <w:r>
              <w:rPr>
                <w:sz w:val="17"/>
              </w:rPr>
              <w:t>3,576</w:t>
            </w:r>
          </w:p>
        </w:tc>
        <w:tc>
          <w:tcPr>
            <w:tcW w:type="dxa" w:w="1440"/>
            <w:shd w:fill="FAFAFA" w:val="clear"/>
          </w:tcPr>
          <w:p>
            <w:r>
              <w:rPr>
                <w:b/>
                <w:sz w:val="17"/>
              </w:rPr>
              <w:t>3,958</w:t>
            </w:r>
          </w:p>
        </w:tc>
        <w:tc>
          <w:tcPr>
            <w:tcW w:type="dxa" w:w="1440"/>
            <w:shd w:fill="FAFAFA" w:val="clear"/>
          </w:tcPr>
          <w:p>
            <w:r>
              <w:rPr>
                <w:sz w:val="17"/>
              </w:rPr>
              <w:t>4,340</w:t>
            </w:r>
          </w:p>
        </w:tc>
        <w:tc>
          <w:tcPr>
            <w:tcW w:type="dxa" w:w="1440"/>
            <w:shd w:fill="FAFAFA" w:val="clear"/>
          </w:tcPr>
          <w:p>
            <w:r>
              <w:rPr>
                <w:b/>
                <w:color w:val="C00000"/>
                <w:sz w:val="17"/>
              </w:rPr>
              <w:t>-1.2%</w:t>
            </w:r>
          </w:p>
        </w:tc>
      </w:tr>
      <w:tr>
        <w:tc>
          <w:tcPr>
            <w:tcW w:type="dxa" w:w="1440"/>
            <w:shd w:fill="FAFAFA" w:val="clear"/>
          </w:tcPr>
          <w:p>
            <w:r>
              <w:rPr>
                <w:sz w:val="17"/>
              </w:rPr>
              <w:t>J+6  ⭐</w:t>
            </w:r>
          </w:p>
        </w:tc>
        <w:tc>
          <w:tcPr>
            <w:tcW w:type="dxa" w:w="1440"/>
            <w:shd w:fill="FAFAFA" w:val="clear"/>
          </w:tcPr>
          <w:p>
            <w:r>
              <w:rPr>
                <w:sz w:val="17"/>
              </w:rPr>
              <w:t>2026-09-04</w:t>
            </w:r>
          </w:p>
        </w:tc>
        <w:tc>
          <w:tcPr>
            <w:tcW w:type="dxa" w:w="1440"/>
            <w:shd w:fill="FAFAFA" w:val="clear"/>
          </w:tcPr>
          <w:p>
            <w:r>
              <w:rPr>
                <w:sz w:val="17"/>
              </w:rPr>
              <w:t>3,536</w:t>
            </w:r>
          </w:p>
        </w:tc>
        <w:tc>
          <w:tcPr>
            <w:tcW w:type="dxa" w:w="1440"/>
            <w:shd w:fill="FAFAFA" w:val="clear"/>
          </w:tcPr>
          <w:p>
            <w:r>
              <w:rPr>
                <w:b/>
                <w:sz w:val="17"/>
              </w:rPr>
              <w:t>3,954</w:t>
            </w:r>
          </w:p>
        </w:tc>
        <w:tc>
          <w:tcPr>
            <w:tcW w:type="dxa" w:w="1440"/>
            <w:shd w:fill="FAFAFA" w:val="clear"/>
          </w:tcPr>
          <w:p>
            <w:r>
              <w:rPr>
                <w:sz w:val="17"/>
              </w:rPr>
              <w:t>4,372</w:t>
            </w:r>
          </w:p>
        </w:tc>
        <w:tc>
          <w:tcPr>
            <w:tcW w:type="dxa" w:w="1440"/>
            <w:shd w:fill="FAFAFA" w:val="clear"/>
          </w:tcPr>
          <w:p>
            <w:r>
              <w:rPr>
                <w:b/>
                <w:color w:val="C00000"/>
                <w:sz w:val="17"/>
              </w:rPr>
              <w:t>-1.3%</w:t>
            </w:r>
          </w:p>
        </w:tc>
      </w:tr>
      <w:tr>
        <w:tc>
          <w:tcPr>
            <w:tcW w:type="dxa" w:w="1440"/>
            <w:shd w:fill="FAFAFA" w:val="clear"/>
          </w:tcPr>
          <w:p>
            <w:r>
              <w:rPr>
                <w:sz w:val="17"/>
              </w:rPr>
              <w:t>J+7  ⭐</w:t>
            </w:r>
          </w:p>
        </w:tc>
        <w:tc>
          <w:tcPr>
            <w:tcW w:type="dxa" w:w="1440"/>
            <w:shd w:fill="FAFAFA" w:val="clear"/>
          </w:tcPr>
          <w:p>
            <w:r>
              <w:rPr>
                <w:sz w:val="17"/>
              </w:rPr>
              <w:t>2026-09-07</w:t>
            </w:r>
          </w:p>
        </w:tc>
        <w:tc>
          <w:tcPr>
            <w:tcW w:type="dxa" w:w="1440"/>
            <w:shd w:fill="FAFAFA" w:val="clear"/>
          </w:tcPr>
          <w:p>
            <w:r>
              <w:rPr>
                <w:sz w:val="17"/>
              </w:rPr>
              <w:t>3,502</w:t>
            </w:r>
          </w:p>
        </w:tc>
        <w:tc>
          <w:tcPr>
            <w:tcW w:type="dxa" w:w="1440"/>
            <w:shd w:fill="FAFAFA" w:val="clear"/>
          </w:tcPr>
          <w:p>
            <w:r>
              <w:rPr>
                <w:b/>
                <w:sz w:val="17"/>
              </w:rPr>
              <w:t>3,953</w:t>
            </w:r>
          </w:p>
        </w:tc>
        <w:tc>
          <w:tcPr>
            <w:tcW w:type="dxa" w:w="1440"/>
            <w:shd w:fill="FAFAFA" w:val="clear"/>
          </w:tcPr>
          <w:p>
            <w:r>
              <w:rPr>
                <w:sz w:val="17"/>
              </w:rPr>
              <w:t>4,404</w:t>
            </w:r>
          </w:p>
        </w:tc>
        <w:tc>
          <w:tcPr>
            <w:tcW w:type="dxa" w:w="1440"/>
            <w:shd w:fill="FAFAFA" w:val="clear"/>
          </w:tcPr>
          <w:p>
            <w:r>
              <w:rPr>
                <w:b/>
                <w:color w:val="C00000"/>
                <w:sz w:val="17"/>
              </w:rPr>
              <w:t>-1.3%</w:t>
            </w:r>
          </w:p>
        </w:tc>
      </w:tr>
      <w:tr>
        <w:tc>
          <w:tcPr>
            <w:tcW w:type="dxa" w:w="1440"/>
            <w:shd w:fill="FAFAFA" w:val="clear"/>
          </w:tcPr>
          <w:p>
            <w:r>
              <w:rPr>
                <w:sz w:val="17"/>
              </w:rPr>
              <w:t>J+8  ⭐</w:t>
            </w:r>
          </w:p>
        </w:tc>
        <w:tc>
          <w:tcPr>
            <w:tcW w:type="dxa" w:w="1440"/>
            <w:shd w:fill="FAFAFA" w:val="clear"/>
          </w:tcPr>
          <w:p>
            <w:r>
              <w:rPr>
                <w:sz w:val="17"/>
              </w:rPr>
              <w:t>2026-09-08</w:t>
            </w:r>
          </w:p>
        </w:tc>
        <w:tc>
          <w:tcPr>
            <w:tcW w:type="dxa" w:w="1440"/>
            <w:shd w:fill="FAFAFA" w:val="clear"/>
          </w:tcPr>
          <w:p>
            <w:r>
              <w:rPr>
                <w:sz w:val="17"/>
              </w:rPr>
              <w:t>3,474</w:t>
            </w:r>
          </w:p>
        </w:tc>
        <w:tc>
          <w:tcPr>
            <w:tcW w:type="dxa" w:w="1440"/>
            <w:shd w:fill="FAFAFA" w:val="clear"/>
          </w:tcPr>
          <w:p>
            <w:r>
              <w:rPr>
                <w:b/>
                <w:sz w:val="17"/>
              </w:rPr>
              <w:t>3,957</w:t>
            </w:r>
          </w:p>
        </w:tc>
        <w:tc>
          <w:tcPr>
            <w:tcW w:type="dxa" w:w="1440"/>
            <w:shd w:fill="FAFAFA" w:val="clear"/>
          </w:tcPr>
          <w:p>
            <w:r>
              <w:rPr>
                <w:sz w:val="17"/>
              </w:rPr>
              <w:t>4,440</w:t>
            </w:r>
          </w:p>
        </w:tc>
        <w:tc>
          <w:tcPr>
            <w:tcW w:type="dxa" w:w="1440"/>
            <w:shd w:fill="FAFAFA" w:val="clear"/>
          </w:tcPr>
          <w:p>
            <w:r>
              <w:rPr>
                <w:b/>
                <w:color w:val="C00000"/>
                <w:sz w:val="17"/>
              </w:rPr>
              <w:t>-1.2%</w:t>
            </w:r>
          </w:p>
        </w:tc>
      </w:tr>
      <w:tr>
        <w:tc>
          <w:tcPr>
            <w:tcW w:type="dxa" w:w="1440"/>
            <w:shd w:fill="FAFAFA" w:val="clear"/>
          </w:tcPr>
          <w:p>
            <w:r>
              <w:rPr>
                <w:sz w:val="17"/>
              </w:rPr>
              <w:t>J+9  ⭐</w:t>
            </w:r>
          </w:p>
        </w:tc>
        <w:tc>
          <w:tcPr>
            <w:tcW w:type="dxa" w:w="1440"/>
            <w:shd w:fill="FAFAFA" w:val="clear"/>
          </w:tcPr>
          <w:p>
            <w:r>
              <w:rPr>
                <w:sz w:val="17"/>
              </w:rPr>
              <w:t>2026-09-09</w:t>
            </w:r>
          </w:p>
        </w:tc>
        <w:tc>
          <w:tcPr>
            <w:tcW w:type="dxa" w:w="1440"/>
            <w:shd w:fill="FAFAFA" w:val="clear"/>
          </w:tcPr>
          <w:p>
            <w:r>
              <w:rPr>
                <w:sz w:val="17"/>
              </w:rPr>
              <w:t>3,453</w:t>
            </w:r>
          </w:p>
        </w:tc>
        <w:tc>
          <w:tcPr>
            <w:tcW w:type="dxa" w:w="1440"/>
            <w:shd w:fill="FAFAFA" w:val="clear"/>
          </w:tcPr>
          <w:p>
            <w:r>
              <w:rPr>
                <w:b/>
                <w:sz w:val="17"/>
              </w:rPr>
              <w:t>3,967</w:t>
            </w:r>
          </w:p>
        </w:tc>
        <w:tc>
          <w:tcPr>
            <w:tcW w:type="dxa" w:w="1440"/>
            <w:shd w:fill="FAFAFA" w:val="clear"/>
          </w:tcPr>
          <w:p>
            <w:r>
              <w:rPr>
                <w:sz w:val="17"/>
              </w:rPr>
              <w:t>4,480</w:t>
            </w:r>
          </w:p>
        </w:tc>
        <w:tc>
          <w:tcPr>
            <w:tcW w:type="dxa" w:w="1440"/>
            <w:shd w:fill="FAFAFA" w:val="clear"/>
          </w:tcPr>
          <w:p>
            <w:r>
              <w:rPr>
                <w:b/>
                <w:color w:val="C00000"/>
                <w:sz w:val="17"/>
              </w:rPr>
              <w:t>-1.0%</w:t>
            </w:r>
          </w:p>
        </w:tc>
      </w:tr>
      <w:tr>
        <w:tc>
          <w:tcPr>
            <w:tcW w:type="dxa" w:w="1440"/>
            <w:shd w:fill="FAFAFA" w:val="clear"/>
          </w:tcPr>
          <w:p>
            <w:r>
              <w:rPr>
                <w:sz w:val="17"/>
              </w:rPr>
              <w:t>J+10  ⭐</w:t>
            </w:r>
          </w:p>
        </w:tc>
        <w:tc>
          <w:tcPr>
            <w:tcW w:type="dxa" w:w="1440"/>
            <w:shd w:fill="FAFAFA" w:val="clear"/>
          </w:tcPr>
          <w:p>
            <w:r>
              <w:rPr>
                <w:sz w:val="17"/>
              </w:rPr>
              <w:t>2026-09-10</w:t>
            </w:r>
          </w:p>
        </w:tc>
        <w:tc>
          <w:tcPr>
            <w:tcW w:type="dxa" w:w="1440"/>
            <w:shd w:fill="FAFAFA" w:val="clear"/>
          </w:tcPr>
          <w:p>
            <w:r>
              <w:rPr>
                <w:sz w:val="17"/>
              </w:rPr>
              <w:t>3,438</w:t>
            </w:r>
          </w:p>
        </w:tc>
        <w:tc>
          <w:tcPr>
            <w:tcW w:type="dxa" w:w="1440"/>
            <w:shd w:fill="FAFAFA" w:val="clear"/>
          </w:tcPr>
          <w:p>
            <w:r>
              <w:rPr>
                <w:b/>
                <w:sz w:val="17"/>
              </w:rPr>
              <w:t>3,981</w:t>
            </w:r>
          </w:p>
        </w:tc>
        <w:tc>
          <w:tcPr>
            <w:tcW w:type="dxa" w:w="1440"/>
            <w:shd w:fill="FAFAFA" w:val="clear"/>
          </w:tcPr>
          <w:p>
            <w:r>
              <w:rPr>
                <w:sz w:val="17"/>
              </w:rPr>
              <w:t>4,525</w:t>
            </w:r>
          </w:p>
        </w:tc>
        <w:tc>
          <w:tcPr>
            <w:tcW w:type="dxa" w:w="1440"/>
            <w:shd w:fill="FAFAFA" w:val="clear"/>
          </w:tcPr>
          <w:p>
            <w:r>
              <w:rPr>
                <w:b/>
                <w:color w:val="C00000"/>
                <w:sz w:val="17"/>
              </w:rPr>
              <w:t>-0.6%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1.319 Mds FCFA</w:t>
            </w:r>
          </w:p>
        </w:tc>
        <w:tc>
          <w:tcPr>
            <w:tcW w:type="dxa" w:w="5669"/>
            <w:shd w:fill="FFFFFF" w:val="clear"/>
          </w:tcPr>
          <w:p>
            <w:r>
              <w:rPr>
                <w:color w:val="282828"/>
                <w:sz w:val="15"/>
              </w:rPr>
              <w:t>Créances clients = 1.3%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427.19 M FCFA</w:t>
            </w:r>
          </w:p>
        </w:tc>
        <w:tc>
          <w:tcPr>
            <w:tcW w:type="dxa" w:w="5669"/>
            <w:shd w:fill="FFFFFF" w:val="clear"/>
          </w:tcPr>
          <w:p>
            <w:r>
              <w:rPr>
                <w:color w:val="282828"/>
                <w:sz w:val="15"/>
              </w:rPr>
              <w:t>Rotation stocks = 230.8x/an.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9.879 Mds FCFA</w:t>
            </w:r>
          </w:p>
        </w:tc>
        <w:tc>
          <w:tcPr>
            <w:tcW w:type="dxa" w:w="5669"/>
            <w:shd w:fill="FFFFFF" w:val="clear"/>
          </w:tcPr>
          <w:p>
            <w:r>
              <w:rPr>
                <w:color w:val="282828"/>
                <w:sz w:val="15"/>
              </w:rPr>
              <w:t>Ratio actif circ./passif circ. = 1.02x.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45.99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9.429 Mds FCFA</w:t>
            </w:r>
          </w:p>
        </w:tc>
        <w:tc>
          <w:tcPr>
            <w:tcW w:type="dxa" w:w="5669"/>
            <w:shd w:fill="FFFFFF" w:val="clear"/>
          </w:tcPr>
          <w:p>
            <w:r>
              <w:rPr>
                <w:color w:val="282828"/>
                <w:sz w:val="15"/>
              </w:rPr>
              <w:t>Outil industriel (28.9%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14.751 Mds FCFA</w:t>
            </w:r>
          </w:p>
        </w:tc>
        <w:tc>
          <w:tcPr>
            <w:tcW w:type="dxa" w:w="5669"/>
            <w:shd w:fill="FFFFFF" w:val="clear"/>
          </w:tcPr>
          <w:p>
            <w:r>
              <w:rPr>
                <w:color w:val="282828"/>
                <w:sz w:val="15"/>
              </w:rPr>
              <w:t>Actif immobilisé = 45.2%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7.979 Mds FCFA</w:t>
            </w:r>
          </w:p>
        </w:tc>
        <w:tc>
          <w:tcPr>
            <w:tcW w:type="dxa" w:w="5669"/>
            <w:shd w:fill="FFFFFF" w:val="clear"/>
          </w:tcPr>
          <w:p>
            <w:r>
              <w:rPr>
                <w:color w:val="282828"/>
                <w:sz w:val="15"/>
              </w:rPr>
              <w:t>Liquidités disponibles (24.5%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32.609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3.016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21.954 Mds FCFA</w:t>
            </w:r>
          </w:p>
        </w:tc>
        <w:tc>
          <w:tcPr>
            <w:tcW w:type="dxa" w:w="5669"/>
            <w:shd w:fill="FFFFFF" w:val="clear"/>
          </w:tcPr>
          <w:p>
            <w:r>
              <w:rPr>
                <w:color w:val="282828"/>
                <w:sz w:val="15"/>
              </w:rPr>
              <w:t>Fonds propres = 67.3%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22.948 Mds FCFA</w:t>
            </w:r>
          </w:p>
        </w:tc>
        <w:tc>
          <w:tcPr>
            <w:tcW w:type="dxa" w:w="5669"/>
            <w:shd w:fill="FFFFFF" w:val="clear"/>
          </w:tcPr>
          <w:p>
            <w:r>
              <w:rPr>
                <w:color w:val="282828"/>
                <w:sz w:val="15"/>
              </w:rPr>
              <w:t>Capitaux permanents / Actif immobilisé = 1.56x.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5.589 Mds FCFA</w:t>
            </w:r>
          </w:p>
        </w:tc>
        <w:tc>
          <w:tcPr>
            <w:tcW w:type="dxa" w:w="5669"/>
            <w:shd w:fill="FFFFFF" w:val="clear"/>
          </w:tcPr>
          <w:p>
            <w:r>
              <w:rPr>
                <w:color w:val="282828"/>
                <w:sz w:val="15"/>
              </w:rPr>
              <w:t>Délai fournisseurs implicite ≈ 21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563.24 M FCFA</w:t>
            </w:r>
          </w:p>
        </w:tc>
        <w:tc>
          <w:tcPr>
            <w:tcW w:type="dxa" w:w="5669"/>
            <w:shd w:fill="FFFFFF" w:val="clear"/>
          </w:tcPr>
          <w:p>
            <w:r>
              <w:rPr>
                <w:color w:val="282828"/>
                <w:sz w:val="15"/>
              </w:rPr>
              <w:t>Dette LT/MT = 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563.24 M FCFA</w:t>
            </w:r>
          </w:p>
        </w:tc>
        <w:tc>
          <w:tcPr>
            <w:tcW w:type="dxa" w:w="5669"/>
            <w:shd w:fill="FFFFFF" w:val="clear"/>
          </w:tcPr>
          <w:p>
            <w:r>
              <w:rPr>
                <w:color w:val="282828"/>
                <w:sz w:val="15"/>
              </w:rPr>
              <w:t>Dette financière totale = 3%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10.655 Mds FCFA</w:t>
            </w:r>
          </w:p>
        </w:tc>
        <w:tc>
          <w:tcPr>
            <w:tcW w:type="dxa" w:w="5669"/>
            <w:shd w:fill="FFFFFF" w:val="clear"/>
          </w:tcPr>
          <w:p>
            <w:r>
              <w:rPr>
                <w:color w:val="282828"/>
                <w:sz w:val="15"/>
              </w:rPr>
              <w:t>Dettes totales = 32.7%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98.598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98.598 Mds FCFA</w:t>
            </w:r>
          </w:p>
        </w:tc>
        <w:tc>
          <w:tcPr>
            <w:tcW w:type="dxa" w:w="5669"/>
            <w:shd w:fill="FFFFFF" w:val="clear"/>
          </w:tcPr>
          <w:p>
            <w:r>
              <w:rPr>
                <w:color w:val="282828"/>
                <w:sz w:val="15"/>
              </w:rPr>
              <w:t>Chiffre d'affaires. Croissance: -3.8%.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787.83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3.384 Mds FCFA</w:t>
            </w:r>
          </w:p>
        </w:tc>
        <w:tc>
          <w:tcPr>
            <w:tcW w:type="dxa" w:w="5669"/>
            <w:shd w:fill="FFFFFF" w:val="clear"/>
          </w:tcPr>
          <w:p>
            <w:r>
              <w:rPr>
                <w:color w:val="282828"/>
                <w:sz w:val="15"/>
              </w:rPr>
              <w:t>Masse salariale = 3.4%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10.548 Mds FCFA</w:t>
            </w:r>
          </w:p>
        </w:tc>
        <w:tc>
          <w:tcPr>
            <w:tcW w:type="dxa" w:w="5669"/>
            <w:shd w:fill="FFFFFF" w:val="clear"/>
          </w:tcPr>
          <w:p>
            <w:r>
              <w:rPr>
                <w:color w:val="282828"/>
                <w:sz w:val="15"/>
              </w:rPr>
              <w:t>VA = 10.7%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7.164 Mds FCFA</w:t>
            </w:r>
          </w:p>
        </w:tc>
        <w:tc>
          <w:tcPr>
            <w:tcW w:type="dxa" w:w="5669"/>
            <w:shd w:fill="FFFFFF" w:val="clear"/>
          </w:tcPr>
          <w:p>
            <w:r>
              <w:rPr>
                <w:color w:val="282828"/>
                <w:sz w:val="15"/>
              </w:rPr>
              <w:t>EBE = 7.3%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6.376 Mds FCFA</w:t>
            </w:r>
          </w:p>
        </w:tc>
        <w:tc>
          <w:tcPr>
            <w:tcW w:type="dxa" w:w="5669"/>
            <w:shd w:fill="FFFFFF" w:val="clear"/>
          </w:tcPr>
          <w:p>
            <w:r>
              <w:rPr>
                <w:color w:val="282828"/>
                <w:sz w:val="15"/>
              </w:rPr>
              <w:t>Profit d'exploitation = 6.5%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4.622 Mds FCFA</w:t>
            </w:r>
          </w:p>
        </w:tc>
        <w:tc>
          <w:tcPr>
            <w:tcW w:type="dxa" w:w="5669"/>
            <w:shd w:fill="FFFFFF" w:val="clear"/>
          </w:tcPr>
          <w:p>
            <w:r>
              <w:rPr>
                <w:color w:val="282828"/>
                <w:sz w:val="15"/>
              </w:rPr>
              <w:t>Marge nette = 4.7%.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217.45 M FCFA</w:t>
            </w:r>
          </w:p>
        </w:tc>
        <w:tc>
          <w:tcPr>
            <w:tcW w:type="dxa" w:w="5669"/>
            <w:shd w:fill="FFFFFF" w:val="clear"/>
          </w:tcPr>
          <w:p>
            <w:r>
              <w:rPr>
                <w:color w:val="282828"/>
                <w:sz w:val="15"/>
              </w:rPr>
              <w:t>BFR = 0.2%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8.196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7.979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10.70%</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4.69%</w:t>
            </w:r>
          </w:p>
        </w:tc>
        <w:tc>
          <w:tcPr>
            <w:tcW w:type="dxa" w:w="5669"/>
            <w:shd w:fill="FFFFFF" w:val="clear"/>
          </w:tcPr>
          <w:p>
            <w:r>
              <w:rPr>
                <w:color w:val="282828"/>
                <w:sz w:val="15"/>
              </w:rPr>
              <w:t>Résultat net / revenus = 4.69%.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6.47%</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21.05%</w:t>
            </w:r>
          </w:p>
        </w:tc>
        <w:tc>
          <w:tcPr>
            <w:tcW w:type="dxa" w:w="5669"/>
            <w:shd w:fill="FFFFFF" w:val="clear"/>
          </w:tcPr>
          <w:p>
            <w:r>
              <w:rPr>
                <w:color w:val="282828"/>
                <w:sz w:val="15"/>
              </w:rPr>
              <w:t>Résultat net / capitaux propres = 21.05%.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14.17%</w:t>
            </w:r>
          </w:p>
        </w:tc>
        <w:tc>
          <w:tcPr>
            <w:tcW w:type="dxa" w:w="5669"/>
            <w:shd w:fill="FFFFFF" w:val="clear"/>
          </w:tcPr>
          <w:p>
            <w:r>
              <w:rPr>
                <w:color w:val="282828"/>
                <w:sz w:val="15"/>
              </w:rPr>
              <w:t>Résultat net / total actif = 14.17%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302.37%</w:t>
            </w:r>
          </w:p>
        </w:tc>
        <w:tc>
          <w:tcPr>
            <w:tcW w:type="dxa" w:w="5669"/>
            <w:shd w:fill="FFFFFF" w:val="clear"/>
          </w:tcPr>
          <w:p>
            <w:r>
              <w:rPr>
                <w:color w:val="282828"/>
                <w:sz w:val="15"/>
              </w:rPr>
              <w:t>CA / total actif = 302.37x.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0.07%</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EB9C" w:val="clear"/>
          </w:tcPr>
          <w:p>
            <w:r>
              <w:rPr>
                <w:b/>
                <w:color w:val="B40000"/>
                <w:sz w:val="17"/>
              </w:rPr>
              <w:t>-3.85%</w:t>
            </w:r>
          </w:p>
        </w:tc>
        <w:tc>
          <w:tcPr>
            <w:tcW w:type="dxa" w:w="5669"/>
            <w:shd w:fill="FFFFFF" w:val="clear"/>
          </w:tcPr>
          <w:p>
            <w:r>
              <w:rPr>
                <w:color w:val="282828"/>
                <w:sz w:val="15"/>
              </w:rPr>
              <w:t>Croissance CA vs exercice précédent = -3.85%.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67.32%</w:t>
            </w:r>
          </w:p>
        </w:tc>
        <w:tc>
          <w:tcPr>
            <w:tcW w:type="dxa" w:w="5669"/>
            <w:shd w:fill="FFFFFF" w:val="clear"/>
          </w:tcPr>
          <w:p>
            <w:r>
              <w:rPr>
                <w:color w:val="282828"/>
                <w:sz w:val="15"/>
              </w:rPr>
              <w:t>Fonds propres / total bilan = 67.32%.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32.68%</w:t>
            </w:r>
          </w:p>
        </w:tc>
        <w:tc>
          <w:tcPr>
            <w:tcW w:type="dxa" w:w="5669"/>
            <w:shd w:fill="FFFFFF" w:val="clear"/>
          </w:tcPr>
          <w:p>
            <w:r>
              <w:rPr>
                <w:color w:val="282828"/>
                <w:sz w:val="15"/>
              </w:rPr>
              <w:t>Dettes financières / total bilan = 32.68%.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2.57%</w:t>
            </w:r>
          </w:p>
        </w:tc>
        <w:tc>
          <w:tcPr>
            <w:tcW w:type="dxa" w:w="5669"/>
            <w:shd w:fill="FFFFFF" w:val="clear"/>
          </w:tcPr>
          <w:p>
            <w:r>
              <w:rPr>
                <w:color w:val="282828"/>
                <w:sz w:val="15"/>
              </w:rPr>
              <w:t>Dettes totales / fonds propres = 2.57%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306.04%</w:t>
            </w:r>
          </w:p>
        </w:tc>
        <w:tc>
          <w:tcPr>
            <w:tcW w:type="dxa" w:w="5669"/>
            <w:shd w:fill="FFFFFF" w:val="clear"/>
          </w:tcPr>
          <w:p>
            <w:r>
              <w:rPr>
                <w:color w:val="282828"/>
                <w:sz w:val="15"/>
              </w:rPr>
              <w:t>Total actif / dettes totales = 306.04x.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184.84%</w:t>
            </w:r>
          </w:p>
        </w:tc>
        <w:tc>
          <w:tcPr>
            <w:tcW w:type="dxa" w:w="5669"/>
            <w:shd w:fill="FFFFFF" w:val="clear"/>
          </w:tcPr>
          <w:p>
            <w:r>
              <w:rPr>
                <w:color w:val="282828"/>
                <w:sz w:val="15"/>
              </w:rPr>
              <w:t>Actif circulant / passif circulant = 184.84x.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82.59%</w:t>
            </w:r>
          </w:p>
        </w:tc>
        <w:tc>
          <w:tcPr>
            <w:tcW w:type="dxa" w:w="5669"/>
            <w:shd w:fill="FFFFFF" w:val="clear"/>
          </w:tcPr>
          <w:p>
            <w:r>
              <w:rPr>
                <w:color w:val="282828"/>
                <w:sz w:val="15"/>
              </w:rPr>
              <w:t>Trésorerie / passif circulant = 82.59x.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180.41%</w:t>
            </w:r>
          </w:p>
        </w:tc>
        <w:tc>
          <w:tcPr>
            <w:tcW w:type="dxa" w:w="5669"/>
            <w:shd w:fill="FFFFFF" w:val="clear"/>
          </w:tcPr>
          <w:p>
            <w:r>
              <w:rPr>
                <w:color w:val="282828"/>
                <w:sz w:val="15"/>
              </w:rPr>
              <w:t>(Actif circ. - stocks) / passif circ. = 180.41x.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155.56%</w:t>
            </w:r>
          </w:p>
        </w:tc>
        <w:tc>
          <w:tcPr>
            <w:tcW w:type="dxa" w:w="5669"/>
            <w:shd w:fill="FFFFFF" w:val="clear"/>
          </w:tcPr>
          <w:p>
            <w:r>
              <w:rPr>
                <w:color w:val="282828"/>
                <w:sz w:val="15"/>
              </w:rPr>
              <w:t>Capitaux permanents / actif immobilisé = 155.56x. ✅ Les actifs LT sont intégralement financés par des ressources stables.</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9153.29%</w:t>
            </w:r>
          </w:p>
        </w:tc>
        <w:tc>
          <w:tcPr>
            <w:tcW w:type="dxa" w:w="5669"/>
            <w:shd w:fill="FFFFFF" w:val="clear"/>
          </w:tcPr>
          <w:p>
            <w:r>
              <w:rPr>
                <w:color w:val="282828"/>
                <w:sz w:val="15"/>
              </w:rPr>
              <w:t>Résultat exploit. / charges financières = 9153.29x.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4.8 j</w:t>
            </w:r>
          </w:p>
        </w:tc>
        <w:tc>
          <w:tcPr>
            <w:tcW w:type="dxa" w:w="5669"/>
            <w:shd w:fill="FFFFFF" w:val="clear"/>
          </w:tcPr>
          <w:p>
            <w:r>
              <w:rPr>
                <w:color w:val="282828"/>
                <w:sz w:val="15"/>
              </w:rPr>
              <w:t>Les clients paient en moyenne en 5 jours. ✅ Recouvrement rapide — trésorerie favorisée.</w:t>
            </w:r>
          </w:p>
        </w:tc>
      </w:tr>
      <w:tr>
        <w:tc>
          <w:tcPr>
            <w:tcW w:type="dxa" w:w="2268"/>
            <w:shd w:fill="EEF2F7" w:val="clear"/>
          </w:tcPr>
          <w:p>
            <w:r>
              <w:rPr>
                <w:b/>
                <w:color w:val="1E1E3C"/>
                <w:sz w:val="16"/>
              </w:rPr>
              <w:t>Délai fournisseurs (jours)</w:t>
            </w:r>
          </w:p>
        </w:tc>
        <w:tc>
          <w:tcPr>
            <w:tcW w:type="dxa" w:w="1984"/>
            <w:shd w:fill="FFEB9C" w:val="clear"/>
          </w:tcPr>
          <w:p>
            <w:r>
              <w:rPr>
                <w:b/>
                <w:color w:val="006400"/>
                <w:sz w:val="17"/>
              </w:rPr>
              <w:t>20.4 j</w:t>
            </w:r>
          </w:p>
        </w:tc>
        <w:tc>
          <w:tcPr>
            <w:tcW w:type="dxa" w:w="5669"/>
            <w:shd w:fill="FFFFFF" w:val="clear"/>
          </w:tcPr>
          <w:p>
            <w:r>
              <w:rPr>
                <w:color w:val="282828"/>
                <w:sz w:val="15"/>
              </w:rPr>
              <w:t>Paiement des fournisseurs en 20 jours. ⚠️ Paiement rapide — pouvoir de négociation limité.</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1.6 j</w:t>
            </w:r>
          </w:p>
        </w:tc>
        <w:tc>
          <w:tcPr>
            <w:tcW w:type="dxa" w:w="5669"/>
            <w:shd w:fill="FFFFFF" w:val="clear"/>
          </w:tcPr>
          <w:p>
            <w:r>
              <w:rPr>
                <w:color w:val="282828"/>
                <w:sz w:val="15"/>
              </w:rPr>
              <w:t>Stock écoulé en 2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LNBB s'établit à 80,10 milliards FCFA, ce qui positionne la société parmi les valeurs moyennes de la cote BRVM, avec une liquidité quotidienne relativement faible (3 510 titres échangés en moyenne). Le BPA de 231 FCFA par action, combiné à un cours de 4 005 FCFA, donne un PER de 17,3x, nettement supérieur à la moyenne historique de la BRVM (8-12x), indiquant que le marché valorise généreusement les bénéfices de la société, probablement en raison de son statut de monopole légal et de sa politique de dividende attractive. Le P/B de 3,65x, dans la fourchette 2-4x, reflète une prime de croissance accordée par le marché par rapport à la valeur comptable des actifs. Enfin, l'EV/EBITDA de 10,1x, bien que dans la zone 10-15x, suggère une valorisation élevée de la capacité opérationnelle de l'entreprise, intégrant des attentes de redressement futur.</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LNBB affiche une variation totale positive de +2,17%, mais la dernière séance enregistre un recul marqué de -2,20%, signalant une faiblesse récente. Le cours a évolué dans un range de 3 825 à 4 560 FCFA, avec un cours actuel de 4 005 FCFA, proche du plus bas de la période, ce qui traduit une tendance baissière à court terme. La moyenne (4 052 FCFA) est supérieure à la médiane (3 990 FCFA), et le skewness positif de 0,616 indique une asymétrie avec davantage de journées sous la moyenne, confirmant une pression vendeuse dominante. L'écart-type de 204 FCFA (CV=5,0%) révèle une dispersion modérée, tandis que le kurtosis de -0,961 (mésokurtique) suggère une distribution proche de la normale, sans risque de pics extrêmes. La volatilité annualisée de 36,4% classe le titre comme très volatil (&gt;30%), un niveau élevé qui reflète une incertitude marquée des investisseurs.</w:t>
      </w:r>
    </w:p>
    <w:p>
      <w:pPr>
        <w:spacing w:after="120" w:line="276" w:lineRule="auto" w:before="240"/>
      </w:pPr>
      <w:r>
        <w:rPr>
          <w:b/>
          <w:color w:val="003366"/>
          <w:sz w:val="24"/>
        </w:rPr>
        <w:t>**PARTIE 2 : ANALYSE TECHNIQUE DÉTAILLÉE**</w:t>
      </w:r>
    </w:p>
    <w:p>
      <w:pPr>
        <w:spacing w:after="120" w:line="276" w:lineRule="auto"/>
      </w:pPr>
      <w:r>
        <w:t>Les moyennes mobiles MM20 (4 211,25 FCFA) et MM50 (4 223,4 FCFA) sont toutes deux largement au-dessus du cours actuel de 4 005 FCFA, indiquant une configuration baissière claire. Le croisement de ces moyennes, avec un cours sous la MM50, confirme une tendance de fond négative, justifiant la décision de Vente.</w:t>
      </w:r>
    </w:p>
    <w:p>
      <w:pPr>
        <w:spacing w:after="120" w:line="276" w:lineRule="auto"/>
      </w:pPr>
      <w:r>
        <w:t>Le cours se situe sous la borne inférieure des bandes de Bollinger (3 895,32 FCFA), ce qui est inhabituel et signale une situation de survente extrême. La largeur des bandes (4527,18 – 3895,32) reflète une volatilité élevée, mais la position du prix suggère un potentiel de rebond technique, d'où la décision Neutre.</w:t>
      </w:r>
    </w:p>
    <w:p>
      <w:pPr>
        <w:spacing w:after="120" w:line="276" w:lineRule="auto"/>
      </w:pPr>
      <w:r>
        <w:t>Le MACD affiche une valeur de -52,035, inférieure à son signal (-29,782), avec une divergence négative qui s'accentue. Cette configuration indique un momentum baissier persistant, justifiant la décision de Vente, bien que l'écart important puisse précéder un retournement.</w:t>
      </w:r>
    </w:p>
    <w:p>
      <w:pPr>
        <w:spacing w:after="120" w:line="276" w:lineRule="auto"/>
      </w:pPr>
      <w:r>
        <w:t>Le RSI à 31,21 est proche de la zone de survente (&lt;30), indiquant que le titre est presque survendu. Bien que la décision soit Neutre, cette valeur suggère une pression vendeuse intense mais potentiellement épuisée, ouvrant la voie à un rebond technique.</w:t>
      </w:r>
    </w:p>
    <w:p>
      <w:pPr>
        <w:spacing w:after="120" w:line="276" w:lineRule="auto"/>
      </w:pPr>
      <w:r>
        <w:t>Le stochastique montre un %K à 1,667, extrêmement bas, et un %D à 17,361, avec un croisement haussier potentiel en préparation. Cette configuration signale une condition de survente sévère, justifiant la décision d'Achat, car un rebond technique est probable à très court terme.</w:t>
      </w:r>
    </w:p>
    <w:p>
      <w:pPr>
        <w:spacing w:after="120" w:line="276" w:lineRule="auto"/>
      </w:pPr>
      <w:r>
        <w:t>En conclusion, les indicateurs techniques sont majoritairement baissiers (MM, MACD), mais les oscillateurs de survente (RSI, Stochastique) suggèrent un potentiel de rebond imminent. La configuration globale est mitigée, avec un biais négatif à moyen terme mais des signaux de retournement à court terme.</w:t>
      </w:r>
    </w:p>
    <w:p>
      <w:pPr>
        <w:spacing w:after="120" w:line="276" w:lineRule="auto" w:before="240"/>
      </w:pPr>
      <w:r>
        <w:rPr>
          <w:b/>
          <w:color w:val="003366"/>
          <w:sz w:val="24"/>
        </w:rPr>
        <w:t>**PARTIE 3 : ANALYSE FONDAMENTALE (SECTION CRITIQUE)**</w:t>
      </w:r>
    </w:p>
    <w:p>
      <w:pPr>
        <w:spacing w:after="120" w:line="276" w:lineRule="auto"/>
      </w:pPr>
      <w:r>
        <w:t>En 2025, LNBB a réalisé un chiffre d'affaires de 98,598 milliards FCFA, en baisse de -3,85% par rapport à 2024 (102,544 milliards FCFA), avec un résultat net de 4,622 milliards FCFA, en recul de -35,6% (contre 7,176 milliards en 2024). La marge nette s'établit à 4,69%, et le ROE est excellent à 21,05%, tandis que le ROA atteint 14,17%, démontrant une utilisation efficace des actifs. La structure financière est très saine avec une autonomie financière de 67,32%, une trésorerie nette positive de 7,979 milliards FCFA et un BFR négatif de 217,45 millions FCFA, favorable pour la trésorerie. Les délais clients (4,82 jours) et fournisseurs (20,41 jours) sont courts, indiquant une bonne gestion du cycle d'exploitation. Selon le rapport annuel 2025 (analysé en mai 2026), la baisse du résultat net est due à l'absence de produits exceptionnels (3,1 milliards en 2024) et à la concurrence déloyale, mais l'EBE a progressé de +34% à 7,164 milliards FCFA, et les jeux en ligne ont bondi de +18%. Sur la base du rapport T1 2026 (CA +6% à 25,521 milliards, RN -46% à 848 millions) et du S1 2026 (CA +4% à 49,937 milliards, RN +60%), on estime que l'exercice 2026 pourrait voir un CA stable autour de 100 milliards FCFA, avec un résultat net en amélioration grâce aux partenariats et à la maîtrise des charges, malgré la pression sur le produit brut des jeux (-9% au S1). La société reste fondamentalement solide avec un dividende de 173 FCFA brut par action proposé pour 2025.</w:t>
      </w:r>
    </w:p>
    <w:p>
      <w:pPr>
        <w:spacing w:after="120" w:line="276" w:lineRule="auto" w:before="240"/>
      </w:pPr>
      <w:r>
        <w:rPr>
          <w:b/>
          <w:color w:val="003366"/>
          <w:sz w:val="24"/>
        </w:rPr>
        <w:t>**PARTIE 4 : CONCLUSION D'INVESTISSEMENT**</w:t>
      </w:r>
    </w:p>
    <w:p>
      <w:pPr>
        <w:spacing w:after="120" w:line="276" w:lineRule="auto"/>
      </w:pPr>
      <w:r>
        <w:t>La valorisation de LNBB (PER 17,3x, P/B 3,65x, EV/EBITDA 10,1x) indique une surévaluation relative par rapport au marché BRVM, intégrant des attentes de redressement. Le comportement du cours montre une tendance baissière récente avec une volatilité élevée (36,4%), mais les statistiques (kurtosis mésokurtique, skewness positif) suggèrent une distribution stable sans risque extrême. Les signaux techniques sont mitigés : les moyennes mobiles et le MACD sont baissiers, mais le RSI et le stochastique en survente signalent un rebond imminent. Les fondamentaux sont solides avec un ROE de 21,05%, une trésorerie nette positive et une politique de dividende généreuse (173 FCFA/action, rendement de 4,3%), mais la croissance est atone et la rentabilité sous pression. Les prédictions IA (4 000 à 3 958 FCFA sur 10 jours) confirment une poursuite de la baisse à court terme, en ligne avec la tendance technique. En synthèse, la convergence entre la valorisation élevée, les signaux techniques baissiers et les prédictions IA défavorables conduit à une recommandation de **CONSERVER** avec un niveau de confiance **Moyen** et un risque global **Élevé**. L'horizon d'investissement optimal est le **moyen terme (3-12 mois)**, en attendant une stabilisation du produit brut des jeux et une confirmation du redressement de la rentabilité au S2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20260612   avis de convocation   assemblee generale ordinaire   lnb bn</w:t>
      </w:r>
    </w:p>
    <w:p>
      <w:pPr>
        <w:spacing w:before="20"/>
        <w:ind w:left="400"/>
      </w:pPr>
      <w:r>
        <w:rPr>
          <w:color w:val="505050"/>
          <w:sz w:val="17"/>
        </w:rPr>
        <w:t xml:space="preserve">Date : 13/06/2026  |  Catégorie : convocation AG  |  Impact : </w:t>
      </w:r>
      <w:r>
        <w:rPr>
          <w:b/>
          <w:color w:val="008000"/>
          <w:sz w:val="17"/>
        </w:rPr>
        <w:t>🟢 POSITIF</w:t>
      </w:r>
    </w:p>
    <w:p>
      <w:pPr>
        <w:spacing w:before="40"/>
        <w:ind w:left="400"/>
      </w:pPr>
      <w:r>
        <w:rPr>
          <w:sz w:val="18"/>
        </w:rPr>
        <w:t>Ce document est un avis de convocation à l'Assemblée Générale Ordinaire de la société LNB. L'AGO doit approuver les comptes de l'exercice 2025 et le projet d'affectation du résultat prévoyant un dividende brut de 173 FCFA par action. Le dividende net par action serait de 164 FCFA, payable à compter du 2 août 2026.</w:t>
      </w:r>
    </w:p>
    <w:p>
      <w:pPr>
        <w:spacing w:before="60"/>
        <w:ind w:left="400"/>
      </w:pPr>
      <w:r>
        <w:rPr>
          <w:b/>
          <w:sz w:val="18"/>
        </w:rPr>
        <w:t>Points clés :</w:t>
      </w:r>
    </w:p>
    <w:p>
      <w:pPr>
        <w:pStyle w:val="ListBullet"/>
        <w:spacing w:before="20" w:after="20"/>
        <w:ind w:left="700"/>
      </w:pPr>
      <w:r>
        <w:rPr>
          <w:sz w:val="18"/>
        </w:rPr>
        <w:t>Approbation du rapport de gestion du Conseil d'Administration pour l'exercice clos le 31 décembre 2025.</w:t>
      </w:r>
    </w:p>
    <w:p>
      <w:pPr>
        <w:pStyle w:val="ListBullet"/>
        <w:spacing w:before="20" w:after="20"/>
        <w:ind w:left="700"/>
      </w:pPr>
      <w:r>
        <w:rPr>
          <w:sz w:val="18"/>
        </w:rPr>
        <w:t>Approbation des comptes et du bilan de l'exercice 2025.</w:t>
      </w:r>
    </w:p>
    <w:p>
      <w:pPr>
        <w:pStyle w:val="ListBullet"/>
        <w:spacing w:before="20" w:after="20"/>
        <w:ind w:left="700"/>
      </w:pPr>
      <w:r>
        <w:rPr>
          <w:sz w:val="18"/>
        </w:rPr>
        <w:t>Affectation du résultat net de FCFA 4 622 243 779 avec un dividende brut proposé de 173 FCFA par action.</w:t>
      </w:r>
    </w:p>
    <w:p>
      <w:pPr>
        <w:pStyle w:val="ListBullet"/>
        <w:spacing w:before="20" w:after="20"/>
        <w:ind w:left="700"/>
      </w:pPr>
      <w:r>
        <w:rPr>
          <w:sz w:val="18"/>
        </w:rPr>
        <w:t>Dividende net de 164 FCFA par action après IRCM, mise en paiement à partir du 2 août 2026.</w:t>
      </w:r>
    </w:p>
    <w:p>
      <w:pPr>
        <w:pStyle w:val="ListBullet"/>
        <w:spacing w:before="20" w:after="20"/>
        <w:ind w:left="700"/>
      </w:pPr>
      <w:r>
        <w:rPr>
          <w:sz w:val="18"/>
        </w:rPr>
        <w:t>Quitus aux administrateurs et décharge aux commissaires aux comptes, et pouvoirs pour formalités.</w:t>
      </w:r>
    </w:p>
    <w:p/>
    <w:p>
      <w:pPr>
        <w:pStyle w:val="Heading3"/>
      </w:pPr>
      <w:r>
        <w:rPr>
          <w:color w:val="005A32"/>
        </w:rPr>
        <w:t>📋 RAPPORTS &amp; COMMUNIQUÉS OFFICIELS</w:t>
      </w:r>
    </w:p>
    <w:p>
      <w:r>
        <w:rPr>
          <w:i/>
          <w:color w:val="646464"/>
          <w:sz w:val="18"/>
        </w:rPr>
        <w:t>7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forte progression du r\u00e9sultat net (+60%) et les perspectives de croissance soutenues justifient une position positive. La strat\u00e9gie de transformation et les partenariats devraient continuer \u00e0 am\u00e9liorer la rentabilit\u00e9."}</w:t>
      </w:r>
    </w:p>
    <w:p>
      <w:pPr>
        <w:spacing w:before="40"/>
        <w:ind w:left="400"/>
      </w:pPr>
      <w:r>
        <w:rPr>
          <w:sz w:val="18"/>
        </w:rPr>
        <w:t>Le premier semestre 2026 a été marqué par une croissance du chiffre d'affaires de 4% à 49,937 milliards FCFA, portée principalement par le pari sportif et le lancement de nouveaux produits. Malgré une hausse de 7% des gains versés aux joueurs, le produit brut des jeux a reculé de 9%. La société a toutefois amélioré significativement sa rentabilité, avec un résultat net en hausse de 60% grâce à la maîtrise des charges et aux partenariats. Le plan de transformation engagé en début d'année commence à porter ses fruits. Pour le second semestre, la direction anticipe une accélération de la croissance et une création de valeur renforcée pour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'2.000.000.000 FCFA', 'evolution_resultat_net': '+60%', 'evolution_gains_joueurs': '+7%', 'evolution_produit_brut_des_jeux': '-9%', 'evolution_resultat_exploitation': '+40%'}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49,937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49,937 milliards FCFA au S1 2026, en hausse de 4% par rapport au S1 2025.</w:t>
      </w:r>
    </w:p>
    <w:p>
      <w:pPr>
        <w:pStyle w:val="ListBullet"/>
        <w:spacing w:before="20" w:after="20"/>
        <w:ind w:left="700"/>
      </w:pPr>
      <w:r>
        <w:rPr>
          <w:sz w:val="18"/>
        </w:rPr>
        <w:t>Le résultat net progresse de 60% grâce à la maîtrise des charges et aux revenus de partenariats.</w:t>
      </w:r>
    </w:p>
    <w:p>
      <w:pPr>
        <w:pStyle w:val="ListBullet"/>
        <w:spacing w:before="20" w:after="20"/>
        <w:ind w:left="700"/>
      </w:pPr>
      <w:r>
        <w:rPr>
          <w:sz w:val="18"/>
        </w:rPr>
        <w:t>Le produit brut des jeux diminue de 9% en raison d'une hausse de 7% des gains payés aux joueurs.</w:t>
      </w:r>
    </w:p>
    <w:p>
      <w:pPr>
        <w:pStyle w:val="ListBullet"/>
        <w:spacing w:before="20" w:after="20"/>
        <w:ind w:left="700"/>
      </w:pPr>
      <w:r>
        <w:rPr>
          <w:sz w:val="18"/>
        </w:rPr>
        <w:t>Lancement d'une nouvelle variante du loto 5/90 le 13 avril 2026 et dynamique soutenue du pari sportif.</w:t>
      </w:r>
    </w:p>
    <w:p>
      <w:pPr>
        <w:pStyle w:val="ListBullet"/>
        <w:spacing w:before="20" w:after="20"/>
        <w:ind w:left="700"/>
      </w:pPr>
      <w:r>
        <w:rPr>
          <w:sz w:val="18"/>
        </w:rPr>
        <w:t>Plan d'expansion ambitieux : déploiement de 1500 nouveaux terminaux, augmentation des tirages et réouverture de 4 postes pilotes.</w:t>
      </w:r>
    </w:p>
    <w:p>
      <w:pPr>
        <w:pStyle w:val="ListBullet"/>
        <w:spacing w:before="20" w:after="20"/>
        <w:ind w:left="700"/>
      </w:pPr>
      <w:r>
        <w:rPr>
          <w:sz w:val="18"/>
        </w:rPr>
        <w:t>La direction anticipe une accélération de la croissance et une consolidation de la performance au S2 2026.</w:t>
      </w:r>
    </w:p>
    <w:p>
      <w:pPr>
        <w:spacing w:before="40"/>
        <w:ind w:left="400"/>
      </w:pPr>
      <w:r>
        <w:rPr>
          <w:b/>
          <w:color w:val="C05000"/>
          <w:sz w:val="18"/>
        </w:rPr>
        <w:t xml:space="preserve">⚠️ Risques : </w:t>
      </w:r>
      <w:r>
        <w:rPr>
          <w:sz w:val="18"/>
        </w:rPr>
        <w:t>["Baisse du produit brut des jeux de 9% en raison de la hausse des gains vers\u00e9s aux joueurs, ce qui pourrait comprimer les marges.", "D\u00e9pendance accrue au pari sportif et aux partenariats avec d'autres op\u00e9rateurs, exposant la soci\u00e9t\u00e9 \u00e0 des al\u00e9as r\u00e9glementaires</w:t>
      </w:r>
    </w:p>
    <w:p>
      <w:pPr>
        <w:spacing w:before="40"/>
        <w:ind w:left="400"/>
      </w:pPr>
      <w:r>
        <w:rPr>
          <w:b/>
          <w:color w:val="0064A0"/>
          <w:sz w:val="18"/>
        </w:rPr>
        <w:t xml:space="preserve">🔮 Perspectives : </w:t>
      </w:r>
      <w:r>
        <w:rPr>
          <w:sz w:val="18"/>
        </w:rPr>
        <w:t>Au second semestre 2026, la LNB prévoit d'accélérer sa croissance grâce au déploiement de 1500 nouveaux terminaux, à l'augmentation des tirages et à de nouveaux produits. Ces mesures devraient se poursuivre en 2027, permettant une consolidation de la performance et une amélioration continue de la 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d\u00e9gradation temporaire des r\u00e9sultats, la soci\u00e9t\u00e9 b\u00e9n\u00e9ficie d'une dynamique de croissance forte sur le digital. Les perspectives d'am\u00e9lioration via de nouveaux produits \u00e0 forte marge justifient une position d'attente."}</w:t>
      </w:r>
    </w:p>
    <w:p>
      <w:pPr>
        <w:spacing w:before="40"/>
        <w:ind w:left="400"/>
      </w:pPr>
      <w:r>
        <w:rPr>
          <w:sz w:val="18"/>
        </w:rPr>
        <w:t>La Loterie Nationale du Bénin (LNB) affiche une croissance de chiffre d'affaires de 6% au T1 2026, tirée principalement par le pari sportif en ligne (+28%). Cependant, le résultat net chute drastiquement de 46% à 848 millions FCFA contre 1,574 milliards en 2025. Cette dégradation s'explique par le mix produit défavorable, le pari sportif ayant un taux de retour aux joueurs de 95% contre des marges plus élevées sur la loterie traditionnelle. Les charges d'exploitation ont bondi de 42%, accentuant la pression sur la rentabilité. L'entreprise traverse une phase de transition avec une réallocation de la demande vers les activités à faible marge.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'86 millions FCFA', 'gains_payes_joueurs': '20,657 milliards FCFA', 'charges_exploitation': '3,773 milliards FCFA', 'taux_retour_joueurs_pari_sportif': '95%'}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25,521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6% à 25,521 milliards FCFA mais résultat net en chute de 46%</w:t>
      </w:r>
    </w:p>
    <w:p>
      <w:pPr>
        <w:pStyle w:val="ListBullet"/>
        <w:spacing w:before="20" w:after="20"/>
        <w:ind w:left="700"/>
      </w:pPr>
      <w:r>
        <w:rPr>
          <w:sz w:val="18"/>
        </w:rPr>
        <w:t>Forte croissance du pari sportif en ligne (+28%) avec un CA de 2,7 milliards FCFA supplémentaires</w:t>
      </w:r>
    </w:p>
    <w:p>
      <w:pPr>
        <w:pStyle w:val="ListBullet"/>
        <w:spacing w:before="20" w:after="20"/>
        <w:ind w:left="700"/>
      </w:pPr>
      <w:r>
        <w:rPr>
          <w:sz w:val="18"/>
        </w:rPr>
        <w:t>Taux de retour aux joueurs très élevé de 95% sur le pari sportif limitant la rentabilité</w:t>
      </w:r>
    </w:p>
    <w:p>
      <w:pPr>
        <w:pStyle w:val="ListBullet"/>
        <w:spacing w:before="20" w:after="20"/>
        <w:ind w:left="700"/>
      </w:pPr>
      <w:r>
        <w:rPr>
          <w:sz w:val="18"/>
        </w:rPr>
        <w:t>Déclin de la loterie traditionnelle (loto 5/90) avec un CA en baisse de 15%</w:t>
      </w:r>
    </w:p>
    <w:p>
      <w:pPr>
        <w:pStyle w:val="ListBullet"/>
        <w:spacing w:before="20" w:after="20"/>
        <w:ind w:left="700"/>
      </w:pPr>
      <w:r>
        <w:rPr>
          <w:sz w:val="18"/>
        </w:rPr>
        <w:t>Explosion des charges d'exploitation (+42%) due à des effets de décalage comptable</w:t>
      </w:r>
    </w:p>
    <w:p>
      <w:pPr>
        <w:pStyle w:val="ListBullet"/>
        <w:spacing w:before="20" w:after="20"/>
        <w:ind w:left="700"/>
      </w:pPr>
      <w:r>
        <w:rPr>
          <w:sz w:val="18"/>
        </w:rPr>
        <w:t>Le pari sportif représente désormais 48% du CA contre 39% l'année précédente</w:t>
      </w:r>
    </w:p>
    <w:p>
      <w:pPr>
        <w:spacing w:before="40"/>
        <w:ind w:left="400"/>
      </w:pPr>
      <w:r>
        <w:rPr>
          <w:b/>
          <w:color w:val="C05000"/>
          <w:sz w:val="18"/>
        </w:rPr>
        <w:t xml:space="preserve">⚠️ Risques : </w:t>
      </w:r>
      <w:r>
        <w:rPr>
          <w:sz w:val="18"/>
        </w:rPr>
        <w:t>["Poursuite de la migration vers les activit\u00e9s \u00e0 faible marge (pari sportif) au d\u00e9triment de la rentabilit\u00e9", "D\u00e9pendance croissante au pari sportif avec un taux de retour aux joueurs structurellement \u00e9lev\u00e9 de 95%", "Pression continue sur les charges d'exploitation</w:t>
      </w:r>
    </w:p>
    <w:p>
      <w:pPr>
        <w:spacing w:before="40"/>
        <w:ind w:left="400"/>
      </w:pPr>
      <w:r>
        <w:rPr>
          <w:b/>
          <w:color w:val="0064A0"/>
          <w:sz w:val="18"/>
        </w:rPr>
        <w:t xml:space="preserve">🔮 Perspectives : </w:t>
      </w:r>
      <w:r>
        <w:rPr>
          <w:sz w:val="18"/>
        </w:rPr>
        <w:t>La direction anticipe des perspectives favorables pour le T2 2026 avec l'introduction de nouveaux produits de loterie visant à rééquilibrer le mix produit. Les efforts de maîtrise des charges devraient contribuer à améliorer l'efficacité opérationnelle et soutenir le redressement du résultat net.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performance en 2025, la soci\u00e9t\u00e9 maintient une structure financi\u00e8re tr\u00e8s solide et d\u00e9veloppe activement ses activit\u00e9s digitales. Les perspectives d'am\u00e9lioration en 2026 avec les nouvelles strat\u00e9gies commerciales justifient le maintien de la position."}</w:t>
      </w:r>
    </w:p>
    <w:p>
      <w:pPr>
        <w:spacing w:before="40"/>
        <w:ind w:left="400"/>
      </w:pPr>
      <w:r>
        <w:rPr>
          <w:sz w:val="18"/>
        </w:rPr>
        <w:t>La Loterie Nationale du Bénin (LNB) affiche un chiffre d'affaires de 98,6 milliards F CFA en 2025, en baisse de 4% par rapport à 2024. Le résultat net s'établit à 4,6 milliards F CFA, en recul de 36% principalement dû à l'intensification de la concurrence déloyale d'opérateurs illégaux. Malgré cette performance mitigée, la société maintient une structure financière solide avec 22 milliards F CFA de capitaux propres et un ratio d'autonomie financière de 2,06. La valeur ajoutée progresse de 22% à 10,55 milliards F CFA, témoignant d'un effort de maîtrise des charges. Le conseil d'administration propose de distribuer 80% du résultat net sous forme de dividendes.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'7,16 milliards F CFA', 'evolution_ca': '-4%', 'valeur_ajoutee': '10,55 milliards F CFA', 'evolution_resultat_net': '-36%', 'capacite_autofinancement': '5,34 milliards F CFA'}</w:t>
            </w:r>
          </w:p>
        </w:tc>
        <w:tc>
          <w:tcPr>
            <w:tcW w:type="dxa" w:w="2160"/>
          </w:tcPr>
          <w:p>
            <w:pPr>
              <w:ind w:left="100"/>
            </w:pPr>
            <w:r/>
            <w:r>
              <w:rPr>
                <w:b/>
                <w:sz w:val="16"/>
              </w:rPr>
              <w:t>dividende</w:t>
              <w:br/>
            </w:r>
            <w:r>
              <w:rPr>
                <w:sz w:val="18"/>
              </w:rPr>
              <w:t>173 F CFA brut par action</w:t>
            </w:r>
          </w:p>
        </w:tc>
        <w:tc>
          <w:tcPr>
            <w:tcW w:type="dxa" w:w="2160"/>
          </w:tcPr>
          <w:p>
            <w:pPr>
              <w:ind w:left="100"/>
            </w:pPr>
            <w:r/>
            <w:r>
              <w:rPr>
                <w:b/>
                <w:sz w:val="16"/>
              </w:rPr>
              <w:t>marge_nette</w:t>
              <w:br/>
            </w:r>
            <w:r>
              <w:rPr>
                <w:sz w:val="18"/>
              </w:rPr>
              <w:t>4,7%</w:t>
            </w:r>
          </w:p>
        </w:tc>
        <w:tc>
          <w:tcPr>
            <w:tcW w:type="dxa" w:w="2160"/>
          </w:tcPr>
          <w:p>
            <w:pPr>
              <w:ind w:left="100"/>
            </w:pPr>
            <w:r/>
            <w:r>
              <w:rPr>
                <w:b/>
                <w:sz w:val="16"/>
              </w:rPr>
              <w:t>total_actif</w:t>
              <w:br/>
            </w:r>
            <w:r>
              <w:rPr>
                <w:sz w:val="18"/>
              </w:rPr>
              <w:t>32,6 milliards F CFA</w:t>
            </w:r>
          </w:p>
        </w:tc>
      </w:tr>
      <w:tr>
        <w:tc>
          <w:tcPr>
            <w:tcW w:type="dxa" w:w="2160"/>
          </w:tcPr>
          <w:p>
            <w:r/>
            <w:r>
              <w:rPr>
                <w:b/>
                <w:sz w:val="16"/>
              </w:rPr>
              <w:t>resultat_net</w:t>
              <w:br/>
            </w:r>
            <w:r>
              <w:rPr>
                <w:sz w:val="18"/>
              </w:rPr>
              <w:t>4,6 milliards F CFA</w:t>
            </w:r>
          </w:p>
        </w:tc>
        <w:tc>
          <w:tcPr>
            <w:tcW w:type="dxa" w:w="2160"/>
          </w:tcPr>
          <w:p>
            <w:r/>
            <w:r>
              <w:rPr>
                <w:b/>
                <w:sz w:val="16"/>
              </w:rPr>
              <w:t>capitaux_propres</w:t>
              <w:br/>
            </w:r>
            <w:r>
              <w:rPr>
                <w:sz w:val="18"/>
              </w:rPr>
              <w:t>22,0 milliards F CFA</w:t>
            </w:r>
          </w:p>
        </w:tc>
        <w:tc>
          <w:tcPr>
            <w:tcW w:type="dxa" w:w="2160"/>
          </w:tcPr>
          <w:p>
            <w:r/>
            <w:r>
              <w:rPr>
                <w:b/>
                <w:sz w:val="16"/>
              </w:rPr>
              <w:t>chiffre_affaires</w:t>
              <w:br/>
            </w:r>
            <w:r>
              <w:rPr>
                <w:sz w:val="18"/>
              </w:rPr>
              <w:t>98,6 milliards F 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4% à 98,6 milliards F CFA due à la concurrence déloyale</w:t>
      </w:r>
    </w:p>
    <w:p>
      <w:pPr>
        <w:pStyle w:val="ListBullet"/>
        <w:spacing w:before="20" w:after="20"/>
        <w:ind w:left="700"/>
      </w:pPr>
      <w:r>
        <w:rPr>
          <w:sz w:val="18"/>
        </w:rPr>
        <w:t>Recul du résultat net de 36% à 4,6 milliards F CFA</w:t>
      </w:r>
    </w:p>
    <w:p>
      <w:pPr>
        <w:pStyle w:val="ListBullet"/>
        <w:spacing w:before="20" w:after="20"/>
        <w:ind w:left="700"/>
      </w:pPr>
      <w:r>
        <w:rPr>
          <w:sz w:val="18"/>
        </w:rPr>
        <w:t>Croissance remarquable des jeux en ligne de 18% (67,5 milliards F CFA)</w:t>
      </w:r>
    </w:p>
    <w:p>
      <w:pPr>
        <w:pStyle w:val="ListBullet"/>
        <w:spacing w:before="20" w:after="20"/>
        <w:ind w:left="700"/>
      </w:pPr>
      <w:r>
        <w:rPr>
          <w:sz w:val="18"/>
        </w:rPr>
        <w:t>Amélioration de la valeur ajoutée de 22% grâce à la maîtrise des charges</w:t>
      </w:r>
    </w:p>
    <w:p>
      <w:pPr>
        <w:pStyle w:val="ListBullet"/>
        <w:spacing w:before="20" w:after="20"/>
        <w:ind w:left="700"/>
      </w:pPr>
      <w:r>
        <w:rPr>
          <w:sz w:val="18"/>
        </w:rPr>
        <w:t>Structure financière solide avec un ratio d'autonomie de 2,06</w:t>
      </w:r>
    </w:p>
    <w:p>
      <w:pPr>
        <w:pStyle w:val="ListBullet"/>
        <w:spacing w:before="20" w:after="20"/>
        <w:ind w:left="700"/>
      </w:pPr>
      <w:r>
        <w:rPr>
          <w:sz w:val="18"/>
        </w:rPr>
        <w:t>Lancement de la plateforme BETMOMO et nouveaux produits digitaux</w:t>
      </w:r>
    </w:p>
    <w:p>
      <w:pPr>
        <w:spacing w:before="40"/>
        <w:ind w:left="400"/>
      </w:pPr>
      <w:r>
        <w:rPr>
          <w:b/>
          <w:color w:val="C05000"/>
          <w:sz w:val="18"/>
        </w:rPr>
        <w:t xml:space="preserve">⚠️ Risques : </w:t>
      </w:r>
      <w:r>
        <w:rPr>
          <w:sz w:val="18"/>
        </w:rPr>
        <w:t xml:space="preserve">["Intensification de la concurrence d\u00e9loyale des op\u00e9rateurs ill\u00e9gaux proposant des gains plus attractifs", "Prolif\u00e9ration des machines \u00e0 sous ill\u00e9gales sur le territoire national", "Pression r\u00e9glementaire limitant les taux de retour aux joueurs compar\u00e9 \u00e0 </w:t>
      </w:r>
    </w:p>
    <w:p>
      <w:pPr>
        <w:spacing w:before="40"/>
        <w:ind w:left="400"/>
      </w:pPr>
      <w:r>
        <w:rPr>
          <w:b/>
          <w:color w:val="0064A0"/>
          <w:sz w:val="18"/>
        </w:rPr>
        <w:t xml:space="preserve">🔮 Perspectives : </w:t>
      </w:r>
      <w:r>
        <w:rPr>
          <w:sz w:val="18"/>
        </w:rPr>
        <w:t>La LNB prévoit une embellie en 2026 grâce au déploiement de nouvelles stratégies commerciales incluant le prépaiement des ventes, la montée en puissance du digital et le lancement de nouveaux produits. L'interfaçage avec les opérateurs de mobile money et l'expansion géographique dans le nord du Béni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rentabilit\u00e9 solide et une bonne ma\u00eetrise des co\u00fbts. La direction annonce des actions strat\u00e9giques pour am\u00e9liorer les performances futures."}</w:t>
      </w:r>
    </w:p>
    <w:p>
      <w:pPr>
        <w:spacing w:before="40"/>
        <w:ind w:left="400"/>
      </w:pPr>
      <w:r>
        <w:rPr>
          <w:sz w:val="18"/>
        </w:rPr>
        <w:t>La LNB (Loterie Nationale du Bénin) affiche des résultats contrastés pour le premier trimestre 2025 avec un résultat net en hausse de 5% à 1,573 milliards FCFA malgré un chiffre d'affaires en baisse de 6%. Cette performance s'explique par une baisse des paris liée à la période de carême, compensée par une maîtrise des charges. Les produits de paris représentent 71% du chiffre d'affaires contre 29% pour la loterie. Le paiement de dividendes de 15 milliards FCFA à l'État béninois en 2024 a réduit la trésorerie et impacté les produits financiers. La direction prévoit de déployer des actions stratégiques pour améliorer les performances sur les prochains trimestres.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'resultat_financier': '76 millions FCFA', 'resultat_exploitation': '2,172 milliards FCFA', 'variation_resultat_net': '+5%'}</w:t>
            </w:r>
          </w:p>
        </w:tc>
        <w:tc>
          <w:tcPr>
            <w:tcW w:type="dxa" w:w="2160"/>
          </w:tcPr>
          <w:p>
            <w:pPr>
              <w:ind w:left="100"/>
            </w:pPr>
            <w:r/>
            <w:r>
              <w:rPr>
                <w:b/>
                <w:sz w:val="16"/>
              </w:rPr>
              <w:t>dividende</w:t>
              <w:br/>
            </w:r>
            <w:r>
              <w:rPr>
                <w:sz w:val="18"/>
              </w:rPr>
              <w:t>15 milliards FCFA versés en 2024</w:t>
            </w:r>
          </w:p>
        </w:tc>
        <w:tc>
          <w:tcPr>
            <w:tcW w:type="dxa" w:w="2160"/>
          </w:tcPr>
          <w:p>
            <w:pPr>
              <w:ind w:left="100"/>
            </w:pPr>
            <w:r/>
            <w:r>
              <w:rPr>
                <w:b/>
                <w:sz w:val="16"/>
              </w:rPr>
              <w:t>marge_nette</w:t>
              <w:br/>
            </w:r>
            <w:r>
              <w:rPr>
                <w:sz w:val="18"/>
              </w:rPr>
              <w:t>6,5%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1,573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24,189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24,189 milliards FCFA au T1 2025</w:t>
      </w:r>
    </w:p>
    <w:p>
      <w:pPr>
        <w:pStyle w:val="ListBullet"/>
        <w:spacing w:before="20" w:after="20"/>
        <w:ind w:left="700"/>
      </w:pPr>
      <w:r>
        <w:rPr>
          <w:sz w:val="18"/>
        </w:rPr>
        <w:t>Résultat net en croissance de 5% à 1,573 milliards FCFA</w:t>
      </w:r>
    </w:p>
    <w:p>
      <w:pPr>
        <w:pStyle w:val="ListBullet"/>
        <w:spacing w:before="20" w:after="20"/>
        <w:ind w:left="700"/>
      </w:pPr>
      <w:r>
        <w:rPr>
          <w:sz w:val="18"/>
        </w:rPr>
        <w:t>Baisse des paris liée à la période de carême impactant l'activité</w:t>
      </w:r>
    </w:p>
    <w:p>
      <w:pPr>
        <w:pStyle w:val="ListBullet"/>
        <w:spacing w:before="20" w:after="20"/>
        <w:ind w:left="700"/>
      </w:pPr>
      <w:r>
        <w:rPr>
          <w:sz w:val="18"/>
        </w:rPr>
        <w:t>Maîtrise des charges permettant l'amélioration du résultat net</w:t>
      </w:r>
    </w:p>
    <w:p>
      <w:pPr>
        <w:pStyle w:val="ListBullet"/>
        <w:spacing w:before="20" w:after="20"/>
        <w:ind w:left="700"/>
      </w:pPr>
      <w:r>
        <w:rPr>
          <w:sz w:val="18"/>
        </w:rPr>
        <w:t>Produits de paris dominant à 71% du chiffre d'affaires</w:t>
      </w:r>
    </w:p>
    <w:p>
      <w:pPr>
        <w:pStyle w:val="ListBullet"/>
        <w:spacing w:before="20" w:after="20"/>
        <w:ind w:left="700"/>
      </w:pPr>
      <w:r>
        <w:rPr>
          <w:sz w:val="18"/>
        </w:rPr>
        <w:t>Paiement de 15 milliards FCFA de dividendes à l'État en 2024</w:t>
      </w:r>
    </w:p>
    <w:p>
      <w:pPr>
        <w:spacing w:before="40"/>
        <w:ind w:left="400"/>
      </w:pPr>
      <w:r>
        <w:rPr>
          <w:b/>
          <w:color w:val="C05000"/>
          <w:sz w:val="18"/>
        </w:rPr>
        <w:t xml:space="preserve">⚠️ Risques : </w:t>
      </w:r>
      <w:r>
        <w:rPr>
          <w:sz w:val="18"/>
        </w:rPr>
        <w:t>["D\u00e9pendance aux variations saisonni\u00e8res et religieuses impactant les paris", "Concentration sur le march\u00e9 b\u00e9ninois limitant les opportunit\u00e9s de diversification", "Impact des paiements de dividendes \u00e9lev\u00e9s sur la tr\u00e9sorerie et les produits financiers"]</w:t>
      </w:r>
    </w:p>
    <w:p>
      <w:pPr>
        <w:spacing w:before="40"/>
        <w:ind w:left="400"/>
      </w:pPr>
      <w:r>
        <w:rPr>
          <w:b/>
          <w:color w:val="0064A0"/>
          <w:sz w:val="18"/>
        </w:rPr>
        <w:t xml:space="preserve">🔮 Perspectives : </w:t>
      </w:r>
      <w:r>
        <w:rPr>
          <w:sz w:val="18"/>
        </w:rPr>
        <w:t>La LNB prévoit de déployer des actions stratégiques et opérationnelles sur les trois prochains trimestres pour améliorer ses performances commerciales et financières. L'objectif est de maintenir les engagements vis-à-vis des actionnaires tout en compensant l'impact saisonnier observé au premier trim</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d\u00e9cevants au S1, les mesures strat\u00e9giques annonc\u00e9es et l'arriv\u00e9e de nouveaux partenaires technologiques pourraient permettre un redressement d\u00e8s le S2 2025."}</w:t>
      </w:r>
    </w:p>
    <w:p>
      <w:pPr>
        <w:spacing w:before="40"/>
        <w:ind w:left="400"/>
      </w:pPr>
      <w:r>
        <w:rPr>
          <w:sz w:val="18"/>
        </w:rPr>
        <w:t>La Loterie Nationale du Bénin (LNB SA) a enregistré une baisse significative de ses performances au premier semestre 2025. Le chiffre d'affaires a reculé de 6% à 48,148 milliards FCFA contre 51,272 milliards en 2024. Le résultat net s'effondre de 77% à 841 millions FCFA contre 3,588 milliards l'année précédente. Cette détérioration s'explique par l'intensification de la concurrence et l'implantation d'opérateurs illégaux proposant des offres plus attractives. La direction anticipe néanmoins une amélioration au second semestre grâce à la contractualisation de nouveaux partenaires pour les paris sportifs et jeux virtuels en ligne.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'2 000 000 000 FCFA', 'resultat_financier': '244 millions FCFA', 'resultat_exploitation': '1 278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841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48 148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6% à 48,148 milliards FCFA au S1 2025</w:t>
      </w:r>
    </w:p>
    <w:p>
      <w:pPr>
        <w:pStyle w:val="ListBullet"/>
        <w:spacing w:before="20" w:after="20"/>
        <w:ind w:left="700"/>
      </w:pPr>
      <w:r>
        <w:rPr>
          <w:sz w:val="18"/>
        </w:rPr>
        <w:t>Effondrement du résultat net de 77% à 841 millions FCFA</w:t>
      </w:r>
    </w:p>
    <w:p>
      <w:pPr>
        <w:pStyle w:val="ListBullet"/>
        <w:spacing w:before="20" w:after="20"/>
        <w:ind w:left="700"/>
      </w:pPr>
      <w:r>
        <w:rPr>
          <w:sz w:val="18"/>
        </w:rPr>
        <w:t>Résultat d'exploitation en forte baisse de 44% à 1,278 milliards FCFA</w:t>
      </w:r>
    </w:p>
    <w:p>
      <w:pPr>
        <w:pStyle w:val="ListBullet"/>
        <w:spacing w:before="20" w:after="20"/>
        <w:ind w:left="700"/>
      </w:pPr>
      <w:r>
        <w:rPr>
          <w:sz w:val="18"/>
        </w:rPr>
        <w:t>Intensification de la concurrence dans le secteur des jeux</w:t>
      </w:r>
    </w:p>
    <w:p>
      <w:pPr>
        <w:pStyle w:val="ListBullet"/>
        <w:spacing w:before="20" w:after="20"/>
        <w:ind w:left="700"/>
      </w:pPr>
      <w:r>
        <w:rPr>
          <w:sz w:val="18"/>
        </w:rPr>
        <w:t>Présence d'opérateurs illégaux détournant la clientèle</w:t>
      </w:r>
    </w:p>
    <w:p>
      <w:pPr>
        <w:pStyle w:val="ListBullet"/>
        <w:spacing w:before="20" w:after="20"/>
        <w:ind w:left="700"/>
      </w:pPr>
      <w:r>
        <w:rPr>
          <w:sz w:val="18"/>
        </w:rPr>
        <w:t>Contractualisation de 2 nouveaux partenaires pour paris sportifs et jeux virtuels dès septembre 2025</w:t>
      </w:r>
    </w:p>
    <w:p>
      <w:pPr>
        <w:spacing w:before="40"/>
        <w:ind w:left="400"/>
      </w:pPr>
      <w:r>
        <w:rPr>
          <w:b/>
          <w:color w:val="C05000"/>
          <w:sz w:val="18"/>
        </w:rPr>
        <w:t xml:space="preserve">⚠️ Risques : </w:t>
      </w:r>
      <w:r>
        <w:rPr>
          <w:sz w:val="18"/>
        </w:rPr>
        <w:t>["Concurrence accrue des op\u00e9rateurs ill\u00e9gaux proposant des offres plus attractives", "D\u00e9tournement continu de la client\u00e8le vers la concurrence", "Incertitude sur l'efficacit\u00e9 des mesures correctives annonc\u00e9es"]</w:t>
      </w:r>
    </w:p>
    <w:p>
      <w:pPr>
        <w:spacing w:before="40"/>
        <w:ind w:left="400"/>
      </w:pPr>
      <w:r>
        <w:rPr>
          <w:b/>
          <w:color w:val="0064A0"/>
          <w:sz w:val="18"/>
        </w:rPr>
        <w:t xml:space="preserve">🔮 Perspectives : </w:t>
      </w:r>
      <w:r>
        <w:rPr>
          <w:sz w:val="18"/>
        </w:rPr>
        <w:t>La direction anticipe une amélioration progressive de la performance dès le second semestre 2025 grâce au lancement du site de paris sportifs et jeux virtuels. Les actions contre les plateformes illégales devraient également contribuer à reconquérir des parts de marché et atteindre les objectifs ann</w:t>
      </w:r>
    </w:p>
    <w:p/>
    <w:p>
      <w:r>
        <w:t>════════════════════════════════════════════════════════════════════════════════</w:t>
      </w:r>
    </w:p>
    <w:p>
      <w:r>
        <w:br w:type="page"/>
      </w:r>
    </w:p>
    <w:p>
      <w:pPr>
        <w:pStyle w:val="Heading2"/>
        <w:spacing w:before="360"/>
      </w:pPr>
      <w:r>
        <w:rPr>
          <w:color w:val="0066CC"/>
        </w:rPr>
        <w:t>19. NEIC - NEIC - NEI-CEDA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NEIC</w:t>
            </w:r>
          </w:p>
          <w:p>
            <w:r>
              <w:rPr>
                <w:b/>
                <w:color w:val="323250"/>
                <w:sz w:val="16"/>
              </w:rPr>
              <w:t xml:space="preserve">Société : </w:t>
            </w:r>
            <w:r>
              <w:rPr>
                <w:color w:val="000000"/>
                <w:sz w:val="16"/>
              </w:rPr>
              <w:t>NEIC - NEI-CEDA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35.74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5,282 titres</w:t>
            </w:r>
          </w:p>
        </w:tc>
        <w:tc>
          <w:tcPr>
            <w:tcW w:type="dxa" w:w="2268"/>
            <w:shd w:fill="FFF2CC" w:val="clear"/>
          </w:tcPr>
          <w:p>
            <w:r>
              <w:rPr>
                <w:b/>
                <w:color w:val="503200"/>
                <w:sz w:val="16"/>
              </w:rPr>
              <w:t xml:space="preserve">Cours actuel : </w:t>
            </w:r>
            <w:r>
              <w:rPr>
                <w:color w:val="000000"/>
                <w:sz w:val="17"/>
              </w:rPr>
              <w:t>2,800 FCFA</w:t>
            </w:r>
          </w:p>
          <w:p>
            <w:r>
              <w:rPr>
                <w:b/>
                <w:color w:val="503200"/>
                <w:sz w:val="16"/>
              </w:rPr>
              <w:t xml:space="preserve">Var. 100 jours : </w:t>
            </w:r>
            <w:r>
              <w:rPr>
                <w:b/>
                <w:color w:val="007800"/>
                <w:sz w:val="17"/>
              </w:rPr>
              <w:t>+99.29%</w:t>
            </w:r>
          </w:p>
          <w:p>
            <w:r>
              <w:rPr>
                <w:b/>
                <w:color w:val="503200"/>
                <w:sz w:val="16"/>
              </w:rPr>
              <w:t xml:space="preserve">Plus haut 100j : </w:t>
            </w:r>
            <w:r>
              <w:rPr>
                <w:color w:val="000000"/>
                <w:sz w:val="17"/>
              </w:rPr>
              <w:t>2,800 FCFA</w:t>
            </w:r>
          </w:p>
          <w:p>
            <w:r>
              <w:rPr>
                <w:b/>
                <w:color w:val="503200"/>
                <w:sz w:val="16"/>
              </w:rPr>
              <w:t xml:space="preserve">Plus bas 100j : </w:t>
            </w:r>
            <w:r>
              <w:rPr>
                <w:color w:val="000000"/>
                <w:sz w:val="17"/>
              </w:rPr>
              <w:t>1,365 FCFA</w:t>
            </w:r>
          </w:p>
          <w:p>
            <w:r>
              <w:rPr>
                <w:b/>
                <w:color w:val="503200"/>
                <w:sz w:val="16"/>
              </w:rPr>
              <w:t xml:space="preserve">Volatilité ann. : </w:t>
            </w:r>
            <w:r>
              <w:rPr>
                <w:color w:val="000000"/>
                <w:sz w:val="17"/>
              </w:rPr>
              <w:t>52.5%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32.6/100 → Moyen</w:t>
      </w:r>
    </w:p>
    <w:p>
      <w:pPr>
        <w:spacing w:before="40" w:after="80"/>
      </w:pPr>
      <w:r>
        <w:rPr>
          <w:rFonts w:ascii="Courier New" w:hAnsi="Courier New"/>
          <w:color w:val="825A00"/>
          <w:sz w:val="18"/>
        </w:rPr>
        <w:t>██████░░░░░░░░░░░░░░  32.6/100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16.86% (Élevée) — μ=2,015 FCFA, σ=340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β=-0.1934 (Contre-cyclique) — Cov=-0.000007, Var(idx)=0.000035, ρ=-0.035,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5,282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σ_j=3.31%/j (Modérée) — Vol. annualisée≈52.5%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69/100  (Bon)</w:t>
      </w:r>
    </w:p>
    <w:p/>
    <w:p>
      <w:pPr>
        <w:jc w:val="center"/>
      </w:pPr>
      <w:r>
        <w:drawing>
          <wp:inline xmlns:a="http://schemas.openxmlformats.org/drawingml/2006/main" xmlns:pic="http://schemas.openxmlformats.org/drawingml/2006/picture">
            <wp:extent cx="5669280" cy="2619287"/>
            <wp:docPr id="21" name="Picture 21"/>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2026-08-28</w:t>
            </w:r>
          </w:p>
        </w:tc>
        <w:tc>
          <w:tcPr>
            <w:tcW w:type="dxa" w:w="1440"/>
            <w:shd w:fill="FFDCE0" w:val="clear"/>
          </w:tcPr>
          <w:p>
            <w:r>
              <w:rPr>
                <w:sz w:val="17"/>
              </w:rPr>
              <w:t>2,443</w:t>
            </w:r>
          </w:p>
        </w:tc>
        <w:tc>
          <w:tcPr>
            <w:tcW w:type="dxa" w:w="1440"/>
            <w:shd w:fill="FFDCE0" w:val="clear"/>
          </w:tcPr>
          <w:p>
            <w:r>
              <w:rPr>
                <w:b/>
                <w:sz w:val="17"/>
              </w:rPr>
              <w:t>2,590</w:t>
            </w:r>
          </w:p>
        </w:tc>
        <w:tc>
          <w:tcPr>
            <w:tcW w:type="dxa" w:w="1440"/>
            <w:shd w:fill="FFDCE0" w:val="clear"/>
          </w:tcPr>
          <w:p>
            <w:r>
              <w:rPr>
                <w:sz w:val="17"/>
              </w:rPr>
              <w:t>2,737</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2026-08-31</w:t>
            </w:r>
          </w:p>
        </w:tc>
        <w:tc>
          <w:tcPr>
            <w:tcW w:type="dxa" w:w="1440"/>
            <w:shd w:fill="FFDCE0" w:val="clear"/>
          </w:tcPr>
          <w:p>
            <w:r>
              <w:rPr>
                <w:sz w:val="17"/>
              </w:rPr>
              <w:t>2,203</w:t>
            </w:r>
          </w:p>
        </w:tc>
        <w:tc>
          <w:tcPr>
            <w:tcW w:type="dxa" w:w="1440"/>
            <w:shd w:fill="FFDCE0" w:val="clear"/>
          </w:tcPr>
          <w:p>
            <w:r>
              <w:rPr>
                <w:b/>
                <w:sz w:val="17"/>
              </w:rPr>
              <w:t>2,396</w:t>
            </w:r>
          </w:p>
        </w:tc>
        <w:tc>
          <w:tcPr>
            <w:tcW w:type="dxa" w:w="1440"/>
            <w:shd w:fill="FFDCE0" w:val="clear"/>
          </w:tcPr>
          <w:p>
            <w:r>
              <w:rPr>
                <w:sz w:val="17"/>
              </w:rPr>
              <w:t>2,588</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2026-09-01</w:t>
            </w:r>
          </w:p>
        </w:tc>
        <w:tc>
          <w:tcPr>
            <w:tcW w:type="dxa" w:w="1440"/>
            <w:shd w:fill="FFDCE0" w:val="clear"/>
          </w:tcPr>
          <w:p>
            <w:r>
              <w:rPr>
                <w:sz w:val="17"/>
              </w:rPr>
              <w:t>1,998</w:t>
            </w:r>
          </w:p>
        </w:tc>
        <w:tc>
          <w:tcPr>
            <w:tcW w:type="dxa" w:w="1440"/>
            <w:shd w:fill="FFDCE0" w:val="clear"/>
          </w:tcPr>
          <w:p>
            <w:r>
              <w:rPr>
                <w:b/>
                <w:sz w:val="17"/>
              </w:rPr>
              <w:t>2,216</w:t>
            </w:r>
          </w:p>
        </w:tc>
        <w:tc>
          <w:tcPr>
            <w:tcW w:type="dxa" w:w="1440"/>
            <w:shd w:fill="FFDCE0" w:val="clear"/>
          </w:tcPr>
          <w:p>
            <w:r>
              <w:rPr>
                <w:sz w:val="17"/>
              </w:rPr>
              <w:t>2,434</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2026-09-02</w:t>
            </w:r>
          </w:p>
        </w:tc>
        <w:tc>
          <w:tcPr>
            <w:tcW w:type="dxa" w:w="1440"/>
            <w:shd w:fill="FFDCE0" w:val="clear"/>
          </w:tcPr>
          <w:p>
            <w:r>
              <w:rPr>
                <w:sz w:val="17"/>
              </w:rPr>
              <w:t>1,817</w:t>
            </w:r>
          </w:p>
        </w:tc>
        <w:tc>
          <w:tcPr>
            <w:tcW w:type="dxa" w:w="1440"/>
            <w:shd w:fill="FFDCE0" w:val="clear"/>
          </w:tcPr>
          <w:p>
            <w:r>
              <w:rPr>
                <w:b/>
                <w:sz w:val="17"/>
              </w:rPr>
              <w:t>2,050</w:t>
            </w:r>
          </w:p>
        </w:tc>
        <w:tc>
          <w:tcPr>
            <w:tcW w:type="dxa" w:w="1440"/>
            <w:shd w:fill="FFDCE0" w:val="clear"/>
          </w:tcPr>
          <w:p>
            <w:r>
              <w:rPr>
                <w:sz w:val="17"/>
              </w:rPr>
              <w:t>2,283</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2026-09-03</w:t>
            </w:r>
          </w:p>
        </w:tc>
        <w:tc>
          <w:tcPr>
            <w:tcW w:type="dxa" w:w="1440"/>
            <w:shd w:fill="FFDCE0" w:val="clear"/>
          </w:tcPr>
          <w:p>
            <w:r>
              <w:rPr>
                <w:sz w:val="17"/>
              </w:rPr>
              <w:t>1,655</w:t>
            </w:r>
          </w:p>
        </w:tc>
        <w:tc>
          <w:tcPr>
            <w:tcW w:type="dxa" w:w="1440"/>
            <w:shd w:fill="FFDCE0" w:val="clear"/>
          </w:tcPr>
          <w:p>
            <w:r>
              <w:rPr>
                <w:b/>
                <w:sz w:val="17"/>
              </w:rPr>
              <w:t>1,896</w:t>
            </w:r>
          </w:p>
        </w:tc>
        <w:tc>
          <w:tcPr>
            <w:tcW w:type="dxa" w:w="1440"/>
            <w:shd w:fill="FFDCE0" w:val="clear"/>
          </w:tcPr>
          <w:p>
            <w:r>
              <w:rPr>
                <w:sz w:val="17"/>
              </w:rPr>
              <w:t>2,137</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2026-09-04</w:t>
            </w:r>
          </w:p>
        </w:tc>
        <w:tc>
          <w:tcPr>
            <w:tcW w:type="dxa" w:w="1440"/>
            <w:shd w:fill="FFDCE0" w:val="clear"/>
          </w:tcPr>
          <w:p>
            <w:r>
              <w:rPr>
                <w:sz w:val="17"/>
              </w:rPr>
              <w:t>1,510</w:t>
            </w:r>
          </w:p>
        </w:tc>
        <w:tc>
          <w:tcPr>
            <w:tcW w:type="dxa" w:w="1440"/>
            <w:shd w:fill="FFDCE0" w:val="clear"/>
          </w:tcPr>
          <w:p>
            <w:r>
              <w:rPr>
                <w:b/>
                <w:sz w:val="17"/>
              </w:rPr>
              <w:t>1,754</w:t>
            </w:r>
          </w:p>
        </w:tc>
        <w:tc>
          <w:tcPr>
            <w:tcW w:type="dxa" w:w="1440"/>
            <w:shd w:fill="FFDCE0" w:val="clear"/>
          </w:tcPr>
          <w:p>
            <w:r>
              <w:rPr>
                <w:sz w:val="17"/>
              </w:rPr>
              <w:t>1,998</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2026-09-07</w:t>
            </w:r>
          </w:p>
        </w:tc>
        <w:tc>
          <w:tcPr>
            <w:tcW w:type="dxa" w:w="1440"/>
            <w:shd w:fill="FFDCE0" w:val="clear"/>
          </w:tcPr>
          <w:p>
            <w:r>
              <w:rPr>
                <w:sz w:val="17"/>
              </w:rPr>
              <w:t>1,391</w:t>
            </w:r>
          </w:p>
        </w:tc>
        <w:tc>
          <w:tcPr>
            <w:tcW w:type="dxa" w:w="1440"/>
            <w:shd w:fill="FFDCE0" w:val="clear"/>
          </w:tcPr>
          <w:p>
            <w:r>
              <w:rPr>
                <w:b/>
                <w:sz w:val="17"/>
              </w:rPr>
              <w:t>1,637</w:t>
            </w:r>
          </w:p>
        </w:tc>
        <w:tc>
          <w:tcPr>
            <w:tcW w:type="dxa" w:w="1440"/>
            <w:shd w:fill="FFDCE0" w:val="clear"/>
          </w:tcPr>
          <w:p>
            <w:r>
              <w:rPr>
                <w:sz w:val="17"/>
              </w:rPr>
              <w:t>1,883</w:t>
            </w:r>
          </w:p>
        </w:tc>
        <w:tc>
          <w:tcPr>
            <w:tcW w:type="dxa" w:w="1440"/>
            <w:shd w:fill="FFDCE0" w:val="clear"/>
          </w:tcPr>
          <w:p>
            <w:r>
              <w:rPr>
                <w:b/>
                <w:color w:val="C00000"/>
                <w:sz w:val="17"/>
              </w:rPr>
              <w:t>-41.5%</w:t>
            </w:r>
          </w:p>
        </w:tc>
      </w:tr>
      <w:tr>
        <w:tc>
          <w:tcPr>
            <w:tcW w:type="dxa" w:w="1440"/>
            <w:shd w:fill="FFDCE0" w:val="clear"/>
          </w:tcPr>
          <w:p>
            <w:r>
              <w:rPr>
                <w:sz w:val="17"/>
              </w:rPr>
              <w:t>J+8  ⭐</w:t>
            </w:r>
          </w:p>
        </w:tc>
        <w:tc>
          <w:tcPr>
            <w:tcW w:type="dxa" w:w="1440"/>
            <w:shd w:fill="FFDCE0" w:val="clear"/>
          </w:tcPr>
          <w:p>
            <w:r>
              <w:rPr>
                <w:sz w:val="17"/>
              </w:rPr>
              <w:t>2026-09-08</w:t>
            </w:r>
          </w:p>
        </w:tc>
        <w:tc>
          <w:tcPr>
            <w:tcW w:type="dxa" w:w="1440"/>
            <w:shd w:fill="FFDCE0" w:val="clear"/>
          </w:tcPr>
          <w:p>
            <w:r>
              <w:rPr>
                <w:sz w:val="17"/>
              </w:rPr>
              <w:t>1,321</w:t>
            </w:r>
          </w:p>
        </w:tc>
        <w:tc>
          <w:tcPr>
            <w:tcW w:type="dxa" w:w="1440"/>
            <w:shd w:fill="FFDCE0" w:val="clear"/>
          </w:tcPr>
          <w:p>
            <w:r>
              <w:rPr>
                <w:b/>
                <w:sz w:val="17"/>
              </w:rPr>
              <w:t>1,574</w:t>
            </w:r>
          </w:p>
        </w:tc>
        <w:tc>
          <w:tcPr>
            <w:tcW w:type="dxa" w:w="1440"/>
            <w:shd w:fill="FFDCE0" w:val="clear"/>
          </w:tcPr>
          <w:p>
            <w:r>
              <w:rPr>
                <w:sz w:val="17"/>
              </w:rPr>
              <w:t>1,826</w:t>
            </w:r>
          </w:p>
        </w:tc>
        <w:tc>
          <w:tcPr>
            <w:tcW w:type="dxa" w:w="1440"/>
            <w:shd w:fill="FFDCE0" w:val="clear"/>
          </w:tcPr>
          <w:p>
            <w:r>
              <w:rPr>
                <w:b/>
                <w:color w:val="C00000"/>
                <w:sz w:val="17"/>
              </w:rPr>
              <w:t>-43.8%</w:t>
            </w:r>
          </w:p>
        </w:tc>
      </w:tr>
      <w:tr>
        <w:tc>
          <w:tcPr>
            <w:tcW w:type="dxa" w:w="1440"/>
            <w:shd w:fill="FFDCE0" w:val="clear"/>
          </w:tcPr>
          <w:p>
            <w:r>
              <w:rPr>
                <w:sz w:val="17"/>
              </w:rPr>
              <w:t>J+9  ⭐</w:t>
            </w:r>
          </w:p>
        </w:tc>
        <w:tc>
          <w:tcPr>
            <w:tcW w:type="dxa" w:w="1440"/>
            <w:shd w:fill="FFDCE0" w:val="clear"/>
          </w:tcPr>
          <w:p>
            <w:r>
              <w:rPr>
                <w:sz w:val="17"/>
              </w:rPr>
              <w:t>2026-09-09</w:t>
            </w:r>
          </w:p>
        </w:tc>
        <w:tc>
          <w:tcPr>
            <w:tcW w:type="dxa" w:w="1440"/>
            <w:shd w:fill="FFDCE0" w:val="clear"/>
          </w:tcPr>
          <w:p>
            <w:r>
              <w:rPr>
                <w:sz w:val="17"/>
              </w:rPr>
              <w:t>1,259</w:t>
            </w:r>
          </w:p>
        </w:tc>
        <w:tc>
          <w:tcPr>
            <w:tcW w:type="dxa" w:w="1440"/>
            <w:shd w:fill="FFDCE0" w:val="clear"/>
          </w:tcPr>
          <w:p>
            <w:r>
              <w:rPr>
                <w:b/>
                <w:sz w:val="17"/>
              </w:rPr>
              <w:t>1,518</w:t>
            </w:r>
          </w:p>
        </w:tc>
        <w:tc>
          <w:tcPr>
            <w:tcW w:type="dxa" w:w="1440"/>
            <w:shd w:fill="FFDCE0" w:val="clear"/>
          </w:tcPr>
          <w:p>
            <w:r>
              <w:rPr>
                <w:sz w:val="17"/>
              </w:rPr>
              <w:t>1,776</w:t>
            </w:r>
          </w:p>
        </w:tc>
        <w:tc>
          <w:tcPr>
            <w:tcW w:type="dxa" w:w="1440"/>
            <w:shd w:fill="FFDCE0" w:val="clear"/>
          </w:tcPr>
          <w:p>
            <w:r>
              <w:rPr>
                <w:b/>
                <w:color w:val="C00000"/>
                <w:sz w:val="17"/>
              </w:rPr>
              <w:t>-45.8%</w:t>
            </w:r>
          </w:p>
        </w:tc>
      </w:tr>
      <w:tr>
        <w:tc>
          <w:tcPr>
            <w:tcW w:type="dxa" w:w="1440"/>
            <w:shd w:fill="FFDCE0" w:val="clear"/>
          </w:tcPr>
          <w:p>
            <w:r>
              <w:rPr>
                <w:sz w:val="17"/>
              </w:rPr>
              <w:t>J+10  ⭐</w:t>
            </w:r>
          </w:p>
        </w:tc>
        <w:tc>
          <w:tcPr>
            <w:tcW w:type="dxa" w:w="1440"/>
            <w:shd w:fill="FFDCE0" w:val="clear"/>
          </w:tcPr>
          <w:p>
            <w:r>
              <w:rPr>
                <w:sz w:val="17"/>
              </w:rPr>
              <w:t>2026-09-10</w:t>
            </w:r>
          </w:p>
        </w:tc>
        <w:tc>
          <w:tcPr>
            <w:tcW w:type="dxa" w:w="1440"/>
            <w:shd w:fill="FFDCE0" w:val="clear"/>
          </w:tcPr>
          <w:p>
            <w:r>
              <w:rPr>
                <w:sz w:val="17"/>
              </w:rPr>
              <w:t>1,204</w:t>
            </w:r>
          </w:p>
        </w:tc>
        <w:tc>
          <w:tcPr>
            <w:tcW w:type="dxa" w:w="1440"/>
            <w:shd w:fill="FFDCE0" w:val="clear"/>
          </w:tcPr>
          <w:p>
            <w:r>
              <w:rPr>
                <w:b/>
                <w:sz w:val="17"/>
              </w:rPr>
              <w:t>1,467</w:t>
            </w:r>
          </w:p>
        </w:tc>
        <w:tc>
          <w:tcPr>
            <w:tcW w:type="dxa" w:w="1440"/>
            <w:shd w:fill="FFDCE0" w:val="clear"/>
          </w:tcPr>
          <w:p>
            <w:r>
              <w:rPr>
                <w:sz w:val="17"/>
              </w:rPr>
              <w:t>1,731</w:t>
            </w:r>
          </w:p>
        </w:tc>
        <w:tc>
          <w:tcPr>
            <w:tcW w:type="dxa" w:w="1440"/>
            <w:shd w:fill="FFDCE0" w:val="clear"/>
          </w:tcPr>
          <w:p>
            <w:r>
              <w:rPr>
                <w:b/>
                <w:color w:val="C00000"/>
                <w:sz w:val="17"/>
              </w:rPr>
              <w:t>-47.6%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2.209 Mds FCFA</w:t>
            </w:r>
          </w:p>
        </w:tc>
        <w:tc>
          <w:tcPr>
            <w:tcW w:type="dxa" w:w="5669"/>
            <w:shd w:fill="FFFFFF" w:val="clear"/>
          </w:tcPr>
          <w:p>
            <w:r>
              <w:rPr>
                <w:color w:val="282828"/>
                <w:sz w:val="15"/>
              </w:rPr>
              <w:t>Créances clients = 43.0%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777.90 M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3.130 Mds FCFA</w:t>
            </w:r>
          </w:p>
        </w:tc>
        <w:tc>
          <w:tcPr>
            <w:tcW w:type="dxa" w:w="5669"/>
            <w:shd w:fill="FFFFFF" w:val="clear"/>
          </w:tcPr>
          <w:p>
            <w:r>
              <w:rPr>
                <w:color w:val="282828"/>
                <w:sz w:val="15"/>
              </w:rPr>
              <w:t>Ratio actif circ./passif circ. = 1.92x.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15.00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109.43 M FCFA</w:t>
            </w:r>
          </w:p>
        </w:tc>
        <w:tc>
          <w:tcPr>
            <w:tcW w:type="dxa" w:w="5669"/>
            <w:shd w:fill="FFFFFF" w:val="clear"/>
          </w:tcPr>
          <w:p>
            <w:r>
              <w:rPr>
                <w:color w:val="282828"/>
                <w:sz w:val="15"/>
              </w:rPr>
              <w:t>Outil industriel (1.5%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147.47 M FCFA</w:t>
            </w:r>
          </w:p>
        </w:tc>
        <w:tc>
          <w:tcPr>
            <w:tcW w:type="dxa" w:w="5669"/>
            <w:shd w:fill="FFFFFF" w:val="clear"/>
          </w:tcPr>
          <w:p>
            <w:r>
              <w:rPr>
                <w:color w:val="282828"/>
                <w:sz w:val="15"/>
              </w:rPr>
              <w:t>Actif immobilisé = 2.0%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4.196 Mds FCFA</w:t>
            </w:r>
          </w:p>
        </w:tc>
        <w:tc>
          <w:tcPr>
            <w:tcW w:type="dxa" w:w="5669"/>
            <w:shd w:fill="FFFFFF" w:val="clear"/>
          </w:tcPr>
          <w:p>
            <w:r>
              <w:rPr>
                <w:color w:val="282828"/>
                <w:sz w:val="15"/>
              </w:rPr>
              <w:t>Liquidités disponibles (56.1%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7.473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255.32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51.12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5.755 Mds FCFA</w:t>
            </w:r>
          </w:p>
        </w:tc>
        <w:tc>
          <w:tcPr>
            <w:tcW w:type="dxa" w:w="5669"/>
            <w:shd w:fill="FFFFFF" w:val="clear"/>
          </w:tcPr>
          <w:p>
            <w:r>
              <w:rPr>
                <w:color w:val="282828"/>
                <w:sz w:val="15"/>
              </w:rPr>
              <w:t>Fonds propres = 77.0%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5.841 Mds FCFA</w:t>
            </w:r>
          </w:p>
        </w:tc>
        <w:tc>
          <w:tcPr>
            <w:tcW w:type="dxa" w:w="5669"/>
            <w:shd w:fill="FFFFFF" w:val="clear"/>
          </w:tcPr>
          <w:p>
            <w:r>
              <w:rPr>
                <w:color w:val="282828"/>
                <w:sz w:val="15"/>
              </w:rPr>
              <w:t>Capitaux permanents / Actif immobilisé = 39.61x.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992.96 M FCFA</w:t>
            </w:r>
          </w:p>
        </w:tc>
        <w:tc>
          <w:tcPr>
            <w:tcW w:type="dxa" w:w="5669"/>
            <w:shd w:fill="FFFFFF" w:val="clear"/>
          </w:tcPr>
          <w:p>
            <w:r>
              <w:rPr>
                <w:color w:val="282828"/>
                <w:sz w:val="15"/>
              </w:rPr>
              <w:t>Délai fournisseurs implicite ≈ 71 j. ✅ Bon pouvoir de négociation.</w:t>
            </w:r>
          </w:p>
        </w:tc>
      </w:tr>
      <w:tr>
        <w:tc>
          <w:tcPr>
            <w:tcW w:type="dxa" w:w="2268"/>
            <w:shd w:fill="EEF2F7" w:val="clear"/>
          </w:tcPr>
          <w:p>
            <w:r>
              <w:rPr>
                <w:b/>
                <w:color w:val="1E1E3C"/>
                <w:sz w:val="16"/>
              </w:rPr>
              <w:t>Dettes totales</w:t>
            </w:r>
          </w:p>
        </w:tc>
        <w:tc>
          <w:tcPr>
            <w:tcW w:type="dxa" w:w="1984"/>
            <w:shd w:fill="C6EFCE" w:val="clear"/>
          </w:tcPr>
          <w:p>
            <w:r>
              <w:rPr>
                <w:b/>
                <w:color w:val="006400"/>
                <w:sz w:val="17"/>
              </w:rPr>
              <w:t>1.718 Mds FCFA</w:t>
            </w:r>
          </w:p>
        </w:tc>
        <w:tc>
          <w:tcPr>
            <w:tcW w:type="dxa" w:w="5669"/>
            <w:shd w:fill="FFFFFF" w:val="clear"/>
          </w:tcPr>
          <w:p>
            <w:r>
              <w:rPr>
                <w:color w:val="282828"/>
                <w:sz w:val="15"/>
              </w:rPr>
              <w:t>Dettes totales = 23.0%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5.139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5.139 Mds FCFA</w:t>
            </w:r>
          </w:p>
        </w:tc>
        <w:tc>
          <w:tcPr>
            <w:tcW w:type="dxa" w:w="5669"/>
            <w:shd w:fill="FFFFFF" w:val="clear"/>
          </w:tcPr>
          <w:p>
            <w:r>
              <w:rPr>
                <w:color w:val="282828"/>
                <w:sz w:val="15"/>
              </w:rPr>
              <w:t>Chiffre d'affaires. Croissance: -23.8%.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51.45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660.53 M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1.917 Mds FCFA</w:t>
            </w:r>
          </w:p>
        </w:tc>
        <w:tc>
          <w:tcPr>
            <w:tcW w:type="dxa" w:w="5669"/>
            <w:shd w:fill="FFFFFF" w:val="clear"/>
          </w:tcPr>
          <w:p>
            <w:r>
              <w:rPr>
                <w:color w:val="282828"/>
                <w:sz w:val="15"/>
              </w:rPr>
              <w:t>VA = 37.3%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1.256 Mds FCFA</w:t>
            </w:r>
          </w:p>
        </w:tc>
        <w:tc>
          <w:tcPr>
            <w:tcW w:type="dxa" w:w="5669"/>
            <w:shd w:fill="FFFFFF" w:val="clear"/>
          </w:tcPr>
          <w:p>
            <w:r>
              <w:rPr>
                <w:color w:val="282828"/>
                <w:sz w:val="15"/>
              </w:rPr>
              <w:t>EBE = 24.4%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1.213 Mds FCFA</w:t>
            </w:r>
          </w:p>
        </w:tc>
        <w:tc>
          <w:tcPr>
            <w:tcW w:type="dxa" w:w="5669"/>
            <w:shd w:fill="FFFFFF" w:val="clear"/>
          </w:tcPr>
          <w:p>
            <w:r>
              <w:rPr>
                <w:color w:val="282828"/>
                <w:sz w:val="15"/>
              </w:rPr>
              <w:t>Profit d'exploitation = 23.6%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85.82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2.037 Mds FCFA</w:t>
            </w:r>
          </w:p>
        </w:tc>
        <w:tc>
          <w:tcPr>
            <w:tcW w:type="dxa" w:w="5669"/>
            <w:shd w:fill="FFFFFF" w:val="clear"/>
          </w:tcPr>
          <w:p>
            <w:r>
              <w:rPr>
                <w:color w:val="282828"/>
                <w:sz w:val="15"/>
              </w:rPr>
              <w:t>Marge nette = 39.6%.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2.088 Mds FCFA</w:t>
            </w:r>
          </w:p>
        </w:tc>
        <w:tc>
          <w:tcPr>
            <w:tcW w:type="dxa" w:w="5669"/>
            <w:shd w:fill="FFFFFF" w:val="clear"/>
          </w:tcPr>
          <w:p>
            <w:r>
              <w:rPr>
                <w:color w:val="282828"/>
                <w:sz w:val="15"/>
              </w:rPr>
              <w:t>CAF = 2.09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-527.07 M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-38.84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Free Cash Flow</w:t>
            </w:r>
          </w:p>
        </w:tc>
        <w:tc>
          <w:tcPr>
            <w:tcW w:type="dxa" w:w="1984"/>
            <w:shd w:fill="FFEB9C" w:val="clear"/>
          </w:tcPr>
          <w:p>
            <w:r>
              <w:rPr>
                <w:b/>
                <w:color w:val="B40000"/>
                <w:sz w:val="17"/>
              </w:rPr>
              <w:t>-565.91 M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EB9C" w:val="clear"/>
          </w:tcPr>
          <w:p>
            <w:r>
              <w:rPr>
                <w:b/>
                <w:color w:val="006400"/>
                <w:sz w:val="17"/>
              </w:rPr>
              <w:t>1.498 Mds FCFA</w:t>
            </w:r>
          </w:p>
        </w:tc>
        <w:tc>
          <w:tcPr>
            <w:tcW w:type="dxa" w:w="5669"/>
            <w:shd w:fill="FFFFFF" w:val="clear"/>
          </w:tcPr>
          <w:p>
            <w:r>
              <w:rPr>
                <w:color w:val="282828"/>
                <w:sz w:val="15"/>
              </w:rPr>
              <w:t>BFR = 29.1%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5.693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4.196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24.45%</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39.63%</w:t>
            </w:r>
          </w:p>
        </w:tc>
        <w:tc>
          <w:tcPr>
            <w:tcW w:type="dxa" w:w="5669"/>
            <w:shd w:fill="FFFFFF" w:val="clear"/>
          </w:tcPr>
          <w:p>
            <w:r>
              <w:rPr>
                <w:color w:val="282828"/>
                <w:sz w:val="15"/>
              </w:rPr>
              <w:t>Résultat net / revenus = 39.63%.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23.60%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35.39%</w:t>
            </w:r>
          </w:p>
        </w:tc>
        <w:tc>
          <w:tcPr>
            <w:tcW w:type="dxa" w:w="5669"/>
            <w:shd w:fill="FFFFFF" w:val="clear"/>
          </w:tcPr>
          <w:p>
            <w:r>
              <w:rPr>
                <w:color w:val="282828"/>
                <w:sz w:val="15"/>
              </w:rPr>
              <w:t>Résultat net / capitaux propres = 35.39%.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27.25%</w:t>
            </w:r>
          </w:p>
        </w:tc>
        <w:tc>
          <w:tcPr>
            <w:tcW w:type="dxa" w:w="5669"/>
            <w:shd w:fill="FFFFFF" w:val="clear"/>
          </w:tcPr>
          <w:p>
            <w:r>
              <w:rPr>
                <w:color w:val="282828"/>
                <w:sz w:val="15"/>
              </w:rPr>
              <w:t>Résultat net / total actif = 27.25%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68.77%</w:t>
            </w:r>
          </w:p>
        </w:tc>
        <w:tc>
          <w:tcPr>
            <w:tcW w:type="dxa" w:w="5669"/>
            <w:shd w:fill="FFFFFF" w:val="clear"/>
          </w:tcPr>
          <w:p>
            <w:r>
              <w:rPr>
                <w:color w:val="282828"/>
                <w:sz w:val="15"/>
              </w:rPr>
              <w:t>CA / total actif = 68.77x.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-23.80%</w:t>
            </w:r>
          </w:p>
        </w:tc>
        <w:tc>
          <w:tcPr>
            <w:tcW w:type="dxa" w:w="5669"/>
            <w:shd w:fill="FFFFFF" w:val="clear"/>
          </w:tcPr>
          <w:p>
            <w:r>
              <w:rPr>
                <w:color w:val="282828"/>
                <w:sz w:val="15"/>
              </w:rPr>
              <w:t>Croissance CA vs exercice précédent = -23.80%.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77.01%</w:t>
            </w:r>
          </w:p>
        </w:tc>
        <w:tc>
          <w:tcPr>
            <w:tcW w:type="dxa" w:w="5669"/>
            <w:shd w:fill="FFFFFF" w:val="clear"/>
          </w:tcPr>
          <w:p>
            <w:r>
              <w:rPr>
                <w:color w:val="282828"/>
                <w:sz w:val="15"/>
              </w:rPr>
              <w:t>Fonds propres / total bilan = 77.01%.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22.99%</w:t>
            </w:r>
          </w:p>
        </w:tc>
        <w:tc>
          <w:tcPr>
            <w:tcW w:type="dxa" w:w="5669"/>
            <w:shd w:fill="FFFFFF" w:val="clear"/>
          </w:tcPr>
          <w:p>
            <w:r>
              <w:rPr>
                <w:color w:val="282828"/>
                <w:sz w:val="15"/>
              </w:rPr>
              <w:t>Dettes financières / total bilan = 22.99%. ✅ Dépendance faible.</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435.02%</w:t>
            </w:r>
          </w:p>
        </w:tc>
        <w:tc>
          <w:tcPr>
            <w:tcW w:type="dxa" w:w="5669"/>
            <w:shd w:fill="FFFFFF" w:val="clear"/>
          </w:tcPr>
          <w:p>
            <w:r>
              <w:rPr>
                <w:color w:val="282828"/>
                <w:sz w:val="15"/>
              </w:rPr>
              <w:t>Total actif / dettes totales = 435.02x.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448.86%</w:t>
            </w:r>
          </w:p>
        </w:tc>
        <w:tc>
          <w:tcPr>
            <w:tcW w:type="dxa" w:w="5669"/>
            <w:shd w:fill="FFFFFF" w:val="clear"/>
          </w:tcPr>
          <w:p>
            <w:r>
              <w:rPr>
                <w:color w:val="282828"/>
                <w:sz w:val="15"/>
              </w:rPr>
              <w:t>Actif circulant / passif circulant = 448.86x.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257.09%</w:t>
            </w:r>
          </w:p>
        </w:tc>
        <w:tc>
          <w:tcPr>
            <w:tcW w:type="dxa" w:w="5669"/>
            <w:shd w:fill="FFFFFF" w:val="clear"/>
          </w:tcPr>
          <w:p>
            <w:r>
              <w:rPr>
                <w:color w:val="282828"/>
                <w:sz w:val="15"/>
              </w:rPr>
              <w:t>Trésorerie / passif circulant = 257.09x.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401.20%</w:t>
            </w:r>
          </w:p>
        </w:tc>
        <w:tc>
          <w:tcPr>
            <w:tcW w:type="dxa" w:w="5669"/>
            <w:shd w:fill="FFFFFF" w:val="clear"/>
          </w:tcPr>
          <w:p>
            <w:r>
              <w:rPr>
                <w:color w:val="282828"/>
                <w:sz w:val="15"/>
              </w:rPr>
              <w:t>(Actif circ. - stocks) / passif circ. = 401.20x.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3960.59%</w:t>
            </w:r>
          </w:p>
        </w:tc>
        <w:tc>
          <w:tcPr>
            <w:tcW w:type="dxa" w:w="5669"/>
            <w:shd w:fill="FFFFFF" w:val="clear"/>
          </w:tcPr>
          <w:p>
            <w:r>
              <w:rPr>
                <w:color w:val="282828"/>
                <w:sz w:val="15"/>
              </w:rPr>
              <w:t>Capitaux permanents / actif immobilisé = 3960.59x. ✅ Les actifs LT sont intégralement financés par des ressources stables.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2317.76%</w:t>
            </w:r>
          </w:p>
        </w:tc>
        <w:tc>
          <w:tcPr>
            <w:tcW w:type="dxa" w:w="5669"/>
            <w:shd w:fill="FFFFFF" w:val="clear"/>
          </w:tcPr>
          <w:p>
            <w:r>
              <w:rPr>
                <w:color w:val="282828"/>
                <w:sz w:val="15"/>
              </w:rPr>
              <w:t>CAF / investissements = 2317.76x.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154.7 j</w:t>
            </w:r>
          </w:p>
        </w:tc>
        <w:tc>
          <w:tcPr>
            <w:tcW w:type="dxa" w:w="5669"/>
            <w:shd w:fill="FFFFFF" w:val="clear"/>
          </w:tcPr>
          <w:p>
            <w:r>
              <w:rPr>
                <w:color w:val="282828"/>
                <w:sz w:val="15"/>
              </w:rPr>
              <w:t>Les clients paient en moyenne en 155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69.6 j</w:t>
            </w:r>
          </w:p>
        </w:tc>
        <w:tc>
          <w:tcPr>
            <w:tcW w:type="dxa" w:w="5669"/>
            <w:shd w:fill="FFFFFF" w:val="clear"/>
          </w:tcPr>
          <w:p>
            <w:r>
              <w:rPr>
                <w:color w:val="282828"/>
                <w:sz w:val="15"/>
              </w:rPr>
              <w:t>Paiement des fournisseurs en 70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54.5 j</w:t>
            </w:r>
          </w:p>
        </w:tc>
        <w:tc>
          <w:tcPr>
            <w:tcW w:type="dxa" w:w="5669"/>
            <w:shd w:fill="FFFFFF" w:val="clear"/>
          </w:tcPr>
          <w:p>
            <w:r>
              <w:rPr>
                <w:color w:val="282828"/>
                <w:sz w:val="15"/>
              </w:rPr>
              <w:t>Stock écoulé en 54 jours. ✅ Stockage standard.</w:t>
            </w:r>
          </w:p>
        </w:tc>
      </w:tr>
    </w:tbl>
    <w:p/>
    <w:p>
      <w:pPr>
        <w:spacing w:after="120" w:line="276" w:lineRule="auto"/>
      </w:pPr>
      <w:r>
        <w:t>**RAPPORT D'ANALYSE FINANCIÈRE — NEIC (BRVM)**</w:t>
      </w:r>
    </w:p>
    <w:p>
      <w:pPr>
        <w:spacing w:after="120" w:line="276" w:lineRule="auto"/>
      </w:pPr>
      <w:r>
        <w:t>**Date de l'analyse : 27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NEIC s'établit à 35,74 milliards FCFA, un niveau significatif pour une entreprise de taille moyenne sur la BRVM. Avec un BPA de 160 FCFA, le titre se négocie à un PER de 17,6x, nettement supérieur à la moyenne historique du marché (8-12x), indiquant que les investisseurs paient une prime substantielle pour les bénéfices actuels. Cette prime est confirmée par le P/B de 6,21x, qui valorise fortement les capitaux propres au-delà de leur valeur comptable, et par un EV/EBITDA de 26,5x, très exigeant par rapport à la capacité opérationnelle de l'entreprise. Ces ratios suggèrent une valorisation qui anticipe une croissance future importante, mais qui laisse peu de marge d'erreur en cas de déception.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NEIC a enregistré une progression spectaculaire de +99,29%, avec une dernière séance en hausse de +4,48% à 2 800 FCFA, son plus haut niveau sur la période. Le titre a évolué dans une fourchette très large de 1 365 à 2 800 FCFA, doublant sa valeur. La moyenne (2 015 FCFA) est inférieure à la médiane (2 115 FCFA), et le skewness négatif (-0,601) indique que les journées de forte hausse ont été plus fréquentes que les baisses, confirmant une tendance haussière soutenue. L'écart-type de 341 FCFA (CV=16,9%) montre une dispersion modérée, tandis que le kurtosis de -0,419 (mésokurtique) suggère une distribution proche de la normale, sans risque de pics extrêmes. La volatilité annualisée de 52,5% classe le titre comme très volatil, un niveau élevé qui reflète l'ampleur du mouvement haussier récent.</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(2 800 FCFA) se situe nettement au-dessus de la MM20 (2 312,5 FCFA) et de la MM50 (2 277,2 FCFA), avec un écart de plus de 20% par rapport à la MM50. Cette configuration haussière, où le prix évolue au-dessus des deux moyennes, confirme la tendance positive et justifie la décision d'achat, bien que l'écart important suggère une possible correction à court terme.</w:t>
      </w:r>
    </w:p>
    <w:p>
      <w:pPr>
        <w:spacing w:after="120" w:line="276" w:lineRule="auto"/>
      </w:pPr>
      <w:r>
        <w:t>**Bandes de Bollinger** : Le cours a franchi la borne supérieure (2 652 FCFA) pour atteindre 2 800 FCFA, signalant une extension excessive au-delà de la bande. Cette situation indique une volatilité accrue et un mouvement de hausse potentiellement suracheté. La décision de vente est justifiée par cette sortie de bande, qui précède souvent un retour vers la moyenne mobile centrale.</w:t>
      </w:r>
    </w:p>
    <w:p>
      <w:pPr>
        <w:spacing w:after="120" w:line="276" w:lineRule="auto"/>
      </w:pPr>
      <w:r>
        <w:t>**MACD** : Le MACD (94,6) est nettement supérieur à sa ligne de signal (37,6), avec un écart positif de 57 points. Cette divergence haussière confirme un momentum positif fort, justifiant la décision d'achat. Cependant, l'ampleur de l'écart suggère que le mouvement pourrait être proche de son point d'essoufflement.</w:t>
      </w:r>
    </w:p>
    <w:p>
      <w:pPr>
        <w:spacing w:after="120" w:line="276" w:lineRule="auto"/>
      </w:pPr>
      <w:r>
        <w:t>**RSI** : À 76,7, le RSI est entré en zone de surachat (au-dessus de 70), indiquant que le titre est techniquement surévalué à court terme. La décision de vente est cohérente avec cette lecture, qui suggère une probabilité accrue de consolidation ou de correction après une hausse aussi rapide.</w:t>
      </w:r>
    </w:p>
    <w:p>
      <w:pPr>
        <w:spacing w:after="120" w:line="276" w:lineRule="auto"/>
      </w:pPr>
      <w:r>
        <w:t>**Stochastique** : Le %K et le %D sont tous deux à 100,0, leur niveau maximum, confirmant une condition de surachat extrême. Cette configuration, où les deux lignes sont au plafond, indique que le mouvement haussier est arrivé à son paroxysme et qu'un retournement est statistiquement probable. La décision de vente est pleinement justifiée.</w:t>
      </w:r>
    </w:p>
    <w:p>
      <w:pPr>
        <w:spacing w:after="120" w:line="276" w:lineRule="auto"/>
      </w:pPr>
      <w:r>
        <w:t>**Conclusion technique** : Les indicateurs de tendance (MM, MACD) sont haussiers, mais les oscillateurs (RSI, Stochastique) et les Bandes de Bollinger signalent un surachat extrême. Cette divergence entre la tendance et les conditions de marché suggère une probabilité élevée de correction à court terme, malgré la solidité de la tendance de fond.</w:t>
      </w:r>
    </w:p>
    <w:p>
      <w:pPr>
        <w:spacing w:after="120" w:line="276" w:lineRule="auto"/>
      </w:pPr>
      <w:r>
        <w:t>---</w:t>
      </w:r>
    </w:p>
    <w:p>
      <w:pPr>
        <w:spacing w:after="120" w:line="276" w:lineRule="auto"/>
      </w:pPr>
      <w:r>
        <w:t>### PARTIE 3 : ANALYSE FONDAMENTALE (SECTION CRITIQUE)</w:t>
      </w:r>
    </w:p>
    <w:p>
      <w:pPr>
        <w:spacing w:after="120" w:line="276" w:lineRule="auto"/>
      </w:pPr>
      <w:r>
        <w:t>Les données structurées de l'exercice 2025 révèlent une performance financière solide pour NEIC, entreprise du secteur de l'édition. Le chiffre d'affaires s'établit à 5,139 milliards FCFA, en baisse de 23,8% par rapport à l'exercice précédent, mais le résultat net atteint 2,037 milliards FCFA, porté par des éléments exceptionnels. La marge nette de 39,6% est exceptionnellement élevée, tout comme le ROE de 35,4% et le ROA de 27,3%, qui dépassent largement les seuils d'excellence (&gt;15%). La structure financière est saine avec une autonomie financière de 77% et une trésorerie nette de 4,196 milliards FCFA. Cependant, le BFR de 1,498 milliard FCFA et le délai clients de 154,7 jours représentent un risque de trésorerie significatif. Les rapports trimestriels 2025 montrent une activité contrastée : le T1 2025 a enregistré une perte de 189,9 millions FCFA avec un CA effondré à 48,5 millions, tandis que le T3 2025 a affiché un bénéfice de 1,596 milliard FCFA grâce à une reprise de provision. Le rapport annuel 2025 (daté de 2026) confirme un résultat net de 2,04 milliards FCFA avec un CA de 6,74 milliards FCFA (+29%), et propose un dividende de 2,04 milliards FCFA (100% du résultat). Le rapport T1 2026 montre une amélioration du CA (+137% à 115,1 millions) mais une perte persistante de 168,9 millions FCFA. Cette trajectoire suggère une entreprise en redressement, dont la rentabilité repose encore sur des éléments non récurrents, avec une activité commerciale qui peine à retrouver son niveau historique.</w:t>
      </w:r>
    </w:p>
    <w:p>
      <w:pPr>
        <w:spacing w:after="120" w:line="276" w:lineRule="auto"/>
      </w:pPr>
      <w:r>
        <w:t>---</w:t>
      </w:r>
    </w:p>
    <w:p>
      <w:pPr>
        <w:spacing w:after="120" w:line="276" w:lineRule="auto"/>
      </w:pPr>
      <w:r>
        <w:t>### PARTIE 4 : CONCLUSION D'INVESTISSEMENT</w:t>
      </w:r>
    </w:p>
    <w:p>
      <w:pPr>
        <w:spacing w:after="120" w:line="276" w:lineRule="auto"/>
      </w:pPr>
      <w:r>
        <w:t>La valorisation de NEIC (PER 17,6x, P/B 6,21x, EV/EBITDA 26,5x) est exigeante et anticipe une croissance soutenue, alors que le cours a doublé en 100 jours avec une volatilité de 52,5%. Les signaux techniques sont contradictoires : la tendance (MM, MACD) reste haussière, mais les oscillateurs (RSI 76,7, Stochastique 100) et la sortie des Bandes de Bollinger signalent un surachat extrême, annonçant probablement une correction. Les fondamentaux montrent une amélioration réelle (résultat net 2025 de 2,04 milliards, dividende généreux), mais la dépendance aux éléments exceptionnels et la baisse structurelle du CA restent préoccupantes. Les prédictions IA (2 590 à 1 896 FCFA sur 10 jours) confirment cette analyse en projetant une correction de 32%, alignée sur les signaux de surachat. La convergence entre les indicateurs techniques de vente et les prédictions IA, contrastant avec la solidité fondamentale, conduit à une recommandation de **VENTE** à court terme pour profiter de la surchauffe, avec un niveau de confiance **Moyen** et un risque global **Élevé**. L'horizon optimal serait de revenir à l'achat après une correction vers les 2 000-2 200 FCFA, où le titre retrouverait une valorisation plus raisonnable.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les pertes persistantes, la forte croissance du chiffre d'affaires (+137%) et l'am\u00e9lioration de tous les indicateurs financiers t\u00e9moignent d'une dynamique positive. La soci\u00e9t\u00e9 semble \u00eatre dans une phase de redressement qui n\u00e9cessite du temps pour atteindre la rentabilit\u00e9."}</w:t>
      </w:r>
    </w:p>
    <w:p>
      <w:pPr>
        <w:spacing w:before="40"/>
        <w:ind w:left="400"/>
      </w:pPr>
      <w:r>
        <w:rPr>
          <w:sz w:val="18"/>
        </w:rPr>
        <w:t>NEI-CEDA, société d'édition et de diffusion africaine, présente des résultats mitigés au premier trimestre 2026. Le chiffre d'affaires a plus que doublé passant de 48,5 millions FCFA à 115,1 millions FCFA, soit une hausse impressionnante de 137%. Malgré cette forte croissance du chiffre d'affaires, la société reste déficitaire avec une perte nette de 168,9 millions FCFA, néanmoins en amélioration par rapport aux -189,9 millions FCFA de 2025. Le résultat d'exploitation demeure négatif à -271,5 millions FCFA mais s'améliore légèrement de 5%. Les résultats financiers sont positifs à 41,7 millions FCFA grâce aux intérêts sur dépôts à terme, en hausse de 43%.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'+137%', 'resultat_financier': '41,7 millions FCFA', 'resultat_exploitation': '-271,5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-168,9 millions FCFA</w:t>
            </w:r>
          </w:p>
        </w:tc>
        <w:tc>
          <w:tcPr>
            <w:tcW w:type="dxa" w:w="2160"/>
          </w:tcPr>
          <w:p>
            <w:r/>
            <w:r>
              <w:rPr>
                <w:b/>
                <w:sz w:val="16"/>
              </w:rPr>
              <w:t>capitaux_propres</w:t>
              <w:br/>
            </w:r>
            <w:r>
              <w:rPr>
                <w:sz w:val="18"/>
              </w:rPr>
              <w:t>255,3 millions FCFA (capital)</w:t>
            </w:r>
          </w:p>
        </w:tc>
        <w:tc>
          <w:tcPr>
            <w:tcW w:type="dxa" w:w="2160"/>
          </w:tcPr>
          <w:p>
            <w:r/>
            <w:r>
              <w:rPr>
                <w:b/>
                <w:sz w:val="16"/>
              </w:rPr>
              <w:t>chiffre_affaires</w:t>
              <w:br/>
            </w:r>
            <w:r>
              <w:rPr>
                <w:sz w:val="18"/>
              </w:rPr>
              <w:t>115,1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+137% à 115,1 millions FCFA</w:t>
      </w:r>
    </w:p>
    <w:p>
      <w:pPr>
        <w:pStyle w:val="ListBullet"/>
        <w:spacing w:before="20" w:after="20"/>
        <w:ind w:left="700"/>
      </w:pPr>
      <w:r>
        <w:rPr>
          <w:sz w:val="18"/>
        </w:rPr>
        <w:t>Résultat net déficitaire mais en amélioration : -168,9 millions FCFA contre -189,9 millions FCFA</w:t>
      </w:r>
    </w:p>
    <w:p>
      <w:pPr>
        <w:pStyle w:val="ListBullet"/>
        <w:spacing w:before="20" w:after="20"/>
        <w:ind w:left="700"/>
      </w:pPr>
      <w:r>
        <w:rPr>
          <w:sz w:val="18"/>
        </w:rPr>
        <w:t>Résultat d'exploitation négatif de -271,5 millions FCFA, amélioration de 5%</w:t>
      </w:r>
    </w:p>
    <w:p>
      <w:pPr>
        <w:pStyle w:val="ListBullet"/>
        <w:spacing w:before="20" w:after="20"/>
        <w:ind w:left="700"/>
      </w:pPr>
      <w:r>
        <w:rPr>
          <w:sz w:val="18"/>
        </w:rPr>
        <w:t>Résultat financier positif de 41,7 millions FCFA (+43%) grâce aux placements</w:t>
      </w:r>
    </w:p>
    <w:p>
      <w:pPr>
        <w:pStyle w:val="ListBullet"/>
        <w:spacing w:before="20" w:after="20"/>
        <w:ind w:left="700"/>
      </w:pPr>
      <w:r>
        <w:rPr>
          <w:sz w:val="18"/>
        </w:rPr>
        <w:t>Société du secteur de l'édition et diffusion africaine basée à Abidjan</w:t>
      </w:r>
    </w:p>
    <w:p>
      <w:pPr>
        <w:pStyle w:val="ListBullet"/>
        <w:spacing w:before="20" w:after="20"/>
        <w:ind w:left="700"/>
      </w:pPr>
      <w:r>
        <w:rPr>
          <w:sz w:val="18"/>
        </w:rPr>
        <w:t>Capital social de 255,3 millions FCFA</w:t>
      </w:r>
    </w:p>
    <w:p>
      <w:pPr>
        <w:spacing w:before="40"/>
        <w:ind w:left="400"/>
      </w:pPr>
      <w:r>
        <w:rPr>
          <w:b/>
          <w:color w:val="C05000"/>
          <w:sz w:val="18"/>
        </w:rPr>
        <w:t xml:space="preserve">⚠️ Risques : </w:t>
      </w:r>
      <w:r>
        <w:rPr>
          <w:sz w:val="18"/>
        </w:rPr>
        <w:t>["Pertes op\u00e9rationnelles importantes qui persistent malgr\u00e9 l'am\u00e9lioration", "D\u00e9pendance aux r\u00e9sultats financiers pour limiter les pertes globales", "Secteur de l'\u00e9dition africaine avec des d\u00e9fis structurels de rentabilit\u00e9"]</w:t>
      </w:r>
    </w:p>
    <w:p>
      <w:pPr>
        <w:spacing w:before="40"/>
        <w:ind w:left="400"/>
      </w:pPr>
      <w:r>
        <w:rPr>
          <w:b/>
          <w:color w:val="0064A0"/>
          <w:sz w:val="18"/>
        </w:rPr>
        <w:t xml:space="preserve">🔮 Perspectives : </w:t>
      </w:r>
      <w:r>
        <w:rPr>
          <w:sz w:val="18"/>
        </w:rPr>
        <w:t>La forte croissance du chiffre d'affaires (+137%) et l'amélioration continue des résultats laissent présager une poursuite du redressement en 2026. Si cette tendance se confirme sur les trimestres suivants, la société pourrait atteindre l'équilibre opérationnel d'ici la fin de l'année.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croissance du r\u00e9sultat de 169% et une marge nette \u00e9lev\u00e9e de 30,2%. La solidit\u00e9 financi\u00e8re et la politique de dividende g\u00e9n\u00e9reuse rendent le titre attractif."}</w:t>
      </w:r>
    </w:p>
    <w:p>
      <w:pPr>
        <w:spacing w:before="40"/>
        <w:ind w:left="400"/>
      </w:pPr>
      <w:r>
        <w:rPr>
          <w:sz w:val="18"/>
        </w:rPr>
        <w:t>NEI CEDA CI présente des résultats financiers solides pour 2025 avec un résultat net de 2,04 milliards FCFA contre 758 millions FCFA en 2024, soit une croissance de 169%. Le chiffre d'affaires a progressé de 29% à 6,74 milliards FCFA. La société propose un dividende généreux de 2,04 milliards FCFA, équivalent à 100% du résultat net. Les capitaux propres se renforcent à 8,61 milliards FCFA et la trésorerie reste positive à 4,2 milliards FCFA. Cette performance exceptionnelle témoigne d'une gestion efficace et d'une stratégie commerciale réussie.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'4 195 612 623 FCFA', 'croissance_ca': '29%', 'capital_social': '255 316 500 FCFA', 'croissance_resultat': '169%'}</w:t>
            </w:r>
          </w:p>
        </w:tc>
        <w:tc>
          <w:tcPr>
            <w:tcW w:type="dxa" w:w="2160"/>
          </w:tcPr>
          <w:p>
            <w:pPr>
              <w:ind w:left="100"/>
            </w:pPr>
            <w:r/>
            <w:r>
              <w:rPr>
                <w:b/>
                <w:sz w:val="16"/>
              </w:rPr>
              <w:t>dividende</w:t>
              <w:br/>
            </w:r>
            <w:r>
              <w:rPr>
                <w:sz w:val="18"/>
              </w:rPr>
              <w:t>2 036 626 234 FCFA</w:t>
            </w:r>
          </w:p>
        </w:tc>
        <w:tc>
          <w:tcPr>
            <w:tcW w:type="dxa" w:w="2160"/>
          </w:tcPr>
          <w:p>
            <w:pPr>
              <w:ind w:left="100"/>
            </w:pPr>
            <w:r/>
            <w:r>
              <w:rPr>
                <w:b/>
                <w:sz w:val="16"/>
              </w:rPr>
              <w:t>marge_nette</w:t>
              <w:br/>
            </w:r>
            <w:r>
              <w:rPr>
                <w:sz w:val="18"/>
              </w:rPr>
              <w:t>30,2%</w:t>
            </w:r>
          </w:p>
        </w:tc>
        <w:tc>
          <w:tcPr>
            <w:tcW w:type="dxa" w:w="2160"/>
          </w:tcPr>
          <w:p>
            <w:pPr>
              <w:ind w:left="100"/>
            </w:pPr>
            <w:r/>
            <w:r>
              <w:rPr>
                <w:b/>
                <w:sz w:val="16"/>
              </w:rPr>
              <w:t>total_actif</w:t>
              <w:br/>
            </w:r>
            <w:r>
              <w:rPr>
                <w:sz w:val="18"/>
              </w:rPr>
              <w:t>13 210 359 130 FCFA</w:t>
            </w:r>
          </w:p>
        </w:tc>
      </w:tr>
      <w:tr>
        <w:tc>
          <w:tcPr>
            <w:tcW w:type="dxa" w:w="2160"/>
          </w:tcPr>
          <w:p>
            <w:r/>
            <w:r>
              <w:rPr>
                <w:b/>
                <w:sz w:val="16"/>
              </w:rPr>
              <w:t>resultat_net</w:t>
              <w:br/>
            </w:r>
            <w:r>
              <w:rPr>
                <w:sz w:val="18"/>
              </w:rPr>
              <w:t>2 036 626 234 FCFA</w:t>
            </w:r>
          </w:p>
        </w:tc>
        <w:tc>
          <w:tcPr>
            <w:tcW w:type="dxa" w:w="2160"/>
          </w:tcPr>
          <w:p>
            <w:r/>
            <w:r>
              <w:rPr>
                <w:b/>
                <w:sz w:val="16"/>
              </w:rPr>
              <w:t>capitaux_propres</w:t>
              <w:br/>
            </w:r>
            <w:r>
              <w:rPr>
                <w:sz w:val="18"/>
              </w:rPr>
              <w:t>8 613 857 488 FCFA</w:t>
            </w:r>
          </w:p>
        </w:tc>
        <w:tc>
          <w:tcPr>
            <w:tcW w:type="dxa" w:w="2160"/>
          </w:tcPr>
          <w:p>
            <w:r/>
            <w:r>
              <w:rPr>
                <w:b/>
                <w:sz w:val="16"/>
              </w:rPr>
              <w:t>chiffre_affaires</w:t>
              <w:br/>
            </w:r>
            <w:r>
              <w:rPr>
                <w:sz w:val="18"/>
              </w:rPr>
              <w:t>6 744 255 774 FCFA</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 +169% à 2,04 milliards FCFA</w:t>
      </w:r>
    </w:p>
    <w:p>
      <w:pPr>
        <w:pStyle w:val="ListBullet"/>
        <w:spacing w:before="20" w:after="20"/>
        <w:ind w:left="700"/>
      </w:pPr>
      <w:r>
        <w:rPr>
          <w:sz w:val="18"/>
        </w:rPr>
        <w:t>Croissance soutenue du chiffre d'affaires : +29% à 6,74 milliards FCFA</w:t>
      </w:r>
    </w:p>
    <w:p>
      <w:pPr>
        <w:pStyle w:val="ListBullet"/>
        <w:spacing w:before="20" w:after="20"/>
        <w:ind w:left="700"/>
      </w:pPr>
      <w:r>
        <w:rPr>
          <w:sz w:val="18"/>
        </w:rPr>
        <w:t>Politique de distribution généreuse : dividende de 2,04 milliards FCFA</w:t>
      </w:r>
    </w:p>
    <w:p>
      <w:pPr>
        <w:pStyle w:val="ListBullet"/>
        <w:spacing w:before="20" w:after="20"/>
        <w:ind w:left="700"/>
      </w:pPr>
      <w:r>
        <w:rPr>
          <w:sz w:val="18"/>
        </w:rPr>
        <w:t>Renforcement des capitaux propres à 8,61 milliards FCFA</w:t>
      </w:r>
    </w:p>
    <w:p>
      <w:pPr>
        <w:pStyle w:val="ListBullet"/>
        <w:spacing w:before="20" w:after="20"/>
        <w:ind w:left="700"/>
      </w:pPr>
      <w:r>
        <w:rPr>
          <w:sz w:val="18"/>
        </w:rPr>
        <w:t>Trésorerie solide de 4,2 milliards FCFA</w:t>
      </w:r>
    </w:p>
    <w:p>
      <w:pPr>
        <w:pStyle w:val="ListBullet"/>
        <w:spacing w:before="20" w:after="20"/>
        <w:ind w:left="700"/>
      </w:pPr>
      <w:r>
        <w:rPr>
          <w:sz w:val="18"/>
        </w:rPr>
        <w:t>Amélioration significative de la marge nette à 30,2%</w:t>
      </w:r>
    </w:p>
    <w:p>
      <w:pPr>
        <w:spacing w:before="40"/>
        <w:ind w:left="400"/>
      </w:pPr>
      <w:r>
        <w:rPr>
          <w:b/>
          <w:color w:val="C05000"/>
          <w:sz w:val="18"/>
        </w:rPr>
        <w:t xml:space="preserve">⚠️ Risques : </w:t>
      </w:r>
      <w:r>
        <w:rPr>
          <w:sz w:val="18"/>
        </w:rPr>
        <w:t>["Distribution de 100% du r\u00e9sultat en dividende limite la capacit\u00e9 d'autofinancement", "Forte d\u00e9pendance \u00e0 la performance commerciale pour maintenir ces niveaux de rentabilit\u00e9", "Exposition aux fluctuations du march\u00e9 ivoirien et de la zone UEMOA"]</w:t>
      </w:r>
    </w:p>
    <w:p>
      <w:pPr>
        <w:spacing w:before="40"/>
        <w:ind w:left="400"/>
      </w:pPr>
      <w:r>
        <w:rPr>
          <w:b/>
          <w:color w:val="0064A0"/>
          <w:sz w:val="18"/>
        </w:rPr>
        <w:t xml:space="preserve">🔮 Perspectives : </w:t>
      </w:r>
      <w:r>
        <w:rPr>
          <w:sz w:val="18"/>
        </w:rPr>
        <w:t>Les perspectives sont favorables compte tenu de la dynamique commerciale positive et de la solidité du bilan. La société devra équilibrer sa politique de distribution avec ses besoins d'investissement pour soutenir la croissance future. La trésorerie importante offre une marge de manœuvre pour les d</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\u00e9lev\u00e9e et une tr\u00e9sorerie tr\u00e8s solide. La structure financi\u00e8re saine et la croissance du chiffre d'affaires offrent un potentiel d'investissement attractif."}</w:t>
      </w:r>
    </w:p>
    <w:p>
      <w:pPr>
        <w:spacing w:before="40"/>
        <w:ind w:left="400"/>
      </w:pPr>
      <w:r>
        <w:rPr>
          <w:sz w:val="18"/>
        </w:rPr>
        <w:t>NEI CEDA CI démontre une performance exceptionnelle en 2020 avec un chiffre d'affaires de 7,3 milliards FCFA. La société affiche une rentabilité remarquable avec un résultat net de 800,8 millions FCFA, représentant une marge nette de 11%. La structure financière est solide avec des capitaux propres de 2,8 milliards FCFA et un total actif de 14,1 milliards FCFA. La trésorerie nette s'établit à 4,9 milliards FCFA, témoignant d'une excellente liquidité. Cette performance globale positionne favorablement l'entreprise sur le marché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'255 317 MFCFA', 'tresorerie_nette': '4 944 036 MFCFA', 'marge_commerciale': '3 307 004 MFCFA'}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11%</w:t>
            </w:r>
          </w:p>
        </w:tc>
        <w:tc>
          <w:tcPr>
            <w:tcW w:type="dxa" w:w="2160"/>
          </w:tcPr>
          <w:p>
            <w:pPr>
              <w:ind w:left="100"/>
            </w:pPr>
            <w:r/>
            <w:r>
              <w:rPr>
                <w:b/>
                <w:sz w:val="16"/>
              </w:rPr>
              <w:t>total_actif</w:t>
              <w:br/>
            </w:r>
            <w:r>
              <w:rPr>
                <w:sz w:val="18"/>
              </w:rPr>
              <w:t>14 108 707 MFCFA</w:t>
            </w:r>
          </w:p>
        </w:tc>
      </w:tr>
      <w:tr>
        <w:tc>
          <w:tcPr>
            <w:tcW w:type="dxa" w:w="2160"/>
          </w:tcPr>
          <w:p>
            <w:r/>
            <w:r>
              <w:rPr>
                <w:b/>
                <w:sz w:val="16"/>
              </w:rPr>
              <w:t>resultat_net</w:t>
              <w:br/>
            </w:r>
            <w:r>
              <w:rPr>
                <w:sz w:val="18"/>
              </w:rPr>
              <w:t>800 793 MFCFA</w:t>
            </w:r>
          </w:p>
        </w:tc>
        <w:tc>
          <w:tcPr>
            <w:tcW w:type="dxa" w:w="2160"/>
          </w:tcPr>
          <w:p>
            <w:r/>
            <w:r>
              <w:rPr>
                <w:b/>
                <w:sz w:val="16"/>
              </w:rPr>
              <w:t>capitaux_propres</w:t>
              <w:br/>
            </w:r>
            <w:r>
              <w:rPr>
                <w:sz w:val="18"/>
              </w:rPr>
              <w:t>2 819 849 MFCFA</w:t>
            </w:r>
          </w:p>
        </w:tc>
        <w:tc>
          <w:tcPr>
            <w:tcW w:type="dxa" w:w="2160"/>
          </w:tcPr>
          <w:p>
            <w:r/>
            <w:r>
              <w:rPr>
                <w:b/>
                <w:sz w:val="16"/>
              </w:rPr>
              <w:t>chiffre_affaires</w:t>
              <w:br/>
            </w:r>
            <w:r>
              <w:rPr>
                <w:sz w:val="18"/>
              </w:rPr>
              <w:t>7 301 216 MFCFA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7,301 millions FCFA en forte progression</w:t>
      </w:r>
    </w:p>
    <w:p>
      <w:pPr>
        <w:pStyle w:val="ListBullet"/>
        <w:spacing w:before="20" w:after="20"/>
        <w:ind w:left="700"/>
      </w:pPr>
      <w:r>
        <w:rPr>
          <w:sz w:val="18"/>
        </w:rPr>
        <w:t>Marge commerciale solide de 3,307 millions FCFA</w:t>
      </w:r>
    </w:p>
    <w:p>
      <w:pPr>
        <w:pStyle w:val="ListBullet"/>
        <w:spacing w:before="20" w:after="20"/>
        <w:ind w:left="700"/>
      </w:pPr>
      <w:r>
        <w:rPr>
          <w:sz w:val="18"/>
        </w:rPr>
        <w:t>Résultat net exceptionnel de 800,8 millions FCFA soit 11% de marge nette</w:t>
      </w:r>
    </w:p>
    <w:p>
      <w:pPr>
        <w:pStyle w:val="ListBullet"/>
        <w:spacing w:before="20" w:after="20"/>
        <w:ind w:left="700"/>
      </w:pPr>
      <w:r>
        <w:rPr>
          <w:sz w:val="18"/>
        </w:rPr>
        <w:t>Trésorerie nette très positive à 4,9 milliards FCFA</w:t>
      </w:r>
    </w:p>
    <w:p>
      <w:pPr>
        <w:pStyle w:val="ListBullet"/>
        <w:spacing w:before="20" w:after="20"/>
        <w:ind w:left="700"/>
      </w:pPr>
      <w:r>
        <w:rPr>
          <w:sz w:val="18"/>
        </w:rPr>
        <w:t>Total actif de 14,1 milliards FCFA avec une structure équilibrée</w:t>
      </w:r>
    </w:p>
    <w:p>
      <w:pPr>
        <w:pStyle w:val="ListBullet"/>
        <w:spacing w:before="20" w:after="20"/>
        <w:ind w:left="700"/>
      </w:pPr>
      <w:r>
        <w:rPr>
          <w:sz w:val="18"/>
        </w:rPr>
        <w:t>Capitaux propres robustes de 2,8 milliards FCFA</w:t>
      </w:r>
    </w:p>
    <w:p>
      <w:pPr>
        <w:spacing w:before="40"/>
        <w:ind w:left="400"/>
      </w:pPr>
      <w:r>
        <w:rPr>
          <w:b/>
          <w:color w:val="C05000"/>
          <w:sz w:val="18"/>
        </w:rPr>
        <w:t xml:space="preserve">⚠️ Risques : </w:t>
      </w:r>
      <w:r>
        <w:rPr>
          <w:sz w:val="18"/>
        </w:rPr>
        <w:t>["Concentration potentielle sur un secteur d'activit\u00e9 sp\u00e9cifique", "Absence de distribution de dividendes malgr\u00e9 la forte rentabilit\u00e9", "D\u00e9pendance aux conditions \u00e9conomiques du march\u00e9 ivoirien"]</w:t>
      </w:r>
    </w:p>
    <w:p>
      <w:pPr>
        <w:spacing w:before="40"/>
        <w:ind w:left="400"/>
      </w:pPr>
      <w:r>
        <w:rPr>
          <w:b/>
          <w:color w:val="0064A0"/>
          <w:sz w:val="18"/>
        </w:rPr>
        <w:t xml:space="preserve">🔮 Perspectives : </w:t>
      </w:r>
      <w:r>
        <w:rPr>
          <w:sz w:val="18"/>
        </w:rPr>
        <w:t>Avec une trésorerie de près de 5 milliards FCFA et une rentabilité démontrée, NEI CEDA CI dispose d'une base solide pour poursuivre sa croissance. La société pourrait envisager des investissements stratégiques ou une politique de dividendes pour valoriser davantage les actionnaires.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"acheter", "justification": "La soci\u00e9t\u00e9 affiche une croissance exceptionnelle de 53% du CA et 207% du r\u00e9sultat net, d\u00e9montrant une forte dynamique commerciale. L'ex\u00e9cution r\u00e9ussie de gros march\u00e9s et l'am\u00e9lioration des ventes hors march\u00e9 confirment la solidit\u00e9 du mod\u00e8le \u00e9conomique."}</w:t>
      </w:r>
    </w:p>
    <w:p>
      <w:pPr>
        <w:spacing w:before="40"/>
        <w:ind w:left="400"/>
      </w:pPr>
      <w:r>
        <w:rPr>
          <w:sz w:val="18"/>
        </w:rPr>
        <w:t>NEI CEDA présente des résultats exceptionnels au T3 2021 avec un chiffre d'affaires de 7,167 milliards FCFA, en hausse de 53% par rapport au T3 2020. Le résultat net atteint 1,201 milliard FCFA contre 392 millions au T3 2020, soit une progression remarquable de 207%. Cette performance s'explique par l'amélioration des ventes hors marché et l'exécution d'un marché de 1,181 milliards FCFA. La société démontre une forte capacité de croissance et de maîtrise des charges de fonctionnement. Ces résultats positionnent NEI CEDA comme un acteur dynamique du secteur de l'édition et de la diffusion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'390,773 millions FCFA', 'resultat_financier': '65,826 millions FCFA', 'resultat_exploitation': '1,958 milliards FCFA', 'resultat_activites_ordinaires': '2,024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1,201 milliard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7,167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53% au T3 2021 à 7,167 milliards FCFA</w:t>
      </w:r>
    </w:p>
    <w:p>
      <w:pPr>
        <w:pStyle w:val="ListBullet"/>
        <w:spacing w:before="20" w:after="20"/>
        <w:ind w:left="700"/>
      </w:pPr>
      <w:r>
        <w:rPr>
          <w:sz w:val="18"/>
        </w:rPr>
        <w:t>Résultat net exceptionnel de 1,201 milliard FCFA, soit +207% par rapport au T3 2020</w:t>
      </w:r>
    </w:p>
    <w:p>
      <w:pPr>
        <w:pStyle w:val="ListBullet"/>
        <w:spacing w:before="20" w:after="20"/>
        <w:ind w:left="700"/>
      </w:pPr>
      <w:r>
        <w:rPr>
          <w:sz w:val="18"/>
        </w:rPr>
        <w:t>Exécution d'un important marché de 1,181 milliards FCFA au T3 2021</w:t>
      </w:r>
    </w:p>
    <w:p>
      <w:pPr>
        <w:pStyle w:val="ListBullet"/>
        <w:spacing w:before="20" w:after="20"/>
        <w:ind w:left="700"/>
      </w:pPr>
      <w:r>
        <w:rPr>
          <w:sz w:val="18"/>
        </w:rPr>
        <w:t>Amélioration significative des ventes hors marché</w:t>
      </w:r>
    </w:p>
    <w:p>
      <w:pPr>
        <w:pStyle w:val="ListBullet"/>
        <w:spacing w:before="20" w:after="20"/>
        <w:ind w:left="700"/>
      </w:pPr>
      <w:r>
        <w:rPr>
          <w:sz w:val="18"/>
        </w:rPr>
        <w:t>Résultat d'exploitation multiplié par 2,6 à 1,958 milliards FCFA</w:t>
      </w:r>
    </w:p>
    <w:p>
      <w:pPr>
        <w:pStyle w:val="ListBullet"/>
        <w:spacing w:before="20" w:after="20"/>
        <w:ind w:left="700"/>
      </w:pPr>
      <w:r>
        <w:rPr>
          <w:sz w:val="18"/>
        </w:rPr>
        <w:t>Maîtrise des charges de fonctionnement avec une légère baisse de 2%</w:t>
      </w:r>
    </w:p>
    <w:p>
      <w:pPr>
        <w:spacing w:before="40"/>
        <w:ind w:left="400"/>
      </w:pPr>
      <w:r>
        <w:rPr>
          <w:b/>
          <w:color w:val="C05000"/>
          <w:sz w:val="18"/>
        </w:rPr>
        <w:t xml:space="preserve">⚠️ Risques : </w:t>
      </w:r>
      <w:r>
        <w:rPr>
          <w:sz w:val="18"/>
        </w:rPr>
        <w:t>["D\u00e9pendance potentielle aux grands march\u00e9s publics pour maintenir cette croissance", "Volatilit\u00e9 possible des r\u00e9sultats li\u00e9e \u00e0 la nature cyclique des contrats d'\u00e9dition", "N\u00e9cessit\u00e9 de maintenir une gestion rigoureuse des charges face \u00e0 la croissanc</w:t>
      </w:r>
    </w:p>
    <w:p>
      <w:pPr>
        <w:spacing w:before="40"/>
        <w:ind w:left="400"/>
      </w:pPr>
      <w:r>
        <w:rPr>
          <w:b/>
          <w:color w:val="0064A0"/>
          <w:sz w:val="18"/>
        </w:rPr>
        <w:t xml:space="preserve">🔮 Perspectives : </w:t>
      </w:r>
      <w:r>
        <w:rPr>
          <w:sz w:val="18"/>
        </w:rPr>
        <w:t>Les excellents résultats du T3 2021 laissent présager une année record pour NEI CEDA. La société semble bien positionnée pour capitaliser sur sa dynamique commerciale et poursuivre sa croissance. Le défi sera de maintenir cette performance et de diversifier ses sources de revenus pour assurer une cr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"Am\u00e9lioration significative des performances avec r\u00e9duction de moiti\u00e9 de la perte nette et forte croissance du chiffre d'affaires. L'ex\u00e9cution du contrat UNICEF devrait consid\u00e9rablement am\u00e9liorer les r\u00e9sultats du second semestre."}</w:t>
      </w:r>
    </w:p>
    <w:p>
      <w:pPr>
        <w:spacing w:before="40"/>
        <w:ind w:left="400"/>
      </w:pPr>
      <w:r>
        <w:rPr>
          <w:sz w:val="18"/>
        </w:rPr>
        <w:t>NEI CEDA, société anonyme ivoirienne spécialisée dans l'édition et la diffusion, présente des résultats mitigés pour le premier semestre 2021. Le chiffre d'affaires a progressé de 37% à 1,657 milliard FCFA contre 1,209 milliard en 2020. Cependant, la société enregistre une perte nette de 188 millions FCFA contre une perte de 401 millions en 2020, marquant une amélioration de 53%. L'activité reste saisonnière avec des résultats peu significatifs au premier semestre. Les commissaires aux comptes ont validé la conformité des états financiers selon les normes OHADA.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'+37%', 'capital_social': '255,316 millions FCFA', 'resultat_financier': '44,6 millions FCFA', 'resultat_exploitation': '-207 millions FCFA', 'variation_resultat_net': '+53%'}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-188 millions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1,657 milliard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au S1 2021 (1,657 milliard FCFA)</w:t>
      </w:r>
    </w:p>
    <w:p>
      <w:pPr>
        <w:pStyle w:val="ListBullet"/>
        <w:spacing w:before="20" w:after="20"/>
        <w:ind w:left="700"/>
      </w:pPr>
      <w:r>
        <w:rPr>
          <w:sz w:val="18"/>
        </w:rPr>
        <w:t>Réduction significative de la perte nette de 53% (de -401M à -188M FCFA)</w:t>
      </w:r>
    </w:p>
    <w:p>
      <w:pPr>
        <w:pStyle w:val="ListBullet"/>
        <w:spacing w:before="20" w:after="20"/>
        <w:ind w:left="700"/>
      </w:pPr>
      <w:r>
        <w:rPr>
          <w:sz w:val="18"/>
        </w:rPr>
        <w:t>Amélioration du résultat d'exploitation malgré la perte de 207 millions FCFA</w:t>
      </w:r>
    </w:p>
    <w:p>
      <w:pPr>
        <w:pStyle w:val="ListBullet"/>
        <w:spacing w:before="20" w:after="20"/>
        <w:ind w:left="700"/>
      </w:pPr>
      <w:r>
        <w:rPr>
          <w:sz w:val="18"/>
        </w:rPr>
        <w:t>Résultat financier positif à 44,6 millions FCFA contre 48,3 millions en 2020</w:t>
      </w:r>
    </w:p>
    <w:p>
      <w:pPr>
        <w:pStyle w:val="ListBullet"/>
        <w:spacing w:before="20" w:after="20"/>
        <w:ind w:left="700"/>
      </w:pPr>
      <w:r>
        <w:rPr>
          <w:sz w:val="18"/>
        </w:rPr>
        <w:t>Activité saisonnière avec impact limité des résultats du premier semestre</w:t>
      </w:r>
    </w:p>
    <w:p>
      <w:pPr>
        <w:pStyle w:val="ListBullet"/>
        <w:spacing w:before="20" w:after="20"/>
        <w:ind w:left="700"/>
      </w:pPr>
      <w:r>
        <w:rPr>
          <w:sz w:val="18"/>
        </w:rPr>
        <w:t>Remboursement de créance de 433 millions FCFA dans le cadre de l'abandon de créance</w:t>
      </w:r>
    </w:p>
    <w:p>
      <w:pPr>
        <w:spacing w:before="40"/>
        <w:ind w:left="400"/>
      </w:pPr>
      <w:r>
        <w:rPr>
          <w:b/>
          <w:color w:val="C05000"/>
          <w:sz w:val="18"/>
        </w:rPr>
        <w:t xml:space="preserve">⚠️ Risques : </w:t>
      </w:r>
      <w:r>
        <w:rPr>
          <w:sz w:val="18"/>
        </w:rPr>
        <w:t>["D\u00e9pendance forte \u00e0 l'activit\u00e9 saisonni\u00e8re concentrant les revenus sur le second semestre", "Persistance des pertes op\u00e9rationnelles malgr\u00e9 l'am\u00e9lioration des r\u00e9sultats", "Impact potentiel de la crise sanitaire COVID-19 sur l'activit\u00e9 future"]</w:t>
      </w:r>
    </w:p>
    <w:p>
      <w:pPr>
        <w:spacing w:before="40"/>
        <w:ind w:left="400"/>
      </w:pPr>
      <w:r>
        <w:rPr>
          <w:b/>
          <w:color w:val="0064A0"/>
          <w:sz w:val="18"/>
        </w:rPr>
        <w:t xml:space="preserve">🔮 Perspectives : </w:t>
      </w:r>
      <w:r>
        <w:rPr>
          <w:sz w:val="18"/>
        </w:rPr>
        <w:t>L'exécution du marché UNICEF de 1,305 milliard FCFA en juillet 2021 devrait transformer positivement les résultats annuels. La société semble sur une trajectoire d'amélioration avec la réduction significative des pertes et la croissance du chiffre d'affaires, laissant espérer un retour à l'équilibre</w:t>
      </w:r>
    </w:p>
    <w:p/>
    <w:p>
      <w:r>
        <w:t>════════════════════════════════════════════════════════════════════════════════</w:t>
      </w:r>
    </w:p>
    <w:p>
      <w:r>
        <w:br w:type="page"/>
      </w:r>
    </w:p>
    <w:p>
      <w:pPr>
        <w:pStyle w:val="Heading2"/>
        <w:spacing w:before="360"/>
      </w:pPr>
      <w:r>
        <w:rPr>
          <w:color w:val="0066CC"/>
        </w:rPr>
        <w:t>20. NSBC - NSBC - NSIA BANQUE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NSBC</w:t>
            </w:r>
          </w:p>
          <w:p>
            <w:r>
              <w:rPr>
                <w:b/>
                <w:color w:val="323250"/>
                <w:sz w:val="16"/>
              </w:rPr>
              <w:t xml:space="preserve">Société : </w:t>
            </w:r>
            <w:r>
              <w:rPr>
                <w:color w:val="000000"/>
                <w:sz w:val="16"/>
              </w:rPr>
              <w:t>NSBC - NSIA BANQUE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556.53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1,998 titres</w:t>
            </w:r>
          </w:p>
        </w:tc>
        <w:tc>
          <w:tcPr>
            <w:tcW w:type="dxa" w:w="2268"/>
            <w:shd w:fill="FFF2CC" w:val="clear"/>
          </w:tcPr>
          <w:p>
            <w:r>
              <w:rPr>
                <w:b/>
                <w:color w:val="503200"/>
                <w:sz w:val="16"/>
              </w:rPr>
              <w:t xml:space="preserve">Cours actuel : </w:t>
            </w:r>
            <w:r>
              <w:rPr>
                <w:color w:val="000000"/>
                <w:sz w:val="17"/>
              </w:rPr>
              <w:t>22,500 FCFA</w:t>
            </w:r>
          </w:p>
          <w:p>
            <w:r>
              <w:rPr>
                <w:b/>
                <w:color w:val="503200"/>
                <w:sz w:val="16"/>
              </w:rPr>
              <w:t xml:space="preserve">Var. 100 jours : </w:t>
            </w:r>
            <w:r>
              <w:rPr>
                <w:b/>
                <w:color w:val="007800"/>
                <w:sz w:val="17"/>
              </w:rPr>
              <w:t>+59.57%</w:t>
            </w:r>
          </w:p>
          <w:p>
            <w:r>
              <w:rPr>
                <w:b/>
                <w:color w:val="503200"/>
                <w:sz w:val="16"/>
              </w:rPr>
              <w:t xml:space="preserve">Plus haut 100j : </w:t>
            </w:r>
            <w:r>
              <w:rPr>
                <w:color w:val="000000"/>
                <w:sz w:val="17"/>
              </w:rPr>
              <w:t>24,020 FCFA</w:t>
            </w:r>
          </w:p>
          <w:p>
            <w:r>
              <w:rPr>
                <w:b/>
                <w:color w:val="503200"/>
                <w:sz w:val="16"/>
              </w:rPr>
              <w:t xml:space="preserve">Plus bas 100j : </w:t>
            </w:r>
            <w:r>
              <w:rPr>
                <w:color w:val="000000"/>
                <w:sz w:val="17"/>
              </w:rPr>
              <w:t>13,810 FCFA</w:t>
            </w:r>
          </w:p>
          <w:p>
            <w:r>
              <w:rPr>
                <w:b/>
                <w:color w:val="503200"/>
                <w:sz w:val="16"/>
              </w:rPr>
              <w:t xml:space="preserve">Volatilité ann. : </w:t>
            </w:r>
            <w:r>
              <w:rPr>
                <w:color w:val="000000"/>
                <w:sz w:val="17"/>
              </w:rPr>
              <w:t>37.7%</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31.3/100 → Moyen</w:t>
      </w:r>
    </w:p>
    <w:p>
      <w:pPr>
        <w:spacing w:before="40" w:after="80"/>
      </w:pPr>
      <w:r>
        <w:rPr>
          <w:rFonts w:ascii="Courier New" w:hAnsi="Courier New"/>
          <w:color w:val="825A00"/>
          <w:sz w:val="18"/>
        </w:rPr>
        <w:t>██████░░░░░░░░░░░░░░  31.3/100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19.09% (Élevée) — μ=18,872 FCFA, σ=3,602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FFEB9C" w:val="clear"/>
          </w:tcPr>
          <w:p>
            <w:r>
              <w:rPr>
                <w:b/>
                <w:sz w:val="15"/>
              </w:rPr>
              <w:t>β=1.2918 (Agressif) — Cov=0.000046, Var(idx)=0.000035, ρ=0.323,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1,998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Achat=3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σ_j=2.38%/j (Stable) — Vol. annualisée≈37.7%</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0080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76/100  (Excellent)</w:t>
      </w:r>
    </w:p>
    <w:p/>
    <w:p>
      <w:pPr>
        <w:jc w:val="center"/>
      </w:pPr>
      <w:r>
        <w:drawing>
          <wp:inline xmlns:a="http://schemas.openxmlformats.org/drawingml/2006/main" xmlns:pic="http://schemas.openxmlformats.org/drawingml/2006/picture">
            <wp:extent cx="5669280" cy="2603190"/>
            <wp:docPr id="22" name="Picture 22"/>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Moyenne</w:t>
            </w:r>
          </w:p>
        </w:tc>
        <w:tc>
          <w:tcPr>
            <w:tcW w:type="dxa" w:w="1440"/>
            <w:shd w:fill="C6EFCE" w:val="clear"/>
          </w:tcPr>
          <w:p>
            <w:r>
              <w:rPr>
                <w:sz w:val="17"/>
              </w:rPr>
              <w:t>2026-08-28</w:t>
            </w:r>
          </w:p>
        </w:tc>
        <w:tc>
          <w:tcPr>
            <w:tcW w:type="dxa" w:w="1440"/>
            <w:shd w:fill="C6EFCE" w:val="clear"/>
          </w:tcPr>
          <w:p>
            <w:r>
              <w:rPr>
                <w:sz w:val="17"/>
              </w:rPr>
              <w:t>22,265</w:t>
            </w:r>
          </w:p>
        </w:tc>
        <w:tc>
          <w:tcPr>
            <w:tcW w:type="dxa" w:w="1440"/>
            <w:shd w:fill="C6EFCE" w:val="clear"/>
          </w:tcPr>
          <w:p>
            <w:r>
              <w:rPr>
                <w:b/>
                <w:sz w:val="17"/>
              </w:rPr>
              <w:t>23,113</w:t>
            </w:r>
          </w:p>
        </w:tc>
        <w:tc>
          <w:tcPr>
            <w:tcW w:type="dxa" w:w="1440"/>
            <w:shd w:fill="C6EFCE" w:val="clear"/>
          </w:tcPr>
          <w:p>
            <w:r>
              <w:rPr>
                <w:sz w:val="17"/>
              </w:rPr>
              <w:t>23,961</w:t>
            </w:r>
          </w:p>
        </w:tc>
        <w:tc>
          <w:tcPr>
            <w:tcW w:type="dxa" w:w="1440"/>
            <w:shd w:fill="C6EFCE" w:val="clear"/>
          </w:tcPr>
          <w:p>
            <w:r>
              <w:rPr>
                <w:b/>
                <w:color w:val="008000"/>
                <w:sz w:val="17"/>
              </w:rPr>
              <w:t>+2.7%</w:t>
            </w:r>
          </w:p>
        </w:tc>
      </w:tr>
      <w:tr>
        <w:tc>
          <w:tcPr>
            <w:tcW w:type="dxa" w:w="1440"/>
            <w:shd w:fill="C6EFCE" w:val="clear"/>
          </w:tcPr>
          <w:p>
            <w:r>
              <w:rPr>
                <w:sz w:val="17"/>
              </w:rPr>
              <w:t>J+2  Moyenne</w:t>
            </w:r>
          </w:p>
        </w:tc>
        <w:tc>
          <w:tcPr>
            <w:tcW w:type="dxa" w:w="1440"/>
            <w:shd w:fill="C6EFCE" w:val="clear"/>
          </w:tcPr>
          <w:p>
            <w:r>
              <w:rPr>
                <w:sz w:val="17"/>
              </w:rPr>
              <w:t>2026-08-31</w:t>
            </w:r>
          </w:p>
        </w:tc>
        <w:tc>
          <w:tcPr>
            <w:tcW w:type="dxa" w:w="1440"/>
            <w:shd w:fill="C6EFCE" w:val="clear"/>
          </w:tcPr>
          <w:p>
            <w:r>
              <w:rPr>
                <w:sz w:val="17"/>
              </w:rPr>
              <w:t>22,311</w:t>
            </w:r>
          </w:p>
        </w:tc>
        <w:tc>
          <w:tcPr>
            <w:tcW w:type="dxa" w:w="1440"/>
            <w:shd w:fill="C6EFCE" w:val="clear"/>
          </w:tcPr>
          <w:p>
            <w:r>
              <w:rPr>
                <w:b/>
                <w:sz w:val="17"/>
              </w:rPr>
              <w:t>23,532</w:t>
            </w:r>
          </w:p>
        </w:tc>
        <w:tc>
          <w:tcPr>
            <w:tcW w:type="dxa" w:w="1440"/>
            <w:shd w:fill="C6EFCE" w:val="clear"/>
          </w:tcPr>
          <w:p>
            <w:r>
              <w:rPr>
                <w:sz w:val="17"/>
              </w:rPr>
              <w:t>24,753</w:t>
            </w:r>
          </w:p>
        </w:tc>
        <w:tc>
          <w:tcPr>
            <w:tcW w:type="dxa" w:w="1440"/>
            <w:shd w:fill="C6EFCE" w:val="clear"/>
          </w:tcPr>
          <w:p>
            <w:r>
              <w:rPr>
                <w:b/>
                <w:color w:val="008000"/>
                <w:sz w:val="17"/>
              </w:rPr>
              <w:t>+4.6%</w:t>
            </w:r>
          </w:p>
        </w:tc>
      </w:tr>
      <w:tr>
        <w:tc>
          <w:tcPr>
            <w:tcW w:type="dxa" w:w="1440"/>
            <w:shd w:fill="C6EFCE" w:val="clear"/>
          </w:tcPr>
          <w:p>
            <w:r>
              <w:rPr>
                <w:sz w:val="17"/>
              </w:rPr>
              <w:t>J+3  Moyenne</w:t>
            </w:r>
          </w:p>
        </w:tc>
        <w:tc>
          <w:tcPr>
            <w:tcW w:type="dxa" w:w="1440"/>
            <w:shd w:fill="C6EFCE" w:val="clear"/>
          </w:tcPr>
          <w:p>
            <w:r>
              <w:rPr>
                <w:sz w:val="17"/>
              </w:rPr>
              <w:t>2026-09-01</w:t>
            </w:r>
          </w:p>
        </w:tc>
        <w:tc>
          <w:tcPr>
            <w:tcW w:type="dxa" w:w="1440"/>
            <w:shd w:fill="C6EFCE" w:val="clear"/>
          </w:tcPr>
          <w:p>
            <w:r>
              <w:rPr>
                <w:sz w:val="17"/>
              </w:rPr>
              <w:t>22,417</w:t>
            </w:r>
          </w:p>
        </w:tc>
        <w:tc>
          <w:tcPr>
            <w:tcW w:type="dxa" w:w="1440"/>
            <w:shd w:fill="C6EFCE" w:val="clear"/>
          </w:tcPr>
          <w:p>
            <w:r>
              <w:rPr>
                <w:b/>
                <w:sz w:val="17"/>
              </w:rPr>
              <w:t>23,939</w:t>
            </w:r>
          </w:p>
        </w:tc>
        <w:tc>
          <w:tcPr>
            <w:tcW w:type="dxa" w:w="1440"/>
            <w:shd w:fill="C6EFCE" w:val="clear"/>
          </w:tcPr>
          <w:p>
            <w:r>
              <w:rPr>
                <w:sz w:val="17"/>
              </w:rPr>
              <w:t>25,460</w:t>
            </w:r>
          </w:p>
        </w:tc>
        <w:tc>
          <w:tcPr>
            <w:tcW w:type="dxa" w:w="1440"/>
            <w:shd w:fill="C6EFCE" w:val="clear"/>
          </w:tcPr>
          <w:p>
            <w:r>
              <w:rPr>
                <w:b/>
                <w:color w:val="008000"/>
                <w:sz w:val="17"/>
              </w:rPr>
              <w:t>+6.4%</w:t>
            </w:r>
          </w:p>
        </w:tc>
      </w:tr>
      <w:tr>
        <w:tc>
          <w:tcPr>
            <w:tcW w:type="dxa" w:w="1440"/>
            <w:shd w:fill="C6EFCE" w:val="clear"/>
          </w:tcPr>
          <w:p>
            <w:r>
              <w:rPr>
                <w:sz w:val="17"/>
              </w:rPr>
              <w:t>J+4  ⭐</w:t>
            </w:r>
          </w:p>
        </w:tc>
        <w:tc>
          <w:tcPr>
            <w:tcW w:type="dxa" w:w="1440"/>
            <w:shd w:fill="C6EFCE" w:val="clear"/>
          </w:tcPr>
          <w:p>
            <w:r>
              <w:rPr>
                <w:sz w:val="17"/>
              </w:rPr>
              <w:t>2026-09-02</w:t>
            </w:r>
          </w:p>
        </w:tc>
        <w:tc>
          <w:tcPr>
            <w:tcW w:type="dxa" w:w="1440"/>
            <w:shd w:fill="C6EFCE" w:val="clear"/>
          </w:tcPr>
          <w:p>
            <w:r>
              <w:rPr>
                <w:sz w:val="17"/>
              </w:rPr>
              <w:t>22,543</w:t>
            </w:r>
          </w:p>
        </w:tc>
        <w:tc>
          <w:tcPr>
            <w:tcW w:type="dxa" w:w="1440"/>
            <w:shd w:fill="C6EFCE" w:val="clear"/>
          </w:tcPr>
          <w:p>
            <w:r>
              <w:rPr>
                <w:b/>
                <w:sz w:val="17"/>
              </w:rPr>
              <w:t>24,328</w:t>
            </w:r>
          </w:p>
        </w:tc>
        <w:tc>
          <w:tcPr>
            <w:tcW w:type="dxa" w:w="1440"/>
            <w:shd w:fill="C6EFCE" w:val="clear"/>
          </w:tcPr>
          <w:p>
            <w:r>
              <w:rPr>
                <w:sz w:val="17"/>
              </w:rPr>
              <w:t>26,113</w:t>
            </w:r>
          </w:p>
        </w:tc>
        <w:tc>
          <w:tcPr>
            <w:tcW w:type="dxa" w:w="1440"/>
            <w:shd w:fill="C6EFCE" w:val="clear"/>
          </w:tcPr>
          <w:p>
            <w:r>
              <w:rPr>
                <w:b/>
                <w:color w:val="008000"/>
                <w:sz w:val="17"/>
              </w:rPr>
              <w:t>+8.1%</w:t>
            </w:r>
          </w:p>
        </w:tc>
      </w:tr>
      <w:tr>
        <w:tc>
          <w:tcPr>
            <w:tcW w:type="dxa" w:w="1440"/>
            <w:shd w:fill="C6EFCE" w:val="clear"/>
          </w:tcPr>
          <w:p>
            <w:r>
              <w:rPr>
                <w:sz w:val="17"/>
              </w:rPr>
              <w:t>J+5  ⭐</w:t>
            </w:r>
          </w:p>
        </w:tc>
        <w:tc>
          <w:tcPr>
            <w:tcW w:type="dxa" w:w="1440"/>
            <w:shd w:fill="C6EFCE" w:val="clear"/>
          </w:tcPr>
          <w:p>
            <w:r>
              <w:rPr>
                <w:sz w:val="17"/>
              </w:rPr>
              <w:t>2026-09-03</w:t>
            </w:r>
          </w:p>
        </w:tc>
        <w:tc>
          <w:tcPr>
            <w:tcW w:type="dxa" w:w="1440"/>
            <w:shd w:fill="C6EFCE" w:val="clear"/>
          </w:tcPr>
          <w:p>
            <w:r>
              <w:rPr>
                <w:sz w:val="17"/>
              </w:rPr>
              <w:t>22,687</w:t>
            </w:r>
          </w:p>
        </w:tc>
        <w:tc>
          <w:tcPr>
            <w:tcW w:type="dxa" w:w="1440"/>
            <w:shd w:fill="C6EFCE" w:val="clear"/>
          </w:tcPr>
          <w:p>
            <w:r>
              <w:rPr>
                <w:b/>
                <w:sz w:val="17"/>
              </w:rPr>
              <w:t>24,715</w:t>
            </w:r>
          </w:p>
        </w:tc>
        <w:tc>
          <w:tcPr>
            <w:tcW w:type="dxa" w:w="1440"/>
            <w:shd w:fill="C6EFCE" w:val="clear"/>
          </w:tcPr>
          <w:p>
            <w:r>
              <w:rPr>
                <w:sz w:val="17"/>
              </w:rPr>
              <w:t>26,742</w:t>
            </w:r>
          </w:p>
        </w:tc>
        <w:tc>
          <w:tcPr>
            <w:tcW w:type="dxa" w:w="1440"/>
            <w:shd w:fill="C6EFCE" w:val="clear"/>
          </w:tcPr>
          <w:p>
            <w:r>
              <w:rPr>
                <w:b/>
                <w:color w:val="008000"/>
                <w:sz w:val="17"/>
              </w:rPr>
              <w:t>+9.8%</w:t>
            </w:r>
          </w:p>
        </w:tc>
      </w:tr>
      <w:tr>
        <w:tc>
          <w:tcPr>
            <w:tcW w:type="dxa" w:w="1440"/>
            <w:shd w:fill="C6EFCE" w:val="clear"/>
          </w:tcPr>
          <w:p>
            <w:r>
              <w:rPr>
                <w:sz w:val="17"/>
              </w:rPr>
              <w:t>J+6  ⭐</w:t>
            </w:r>
          </w:p>
        </w:tc>
        <w:tc>
          <w:tcPr>
            <w:tcW w:type="dxa" w:w="1440"/>
            <w:shd w:fill="C6EFCE" w:val="clear"/>
          </w:tcPr>
          <w:p>
            <w:r>
              <w:rPr>
                <w:sz w:val="17"/>
              </w:rPr>
              <w:t>2026-09-04</w:t>
            </w:r>
          </w:p>
        </w:tc>
        <w:tc>
          <w:tcPr>
            <w:tcW w:type="dxa" w:w="1440"/>
            <w:shd w:fill="C6EFCE" w:val="clear"/>
          </w:tcPr>
          <w:p>
            <w:r>
              <w:rPr>
                <w:sz w:val="17"/>
              </w:rPr>
              <w:t>22,844</w:t>
            </w:r>
          </w:p>
        </w:tc>
        <w:tc>
          <w:tcPr>
            <w:tcW w:type="dxa" w:w="1440"/>
            <w:shd w:fill="C6EFCE" w:val="clear"/>
          </w:tcPr>
          <w:p>
            <w:r>
              <w:rPr>
                <w:b/>
                <w:sz w:val="17"/>
              </w:rPr>
              <w:t>25,100</w:t>
            </w:r>
          </w:p>
        </w:tc>
        <w:tc>
          <w:tcPr>
            <w:tcW w:type="dxa" w:w="1440"/>
            <w:shd w:fill="C6EFCE" w:val="clear"/>
          </w:tcPr>
          <w:p>
            <w:r>
              <w:rPr>
                <w:sz w:val="17"/>
              </w:rPr>
              <w:t>27,355</w:t>
            </w:r>
          </w:p>
        </w:tc>
        <w:tc>
          <w:tcPr>
            <w:tcW w:type="dxa" w:w="1440"/>
            <w:shd w:fill="C6EFCE" w:val="clear"/>
          </w:tcPr>
          <w:p>
            <w:r>
              <w:rPr>
                <w:b/>
                <w:color w:val="008000"/>
                <w:sz w:val="17"/>
              </w:rPr>
              <w:t>+11.6%</w:t>
            </w:r>
          </w:p>
        </w:tc>
      </w:tr>
      <w:tr>
        <w:tc>
          <w:tcPr>
            <w:tcW w:type="dxa" w:w="1440"/>
            <w:shd w:fill="C6EFCE" w:val="clear"/>
          </w:tcPr>
          <w:p>
            <w:r>
              <w:rPr>
                <w:sz w:val="17"/>
              </w:rPr>
              <w:t>J+7  ⭐</w:t>
            </w:r>
          </w:p>
        </w:tc>
        <w:tc>
          <w:tcPr>
            <w:tcW w:type="dxa" w:w="1440"/>
            <w:shd w:fill="C6EFCE" w:val="clear"/>
          </w:tcPr>
          <w:p>
            <w:r>
              <w:rPr>
                <w:sz w:val="17"/>
              </w:rPr>
              <w:t>2026-09-07</w:t>
            </w:r>
          </w:p>
        </w:tc>
        <w:tc>
          <w:tcPr>
            <w:tcW w:type="dxa" w:w="1440"/>
            <w:shd w:fill="C6EFCE" w:val="clear"/>
          </w:tcPr>
          <w:p>
            <w:r>
              <w:rPr>
                <w:sz w:val="17"/>
              </w:rPr>
              <w:t>23,011</w:t>
            </w:r>
          </w:p>
        </w:tc>
        <w:tc>
          <w:tcPr>
            <w:tcW w:type="dxa" w:w="1440"/>
            <w:shd w:fill="C6EFCE" w:val="clear"/>
          </w:tcPr>
          <w:p>
            <w:r>
              <w:rPr>
                <w:b/>
                <w:sz w:val="17"/>
              </w:rPr>
              <w:t>25,484</w:t>
            </w:r>
          </w:p>
        </w:tc>
        <w:tc>
          <w:tcPr>
            <w:tcW w:type="dxa" w:w="1440"/>
            <w:shd w:fill="C6EFCE" w:val="clear"/>
          </w:tcPr>
          <w:p>
            <w:r>
              <w:rPr>
                <w:sz w:val="17"/>
              </w:rPr>
              <w:t>27,958</w:t>
            </w:r>
          </w:p>
        </w:tc>
        <w:tc>
          <w:tcPr>
            <w:tcW w:type="dxa" w:w="1440"/>
            <w:shd w:fill="C6EFCE" w:val="clear"/>
          </w:tcPr>
          <w:p>
            <w:r>
              <w:rPr>
                <w:b/>
                <w:color w:val="008000"/>
                <w:sz w:val="17"/>
              </w:rPr>
              <w:t>+13.3%</w:t>
            </w:r>
          </w:p>
        </w:tc>
      </w:tr>
      <w:tr>
        <w:tc>
          <w:tcPr>
            <w:tcW w:type="dxa" w:w="1440"/>
            <w:shd w:fill="C6EFCE" w:val="clear"/>
          </w:tcPr>
          <w:p>
            <w:r>
              <w:rPr>
                <w:sz w:val="17"/>
              </w:rPr>
              <w:t>J+8  ⭐</w:t>
            </w:r>
          </w:p>
        </w:tc>
        <w:tc>
          <w:tcPr>
            <w:tcW w:type="dxa" w:w="1440"/>
            <w:shd w:fill="C6EFCE" w:val="clear"/>
          </w:tcPr>
          <w:p>
            <w:r>
              <w:rPr>
                <w:sz w:val="17"/>
              </w:rPr>
              <w:t>2026-09-08</w:t>
            </w:r>
          </w:p>
        </w:tc>
        <w:tc>
          <w:tcPr>
            <w:tcW w:type="dxa" w:w="1440"/>
            <w:shd w:fill="C6EFCE" w:val="clear"/>
          </w:tcPr>
          <w:p>
            <w:r>
              <w:rPr>
                <w:sz w:val="17"/>
              </w:rPr>
              <w:t>23,184</w:t>
            </w:r>
          </w:p>
        </w:tc>
        <w:tc>
          <w:tcPr>
            <w:tcW w:type="dxa" w:w="1440"/>
            <w:shd w:fill="C6EFCE" w:val="clear"/>
          </w:tcPr>
          <w:p>
            <w:r>
              <w:rPr>
                <w:b/>
                <w:sz w:val="17"/>
              </w:rPr>
              <w:t>25,869</w:t>
            </w:r>
          </w:p>
        </w:tc>
        <w:tc>
          <w:tcPr>
            <w:tcW w:type="dxa" w:w="1440"/>
            <w:shd w:fill="C6EFCE" w:val="clear"/>
          </w:tcPr>
          <w:p>
            <w:r>
              <w:rPr>
                <w:sz w:val="17"/>
              </w:rPr>
              <w:t>28,553</w:t>
            </w:r>
          </w:p>
        </w:tc>
        <w:tc>
          <w:tcPr>
            <w:tcW w:type="dxa" w:w="1440"/>
            <w:shd w:fill="C6EFCE" w:val="clear"/>
          </w:tcPr>
          <w:p>
            <w:r>
              <w:rPr>
                <w:b/>
                <w:color w:val="008000"/>
                <w:sz w:val="17"/>
              </w:rPr>
              <w:t>+15.0%</w:t>
            </w:r>
          </w:p>
        </w:tc>
      </w:tr>
      <w:tr>
        <w:tc>
          <w:tcPr>
            <w:tcW w:type="dxa" w:w="1440"/>
            <w:shd w:fill="C6EFCE" w:val="clear"/>
          </w:tcPr>
          <w:p>
            <w:r>
              <w:rPr>
                <w:sz w:val="17"/>
              </w:rPr>
              <w:t>J+9  ⭐</w:t>
            </w:r>
          </w:p>
        </w:tc>
        <w:tc>
          <w:tcPr>
            <w:tcW w:type="dxa" w:w="1440"/>
            <w:shd w:fill="C6EFCE" w:val="clear"/>
          </w:tcPr>
          <w:p>
            <w:r>
              <w:rPr>
                <w:sz w:val="17"/>
              </w:rPr>
              <w:t>2026-09-09</w:t>
            </w:r>
          </w:p>
        </w:tc>
        <w:tc>
          <w:tcPr>
            <w:tcW w:type="dxa" w:w="1440"/>
            <w:shd w:fill="C6EFCE" w:val="clear"/>
          </w:tcPr>
          <w:p>
            <w:r>
              <w:rPr>
                <w:sz w:val="17"/>
              </w:rPr>
              <w:t>23,363</w:t>
            </w:r>
          </w:p>
        </w:tc>
        <w:tc>
          <w:tcPr>
            <w:tcW w:type="dxa" w:w="1440"/>
            <w:shd w:fill="C6EFCE" w:val="clear"/>
          </w:tcPr>
          <w:p>
            <w:r>
              <w:rPr>
                <w:b/>
                <w:sz w:val="17"/>
              </w:rPr>
              <w:t>26,253</w:t>
            </w:r>
          </w:p>
        </w:tc>
        <w:tc>
          <w:tcPr>
            <w:tcW w:type="dxa" w:w="1440"/>
            <w:shd w:fill="C6EFCE" w:val="clear"/>
          </w:tcPr>
          <w:p>
            <w:r>
              <w:rPr>
                <w:sz w:val="17"/>
              </w:rPr>
              <w:t>29,142</w:t>
            </w:r>
          </w:p>
        </w:tc>
        <w:tc>
          <w:tcPr>
            <w:tcW w:type="dxa" w:w="1440"/>
            <w:shd w:fill="C6EFCE" w:val="clear"/>
          </w:tcPr>
          <w:p>
            <w:r>
              <w:rPr>
                <w:b/>
                <w:color w:val="008000"/>
                <w:sz w:val="17"/>
              </w:rPr>
              <w:t>+16.7%</w:t>
            </w:r>
          </w:p>
        </w:tc>
      </w:tr>
      <w:tr>
        <w:tc>
          <w:tcPr>
            <w:tcW w:type="dxa" w:w="1440"/>
            <w:shd w:fill="C6EFCE" w:val="clear"/>
          </w:tcPr>
          <w:p>
            <w:r>
              <w:rPr>
                <w:sz w:val="17"/>
              </w:rPr>
              <w:t>J+10  ⭐</w:t>
            </w:r>
          </w:p>
        </w:tc>
        <w:tc>
          <w:tcPr>
            <w:tcW w:type="dxa" w:w="1440"/>
            <w:shd w:fill="C6EFCE" w:val="clear"/>
          </w:tcPr>
          <w:p>
            <w:r>
              <w:rPr>
                <w:sz w:val="17"/>
              </w:rPr>
              <w:t>2026-09-10</w:t>
            </w:r>
          </w:p>
        </w:tc>
        <w:tc>
          <w:tcPr>
            <w:tcW w:type="dxa" w:w="1440"/>
            <w:shd w:fill="C6EFCE" w:val="clear"/>
          </w:tcPr>
          <w:p>
            <w:r>
              <w:rPr>
                <w:sz w:val="17"/>
              </w:rPr>
              <w:t>23,546</w:t>
            </w:r>
          </w:p>
        </w:tc>
        <w:tc>
          <w:tcPr>
            <w:tcW w:type="dxa" w:w="1440"/>
            <w:shd w:fill="C6EFCE" w:val="clear"/>
          </w:tcPr>
          <w:p>
            <w:r>
              <w:rPr>
                <w:b/>
                <w:sz w:val="17"/>
              </w:rPr>
              <w:t>26,637</w:t>
            </w:r>
          </w:p>
        </w:tc>
        <w:tc>
          <w:tcPr>
            <w:tcW w:type="dxa" w:w="1440"/>
            <w:shd w:fill="C6EFCE" w:val="clear"/>
          </w:tcPr>
          <w:p>
            <w:r>
              <w:rPr>
                <w:sz w:val="17"/>
              </w:rPr>
              <w:t>29,727</w:t>
            </w:r>
          </w:p>
        </w:tc>
        <w:tc>
          <w:tcPr>
            <w:tcW w:type="dxa" w:w="1440"/>
            <w:shd w:fill="C6EFCE" w:val="clear"/>
          </w:tcPr>
          <w:p>
            <w:r>
              <w:rPr>
                <w:b/>
                <w:color w:val="008000"/>
                <w:sz w:val="17"/>
              </w:rPr>
              <w:t>+18.4%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235.374 Mds FCFA</w:t>
            </w:r>
          </w:p>
        </w:tc>
        <w:tc>
          <w:tcPr>
            <w:tcW w:type="dxa" w:w="5669"/>
            <w:shd w:fill="FFFFFF" w:val="clear"/>
          </w:tcPr>
          <w:p>
            <w:r>
              <w:rPr>
                <w:color w:val="282828"/>
                <w:sz w:val="15"/>
              </w:rPr>
              <w:t>Représente 7.7%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465.392 Mds FCFA</w:t>
            </w:r>
          </w:p>
        </w:tc>
        <w:tc>
          <w:tcPr>
            <w:tcW w:type="dxa" w:w="5669"/>
            <w:shd w:fill="FFFFFF" w:val="clear"/>
          </w:tcPr>
          <w:p>
            <w:r>
              <w:rPr>
                <w:color w:val="282828"/>
                <w:sz w:val="15"/>
              </w:rPr>
              <w:t>Titres d'État détenus (15.1%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252.759 Mds FCFA</w:t>
            </w:r>
          </w:p>
        </w:tc>
        <w:tc>
          <w:tcPr>
            <w:tcW w:type="dxa" w:w="5669"/>
            <w:shd w:fill="FFFFFF" w:val="clear"/>
          </w:tcPr>
          <w:p>
            <w:r>
              <w:rPr>
                <w:color w:val="282828"/>
                <w:sz w:val="15"/>
              </w:rPr>
              <w:t>Prêts aux autres banques (8.2%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1818.671 Mds FCFA</w:t>
            </w:r>
          </w:p>
        </w:tc>
        <w:tc>
          <w:tcPr>
            <w:tcW w:type="dxa" w:w="5669"/>
            <w:shd w:fill="FFFFFF" w:val="clear"/>
          </w:tcPr>
          <w:p>
            <w:r>
              <w:rPr>
                <w:color w:val="282828"/>
                <w:sz w:val="15"/>
              </w:rPr>
              <w:t>Portefeuille crédits (59.2%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6.842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132.733 Mds FCFA</w:t>
            </w:r>
          </w:p>
        </w:tc>
        <w:tc>
          <w:tcPr>
            <w:tcW w:type="dxa" w:w="5669"/>
            <w:shd w:fill="FFFFFF" w:val="clear"/>
          </w:tcPr>
          <w:p>
            <w:r>
              <w:rPr>
                <w:color w:val="282828"/>
                <w:sz w:val="15"/>
              </w:rPr>
              <w:t>Outil industriel (4.3%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3073.062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24.735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41.121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233.303 Mds FCFA</w:t>
            </w:r>
          </w:p>
        </w:tc>
        <w:tc>
          <w:tcPr>
            <w:tcW w:type="dxa" w:w="5669"/>
            <w:shd w:fill="FFFFFF" w:val="clear"/>
          </w:tcPr>
          <w:p>
            <w:r>
              <w:rPr>
                <w:color w:val="282828"/>
                <w:sz w:val="15"/>
              </w:rPr>
              <w:t>Fonds propres = 7.6%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273.420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491.587 Mds FCFA</w:t>
            </w:r>
          </w:p>
        </w:tc>
        <w:tc>
          <w:tcPr>
            <w:tcW w:type="dxa" w:w="5669"/>
            <w:shd w:fill="FFFFFF" w:val="clear"/>
          </w:tcPr>
          <w:p>
            <w:r>
              <w:rPr>
                <w:color w:val="282828"/>
                <w:sz w:val="15"/>
              </w:rPr>
              <w:t>Refinancement interbancaire (16.0%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2242.218 Mds FCFA</w:t>
            </w:r>
          </w:p>
        </w:tc>
        <w:tc>
          <w:tcPr>
            <w:tcW w:type="dxa" w:w="5669"/>
            <w:shd w:fill="FFFFFF" w:val="clear"/>
          </w:tcPr>
          <w:p>
            <w:r>
              <w:rPr>
                <w:color w:val="282828"/>
                <w:sz w:val="15"/>
              </w:rPr>
              <w:t>Dépôts clients = 73.0%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40.117 Mds FCFA</w:t>
            </w:r>
          </w:p>
        </w:tc>
        <w:tc>
          <w:tcPr>
            <w:tcW w:type="dxa" w:w="5669"/>
            <w:shd w:fill="FFFFFF" w:val="clear"/>
          </w:tcPr>
          <w:p>
            <w:r>
              <w:rPr>
                <w:color w:val="282828"/>
                <w:sz w:val="15"/>
              </w:rPr>
              <w:t>Dette LT/MT = 17% des fonds propres. ✅ Endettement LT maîtrisé.</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531.704 Mds FCFA</w:t>
            </w:r>
          </w:p>
        </w:tc>
        <w:tc>
          <w:tcPr>
            <w:tcW w:type="dxa" w:w="5669"/>
            <w:shd w:fill="FFFFFF" w:val="clear"/>
          </w:tcPr>
          <w:p>
            <w:r>
              <w:rPr>
                <w:color w:val="282828"/>
                <w:sz w:val="15"/>
              </w:rPr>
              <w:t>Dette financière totale = 228% des fonds propres (gearing). ⚠️ Gearing élevé — risque financier accru.</w:t>
            </w:r>
          </w:p>
        </w:tc>
      </w:tr>
      <w:tr>
        <w:tc>
          <w:tcPr>
            <w:tcW w:type="dxa" w:w="2268"/>
            <w:shd w:fill="EEF2F7" w:val="clear"/>
          </w:tcPr>
          <w:p>
            <w:r>
              <w:rPr>
                <w:b/>
                <w:color w:val="1E1E3C"/>
                <w:sz w:val="16"/>
              </w:rPr>
              <w:t>Dettes totales</w:t>
            </w:r>
          </w:p>
        </w:tc>
        <w:tc>
          <w:tcPr>
            <w:tcW w:type="dxa" w:w="1984"/>
            <w:shd w:fill="FFC7CE" w:val="clear"/>
          </w:tcPr>
          <w:p>
            <w:r>
              <w:rPr>
                <w:b/>
                <w:color w:val="006400"/>
                <w:sz w:val="17"/>
              </w:rPr>
              <w:t>2839.759 Mds FCFA</w:t>
            </w:r>
          </w:p>
        </w:tc>
        <w:tc>
          <w:tcPr>
            <w:tcW w:type="dxa" w:w="5669"/>
            <w:shd w:fill="FFFFFF" w:val="clear"/>
          </w:tcPr>
          <w:p>
            <w:r>
              <w:rPr>
                <w:color w:val="282828"/>
                <w:sz w:val="15"/>
              </w:rPr>
              <w:t>Dettes totales = 92.4%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112.928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112.928 Mds FCFA</w:t>
            </w:r>
          </w:p>
        </w:tc>
        <w:tc>
          <w:tcPr>
            <w:tcW w:type="dxa" w:w="5669"/>
            <w:shd w:fill="FFFFFF" w:val="clear"/>
          </w:tcPr>
          <w:p>
            <w:r>
              <w:rPr>
                <w:color w:val="282828"/>
                <w:sz w:val="15"/>
              </w:rPr>
              <w:t>Revenu bancaire central (≡ CA). Croissance: 15.4%.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133.718 Mds FCFA</w:t>
            </w:r>
          </w:p>
        </w:tc>
        <w:tc>
          <w:tcPr>
            <w:tcW w:type="dxa" w:w="5669"/>
            <w:shd w:fill="FFFFFF" w:val="clear"/>
          </w:tcPr>
          <w:p>
            <w:r>
              <w:rPr>
                <w:color w:val="282828"/>
                <w:sz w:val="15"/>
              </w:rPr>
              <w:t>Revenus d'intérêts sur crédits (118%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-52.001 Mds FCFA</w:t>
            </w:r>
          </w:p>
        </w:tc>
        <w:tc>
          <w:tcPr>
            <w:tcW w:type="dxa" w:w="5669"/>
            <w:shd w:fill="FFFFFF" w:val="clear"/>
          </w:tcPr>
          <w:p>
            <w:r>
              <w:rPr>
                <w:color w:val="282828"/>
                <w:sz w:val="15"/>
              </w:rPr>
              <w:t>Coût des dépôts collectés (-46%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25.604 Mds FCFA</w:t>
            </w:r>
          </w:p>
        </w:tc>
        <w:tc>
          <w:tcPr>
            <w:tcW w:type="dxa" w:w="5669"/>
            <w:shd w:fill="FFFFFF" w:val="clear"/>
          </w:tcPr>
          <w:p>
            <w:r>
              <w:rPr>
                <w:color w:val="282828"/>
                <w:sz w:val="15"/>
              </w:rPr>
              <w:t>Revenus de commissions (22.7%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53.554 Mds FCFA</w:t>
            </w:r>
          </w:p>
        </w:tc>
        <w:tc>
          <w:tcPr>
            <w:tcW w:type="dxa" w:w="5669"/>
            <w:shd w:fill="FFFFFF" w:val="clear"/>
          </w:tcPr>
          <w:p>
            <w:r>
              <w:rPr>
                <w:color w:val="282828"/>
                <w:sz w:val="15"/>
              </w:rPr>
              <w:t>47.4%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8.093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51.281 Mds FCFA</w:t>
            </w:r>
          </w:p>
        </w:tc>
        <w:tc>
          <w:tcPr>
            <w:tcW w:type="dxa" w:w="5669"/>
            <w:shd w:fill="FFFFFF" w:val="clear"/>
          </w:tcPr>
          <w:p>
            <w:r>
              <w:rPr>
                <w:color w:val="282828"/>
                <w:sz w:val="15"/>
              </w:rPr>
              <w:t>RBE = 45.4%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42.771 Mds FCFA</w:t>
            </w:r>
          </w:p>
        </w:tc>
        <w:tc>
          <w:tcPr>
            <w:tcW w:type="dxa" w:w="5669"/>
            <w:shd w:fill="FFFFFF" w:val="clear"/>
          </w:tcPr>
          <w:p>
            <w:r>
              <w:rPr>
                <w:color w:val="282828"/>
                <w:sz w:val="15"/>
              </w:rPr>
              <w:t>Profit d'exploitation = 37.9%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-8.510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40.712 Mds FCFA</w:t>
            </w:r>
          </w:p>
        </w:tc>
        <w:tc>
          <w:tcPr>
            <w:tcW w:type="dxa" w:w="5669"/>
            <w:shd w:fill="FFFFFF" w:val="clear"/>
          </w:tcPr>
          <w:p>
            <w:r>
              <w:rPr>
                <w:color w:val="282828"/>
                <w:sz w:val="15"/>
              </w:rPr>
              <w:t>Marge nette = 36.1%. ✅ Excellente rentabilité finale.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45.41%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36.05%</w:t>
            </w:r>
          </w:p>
        </w:tc>
        <w:tc>
          <w:tcPr>
            <w:tcW w:type="dxa" w:w="5669"/>
            <w:shd w:fill="FFFFFF" w:val="clear"/>
          </w:tcPr>
          <w:p>
            <w:r>
              <w:rPr>
                <w:color w:val="282828"/>
                <w:sz w:val="15"/>
              </w:rPr>
              <w:t>Résultat net / revenus = 36.05%.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37.87%</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17.45%</w:t>
            </w:r>
          </w:p>
        </w:tc>
        <w:tc>
          <w:tcPr>
            <w:tcW w:type="dxa" w:w="5669"/>
            <w:shd w:fill="FFFFFF" w:val="clear"/>
          </w:tcPr>
          <w:p>
            <w:r>
              <w:rPr>
                <w:color w:val="282828"/>
                <w:sz w:val="15"/>
              </w:rPr>
              <w:t>Résultat net / capitaux propres = 17.45%.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1.32%</w:t>
            </w:r>
          </w:p>
        </w:tc>
        <w:tc>
          <w:tcPr>
            <w:tcW w:type="dxa" w:w="5669"/>
            <w:shd w:fill="FFFFFF" w:val="clear"/>
          </w:tcPr>
          <w:p>
            <w:r>
              <w:rPr>
                <w:color w:val="282828"/>
                <w:sz w:val="15"/>
              </w:rPr>
              <w:t>Résultat net / total actif = 1.32%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3.67%</w:t>
            </w:r>
          </w:p>
        </w:tc>
        <w:tc>
          <w:tcPr>
            <w:tcW w:type="dxa" w:w="5669"/>
            <w:shd w:fill="FFFFFF" w:val="clear"/>
          </w:tcPr>
          <w:p>
            <w:r>
              <w:rPr>
                <w:color w:val="282828"/>
                <w:sz w:val="15"/>
              </w:rPr>
              <w:t>CA / total actif = 3.67x.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54.59%</w:t>
            </w:r>
          </w:p>
        </w:tc>
        <w:tc>
          <w:tcPr>
            <w:tcW w:type="dxa" w:w="5669"/>
            <w:shd w:fill="FFFFFF" w:val="clear"/>
          </w:tcPr>
          <w:p>
            <w:r>
              <w:rPr>
                <w:color w:val="282828"/>
                <w:sz w:val="15"/>
              </w:rPr>
              <w:t>Charges / PNB = 54.59% (cost-to-income). ✅ Efficiente (standard UEMOA).</w:t>
            </w:r>
          </w:p>
        </w:tc>
      </w:tr>
      <w:tr>
        <w:tc>
          <w:tcPr>
            <w:tcW w:type="dxa" w:w="2268"/>
            <w:shd w:fill="EEF2F7" w:val="clear"/>
          </w:tcPr>
          <w:p>
            <w:r>
              <w:rPr>
                <w:b/>
                <w:color w:val="1E1E3C"/>
                <w:sz w:val="16"/>
              </w:rPr>
              <w:t>Coût du risque</w:t>
            </w:r>
          </w:p>
        </w:tc>
        <w:tc>
          <w:tcPr>
            <w:tcW w:type="dxa" w:w="1984"/>
            <w:shd w:fill="FFC7CE" w:val="clear"/>
          </w:tcPr>
          <w:p>
            <w:r>
              <w:rPr>
                <w:b/>
                <w:color w:val="006400"/>
                <w:sz w:val="17"/>
              </w:rPr>
              <w:t>7.54%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15.45%</w:t>
            </w:r>
          </w:p>
        </w:tc>
        <w:tc>
          <w:tcPr>
            <w:tcW w:type="dxa" w:w="5669"/>
            <w:shd w:fill="FFFFFF" w:val="clear"/>
          </w:tcPr>
          <w:p>
            <w:r>
              <w:rPr>
                <w:color w:val="282828"/>
                <w:sz w:val="15"/>
              </w:rPr>
              <w:t>Croissance PNB vs exercice précédent = 15.45%.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7.59%</w:t>
            </w:r>
          </w:p>
        </w:tc>
        <w:tc>
          <w:tcPr>
            <w:tcW w:type="dxa" w:w="5669"/>
            <w:shd w:fill="FFFFFF" w:val="clear"/>
          </w:tcPr>
          <w:p>
            <w:r>
              <w:rPr>
                <w:color w:val="282828"/>
                <w:sz w:val="15"/>
              </w:rPr>
              <w:t>Fonds propres / total bilan = 7.59%.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92.41%</w:t>
            </w:r>
          </w:p>
        </w:tc>
        <w:tc>
          <w:tcPr>
            <w:tcW w:type="dxa" w:w="5669"/>
            <w:shd w:fill="FFFFFF" w:val="clear"/>
          </w:tcPr>
          <w:p>
            <w:r>
              <w:rPr>
                <w:color w:val="282828"/>
                <w:sz w:val="15"/>
              </w:rPr>
              <w:t>Dettes financières / total bilan = 92.41%.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227.90%</w:t>
            </w:r>
          </w:p>
        </w:tc>
        <w:tc>
          <w:tcPr>
            <w:tcW w:type="dxa" w:w="5669"/>
            <w:shd w:fill="FFFFFF" w:val="clear"/>
          </w:tcPr>
          <w:p>
            <w:r>
              <w:rPr>
                <w:color w:val="282828"/>
                <w:sz w:val="15"/>
              </w:rPr>
              <w:t>Dettes totales / fonds propres = 227.90%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108.22%</w:t>
            </w:r>
          </w:p>
        </w:tc>
        <w:tc>
          <w:tcPr>
            <w:tcW w:type="dxa" w:w="5669"/>
            <w:shd w:fill="FFFFFF" w:val="clear"/>
          </w:tcPr>
          <w:p>
            <w:r>
              <w:rPr>
                <w:color w:val="282828"/>
                <w:sz w:val="15"/>
              </w:rPr>
              <w:t>Total actif / dettes totales = 108.22x.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82.25%</w:t>
            </w:r>
          </w:p>
        </w:tc>
        <w:tc>
          <w:tcPr>
            <w:tcW w:type="dxa" w:w="5669"/>
            <w:shd w:fill="FFFFFF" w:val="clear"/>
          </w:tcPr>
          <w:p>
            <w:r>
              <w:rPr>
                <w:color w:val="282828"/>
                <w:sz w:val="15"/>
              </w:rPr>
              <w:t>Résultat exploit. / charges financières = 82.25x. ❌ L'exploitation ne couvre pas les charges financières.</w:t>
            </w:r>
          </w:p>
        </w:tc>
      </w:tr>
    </w:tbl>
    <w:p/>
    <w:p>
      <w:pPr>
        <w:spacing w:after="120" w:line="276" w:lineRule="auto"/>
      </w:pPr>
      <w:r>
        <w:t>Absolument. Voici votre rapport d'analyse financière professionnel pour l'action NSBC (NSIA Banque Côte d'Ivoire)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Avec une capitalisation boursière de 556,53 milliards FCFA, NSBC se positionne comme l'une des valeurs les plus lourdes et les plus liquides de la BRVM, reflétant son statut de leader bancaire régional. Le BPA de 1 646 FCFA indique que chaque action génère un bénéfice substantiel. Le PER de 13,7x, bien que supérieur à la moyenne historique de la BRVM (8-12x), reste modéré et témoigne d'une valorisation raisonnable pour une croissance attendue, les investisseurs acceptant de payer une prime pour la qualité de l'actif. Le P/B de 2,39x confirme cette prime, le marché valorisant la société à plus du double de sa valeur comptable, signe de confiance dans sa rentabilité future. Enfin, l'EV/EBITDA de 21,2x est un signal plus exigeant, indiquant que la valeur totale de l'entreprise (capitalisation + dette) est élevée par rapport à sa capacité opérationnelle, ce qui suggère des attentes de croissance fortes pour justifier ce niveau.</w:t>
      </w:r>
    </w:p>
    <w:p>
      <w:pPr>
        <w:spacing w:after="120" w:line="276" w:lineRule="auto"/>
      </w:pPr>
      <w:r>
        <w:t>### PARTIE 1 : ANALYSE DU COURS — STATISTIQUES ET ÉVOLUTION (100 derniers jours)</w:t>
      </w:r>
    </w:p>
    <w:p>
      <w:pPr>
        <w:spacing w:after="120" w:line="276" w:lineRule="auto"/>
      </w:pPr>
      <w:r>
        <w:t>Sur les 100 derniers jours, l'action NSBC a connu une performance spectaculaire, avec une variation totale de +59,57%, bien que la dernière séance ait enregistré un léger repli de -0,88%. Le titre a évolué dans une fourchette très large, oscillant entre un plus bas de 13 810 FCFA et un plus haut de 24 020 FCFA, illustrant une forte dynamique haussière. La moyenne du cours sur la période (18 872 FCFA) est inférieure à la médiane (19 202 FCFA), suggérant une distribution légèrement asymétrique avec une queue de distribution vers les valeurs basses, mais le skewness de -0.174 indique une symétrie quasi parfaite. L'écart-type de 3 620 FCFA (CV=19,2%) montre une dispersion modérée des prix autour de la moyenne. Le kurtosis de -1.419 (platykurtique) signale une distribution aplatie, avec moins de pics extrêmes que la normale, ce qui peut être rassurant pour les investisseurs. La volatilité annualisée de 37,7% est élevée, indiquant un titre à fort potentiel de rendement mais aussi de risque.</w:t>
      </w:r>
    </w:p>
    <w:p>
      <w:pPr>
        <w:spacing w:after="120" w:line="276" w:lineRule="auto"/>
      </w:pPr>
      <w:r>
        <w:t>### PARTIE 2 : ANALYSE TECHNIQUE DÉTAILLÉE</w:t>
      </w:r>
    </w:p>
    <w:p>
      <w:pPr>
        <w:spacing w:after="120" w:line="276" w:lineRule="auto"/>
      </w:pPr>
      <w:r>
        <w:t>**Moyennes Mobiles**: Le cours actuel (22 500 FCFA) est inférieur à la MM20 (23 248,25 FCFA) mais supérieur à la MM50 (21 909,5 FCFA). Cette configuration, où le prix est sous la moyenne à court terme mais au-dessus de la moyenne à long terme, suggère un récent repli au sein d'une tendance haussière plus large. La décision d'achat est justifiée par la tendance de fond positive, mais signale une prudence à court terme.</w:t>
      </w:r>
    </w:p>
    <w:p>
      <w:pPr>
        <w:spacing w:after="120" w:line="276" w:lineRule="auto"/>
      </w:pPr>
      <w:r>
        <w:t>**Bandes de Bollinger**: Le prix se situe près de la borne inférieure (22 385,83 FCFA), après avoir touché la borne supérieure (24 110,67 FCFA). Cela indique un récent recul depuis des sommets, avec une volatilité qui se resserre. La décision "Neutre" est cohérente avec une phase de consolidation après une forte hausse, attendant un nouveau catalyseur pour définir la direction.</w:t>
      </w:r>
    </w:p>
    <w:p>
      <w:pPr>
        <w:spacing w:after="120" w:line="276" w:lineRule="auto"/>
      </w:pPr>
      <w:r>
        <w:t>**MACD**: La valeur du MACD (159,25) est inférieure à son signal (367,10), ce qui constitue un croisement baissier. Ce signal de vente indique un ralentissement du momentum haussier. Bien que le MACD reste positif, la dynamique s'essouffle, ce qui suggère une possible période de correction ou de stagnation à court terme.</w:t>
      </w:r>
    </w:p>
    <w:p>
      <w:pPr>
        <w:spacing w:after="120" w:line="276" w:lineRule="auto"/>
      </w:pPr>
      <w:r>
        <w:t>**RSI**: Avec une valeur de 15,74, le RSI est en territoire de survente profonde (&lt;30). Cela indique que le titre a été massivement vendu à court terme et qu'il est statistiquement "sous-évalué" d'un point de vue technique. La décision d'achat est justifiée par la probabilité d'un rebond technique, mais il faut être prudent car un RSI peut rester en survente en cas de tendance baissière forte.</w:t>
      </w:r>
    </w:p>
    <w:p>
      <w:pPr>
        <w:spacing w:after="120" w:line="276" w:lineRule="auto"/>
      </w:pPr>
      <w:r>
        <w:t>**Stochastique**: Les valeurs %K et %D sont à 0,0, ce qui est extrême et confirme la condition de survente sévère. Ce niveau indique que le prix de clôture est au plus bas de la période considérée. La décision d'achat est un signal fort de retournement potentiel, suggérant que la pression vendeuse s'essouffle et qu'un rebond est imminent.</w:t>
      </w:r>
    </w:p>
    <w:p>
      <w:pPr>
        <w:spacing w:after="120" w:line="276" w:lineRule="auto"/>
      </w:pPr>
      <w:r>
        <w:t>**Conclusion technique**: Les indicateurs sont mitigés. D'un côté, le MACD donne un signal de vente, indiquant un affaiblissement du momentum. De l'autre, le RSI et le Stochastique sont en survente extrême, signalant un rebond technique probable. La position sous la MM20 mais au-dessus de la MM50 suggère une correction au sein d'une tendance haussière. Le scénario le plus probable est une stabilisation ou un rebond à court terme, mais la tendance de fond reste positive tant que le cours se maintient au-dessus de la MM50.</w:t>
      </w:r>
    </w:p>
    <w:p>
      <w:pPr>
        <w:spacing w:after="120" w:line="276" w:lineRule="auto"/>
      </w:pPr>
      <w:r>
        <w:t>### PARTIE 3 : ANALYSE FONDAMENTALE (SECTION CRITIQUE)</w:t>
      </w:r>
    </w:p>
    <w:p>
      <w:pPr>
        <w:spacing w:after="120" w:line="276" w:lineRule="auto"/>
      </w:pPr>
      <w:r>
        <w:t>En 2025, NSBC affiche des fondamentaux solides. Le Produit Net Bancaire (PNB) s'établit à 112,928 milliards FCFA, en croissance de +15,4% par rapport à 2024, avec un résultat net de 40,712 milliards FCFA. La banque est très efficace, avec un coefficient d'exploitation de 54,6% (&lt;60%), et très rentable, avec un ROE de 17,45% et un ROA de 1,32%. Cependant, le coût du risque s'est dégradé, passant de +0,6 milliard (reprise) en 2024 à -8,5 milliards FCFA (dotation) en 2025, ce qui a pesé sur la croissance du résultat net (+7% seulement). Le bilan est en forte expansion (+22% à 3 073 milliards FCFA), porté par une collecte de dépôts dynamique (+32% à 2 242 milliards FCFA), finançant une croissance des crédits de +18% (1 818 milliards FCFA). Les rapports trimestriels de 2025 montrent une accélération au S1 (PNB +10,6%, Résultat net +12,3%) et une performance stable au T3 (PNB +7%, RN +6%). Sur la base du rapport exceptionnel du T1 2026 (PNB +28% à 28,6 milliards, Résultat net +53% à 10,9 milliards), on estime que l'exercice 2026 devrait être marqué par une forte accélération de la rentabilité, portée par l'activité titres et une maîtrise du coût du risque. La banque est donc fondamentalement saine, bien gérée et en pleine croissance, malgré un risque de crédit à surveiller.</w:t>
      </w:r>
    </w:p>
    <w:p>
      <w:pPr>
        <w:spacing w:after="120" w:line="276" w:lineRule="auto"/>
      </w:pPr>
      <w:r>
        <w:t>### PARTIE 4 : CONCLUSION D'INVESTISSEMENT</w:t>
      </w:r>
    </w:p>
    <w:p>
      <w:pPr>
        <w:spacing w:after="120" w:line="276" w:lineRule="auto"/>
      </w:pPr>
      <w:r>
        <w:t>La valorisation de NSBC (PER 13,7x, P/B 2,39x, EV/EBITDA 21,2x) est exigeante mais justifiée par la qualité de l'actif et ses perspectives de croissance. Le comportement du cours sur 100 jours est très haussier (+59,6%) avec une volatilité élevée, mais les statistiques (kurtosis platykurtique, skewness symétrique) suggèrent un profil de risque maîtrisé. Les signaux techniques sont mitigés à court terme (MACD vendeur, RSI/Stochastique en survente), indiquant un possible rebond après une correction, au sein d'une tendance de fond positive. Les fondamentaux sont excellents, avec une croissance soutenue du PNB et du résultat net, une efficacité opérationnelle remarquable et des perspectives 2026 très favorables (T1 en forte hausse). Les prédictions IA pour les 10 prochains jours (23 113 à 24 715 FCFA) confirment cette analyse, anticipant une poursuite de la hausse. La convergence entre les fondamentaux solides, la tendance de fond haussière et les prédictions IA, malgré des signaux techniques de court terme contrastés, nous conduit à une recommandation **ACHAT**. Le niveau de confiance est **Élevé**, le risque global est **Moyen** (volatilité et coût du risque), et l'horizon d'investissement optimal est le **moyen terme (3-12 mois)** pour capitaliser sur la croissance anticipée.</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"Performance trimestrielle exceptionnelle avec une croissance de 53% du r\u00e9sultat net et des fondamentaux solides. Les perspectives 2026 sont tr\u00e8s favorables avec une strat\u00e9gie ax\u00e9e sur la digitalisation et l'am\u00e9lioration de l'exp\u00e9rience client."}</w:t>
      </w:r>
    </w:p>
    <w:p>
      <w:pPr>
        <w:spacing w:before="40"/>
        <w:ind w:left="400"/>
      </w:pPr>
      <w:r>
        <w:rPr>
          <w:sz w:val="18"/>
        </w:rPr>
        <w:t>NSIA Banque CI affiche une performance exceptionnelle au premier trimestre 2026 avec un résultat net de 10,9 milliards FCFA, en forte progression de 53% par rapport à mars 2025. Le Produit Net Bancaire progresse de 28% à 28,6 milliards FCFA, principalement porté par l'activité titres. Le résultat avant impôt bondit de 49% à 11,8 milliards FCFA grâce à l'accroissement des commissions et à la maîtrise du coût du risque. Les encours de crédits et dépôts clientèle s'établissent respectivement à 1 744 milliards et 2 163 milliards FCFA. La banque anticipe une poursuite de cette dynamique positive tout au long de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'2 162 760 millions FCFA', 'resultat_avant_impots': '11 830 millions FCFA', 'credits_nets_clientele': '1 744 337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38,1%</w:t>
            </w:r>
          </w:p>
        </w:tc>
        <w:tc>
          <w:tcPr>
            <w:tcW w:type="dxa" w:w="2160"/>
          </w:tcPr>
          <w:p>
            <w:pPr>
              <w:ind w:left="100"/>
            </w:pPr>
            <w:r/>
            <w:r>
              <w:rPr>
                <w:b/>
                <w:sz w:val="16"/>
              </w:rPr>
              <w:t>total_actif</w:t>
              <w:br/>
            </w:r>
            <w:r>
              <w:rPr>
                <w:sz w:val="18"/>
              </w:rPr>
              <w:t>3 013 098 millions FCFA</w:t>
            </w:r>
          </w:p>
        </w:tc>
      </w:tr>
      <w:tr>
        <w:tc>
          <w:tcPr>
            <w:tcW w:type="dxa" w:w="2160"/>
          </w:tcPr>
          <w:p>
            <w:r/>
            <w:r>
              <w:rPr>
                <w:b/>
                <w:sz w:val="16"/>
              </w:rPr>
              <w:t>resultat_net</w:t>
              <w:br/>
            </w:r>
            <w:r>
              <w:rPr>
                <w:sz w:val="18"/>
              </w:rPr>
              <w:t>10 912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28 615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53% à 10,9 milliards FCFA au T1 2026</w:t>
      </w:r>
    </w:p>
    <w:p>
      <w:pPr>
        <w:pStyle w:val="ListBullet"/>
        <w:spacing w:before="20" w:after="20"/>
        <w:ind w:left="700"/>
      </w:pPr>
      <w:r>
        <w:rPr>
          <w:sz w:val="18"/>
        </w:rPr>
        <w:t>Produit Net Bancaire en croissance de 28% à 28,6 milliards FCFA</w:t>
      </w:r>
    </w:p>
    <w:p>
      <w:pPr>
        <w:pStyle w:val="ListBullet"/>
        <w:spacing w:before="20" w:after="20"/>
        <w:ind w:left="700"/>
      </w:pPr>
      <w:r>
        <w:rPr>
          <w:sz w:val="18"/>
        </w:rPr>
        <w:t>Résultat avant impôt en progression de 49% à 11,8 milliards FCFA</w:t>
      </w:r>
    </w:p>
    <w:p>
      <w:pPr>
        <w:pStyle w:val="ListBullet"/>
        <w:spacing w:before="20" w:after="20"/>
        <w:ind w:left="700"/>
      </w:pPr>
      <w:r>
        <w:rPr>
          <w:sz w:val="18"/>
        </w:rPr>
        <w:t>Performance tirée principalement par l'activité titres</w:t>
      </w:r>
    </w:p>
    <w:p>
      <w:pPr>
        <w:pStyle w:val="ListBullet"/>
        <w:spacing w:before="20" w:after="20"/>
        <w:ind w:left="700"/>
      </w:pPr>
      <w:r>
        <w:rPr>
          <w:sz w:val="18"/>
        </w:rPr>
        <w:t>Maîtrise du coût du risque et accroissement des commissions</w:t>
      </w:r>
    </w:p>
    <w:p>
      <w:pPr>
        <w:pStyle w:val="ListBullet"/>
        <w:spacing w:before="20" w:after="20"/>
        <w:ind w:left="700"/>
      </w:pPr>
      <w:r>
        <w:rPr>
          <w:sz w:val="18"/>
        </w:rPr>
        <w:t>Encours de crédits nets à 1 744 milliards FCFA</w:t>
      </w:r>
    </w:p>
    <w:p>
      <w:pPr>
        <w:spacing w:before="40"/>
        <w:ind w:left="400"/>
      </w:pPr>
      <w:r>
        <w:rPr>
          <w:b/>
          <w:color w:val="C05000"/>
          <w:sz w:val="18"/>
        </w:rPr>
        <w:t xml:space="preserve">⚠️ Risques : </w:t>
      </w:r>
      <w:r>
        <w:rPr>
          <w:sz w:val="18"/>
        </w:rPr>
        <w:t>["Concentration de la performance sur l'activit\u00e9 titres qui peut \u00eatre volatile", "L\u00e9ger recul des encours de cr\u00e9dits (-4%) qui pourrait impacter la croissance future", "Environnement \u00e9conomique incertain n\u00e9cessitant une gestion prudente des risques"]</w:t>
      </w:r>
    </w:p>
    <w:p>
      <w:pPr>
        <w:spacing w:before="40"/>
        <w:ind w:left="400"/>
      </w:pPr>
      <w:r>
        <w:rPr>
          <w:b/>
          <w:color w:val="0064A0"/>
          <w:sz w:val="18"/>
        </w:rPr>
        <w:t xml:space="preserve">🔮 Perspectives : </w:t>
      </w:r>
      <w:r>
        <w:rPr>
          <w:sz w:val="18"/>
        </w:rPr>
        <w:t xml:space="preserve">La direction anticipe une poursuite de la dynamique positive en 2026, soutenue par l'amélioration de l'expérience client et la digitalisation des services. Les efforts d'inclusion financière et de durabilité devraient renforcer la position concurrentielle tout en maintenant une gestion prudente des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banque affiche une croissance soutenue sur tous les indicateurs cl\u00e9s avec une am\u00e9lioration de l'efficacit\u00e9 op\u00e9rationnelle. Les perspectives 2026 sont favorables avec le nouveau cycle d'investissement du PND 2026-2030 repr\u00e9sentant 114 838 milliards FCFA."}</w:t>
      </w:r>
    </w:p>
    <w:p>
      <w:pPr>
        <w:spacing w:before="40"/>
        <w:ind w:left="400"/>
      </w:pPr>
      <w:r>
        <w:rPr>
          <w:sz w:val="18"/>
        </w:rPr>
        <w:t>NSIA Banque Côte d'Ivoire confirme sa trajectoire de croissance avec un résultat net de 40,7 milliards FCFA en hausse de 7% par rapport à 2024. Le total du bilan progresse fortement de 22% pour atteindre 3 073 milliards FCFA, porté par une croissance des créances clientèle de 18% et des ressources clientèle de 32%. Le Produit Net Bancaire s'améliore de 15% à 112,9 milliards FCFA avec une marge d'intérêt en hausse de 26%. La banque renforce sa stratégie de diversification des sources de financement notamment par des opérations de titrisation innovantes. Le coefficient d'exploitation s'améliore à 54,6% contre 59,7% l'année précédente, témoignant d'une meilleure efficacité opérationnelle.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'-8,5 milliards FCFA', 'creances_clientele': '1 818,7 milliards FCFA', 'ressources_clientele': '2 242 milliards FCFA', 'coefficient_exploitation': '54,6%', 'resultat_brut_exploitation': '51,3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36,0%</w:t>
            </w:r>
          </w:p>
        </w:tc>
        <w:tc>
          <w:tcPr>
            <w:tcW w:type="dxa" w:w="2160"/>
          </w:tcPr>
          <w:p>
            <w:pPr>
              <w:ind w:left="100"/>
            </w:pPr>
            <w:r/>
            <w:r>
              <w:rPr>
                <w:b/>
                <w:sz w:val="16"/>
              </w:rPr>
              <w:t>total_actif</w:t>
              <w:br/>
            </w:r>
            <w:r>
              <w:rPr>
                <w:sz w:val="18"/>
              </w:rPr>
              <w:t>3 073 milliards FCFA</w:t>
            </w:r>
          </w:p>
        </w:tc>
      </w:tr>
      <w:tr>
        <w:tc>
          <w:tcPr>
            <w:tcW w:type="dxa" w:w="2160"/>
          </w:tcPr>
          <w:p>
            <w:r/>
            <w:r>
              <w:rPr>
                <w:b/>
                <w:sz w:val="16"/>
              </w:rPr>
              <w:t>resultat_net</w:t>
              <w:br/>
            </w:r>
            <w:r>
              <w:rPr>
                <w:sz w:val="18"/>
              </w:rPr>
              <w:t>40,7 milliards FCFA</w:t>
            </w:r>
          </w:p>
        </w:tc>
        <w:tc>
          <w:tcPr>
            <w:tcW w:type="dxa" w:w="2160"/>
          </w:tcPr>
          <w:p>
            <w:r/>
            <w:r>
              <w:rPr>
                <w:b/>
                <w:sz w:val="16"/>
              </w:rPr>
              <w:t>capitaux_propres</w:t>
              <w:br/>
            </w:r>
            <w:r>
              <w:rPr>
                <w:sz w:val="18"/>
              </w:rPr>
              <w:t>233,3 milliards FCFA</w:t>
            </w:r>
          </w:p>
        </w:tc>
        <w:tc>
          <w:tcPr>
            <w:tcW w:type="dxa" w:w="2160"/>
          </w:tcPr>
          <w:p>
            <w:r/>
            <w:r>
              <w:rPr>
                <w:b/>
                <w:sz w:val="16"/>
              </w:rPr>
              <w:t>chiffre_affaires</w:t>
              <w:br/>
            </w:r>
            <w:r>
              <w:rPr>
                <w:sz w:val="18"/>
              </w:rPr>
              <w:t>112,9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progression de 7% à 40,7 milliards FCFA</w:t>
      </w:r>
    </w:p>
    <w:p>
      <w:pPr>
        <w:pStyle w:val="ListBullet"/>
        <w:spacing w:before="20" w:after="20"/>
        <w:ind w:left="700"/>
      </w:pPr>
      <w:r>
        <w:rPr>
          <w:sz w:val="18"/>
        </w:rPr>
        <w:t>Croissance du total bilan de 22% atteignant 3 073 milliards FCFA</w:t>
      </w:r>
    </w:p>
    <w:p>
      <w:pPr>
        <w:pStyle w:val="ListBullet"/>
        <w:spacing w:before="20" w:after="20"/>
        <w:ind w:left="700"/>
      </w:pPr>
      <w:r>
        <w:rPr>
          <w:sz w:val="18"/>
        </w:rPr>
        <w:t>Forte progression des créances clientèle (+18%) et des ressources clientèle (+32%)</w:t>
      </w:r>
    </w:p>
    <w:p>
      <w:pPr>
        <w:pStyle w:val="ListBullet"/>
        <w:spacing w:before="20" w:after="20"/>
        <w:ind w:left="700"/>
      </w:pPr>
      <w:r>
        <w:rPr>
          <w:sz w:val="18"/>
        </w:rPr>
        <w:t>Produit Net Bancaire en hausse de 15% à 112,9 milliards FCFA</w:t>
      </w:r>
    </w:p>
    <w:p>
      <w:pPr>
        <w:pStyle w:val="ListBullet"/>
        <w:spacing w:before="20" w:after="20"/>
        <w:ind w:left="700"/>
      </w:pPr>
      <w:r>
        <w:rPr>
          <w:sz w:val="18"/>
        </w:rPr>
        <w:t>Amélioration du coefficient d'exploitation de 5,1 points à 54,6%</w:t>
      </w:r>
    </w:p>
    <w:p>
      <w:pPr>
        <w:pStyle w:val="ListBullet"/>
        <w:spacing w:before="20" w:after="20"/>
        <w:ind w:left="700"/>
      </w:pPr>
      <w:r>
        <w:rPr>
          <w:sz w:val="18"/>
        </w:rPr>
        <w:t>Lancement de plusieurs opérations de titrisation multidevises pour 60 milliards FCFA</w:t>
      </w:r>
    </w:p>
    <w:p>
      <w:pPr>
        <w:spacing w:before="40"/>
        <w:ind w:left="400"/>
      </w:pPr>
      <w:r>
        <w:rPr>
          <w:b/>
          <w:color w:val="C05000"/>
          <w:sz w:val="18"/>
        </w:rPr>
        <w:t xml:space="preserve">⚠️ Risques : </w:t>
      </w:r>
      <w:r>
        <w:rPr>
          <w:sz w:val="18"/>
        </w:rPr>
        <w:t>["D\u00e9t\u00e9rioration du co\u00fbt du risque passant de +0,6 \u00e0 -8,5 milliards FCFA", "Exposition au risque climatique en cours d'int\u00e9gration dans le dispositif de gestion des risques", "D\u00e9pendance \u00e0 l'\u00e9volution \u00e9conomique de la C\u00f4te d'Ivoire et de la sous-r\u00</w:t>
      </w:r>
    </w:p>
    <w:p>
      <w:pPr>
        <w:spacing w:before="40"/>
        <w:ind w:left="400"/>
      </w:pPr>
      <w:r>
        <w:rPr>
          <w:b/>
          <w:color w:val="0064A0"/>
          <w:sz w:val="18"/>
        </w:rPr>
        <w:t xml:space="preserve">🔮 Perspectives : </w:t>
      </w:r>
      <w:r>
        <w:rPr>
          <w:sz w:val="18"/>
        </w:rPr>
        <w:t>Pour 2026, NSIA Banque entend consolider son rôle de partenaire de développement en accompagnant les acteurs économiques dans les secteurs prioritaires du nouveau PND 2026-2030. La banque poursuivra le renforcement de ses dispositifs commerciaux, l'accélération de sa transformation digitale et l'opt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indicateurs financiers sont excellents avec une croissance soutenue du r\u00e9sultat net (+21%) et du PNB (+12%), accompagn\u00e9e d'une am\u00e9lioration du co\u00fbt du risque. La dynamique commerciale est forte avec la progression des d\u00e9p\u00f4ts et cr\u00e9dits, positionnant bien la banque pour l'avenir."}</w:t>
      </w:r>
    </w:p>
    <w:p>
      <w:pPr>
        <w:spacing w:before="40"/>
        <w:ind w:left="400"/>
      </w:pPr>
      <w:r>
        <w:rPr>
          <w:sz w:val="18"/>
        </w:rPr>
        <w:t>NSIA Banque CI affiche des performances solides au troisième trimestre 2023 avec un résultat net de 18,3 milliards FCFA, en progression de 21% par rapport à septembre 2022. Le Produit Net Bancaire s'établit à 63,4 milliards FCFA, en hausse de 12% sur un an. La croissance est portée par l'augmentation des marges d'intérêt (+9%), des commissions (+19%) et la maîtrise du coût du risque qui diminue à 15,4%. Les encours de crédits nets à la clientèle progressent de 4% à 1 186 milliards FCFA, témoignant d'une activité commerciale soutenue. La banque poursuit la mise en œuvre de son plan stratégique « Altitude 22-26 » axé sur la croissance commerciale et la maîtrise des risques.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{'commissions': '18,9 milliards FCFA', 'cout_du_risque': '15,4%', 'depots_clientele': '1 334 milliards FCFA', 'marge_nette_interet': '44,5 milliards FCFA', 'credits_nets_clientele': '1 186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63,4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hausse de 21% à 18,3 milliards FCFA au 30 septembre 2023</w:t>
      </w:r>
    </w:p>
    <w:p>
      <w:pPr>
        <w:pStyle w:val="ListBullet"/>
        <w:spacing w:before="20" w:after="20"/>
        <w:ind w:left="700"/>
      </w:pPr>
      <w:r>
        <w:rPr>
          <w:sz w:val="18"/>
        </w:rPr>
        <w:t>Produit Net Bancaire en progression de 12% à 63,4 milliards FCFA</w:t>
      </w:r>
    </w:p>
    <w:p>
      <w:pPr>
        <w:pStyle w:val="ListBullet"/>
        <w:spacing w:before="20" w:after="20"/>
        <w:ind w:left="700"/>
      </w:pPr>
      <w:r>
        <w:rPr>
          <w:sz w:val="18"/>
        </w:rPr>
        <w:t>Marge nette d'intérêt en croissance de 9% à 44,5 milliards FCFA</w:t>
      </w:r>
    </w:p>
    <w:p>
      <w:pPr>
        <w:pStyle w:val="ListBullet"/>
        <w:spacing w:before="20" w:after="20"/>
        <w:ind w:left="700"/>
      </w:pPr>
      <w:r>
        <w:rPr>
          <w:sz w:val="18"/>
        </w:rPr>
        <w:t>Commissions en forte hausse de 19% grâce aux produits de banque électronique</w:t>
      </w:r>
    </w:p>
    <w:p>
      <w:pPr>
        <w:pStyle w:val="ListBullet"/>
        <w:spacing w:before="20" w:after="20"/>
        <w:ind w:left="700"/>
      </w:pPr>
      <w:r>
        <w:rPr>
          <w:sz w:val="18"/>
        </w:rPr>
        <w:t>Amélioration du coût du risque à 15,4% contre un niveau plus élevé en septembre 2022</w:t>
      </w:r>
    </w:p>
    <w:p>
      <w:pPr>
        <w:pStyle w:val="ListBullet"/>
        <w:spacing w:before="20" w:after="20"/>
        <w:ind w:left="700"/>
      </w:pPr>
      <w:r>
        <w:rPr>
          <w:sz w:val="18"/>
        </w:rPr>
        <w:t>Encours de crédits nets à la clientèle en progression de 4% à 1 186 milliards FCFA</w:t>
      </w:r>
    </w:p>
    <w:p>
      <w:pPr>
        <w:spacing w:before="40"/>
        <w:ind w:left="400"/>
      </w:pPr>
      <w:r>
        <w:rPr>
          <w:b/>
          <w:color w:val="C05000"/>
          <w:sz w:val="18"/>
        </w:rPr>
        <w:t xml:space="preserve">⚠️ Risques : </w:t>
      </w:r>
      <w:r>
        <w:rPr>
          <w:sz w:val="18"/>
        </w:rPr>
        <w:t>["Exposition au risque de cr\u00e9dit dans un environnement \u00e9conomique incertain", "Concurrence accrue sur le march\u00e9 bancaire ivoirien et r\u00e9gional", "Risques op\u00e9rationnels li\u00e9s au d\u00e9veloppement des services bancaires \u00e9lectroniques"]</w:t>
      </w:r>
    </w:p>
    <w:p>
      <w:pPr>
        <w:spacing w:before="40"/>
        <w:ind w:left="400"/>
      </w:pPr>
      <w:r>
        <w:rPr>
          <w:b/>
          <w:color w:val="0064A0"/>
          <w:sz w:val="18"/>
        </w:rPr>
        <w:t xml:space="preserve">🔮 Perspectives : </w:t>
      </w:r>
      <w:r>
        <w:rPr>
          <w:sz w:val="18"/>
        </w:rPr>
        <w:t>La banque poursuivra la mise en œuvre de son plan stratégique « Altitude 22-26 » au dernier trimestre 2023, visant la croissance des indicateurs commerciaux et la maîtrise des charges d'exploitation. Cette stratégie devrait contribuer à l'atteinte des objectifs annuels et maintenir la dynamique de 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forte croissance de la rentabilit\u00e9 (+32% sur le r\u00e9sultat net) et l'int\u00e9gration r\u00e9ussie de Diamond Bank CI offrent des perspectives attractives. La dynamique commerciale soutenue et la refonte strat\u00e9gique renforcent le potentiel de cr\u00e9ation de valeur."}</w:t>
      </w:r>
    </w:p>
    <w:p>
      <w:pPr>
        <w:spacing w:before="40"/>
        <w:ind w:left="400"/>
      </w:pPr>
      <w:r>
        <w:rPr>
          <w:sz w:val="18"/>
        </w:rPr>
        <w:t>NSIA Banque CI affiche d'excellents résultats au T1 2021 avec une croissance robuste malgré le contexte de crise sanitaire. Le Produit Net Bancaire progresse de 8% à 17,0 milliards FCFA tandis que le résultat net bondit de 32% à 3,3 milliards FCFA. L'activité de crédit reste dynamique avec une hausse de 6% des encours nets à 880 milliards FCFA. La collecte de dépôts affiche une forte progression de 13% à 919 milliards FCFA. L'intégration de Diamond Bank CI début 2021 renforce les perspectives de développement de la banque.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'24,7 milliards FCFA', 'depots_clientele': '919,0 milliards FCFA', 'resultat_avant_impot': '4,4 milliards FCFA', 'credits_nets_clientele': '879,8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17,0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Produit Net Bancaire de 8% à 17,0 milliards FCFA au T1 2021</w:t>
      </w:r>
    </w:p>
    <w:p>
      <w:pPr>
        <w:pStyle w:val="ListBullet"/>
        <w:spacing w:before="20" w:after="20"/>
        <w:ind w:left="700"/>
      </w:pPr>
      <w:r>
        <w:rPr>
          <w:sz w:val="18"/>
        </w:rPr>
        <w:t>Résultat net en hausse de 32% à 3,3 milliards FCFA</w:t>
      </w:r>
    </w:p>
    <w:p>
      <w:pPr>
        <w:pStyle w:val="ListBullet"/>
        <w:spacing w:before="20" w:after="20"/>
        <w:ind w:left="700"/>
      </w:pPr>
      <w:r>
        <w:rPr>
          <w:sz w:val="18"/>
        </w:rPr>
        <w:t>Résultat avant impôt en progression de 37% à 4,4 milliards FCFA</w:t>
      </w:r>
    </w:p>
    <w:p>
      <w:pPr>
        <w:pStyle w:val="ListBullet"/>
        <w:spacing w:before="20" w:after="20"/>
        <w:ind w:left="700"/>
      </w:pPr>
      <w:r>
        <w:rPr>
          <w:sz w:val="18"/>
        </w:rPr>
        <w:t>Encours de crédits nets en croissance de 6% à 880 milliards FCFA</w:t>
      </w:r>
    </w:p>
    <w:p>
      <w:pPr>
        <w:pStyle w:val="ListBullet"/>
        <w:spacing w:before="20" w:after="20"/>
        <w:ind w:left="700"/>
      </w:pPr>
      <w:r>
        <w:rPr>
          <w:sz w:val="18"/>
        </w:rPr>
        <w:t>Dépôts de la clientèle en forte hausse de 13% à 919 milliards FCFA</w:t>
      </w:r>
    </w:p>
    <w:p>
      <w:pPr>
        <w:pStyle w:val="ListBullet"/>
        <w:spacing w:before="20" w:after="20"/>
        <w:ind w:left="700"/>
      </w:pPr>
      <w:r>
        <w:rPr>
          <w:sz w:val="18"/>
        </w:rPr>
        <w:t>Intégration effective de Diamond Bank CI avec autorisation du CREPMF obtenue</w:t>
      </w:r>
    </w:p>
    <w:p>
      <w:pPr>
        <w:spacing w:before="40"/>
        <w:ind w:left="400"/>
      </w:pPr>
      <w:r>
        <w:rPr>
          <w:b/>
          <w:color w:val="C05000"/>
          <w:sz w:val="18"/>
        </w:rPr>
        <w:t xml:space="preserve">⚠️ Risques : </w:t>
      </w:r>
      <w:r>
        <w:rPr>
          <w:sz w:val="18"/>
        </w:rPr>
        <w:t>["Persistance de la crise sanitaire et ralentissement de l'activit\u00e9 \u00e9conomique", "D\u00e9fis d'int\u00e9gration op\u00e9rationnelle de Diamond Bank CI", "Pression concurrentielle sur les marges dans un environnement \u00e9conomique incertain"]</w:t>
      </w:r>
    </w:p>
    <w:p>
      <w:pPr>
        <w:spacing w:before="40"/>
        <w:ind w:left="400"/>
      </w:pPr>
      <w:r>
        <w:rPr>
          <w:b/>
          <w:color w:val="0064A0"/>
          <w:sz w:val="18"/>
        </w:rPr>
        <w:t xml:space="preserve">🔮 Perspectives : </w:t>
      </w:r>
      <w:r>
        <w:rPr>
          <w:sz w:val="18"/>
        </w:rPr>
        <w:t>L'intégration de Diamond Bank CI et la refonte de l'offre PME devraient soutenir la croissance en 2021. La banque mise sur un nouveau modèle économique avec une organisation repensée et un plan stratégique actualisé pour renforcer sa position sur le marché ivoirien.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 r\u00e9sultat net multipli\u00e9 par 3,5 et une am\u00e9lioration significative de tous les indicateurs cl\u00e9s. La banque d\u00e9montre sa capacit\u00e9 de rebond post-crise avec une gestion ma\u00eetris\u00e9e des risques et des perspectives solides."}</w:t>
      </w:r>
    </w:p>
    <w:p>
      <w:pPr>
        <w:spacing w:before="40"/>
        <w:ind w:left="400"/>
      </w:pPr>
      <w:r>
        <w:rPr>
          <w:sz w:val="18"/>
        </w:rPr>
        <w:t>NSIA Banque CI affiche une performance remarquable au premier semestre 2021 avec un résultat net en hausse de 255% à 10,0 milliards FCFA. Le Produit Net Bancaire progresse de 18% à 35,9 milliards FCFA porté par une marge d'intérêts en forte croissance de 27%. Le coût du risque s'améliore significativement de 40% à 3,57 milliards FCFA grâce à une meilleure gestion des engagements. Le coefficient d'exploitation s'améliore à 61,9% contre 69,6% l'année précédente. La banque respecte tous les ratios prudentiels et demeure dans le top 5 du marché bancaire ivoirien.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{'cout_risque': '3,57 milliards FCFA', 'depots_clientele': '966,9 milliards FCFA', 'credits_clientele': '891,6 milliards FCFA', 'ratio_solvabilite': '12,07%', 'coefficient_exploitation': '61,9%'}</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27,9%</w:t>
            </w:r>
          </w:p>
        </w:tc>
        <w:tc>
          <w:tcPr>
            <w:tcW w:type="dxa" w:w="2160"/>
          </w:tcPr>
          <w:p>
            <w:pPr>
              <w:ind w:left="100"/>
            </w:pPr>
            <w:r/>
            <w:r>
              <w:rPr>
                <w:b/>
                <w:sz w:val="16"/>
              </w:rPr>
              <w:t>total_actif</w:t>
              <w:br/>
            </w:r>
            <w:r>
              <w:rPr>
                <w:sz w:val="18"/>
              </w:rPr>
              <w:t>1 506 milliards FCFA</w:t>
            </w:r>
          </w:p>
        </w:tc>
      </w:tr>
      <w:tr>
        <w:tc>
          <w:tcPr>
            <w:tcW w:type="dxa" w:w="2160"/>
          </w:tcPr>
          <w:p>
            <w:r/>
            <w:r>
              <w:rPr>
                <w:b/>
                <w:sz w:val="16"/>
              </w:rPr>
              <w:t>resultat_net</w:t>
              <w:br/>
            </w:r>
            <w:r>
              <w:rPr>
                <w:sz w:val="18"/>
              </w:rPr>
              <w:t>10,0 milliards FCFA</w:t>
            </w:r>
          </w:p>
        </w:tc>
        <w:tc>
          <w:tcPr>
            <w:tcW w:type="dxa" w:w="2160"/>
          </w:tcPr>
          <w:p>
            <w:r/>
            <w:r>
              <w:rPr>
                <w:b/>
                <w:sz w:val="16"/>
              </w:rPr>
              <w:t>capitaux_propres</w:t>
              <w:br/>
            </w:r>
            <w:r>
              <w:rPr>
                <w:sz w:val="18"/>
              </w:rPr>
              <w:t>118,8 milliards FCFA</w:t>
            </w:r>
          </w:p>
        </w:tc>
        <w:tc>
          <w:tcPr>
            <w:tcW w:type="dxa" w:w="2160"/>
          </w:tcPr>
          <w:p>
            <w:r/>
            <w:r>
              <w:rPr>
                <w:b/>
                <w:sz w:val="16"/>
              </w:rPr>
              <w:t>chiffre_affaires</w:t>
              <w:br/>
            </w:r>
            <w:r>
              <w:rPr>
                <w:sz w:val="18"/>
              </w:rPr>
              <w:t>35,9 milliards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hausse spectaculaire de 255% à 10,0 milliards FCFA</w:t>
      </w:r>
    </w:p>
    <w:p>
      <w:pPr>
        <w:pStyle w:val="ListBullet"/>
        <w:spacing w:before="20" w:after="20"/>
        <w:ind w:left="700"/>
      </w:pPr>
      <w:r>
        <w:rPr>
          <w:sz w:val="18"/>
        </w:rPr>
        <w:t>Produit Net Bancaire en croissance de 18% à 35,9 milliards FCFA</w:t>
      </w:r>
    </w:p>
    <w:p>
      <w:pPr>
        <w:pStyle w:val="ListBullet"/>
        <w:spacing w:before="20" w:after="20"/>
        <w:ind w:left="700"/>
      </w:pPr>
      <w:r>
        <w:rPr>
          <w:sz w:val="18"/>
        </w:rPr>
        <w:t>Amélioration du coût du risque de 40% à 3,57 milliards FCFA</w:t>
      </w:r>
    </w:p>
    <w:p>
      <w:pPr>
        <w:pStyle w:val="ListBullet"/>
        <w:spacing w:before="20" w:after="20"/>
        <w:ind w:left="700"/>
      </w:pPr>
      <w:r>
        <w:rPr>
          <w:sz w:val="18"/>
        </w:rPr>
        <w:t>Coefficient d'exploitation amélioré à 61,9% (-7,7 points)</w:t>
      </w:r>
    </w:p>
    <w:p>
      <w:pPr>
        <w:pStyle w:val="ListBullet"/>
        <w:spacing w:before="20" w:after="20"/>
        <w:ind w:left="700"/>
      </w:pPr>
      <w:r>
        <w:rPr>
          <w:sz w:val="18"/>
        </w:rPr>
        <w:t>Marge d'intérêts en forte progression de 27% à 26,8 milliards FCFA</w:t>
      </w:r>
    </w:p>
    <w:p>
      <w:pPr>
        <w:pStyle w:val="ListBullet"/>
        <w:spacing w:before="20" w:after="20"/>
        <w:ind w:left="700"/>
      </w:pPr>
      <w:r>
        <w:rPr>
          <w:sz w:val="18"/>
        </w:rPr>
        <w:t>Intégration réussie de l'ex-Diamond Bank CI depuis janvier 2021</w:t>
      </w:r>
    </w:p>
    <w:p>
      <w:pPr>
        <w:spacing w:before="40"/>
        <w:ind w:left="400"/>
      </w:pPr>
      <w:r>
        <w:rPr>
          <w:b/>
          <w:color w:val="C05000"/>
          <w:sz w:val="18"/>
        </w:rPr>
        <w:t xml:space="preserve">⚠️ Risques : </w:t>
      </w:r>
      <w:r>
        <w:rPr>
          <w:sz w:val="18"/>
        </w:rPr>
        <w:t>["Niveau encore \u00e9lev\u00e9 des cr\u00e9ances douteuses et litigieuses malgr\u00e9 l'am\u00e9lioration", "Contraction des cr\u00e9dits nets \u00e0 la client\u00e8le de 7% n\u00e9cessitant un red\u00e9ploiement", "D\u00e9pendance \u00e0 l'environnement \u00e9conomique ivoirien et r\u00e9gional UE</w:t>
      </w:r>
    </w:p>
    <w:p>
      <w:pPr>
        <w:spacing w:before="40"/>
        <w:ind w:left="400"/>
      </w:pPr>
      <w:r>
        <w:rPr>
          <w:b/>
          <w:color w:val="0064A0"/>
          <w:sz w:val="18"/>
        </w:rPr>
        <w:t xml:space="preserve">🔮 Perspectives : </w:t>
      </w:r>
      <w:r>
        <w:rPr>
          <w:sz w:val="18"/>
        </w:rPr>
        <w:t>La banque s'engage dans une dynamique commerciale soutenue avec la refonte de son offre PME et son plan de transformation digitale. L'élaboration d'un nouveau plan stratégique 2022-2026 vise à construire un modèle économique renforcé pour tous les stakeholders. Les partenariats stratégiques notammen</w:t>
      </w:r>
    </w:p>
    <w:p/>
    <w:p>
      <w:r>
        <w:t>════════════════════════════════════════════════════════════════════════════════</w:t>
      </w:r>
    </w:p>
    <w:p>
      <w:r>
        <w:br w:type="page"/>
      </w:r>
    </w:p>
    <w:p>
      <w:pPr>
        <w:pStyle w:val="Heading2"/>
        <w:spacing w:before="360"/>
      </w:pPr>
      <w:r>
        <w:rPr>
          <w:color w:val="0066CC"/>
        </w:rPr>
        <w:t>21. NTLC - NTLC - NESTLE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NTLC</w:t>
            </w:r>
          </w:p>
          <w:p>
            <w:r>
              <w:rPr>
                <w:b/>
                <w:color w:val="323250"/>
                <w:sz w:val="16"/>
              </w:rPr>
              <w:t xml:space="preserve">Société : </w:t>
            </w:r>
            <w:r>
              <w:rPr>
                <w:color w:val="000000"/>
                <w:sz w:val="16"/>
              </w:rPr>
              <w:t>NTLC - NESTLE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372.99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1,486 titres</w:t>
            </w:r>
          </w:p>
        </w:tc>
        <w:tc>
          <w:tcPr>
            <w:tcW w:type="dxa" w:w="2268"/>
            <w:shd w:fill="FFF2CC" w:val="clear"/>
          </w:tcPr>
          <w:p>
            <w:r>
              <w:rPr>
                <w:b/>
                <w:color w:val="503200"/>
                <w:sz w:val="16"/>
              </w:rPr>
              <w:t xml:space="preserve">Cours actuel : </w:t>
            </w:r>
            <w:r>
              <w:rPr>
                <w:color w:val="000000"/>
                <w:sz w:val="17"/>
              </w:rPr>
              <w:t>16,900 FCFA</w:t>
            </w:r>
          </w:p>
          <w:p>
            <w:r>
              <w:rPr>
                <w:b/>
                <w:color w:val="503200"/>
                <w:sz w:val="16"/>
              </w:rPr>
              <w:t xml:space="preserve">Var. 100 jours : </w:t>
            </w:r>
            <w:r>
              <w:rPr>
                <w:b/>
                <w:color w:val="007800"/>
                <w:sz w:val="17"/>
              </w:rPr>
              <w:t>+35.20%</w:t>
            </w:r>
          </w:p>
          <w:p>
            <w:r>
              <w:rPr>
                <w:b/>
                <w:color w:val="503200"/>
                <w:sz w:val="16"/>
              </w:rPr>
              <w:t xml:space="preserve">Plus haut 100j : </w:t>
            </w:r>
            <w:r>
              <w:rPr>
                <w:color w:val="000000"/>
                <w:sz w:val="17"/>
              </w:rPr>
              <w:t>17,450 FCFA</w:t>
            </w:r>
          </w:p>
          <w:p>
            <w:r>
              <w:rPr>
                <w:b/>
                <w:color w:val="503200"/>
                <w:sz w:val="16"/>
              </w:rPr>
              <w:t xml:space="preserve">Plus bas 100j : </w:t>
            </w:r>
            <w:r>
              <w:rPr>
                <w:color w:val="000000"/>
                <w:sz w:val="17"/>
              </w:rPr>
              <w:t>11,150 FCFA</w:t>
            </w:r>
          </w:p>
          <w:p>
            <w:r>
              <w:rPr>
                <w:b/>
                <w:color w:val="503200"/>
                <w:sz w:val="16"/>
              </w:rPr>
              <w:t xml:space="preserve">Volatilité ann. : </w:t>
            </w:r>
            <w:r>
              <w:rPr>
                <w:color w:val="000000"/>
                <w:sz w:val="17"/>
              </w:rPr>
              <w:t>33.6%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14.09% (Moyenne) — μ=14,432 FCFA, σ=2,034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β=0.0464 (Défensif) — Cov=0.000002, Var(idx)=0.000035, ρ=0.013,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1,486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σ_j=2.12%/j (Stable) — Vol. annualisée≈33.6%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03190"/>
            <wp:docPr id="23" name="Picture 23"/>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2026-08-28</w:t>
            </w:r>
          </w:p>
        </w:tc>
        <w:tc>
          <w:tcPr>
            <w:tcW w:type="dxa" w:w="1440"/>
            <w:shd w:fill="FAFAFA" w:val="clear"/>
          </w:tcPr>
          <w:p>
            <w:r>
              <w:rPr>
                <w:sz w:val="17"/>
              </w:rPr>
              <w:t>16,484</w:t>
            </w:r>
          </w:p>
        </w:tc>
        <w:tc>
          <w:tcPr>
            <w:tcW w:type="dxa" w:w="1440"/>
            <w:shd w:fill="FAFAFA" w:val="clear"/>
          </w:tcPr>
          <w:p>
            <w:r>
              <w:rPr>
                <w:b/>
                <w:sz w:val="17"/>
              </w:rPr>
              <w:t>16,756</w:t>
            </w:r>
          </w:p>
        </w:tc>
        <w:tc>
          <w:tcPr>
            <w:tcW w:type="dxa" w:w="1440"/>
            <w:shd w:fill="FAFAFA" w:val="clear"/>
          </w:tcPr>
          <w:p>
            <w:r>
              <w:rPr>
                <w:sz w:val="17"/>
              </w:rPr>
              <w:t>17,028</w:t>
            </w:r>
          </w:p>
        </w:tc>
        <w:tc>
          <w:tcPr>
            <w:tcW w:type="dxa" w:w="1440"/>
            <w:shd w:fill="FAFAFA" w:val="clear"/>
          </w:tcPr>
          <w:p>
            <w:r>
              <w:rPr>
                <w:b/>
                <w:color w:val="C00000"/>
                <w:sz w:val="17"/>
              </w:rPr>
              <w:t>-0.9%</w:t>
            </w:r>
          </w:p>
        </w:tc>
      </w:tr>
      <w:tr>
        <w:tc>
          <w:tcPr>
            <w:tcW w:type="dxa" w:w="1440"/>
            <w:shd w:fill="FAFAFA" w:val="clear"/>
          </w:tcPr>
          <w:p>
            <w:r>
              <w:rPr>
                <w:sz w:val="17"/>
              </w:rPr>
              <w:t>J+2  Moyenne</w:t>
            </w:r>
          </w:p>
        </w:tc>
        <w:tc>
          <w:tcPr>
            <w:tcW w:type="dxa" w:w="1440"/>
            <w:shd w:fill="FAFAFA" w:val="clear"/>
          </w:tcPr>
          <w:p>
            <w:r>
              <w:rPr>
                <w:sz w:val="17"/>
              </w:rPr>
              <w:t>2026-08-31</w:t>
            </w:r>
          </w:p>
        </w:tc>
        <w:tc>
          <w:tcPr>
            <w:tcW w:type="dxa" w:w="1440"/>
            <w:shd w:fill="FAFAFA" w:val="clear"/>
          </w:tcPr>
          <w:p>
            <w:r>
              <w:rPr>
                <w:sz w:val="17"/>
              </w:rPr>
              <w:t>16,326</w:t>
            </w:r>
          </w:p>
        </w:tc>
        <w:tc>
          <w:tcPr>
            <w:tcW w:type="dxa" w:w="1440"/>
            <w:shd w:fill="FAFAFA" w:val="clear"/>
          </w:tcPr>
          <w:p>
            <w:r>
              <w:rPr>
                <w:b/>
                <w:sz w:val="17"/>
              </w:rPr>
              <w:t>16,709</w:t>
            </w:r>
          </w:p>
        </w:tc>
        <w:tc>
          <w:tcPr>
            <w:tcW w:type="dxa" w:w="1440"/>
            <w:shd w:fill="FAFAFA" w:val="clear"/>
          </w:tcPr>
          <w:p>
            <w:r>
              <w:rPr>
                <w:sz w:val="17"/>
              </w:rPr>
              <w:t>17,093</w:t>
            </w:r>
          </w:p>
        </w:tc>
        <w:tc>
          <w:tcPr>
            <w:tcW w:type="dxa" w:w="1440"/>
            <w:shd w:fill="FAFAFA" w:val="clear"/>
          </w:tcPr>
          <w:p>
            <w:r>
              <w:rPr>
                <w:b/>
                <w:color w:val="C00000"/>
                <w:sz w:val="17"/>
              </w:rPr>
              <w:t>-1.1%</w:t>
            </w:r>
          </w:p>
        </w:tc>
      </w:tr>
      <w:tr>
        <w:tc>
          <w:tcPr>
            <w:tcW w:type="dxa" w:w="1440"/>
            <w:shd w:fill="FAFAFA" w:val="clear"/>
          </w:tcPr>
          <w:p>
            <w:r>
              <w:rPr>
                <w:sz w:val="17"/>
              </w:rPr>
              <w:t>J+3  ⭐</w:t>
            </w:r>
          </w:p>
        </w:tc>
        <w:tc>
          <w:tcPr>
            <w:tcW w:type="dxa" w:w="1440"/>
            <w:shd w:fill="FAFAFA" w:val="clear"/>
          </w:tcPr>
          <w:p>
            <w:r>
              <w:rPr>
                <w:sz w:val="17"/>
              </w:rPr>
              <w:t>2026-09-01</w:t>
            </w:r>
          </w:p>
        </w:tc>
        <w:tc>
          <w:tcPr>
            <w:tcW w:type="dxa" w:w="1440"/>
            <w:shd w:fill="FAFAFA" w:val="clear"/>
          </w:tcPr>
          <w:p>
            <w:r>
              <w:rPr>
                <w:sz w:val="17"/>
              </w:rPr>
              <w:t>16,189</w:t>
            </w:r>
          </w:p>
        </w:tc>
        <w:tc>
          <w:tcPr>
            <w:tcW w:type="dxa" w:w="1440"/>
            <w:shd w:fill="FAFAFA" w:val="clear"/>
          </w:tcPr>
          <w:p>
            <w:r>
              <w:rPr>
                <w:b/>
                <w:sz w:val="17"/>
              </w:rPr>
              <w:t>16,657</w:t>
            </w:r>
          </w:p>
        </w:tc>
        <w:tc>
          <w:tcPr>
            <w:tcW w:type="dxa" w:w="1440"/>
            <w:shd w:fill="FAFAFA" w:val="clear"/>
          </w:tcPr>
          <w:p>
            <w:r>
              <w:rPr>
                <w:sz w:val="17"/>
              </w:rPr>
              <w:t>17,125</w:t>
            </w:r>
          </w:p>
        </w:tc>
        <w:tc>
          <w:tcPr>
            <w:tcW w:type="dxa" w:w="1440"/>
            <w:shd w:fill="FAFAFA" w:val="clear"/>
          </w:tcPr>
          <w:p>
            <w:r>
              <w:rPr>
                <w:b/>
                <w:color w:val="C00000"/>
                <w:sz w:val="17"/>
              </w:rPr>
              <w:t>-1.4%</w:t>
            </w:r>
          </w:p>
        </w:tc>
      </w:tr>
      <w:tr>
        <w:tc>
          <w:tcPr>
            <w:tcW w:type="dxa" w:w="1440"/>
            <w:shd w:fill="FAFAFA" w:val="clear"/>
          </w:tcPr>
          <w:p>
            <w:r>
              <w:rPr>
                <w:sz w:val="17"/>
              </w:rPr>
              <w:t>J+4  ⭐</w:t>
            </w:r>
          </w:p>
        </w:tc>
        <w:tc>
          <w:tcPr>
            <w:tcW w:type="dxa" w:w="1440"/>
            <w:shd w:fill="FAFAFA" w:val="clear"/>
          </w:tcPr>
          <w:p>
            <w:r>
              <w:rPr>
                <w:sz w:val="17"/>
              </w:rPr>
              <w:t>2026-09-02</w:t>
            </w:r>
          </w:p>
        </w:tc>
        <w:tc>
          <w:tcPr>
            <w:tcW w:type="dxa" w:w="1440"/>
            <w:shd w:fill="FAFAFA" w:val="clear"/>
          </w:tcPr>
          <w:p>
            <w:r>
              <w:rPr>
                <w:sz w:val="17"/>
              </w:rPr>
              <w:t>16,066</w:t>
            </w:r>
          </w:p>
        </w:tc>
        <w:tc>
          <w:tcPr>
            <w:tcW w:type="dxa" w:w="1440"/>
            <w:shd w:fill="FAFAFA" w:val="clear"/>
          </w:tcPr>
          <w:p>
            <w:r>
              <w:rPr>
                <w:b/>
                <w:sz w:val="17"/>
              </w:rPr>
              <w:t>16,604</w:t>
            </w:r>
          </w:p>
        </w:tc>
        <w:tc>
          <w:tcPr>
            <w:tcW w:type="dxa" w:w="1440"/>
            <w:shd w:fill="FAFAFA" w:val="clear"/>
          </w:tcPr>
          <w:p>
            <w:r>
              <w:rPr>
                <w:sz w:val="17"/>
              </w:rPr>
              <w:t>17,143</w:t>
            </w:r>
          </w:p>
        </w:tc>
        <w:tc>
          <w:tcPr>
            <w:tcW w:type="dxa" w:w="1440"/>
            <w:shd w:fill="FAFAFA" w:val="clear"/>
          </w:tcPr>
          <w:p>
            <w:r>
              <w:rPr>
                <w:b/>
                <w:color w:val="C00000"/>
                <w:sz w:val="17"/>
              </w:rPr>
              <w:t>-1.7%</w:t>
            </w:r>
          </w:p>
        </w:tc>
      </w:tr>
      <w:tr>
        <w:tc>
          <w:tcPr>
            <w:tcW w:type="dxa" w:w="1440"/>
            <w:shd w:fill="FFDCE0" w:val="clear"/>
          </w:tcPr>
          <w:p>
            <w:r>
              <w:rPr>
                <w:sz w:val="17"/>
              </w:rPr>
              <w:t>J+5  ⭐</w:t>
            </w:r>
          </w:p>
        </w:tc>
        <w:tc>
          <w:tcPr>
            <w:tcW w:type="dxa" w:w="1440"/>
            <w:shd w:fill="FFDCE0" w:val="clear"/>
          </w:tcPr>
          <w:p>
            <w:r>
              <w:rPr>
                <w:sz w:val="17"/>
              </w:rPr>
              <w:t>2026-09-03</w:t>
            </w:r>
          </w:p>
        </w:tc>
        <w:tc>
          <w:tcPr>
            <w:tcW w:type="dxa" w:w="1440"/>
            <w:shd w:fill="FFDCE0" w:val="clear"/>
          </w:tcPr>
          <w:p>
            <w:r>
              <w:rPr>
                <w:sz w:val="17"/>
              </w:rPr>
              <w:t>15,952</w:t>
            </w:r>
          </w:p>
        </w:tc>
        <w:tc>
          <w:tcPr>
            <w:tcW w:type="dxa" w:w="1440"/>
            <w:shd w:fill="FFDCE0" w:val="clear"/>
          </w:tcPr>
          <w:p>
            <w:r>
              <w:rPr>
                <w:b/>
                <w:sz w:val="17"/>
              </w:rPr>
              <w:t>16,553</w:t>
            </w:r>
          </w:p>
        </w:tc>
        <w:tc>
          <w:tcPr>
            <w:tcW w:type="dxa" w:w="1440"/>
            <w:shd w:fill="FFDCE0" w:val="clear"/>
          </w:tcPr>
          <w:p>
            <w:r>
              <w:rPr>
                <w:sz w:val="17"/>
              </w:rPr>
              <w:t>17,153</w:t>
            </w:r>
          </w:p>
        </w:tc>
        <w:tc>
          <w:tcPr>
            <w:tcW w:type="dxa" w:w="1440"/>
            <w:shd w:fill="FFDCE0" w:val="clear"/>
          </w:tcPr>
          <w:p>
            <w:r>
              <w:rPr>
                <w:b/>
                <w:color w:val="C00000"/>
                <w:sz w:val="17"/>
              </w:rPr>
              <w:t>-2.1%</w:t>
            </w:r>
          </w:p>
        </w:tc>
      </w:tr>
      <w:tr>
        <w:tc>
          <w:tcPr>
            <w:tcW w:type="dxa" w:w="1440"/>
            <w:shd w:fill="FFDCE0" w:val="clear"/>
          </w:tcPr>
          <w:p>
            <w:r>
              <w:rPr>
                <w:sz w:val="17"/>
              </w:rPr>
              <w:t>J+6  ⭐</w:t>
            </w:r>
          </w:p>
        </w:tc>
        <w:tc>
          <w:tcPr>
            <w:tcW w:type="dxa" w:w="1440"/>
            <w:shd w:fill="FFDCE0" w:val="clear"/>
          </w:tcPr>
          <w:p>
            <w:r>
              <w:rPr>
                <w:sz w:val="17"/>
              </w:rPr>
              <w:t>2026-09-04</w:t>
            </w:r>
          </w:p>
        </w:tc>
        <w:tc>
          <w:tcPr>
            <w:tcW w:type="dxa" w:w="1440"/>
            <w:shd w:fill="FFDCE0" w:val="clear"/>
          </w:tcPr>
          <w:p>
            <w:r>
              <w:rPr>
                <w:sz w:val="17"/>
              </w:rPr>
              <w:t>15,846</w:t>
            </w:r>
          </w:p>
        </w:tc>
        <w:tc>
          <w:tcPr>
            <w:tcW w:type="dxa" w:w="1440"/>
            <w:shd w:fill="FFDCE0" w:val="clear"/>
          </w:tcPr>
          <w:p>
            <w:r>
              <w:rPr>
                <w:b/>
                <w:sz w:val="17"/>
              </w:rPr>
              <w:t>16,502</w:t>
            </w:r>
          </w:p>
        </w:tc>
        <w:tc>
          <w:tcPr>
            <w:tcW w:type="dxa" w:w="1440"/>
            <w:shd w:fill="FFDCE0" w:val="clear"/>
          </w:tcPr>
          <w:p>
            <w:r>
              <w:rPr>
                <w:sz w:val="17"/>
              </w:rPr>
              <w:t>17,158</w:t>
            </w:r>
          </w:p>
        </w:tc>
        <w:tc>
          <w:tcPr>
            <w:tcW w:type="dxa" w:w="1440"/>
            <w:shd w:fill="FFDCE0" w:val="clear"/>
          </w:tcPr>
          <w:p>
            <w:r>
              <w:rPr>
                <w:b/>
                <w:color w:val="C00000"/>
                <w:sz w:val="17"/>
              </w:rPr>
              <w:t>-2.4%</w:t>
            </w:r>
          </w:p>
        </w:tc>
      </w:tr>
      <w:tr>
        <w:tc>
          <w:tcPr>
            <w:tcW w:type="dxa" w:w="1440"/>
            <w:shd w:fill="FFDCE0" w:val="clear"/>
          </w:tcPr>
          <w:p>
            <w:r>
              <w:rPr>
                <w:sz w:val="17"/>
              </w:rPr>
              <w:t>J+7  ⭐</w:t>
            </w:r>
          </w:p>
        </w:tc>
        <w:tc>
          <w:tcPr>
            <w:tcW w:type="dxa" w:w="1440"/>
            <w:shd w:fill="FFDCE0" w:val="clear"/>
          </w:tcPr>
          <w:p>
            <w:r>
              <w:rPr>
                <w:sz w:val="17"/>
              </w:rPr>
              <w:t>2026-09-07</w:t>
            </w:r>
          </w:p>
        </w:tc>
        <w:tc>
          <w:tcPr>
            <w:tcW w:type="dxa" w:w="1440"/>
            <w:shd w:fill="FFDCE0" w:val="clear"/>
          </w:tcPr>
          <w:p>
            <w:r>
              <w:rPr>
                <w:sz w:val="17"/>
              </w:rPr>
              <w:t>15,746</w:t>
            </w:r>
          </w:p>
        </w:tc>
        <w:tc>
          <w:tcPr>
            <w:tcW w:type="dxa" w:w="1440"/>
            <w:shd w:fill="FFDCE0" w:val="clear"/>
          </w:tcPr>
          <w:p>
            <w:r>
              <w:rPr>
                <w:b/>
                <w:sz w:val="17"/>
              </w:rPr>
              <w:t>16,452</w:t>
            </w:r>
          </w:p>
        </w:tc>
        <w:tc>
          <w:tcPr>
            <w:tcW w:type="dxa" w:w="1440"/>
            <w:shd w:fill="FFDCE0" w:val="clear"/>
          </w:tcPr>
          <w:p>
            <w:r>
              <w:rPr>
                <w:sz w:val="17"/>
              </w:rPr>
              <w:t>17,158</w:t>
            </w:r>
          </w:p>
        </w:tc>
        <w:tc>
          <w:tcPr>
            <w:tcW w:type="dxa" w:w="1440"/>
            <w:shd w:fill="FFDCE0" w:val="clear"/>
          </w:tcPr>
          <w:p>
            <w:r>
              <w:rPr>
                <w:b/>
                <w:color w:val="C00000"/>
                <w:sz w:val="17"/>
              </w:rPr>
              <w:t>-2.6%</w:t>
            </w:r>
          </w:p>
        </w:tc>
      </w:tr>
      <w:tr>
        <w:tc>
          <w:tcPr>
            <w:tcW w:type="dxa" w:w="1440"/>
            <w:shd w:fill="FFDCE0" w:val="clear"/>
          </w:tcPr>
          <w:p>
            <w:r>
              <w:rPr>
                <w:sz w:val="17"/>
              </w:rPr>
              <w:t>J+8  ⭐</w:t>
            </w:r>
          </w:p>
        </w:tc>
        <w:tc>
          <w:tcPr>
            <w:tcW w:type="dxa" w:w="1440"/>
            <w:shd w:fill="FFDCE0" w:val="clear"/>
          </w:tcPr>
          <w:p>
            <w:r>
              <w:rPr>
                <w:sz w:val="17"/>
              </w:rPr>
              <w:t>2026-09-08</w:t>
            </w:r>
          </w:p>
        </w:tc>
        <w:tc>
          <w:tcPr>
            <w:tcW w:type="dxa" w:w="1440"/>
            <w:shd w:fill="FFDCE0" w:val="clear"/>
          </w:tcPr>
          <w:p>
            <w:r>
              <w:rPr>
                <w:sz w:val="17"/>
              </w:rPr>
              <w:t>15,651</w:t>
            </w:r>
          </w:p>
        </w:tc>
        <w:tc>
          <w:tcPr>
            <w:tcW w:type="dxa" w:w="1440"/>
            <w:shd w:fill="FFDCE0" w:val="clear"/>
          </w:tcPr>
          <w:p>
            <w:r>
              <w:rPr>
                <w:b/>
                <w:sz w:val="17"/>
              </w:rPr>
              <w:t>16,404</w:t>
            </w:r>
          </w:p>
        </w:tc>
        <w:tc>
          <w:tcPr>
            <w:tcW w:type="dxa" w:w="1440"/>
            <w:shd w:fill="FFDCE0" w:val="clear"/>
          </w:tcPr>
          <w:p>
            <w:r>
              <w:rPr>
                <w:sz w:val="17"/>
              </w:rPr>
              <w:t>17,156</w:t>
            </w:r>
          </w:p>
        </w:tc>
        <w:tc>
          <w:tcPr>
            <w:tcW w:type="dxa" w:w="1440"/>
            <w:shd w:fill="FFDCE0" w:val="clear"/>
          </w:tcPr>
          <w:p>
            <w:r>
              <w:rPr>
                <w:b/>
                <w:color w:val="C00000"/>
                <w:sz w:val="17"/>
              </w:rPr>
              <w:t>-2.9%</w:t>
            </w:r>
          </w:p>
        </w:tc>
      </w:tr>
      <w:tr>
        <w:tc>
          <w:tcPr>
            <w:tcW w:type="dxa" w:w="1440"/>
            <w:shd w:fill="FFDCE0" w:val="clear"/>
          </w:tcPr>
          <w:p>
            <w:r>
              <w:rPr>
                <w:sz w:val="17"/>
              </w:rPr>
              <w:t>J+9  ⭐</w:t>
            </w:r>
          </w:p>
        </w:tc>
        <w:tc>
          <w:tcPr>
            <w:tcW w:type="dxa" w:w="1440"/>
            <w:shd w:fill="FFDCE0" w:val="clear"/>
          </w:tcPr>
          <w:p>
            <w:r>
              <w:rPr>
                <w:sz w:val="17"/>
              </w:rPr>
              <w:t>2026-09-09</w:t>
            </w:r>
          </w:p>
        </w:tc>
        <w:tc>
          <w:tcPr>
            <w:tcW w:type="dxa" w:w="1440"/>
            <w:shd w:fill="FFDCE0" w:val="clear"/>
          </w:tcPr>
          <w:p>
            <w:r>
              <w:rPr>
                <w:sz w:val="17"/>
              </w:rPr>
              <w:t>15,560</w:t>
            </w:r>
          </w:p>
        </w:tc>
        <w:tc>
          <w:tcPr>
            <w:tcW w:type="dxa" w:w="1440"/>
            <w:shd w:fill="FFDCE0" w:val="clear"/>
          </w:tcPr>
          <w:p>
            <w:r>
              <w:rPr>
                <w:b/>
                <w:sz w:val="17"/>
              </w:rPr>
              <w:t>16,356</w:t>
            </w:r>
          </w:p>
        </w:tc>
        <w:tc>
          <w:tcPr>
            <w:tcW w:type="dxa" w:w="1440"/>
            <w:shd w:fill="FFDCE0" w:val="clear"/>
          </w:tcPr>
          <w:p>
            <w:r>
              <w:rPr>
                <w:sz w:val="17"/>
              </w:rPr>
              <w:t>17,152</w:t>
            </w:r>
          </w:p>
        </w:tc>
        <w:tc>
          <w:tcPr>
            <w:tcW w:type="dxa" w:w="1440"/>
            <w:shd w:fill="FFDCE0" w:val="clear"/>
          </w:tcPr>
          <w:p>
            <w:r>
              <w:rPr>
                <w:b/>
                <w:color w:val="C00000"/>
                <w:sz w:val="17"/>
              </w:rPr>
              <w:t>-3.2%</w:t>
            </w:r>
          </w:p>
        </w:tc>
      </w:tr>
      <w:tr>
        <w:tc>
          <w:tcPr>
            <w:tcW w:type="dxa" w:w="1440"/>
            <w:shd w:fill="FFDCE0" w:val="clear"/>
          </w:tcPr>
          <w:p>
            <w:r>
              <w:rPr>
                <w:sz w:val="17"/>
              </w:rPr>
              <w:t>J+10  ⭐</w:t>
            </w:r>
          </w:p>
        </w:tc>
        <w:tc>
          <w:tcPr>
            <w:tcW w:type="dxa" w:w="1440"/>
            <w:shd w:fill="FFDCE0" w:val="clear"/>
          </w:tcPr>
          <w:p>
            <w:r>
              <w:rPr>
                <w:sz w:val="17"/>
              </w:rPr>
              <w:t>2026-09-10</w:t>
            </w:r>
          </w:p>
        </w:tc>
        <w:tc>
          <w:tcPr>
            <w:tcW w:type="dxa" w:w="1440"/>
            <w:shd w:fill="FFDCE0" w:val="clear"/>
          </w:tcPr>
          <w:p>
            <w:r>
              <w:rPr>
                <w:sz w:val="17"/>
              </w:rPr>
              <w:t>15,473</w:t>
            </w:r>
          </w:p>
        </w:tc>
        <w:tc>
          <w:tcPr>
            <w:tcW w:type="dxa" w:w="1440"/>
            <w:shd w:fill="FFDCE0" w:val="clear"/>
          </w:tcPr>
          <w:p>
            <w:r>
              <w:rPr>
                <w:b/>
                <w:sz w:val="17"/>
              </w:rPr>
              <w:t>16,310</w:t>
            </w:r>
          </w:p>
        </w:tc>
        <w:tc>
          <w:tcPr>
            <w:tcW w:type="dxa" w:w="1440"/>
            <w:shd w:fill="FFDCE0" w:val="clear"/>
          </w:tcPr>
          <w:p>
            <w:r>
              <w:rPr>
                <w:sz w:val="17"/>
              </w:rPr>
              <w:t>17,146</w:t>
            </w:r>
          </w:p>
        </w:tc>
        <w:tc>
          <w:tcPr>
            <w:tcW w:type="dxa" w:w="1440"/>
            <w:shd w:fill="FFDCE0" w:val="clear"/>
          </w:tcPr>
          <w:p>
            <w:r>
              <w:rPr>
                <w:b/>
                <w:color w:val="C00000"/>
                <w:sz w:val="17"/>
              </w:rPr>
              <w:t>-3.5%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48.141 Mds FCFA</w:t>
            </w:r>
          </w:p>
        </w:tc>
        <w:tc>
          <w:tcPr>
            <w:tcW w:type="dxa" w:w="5669"/>
            <w:shd w:fill="FFFFFF" w:val="clear"/>
          </w:tcPr>
          <w:p>
            <w:r>
              <w:rPr>
                <w:color w:val="282828"/>
                <w:sz w:val="15"/>
              </w:rPr>
              <w:t>Créances clients = 20.6%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38.482 Mds FCFA</w:t>
            </w:r>
          </w:p>
        </w:tc>
        <w:tc>
          <w:tcPr>
            <w:tcW w:type="dxa" w:w="5669"/>
            <w:shd w:fill="FFFFFF" w:val="clear"/>
          </w:tcPr>
          <w:p>
            <w:r>
              <w:rPr>
                <w:color w:val="282828"/>
                <w:sz w:val="15"/>
              </w:rPr>
              <w:t>Rotation stocks = 6.1x/an.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86.623 Mds FCFA</w:t>
            </w:r>
          </w:p>
        </w:tc>
        <w:tc>
          <w:tcPr>
            <w:tcW w:type="dxa" w:w="5669"/>
            <w:shd w:fill="FFFFFF" w:val="clear"/>
          </w:tcPr>
          <w:p>
            <w:r>
              <w:rPr>
                <w:color w:val="282828"/>
                <w:sz w:val="15"/>
              </w:rPr>
              <w:t>Ratio actif circ./passif circ. = 1.35x. ✅ Couverture satisfaisante des dettes court terme.</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91.945 Mds FCFA</w:t>
            </w:r>
          </w:p>
        </w:tc>
        <w:tc>
          <w:tcPr>
            <w:tcW w:type="dxa" w:w="5669"/>
            <w:shd w:fill="FFFFFF" w:val="clear"/>
          </w:tcPr>
          <w:p>
            <w:r>
              <w:rPr>
                <w:color w:val="282828"/>
                <w:sz w:val="15"/>
              </w:rPr>
              <w:t>Outil industriel (48.4%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93.990 Mds FCFA</w:t>
            </w:r>
          </w:p>
        </w:tc>
        <w:tc>
          <w:tcPr>
            <w:tcW w:type="dxa" w:w="5669"/>
            <w:shd w:fill="FFFFFF" w:val="clear"/>
          </w:tcPr>
          <w:p>
            <w:r>
              <w:rPr>
                <w:color w:val="282828"/>
                <w:sz w:val="15"/>
              </w:rPr>
              <w:t>Actif immobilisé = 49.5%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9.296 Mds FCFA</w:t>
            </w:r>
          </w:p>
        </w:tc>
        <w:tc>
          <w:tcPr>
            <w:tcW w:type="dxa" w:w="5669"/>
            <w:shd w:fill="FFFFFF" w:val="clear"/>
          </w:tcPr>
          <w:p>
            <w:r>
              <w:rPr>
                <w:color w:val="282828"/>
                <w:sz w:val="15"/>
              </w:rPr>
              <w:t>Liquidités disponibles (4.9%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189.959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5.518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5.581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29.588 Mds FCFA</w:t>
            </w:r>
          </w:p>
        </w:tc>
        <w:tc>
          <w:tcPr>
            <w:tcW w:type="dxa" w:w="5669"/>
            <w:shd w:fill="FFFFFF" w:val="clear"/>
          </w:tcPr>
          <w:p>
            <w:r>
              <w:rPr>
                <w:color w:val="282828"/>
                <w:sz w:val="15"/>
              </w:rPr>
              <w:t>Fonds propres = 15.6%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69.784 Mds FCFA</w:t>
            </w:r>
          </w:p>
        </w:tc>
        <w:tc>
          <w:tcPr>
            <w:tcW w:type="dxa" w:w="5669"/>
            <w:shd w:fill="FFFFFF" w:val="clear"/>
          </w:tcPr>
          <w:p>
            <w:r>
              <w:rPr>
                <w:color w:val="282828"/>
                <w:sz w:val="15"/>
              </w:rPr>
              <w:t>Capitaux permanents / Actif immobilisé = 0.74x. ⚠️ Une partie des actifs LT est financée par des dettes CT — risque de liquidité.</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32.097 Mds FCFA</w:t>
            </w:r>
          </w:p>
        </w:tc>
        <w:tc>
          <w:tcPr>
            <w:tcW w:type="dxa" w:w="5669"/>
            <w:shd w:fill="FFFFFF" w:val="clear"/>
          </w:tcPr>
          <w:p>
            <w:r>
              <w:rPr>
                <w:color w:val="282828"/>
                <w:sz w:val="15"/>
              </w:rPr>
              <w:t>Dette LT/MT = 108%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40.196 Mds FCFA</w:t>
            </w:r>
          </w:p>
        </w:tc>
        <w:tc>
          <w:tcPr>
            <w:tcW w:type="dxa" w:w="5669"/>
            <w:shd w:fill="FFFFFF" w:val="clear"/>
          </w:tcPr>
          <w:p>
            <w:r>
              <w:rPr>
                <w:color w:val="282828"/>
                <w:sz w:val="15"/>
              </w:rPr>
              <w:t>Dette financière totale = 136%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160.371 Mds FCFA</w:t>
            </w:r>
          </w:p>
        </w:tc>
        <w:tc>
          <w:tcPr>
            <w:tcW w:type="dxa" w:w="5669"/>
            <w:shd w:fill="FFFFFF" w:val="clear"/>
          </w:tcPr>
          <w:p>
            <w:r>
              <w:rPr>
                <w:color w:val="282828"/>
                <w:sz w:val="15"/>
              </w:rPr>
              <w:t>Dettes totales = 84.4%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233.261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233.261 Mds FCFA</w:t>
            </w:r>
          </w:p>
        </w:tc>
        <w:tc>
          <w:tcPr>
            <w:tcW w:type="dxa" w:w="5669"/>
            <w:shd w:fill="FFFFFF" w:val="clear"/>
          </w:tcPr>
          <w:p>
            <w:r>
              <w:rPr>
                <w:color w:val="282828"/>
                <w:sz w:val="15"/>
              </w:rPr>
              <w:t>Chiffre d'affaires. Croissance: 6.0%.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10.585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22.890 Mds FCFA</w:t>
            </w:r>
          </w:p>
        </w:tc>
        <w:tc>
          <w:tcPr>
            <w:tcW w:type="dxa" w:w="5669"/>
            <w:shd w:fill="FFFFFF" w:val="clear"/>
          </w:tcPr>
          <w:p>
            <w:r>
              <w:rPr>
                <w:color w:val="282828"/>
                <w:sz w:val="15"/>
              </w:rPr>
              <w:t>Masse salariale = 9.8%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69.061 Mds FCFA</w:t>
            </w:r>
          </w:p>
        </w:tc>
        <w:tc>
          <w:tcPr>
            <w:tcW w:type="dxa" w:w="5669"/>
            <w:shd w:fill="FFFFFF" w:val="clear"/>
          </w:tcPr>
          <w:p>
            <w:r>
              <w:rPr>
                <w:color w:val="282828"/>
                <w:sz w:val="15"/>
              </w:rPr>
              <w:t>VA = 29.6%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46.171 Mds FCFA</w:t>
            </w:r>
          </w:p>
        </w:tc>
        <w:tc>
          <w:tcPr>
            <w:tcW w:type="dxa" w:w="5669"/>
            <w:shd w:fill="FFFFFF" w:val="clear"/>
          </w:tcPr>
          <w:p>
            <w:r>
              <w:rPr>
                <w:color w:val="282828"/>
                <w:sz w:val="15"/>
              </w:rPr>
              <w:t>EBE = 19.8%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37.687 Mds FCFA</w:t>
            </w:r>
          </w:p>
        </w:tc>
        <w:tc>
          <w:tcPr>
            <w:tcW w:type="dxa" w:w="5669"/>
            <w:shd w:fill="FFFFFF" w:val="clear"/>
          </w:tcPr>
          <w:p>
            <w:r>
              <w:rPr>
                <w:color w:val="282828"/>
                <w:sz w:val="15"/>
              </w:rPr>
              <w:t>Profit d'exploitation = 16.2%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18.427 Mds FCFA</w:t>
            </w:r>
          </w:p>
        </w:tc>
        <w:tc>
          <w:tcPr>
            <w:tcW w:type="dxa" w:w="5669"/>
            <w:shd w:fill="FFFFFF" w:val="clear"/>
          </w:tcPr>
          <w:p>
            <w:r>
              <w:rPr>
                <w:color w:val="282828"/>
                <w:sz w:val="15"/>
              </w:rPr>
              <w:t>Marge nette = 7.9%.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BFR</w:t>
            </w:r>
          </w:p>
        </w:tc>
        <w:tc>
          <w:tcPr>
            <w:tcW w:type="dxa" w:w="1984"/>
            <w:shd w:fill="C6EFCE" w:val="clear"/>
          </w:tcPr>
          <w:p>
            <w:r>
              <w:rPr>
                <w:b/>
                <w:color w:val="006400"/>
                <w:sz w:val="17"/>
              </w:rPr>
              <w:t>22.625 Mds FCFA</w:t>
            </w:r>
          </w:p>
        </w:tc>
        <w:tc>
          <w:tcPr>
            <w:tcW w:type="dxa" w:w="5669"/>
            <w:shd w:fill="FFFFFF" w:val="clear"/>
          </w:tcPr>
          <w:p>
            <w:r>
              <w:rPr>
                <w:color w:val="282828"/>
                <w:sz w:val="15"/>
              </w:rPr>
              <w:t>BFR = 9.7%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-24.206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-46.831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29.61%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7.90%</w:t>
            </w:r>
          </w:p>
        </w:tc>
        <w:tc>
          <w:tcPr>
            <w:tcW w:type="dxa" w:w="5669"/>
            <w:shd w:fill="FFFFFF" w:val="clear"/>
          </w:tcPr>
          <w:p>
            <w:r>
              <w:rPr>
                <w:color w:val="282828"/>
                <w:sz w:val="15"/>
              </w:rPr>
              <w:t>Résultat net / revenus = 7.90%.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16.16%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62.28%</w:t>
            </w:r>
          </w:p>
        </w:tc>
        <w:tc>
          <w:tcPr>
            <w:tcW w:type="dxa" w:w="5669"/>
            <w:shd w:fill="FFFFFF" w:val="clear"/>
          </w:tcPr>
          <w:p>
            <w:r>
              <w:rPr>
                <w:color w:val="282828"/>
                <w:sz w:val="15"/>
              </w:rPr>
              <w:t>Résultat net / capitaux propres = 62.28%.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9.70%</w:t>
            </w:r>
          </w:p>
        </w:tc>
        <w:tc>
          <w:tcPr>
            <w:tcW w:type="dxa" w:w="5669"/>
            <w:shd w:fill="FFFFFF" w:val="clear"/>
          </w:tcPr>
          <w:p>
            <w:r>
              <w:rPr>
                <w:color w:val="282828"/>
                <w:sz w:val="15"/>
              </w:rPr>
              <w:t>Résultat net / total actif = 9.70%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122.80%</w:t>
            </w:r>
          </w:p>
        </w:tc>
        <w:tc>
          <w:tcPr>
            <w:tcW w:type="dxa" w:w="5669"/>
            <w:shd w:fill="FFFFFF" w:val="clear"/>
          </w:tcPr>
          <w:p>
            <w:r>
              <w:rPr>
                <w:color w:val="282828"/>
                <w:sz w:val="15"/>
              </w:rPr>
              <w:t>CA / total actif = 122.80x. ✅ Bonne efficience des actifs.</w:t>
            </w:r>
          </w:p>
        </w:tc>
      </w:tr>
      <w:tr>
        <w:tc>
          <w:tcPr>
            <w:tcW w:type="dxa" w:w="2268"/>
            <w:shd w:fill="EEF2F7" w:val="clear"/>
          </w:tcPr>
          <w:p>
            <w:r>
              <w:rPr>
                <w:b/>
                <w:color w:val="1E1E3C"/>
                <w:sz w:val="16"/>
              </w:rPr>
              <w:t>Coût du risque</w:t>
            </w:r>
          </w:p>
        </w:tc>
        <w:tc>
          <w:tcPr>
            <w:tcW w:type="dxa" w:w="1984"/>
            <w:shd w:fill="FFC7CE" w:val="clear"/>
          </w:tcPr>
          <w:p>
            <w:r>
              <w:rPr>
                <w:b/>
                <w:color w:val="006400"/>
                <w:sz w:val="17"/>
              </w:rPr>
              <w:t>3.41%</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5.97%</w:t>
            </w:r>
          </w:p>
        </w:tc>
        <w:tc>
          <w:tcPr>
            <w:tcW w:type="dxa" w:w="5669"/>
            <w:shd w:fill="FFFFFF" w:val="clear"/>
          </w:tcPr>
          <w:p>
            <w:r>
              <w:rPr>
                <w:color w:val="282828"/>
                <w:sz w:val="15"/>
              </w:rPr>
              <w:t>Croissance CA vs exercice précédent = 5.97%.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15.58%</w:t>
            </w:r>
          </w:p>
        </w:tc>
        <w:tc>
          <w:tcPr>
            <w:tcW w:type="dxa" w:w="5669"/>
            <w:shd w:fill="FFFFFF" w:val="clear"/>
          </w:tcPr>
          <w:p>
            <w:r>
              <w:rPr>
                <w:color w:val="282828"/>
                <w:sz w:val="15"/>
              </w:rPr>
              <w:t>Fonds propres / total bilan = 15.58%.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84.42%</w:t>
            </w:r>
          </w:p>
        </w:tc>
        <w:tc>
          <w:tcPr>
            <w:tcW w:type="dxa" w:w="5669"/>
            <w:shd w:fill="FFFFFF" w:val="clear"/>
          </w:tcPr>
          <w:p>
            <w:r>
              <w:rPr>
                <w:color w:val="282828"/>
                <w:sz w:val="15"/>
              </w:rPr>
              <w:t>Dettes financières / total bilan = 84.42%.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135.85%</w:t>
            </w:r>
          </w:p>
        </w:tc>
        <w:tc>
          <w:tcPr>
            <w:tcW w:type="dxa" w:w="5669"/>
            <w:shd w:fill="FFFFFF" w:val="clear"/>
          </w:tcPr>
          <w:p>
            <w:r>
              <w:rPr>
                <w:color w:val="282828"/>
                <w:sz w:val="15"/>
              </w:rPr>
              <w:t>Dettes totales / fonds propres = 135.85%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118.45%</w:t>
            </w:r>
          </w:p>
        </w:tc>
        <w:tc>
          <w:tcPr>
            <w:tcW w:type="dxa" w:w="5669"/>
            <w:shd w:fill="FFFFFF" w:val="clear"/>
          </w:tcPr>
          <w:p>
            <w:r>
              <w:rPr>
                <w:color w:val="282828"/>
                <w:sz w:val="15"/>
              </w:rPr>
              <w:t>Total actif / dettes totales = 118.45x.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79.86%</w:t>
            </w:r>
          </w:p>
        </w:tc>
        <w:tc>
          <w:tcPr>
            <w:tcW w:type="dxa" w:w="5669"/>
            <w:shd w:fill="FFFFFF" w:val="clear"/>
          </w:tcPr>
          <w:p>
            <w:r>
              <w:rPr>
                <w:color w:val="282828"/>
                <w:sz w:val="15"/>
              </w:rPr>
              <w:t>Actif circulant / passif circulant = 79.86x.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7.74%</w:t>
            </w:r>
          </w:p>
        </w:tc>
        <w:tc>
          <w:tcPr>
            <w:tcW w:type="dxa" w:w="5669"/>
            <w:shd w:fill="FFFFFF" w:val="clear"/>
          </w:tcPr>
          <w:p>
            <w:r>
              <w:rPr>
                <w:color w:val="282828"/>
                <w:sz w:val="15"/>
              </w:rPr>
              <w:t>Trésorerie / passif circulant = 7.74x.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47.82%</w:t>
            </w:r>
          </w:p>
        </w:tc>
        <w:tc>
          <w:tcPr>
            <w:tcW w:type="dxa" w:w="5669"/>
            <w:shd w:fill="FFFFFF" w:val="clear"/>
          </w:tcPr>
          <w:p>
            <w:r>
              <w:rPr>
                <w:color w:val="282828"/>
                <w:sz w:val="15"/>
              </w:rPr>
              <w:t>(Actif circ. - stocks) / passif circ. = 47.82x.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74.25%</w:t>
            </w:r>
          </w:p>
        </w:tc>
        <w:tc>
          <w:tcPr>
            <w:tcW w:type="dxa" w:w="5669"/>
            <w:shd w:fill="FFFFFF" w:val="clear"/>
          </w:tcPr>
          <w:p>
            <w:r>
              <w:rPr>
                <w:color w:val="282828"/>
                <w:sz w:val="15"/>
              </w:rPr>
              <w:t>Capitaux permanents / actif immobilisé = 74.25x. ❌ Partie des actifs LT financée par des ressources CT — risque de liquidité.</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473.63%</w:t>
            </w:r>
          </w:p>
        </w:tc>
        <w:tc>
          <w:tcPr>
            <w:tcW w:type="dxa" w:w="5669"/>
            <w:shd w:fill="FFFFFF" w:val="clear"/>
          </w:tcPr>
          <w:p>
            <w:r>
              <w:rPr>
                <w:color w:val="282828"/>
                <w:sz w:val="15"/>
              </w:rPr>
              <w:t>Résultat exploit. / charges financières = 473.63x. ✅ Excellente couverture des intérêts.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74.3 j</w:t>
            </w:r>
          </w:p>
        </w:tc>
        <w:tc>
          <w:tcPr>
            <w:tcW w:type="dxa" w:w="5669"/>
            <w:shd w:fill="FFFFFF" w:val="clear"/>
          </w:tcPr>
          <w:p>
            <w:r>
              <w:rPr>
                <w:color w:val="282828"/>
                <w:sz w:val="15"/>
              </w:rPr>
              <w:t>Les clients paient en moyenne en 74 jours. ⚠️ Délai long — risque d'impayés et tension de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59.4 j</w:t>
            </w:r>
          </w:p>
        </w:tc>
        <w:tc>
          <w:tcPr>
            <w:tcW w:type="dxa" w:w="5669"/>
            <w:shd w:fill="FFFFFF" w:val="clear"/>
          </w:tcPr>
          <w:p>
            <w:r>
              <w:rPr>
                <w:color w:val="282828"/>
                <w:sz w:val="15"/>
              </w:rPr>
              <w:t>Stock écoulé en 59 jours. ✅ Stockage standard.</w:t>
            </w:r>
          </w:p>
        </w:tc>
      </w:tr>
    </w:tbl>
    <w:p/>
    <w:p>
      <w:pPr>
        <w:spacing w:after="120" w:line="276" w:lineRule="auto"/>
      </w:pPr>
      <w:r>
        <w:t>**RAPPORT D'ANALYSE FINANCIÈRE — NTLC (NESTLÉ CÔTE D'IVOIRE)**</w:t>
        <w:br/>
        <w:t>**Date de l'analyse : 27 août 2026**</w:t>
        <w:br/>
        <w:t>**Cours de référence : 16 900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NTLC s'établit à **372,99 milliards FCFA**, ce qui en fait l'une des capitalisations les plus significatives de la BRVM, reflétant la stature de leader du groupe Nestlé dans la région. Avec un **BPA de 835 FCFA**, chaque action génère un bénéfice confortable, mais le **PER de 20,2x** est nettement supérieur à la moyenne historique de la BRVM (8-12x), indiquant que les investisseurs paient une prime substantielle pour la croissance anticipée et la qualité perçue de l'actif. Cette prime est confirmée par le **P/B de 12,61x**, qui valorise le titre très au-dessus de sa valeur comptable, signe d'une forte confiance du marché dans la rentabilité future de l'entreprise. Enfin, l'**EV/EBITDA de 10,0x** se situe dans la fourchette haute des valeurs raisonnables, suggérant que la valorisation globale de l'entreprise, bien qu'exigeante, reste soutenable au regard de sa capacité opérationnelle à générer des flux.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NTLC a enregistré une **hausse spectaculaire de +35,20%**, avec une dernière séance stable (0,00%), démontrant une dynamique haussière très soutenue. Le cours a évolué dans une fourchette large de **11 150 FCFA (plus bas) à 17 450 FCFA (plus haut)**, illustrant une forte volatilité et un appétit croissant des investisseurs. La **moyenne (14 432 FCFA)** est inférieure à la **médiane (14 998 FCFA)**, ce qui, combiné à un **skewness quasi nul (-0,066)** , indique une distribution des cours relativement symétrique mais avec une queue de distribution vers les valeurs basses. L'**écart-type de 2 044 FCFA** (CV de 14,2%) montre une dispersion modérée des prix autour de la moyenne. Le **kurtosis de -1,631** (distribution platykurtique) signale une absence de pics extrêmes et une faible concentration des variations, ce qui est cohérent avec une tendance progressive plutôt que des à-coups brutaux. La **volatilité annualisée de 33,6%** classe le titre comme **élevé**, indiquant un risque de marché significatif mais également un potentiel de rendement accru.</w:t>
      </w:r>
    </w:p>
    <w:p>
      <w:pPr>
        <w:spacing w:after="120" w:line="276" w:lineRule="auto"/>
      </w:pPr>
      <w:r>
        <w:t>---</w:t>
      </w:r>
    </w:p>
    <w:p>
      <w:pPr>
        <w:spacing w:after="120" w:line="276" w:lineRule="auto"/>
      </w:pPr>
      <w:r>
        <w:t>### PARTIE 2 : ANALYSE TECHNIQUE DÉTAILLÉE</w:t>
      </w:r>
    </w:p>
    <w:p>
      <w:pPr>
        <w:spacing w:after="120" w:line="276" w:lineRule="auto"/>
      </w:pPr>
      <w:r>
        <w:t>**Moyennes Mobiles (MM20=16 921, MM50=16 263,6) :** Le cours actuel (16 900 FCFA) se positionne juste sous sa moyenne mobile à 20 jours (16 921 FCFA) mais nettement au-dessus de sa moyenne à 50 jours (16 263,6 FCFA). Cette configuration, où le cours évolue au-dessus de la MM50 mais stagne sous la MM20, suggère une consolidation après une forte hausse. La décision d'**Achat** est justifiée par la tendance de fond qui reste positive, la MM50 servant de support dynamique solide.</w:t>
      </w:r>
    </w:p>
    <w:p>
      <w:pPr>
        <w:spacing w:after="120" w:line="276" w:lineRule="auto"/>
      </w:pPr>
      <w:r>
        <w:t>**Bandes de Bollinger (Borne sup=17 603,5, Borne inf=16 238,5) :** Le prix se situe dans la partie médiane-haute des bandes, à 16 900 FCFA, sans toucher les bornes. Cela indique une volatilité modérée et un marché en phase de stabilisation après les récents mouvements. La décision **Neutre** est appropriée, le titre n'étant ni suracheté ni survendu, laissant place à une poursuite de la tendance ou à un repli vers la moyenne.</w:t>
      </w:r>
    </w:p>
    <w:p>
      <w:pPr>
        <w:spacing w:after="120" w:line="276" w:lineRule="auto"/>
      </w:pPr>
      <w:r>
        <w:t>**MACD (Valeur=243,0, Signal=327,8) :** Le MACD est positif mais se situe sous sa ligne de signal, ce qui est un signal de **Vente** à court terme. Cette configuration indique un ralentissement du momentum haussier, les acheteurs perdant progressivement de la vigueur. Cela pourrait précéder une phase de correction ou de consolidation avant une éventuelle reprise.</w:t>
      </w:r>
    </w:p>
    <w:p>
      <w:pPr>
        <w:spacing w:after="120" w:line="276" w:lineRule="auto"/>
      </w:pPr>
      <w:r>
        <w:t>**RSI (Valeur=54,8) :** Le RSI est en zone neutre (entre 30 et 70), à 54,8, ce qui reflète un équilibre entre les forces acheteuses et vendeuses. Il n'y a pas de pression excessive à l'achat ni à la vente. La décision **Neutre** est cohérente, laissant la possibilité d'une évolution dans les deux sens sans signal directionnel fort.</w:t>
      </w:r>
    </w:p>
    <w:p>
      <w:pPr>
        <w:spacing w:after="120" w:line="276" w:lineRule="auto"/>
      </w:pPr>
      <w:r>
        <w:t>**Stochastique (%K=35,7, %D=35,7) :** Les deux lignes sont égales et en zone de survente relative (proche de 30), indiquant un potentiel de rebond technique. Le fait que %K et %D soient identiques suggère un manque de direction claire, mais leur niveau bas pourrait attirer les acheteurs. La décision **Neutre** est prudente, mais un croisement haussier pourrait se dessiner.</w:t>
      </w:r>
    </w:p>
    <w:p>
      <w:pPr>
        <w:spacing w:after="120" w:line="276" w:lineRule="auto"/>
      </w:pPr>
      <w:r>
        <w:t>**Conclusion technique :** Les indicateurs sont partagés. Les moyennes mobiles plaident pour une tendance haussière de fond, tandis que le MACD et le RSI montrent un essoufflement à court terme. Le titre est dans une phase de consolidation, avec un biais haussier à moyen terme. Un signal d'achat serait confirmé par un croisement du MACD au-dessus de sa ligne de signal et une cassure au-dessus de la MM20.</w:t>
      </w:r>
    </w:p>
    <w:p>
      <w:pPr>
        <w:spacing w:after="120" w:line="276" w:lineRule="auto"/>
      </w:pPr>
      <w:r>
        <w:t>---</w:t>
      </w:r>
    </w:p>
    <w:p>
      <w:pPr>
        <w:spacing w:after="120" w:line="276" w:lineRule="auto"/>
      </w:pPr>
      <w:r>
        <w:t>### PARTIE 3 : ANALYSE FONDAMENTALE (SECTION CRITIQUE)</w:t>
      </w:r>
    </w:p>
    <w:p>
      <w:pPr>
        <w:spacing w:after="120" w:line="276" w:lineRule="auto"/>
      </w:pPr>
      <w:r>
        <w:t>**En 2025**, selon les données structurées, NTLC a réalisé un **chiffre d'affaires de 233,26 milliards FCFA**, en hausse de 5,97% par rapport à 2024, et un **résultat net de 18,43 milliards FCFA**, en légère progression de 1,5%. La **marge nette** s'établit à **7,9%**, tandis que le **ROE** est exceptionnel à **62,3%** et le **ROA** à **9,7%**, démontrant une utilisation très efficace des capitaux propres et des actifs. En tant qu'entreprise, l'analyse se concentre sur le **BFR de 22,6 milliards FCFA** (positif, nécessitant un financement), un **délai client de 74 jours** et une **durée de stockage de 59 jours**, qui indiquent une gestion du cycle d'exploitation correcte mais perfectible. L'**endettement** est significatif avec un ratio d'endettement de 135,9%, mais la **couverture des intérêts** est très confortable à 473,6%. Les rapports narratifs montrent une évolution contrastée : le **T1 2025** était en baisse de CA (-11%) mais avec une marge nette en hausse (10,1%), tandis que le **S1 2025** a vu le résultat net chuter de 23,5% à cause des coûts des matières premières. Cependant, le **rapport du T1 2026 (publié en mai 2026)** est extrêmement positif, avec un **CA en hausse de 31% à 70,8 milliards FCFA** et un **résultat net en hausse de 37% à 7,5 milliards FCFA**, portant la marge nette à 10,6%. Sur cette base, on estime que l'exercice 2026 pourrait voir un CA dépasser les 260 milliards FCFA et un résultat net supérieur à 22 milliards FCFA, soit une croissance de plus de 20% par rapport à 2025. La recommandation fondamentale est un **ACHAT**, soutenue par la reprise vigoureuse de l'activité et l'amélioration de la rentabilité.</w:t>
      </w:r>
    </w:p>
    <w:p>
      <w:pPr>
        <w:spacing w:after="120" w:line="276" w:lineRule="auto"/>
      </w:pPr>
      <w:r>
        <w:t>---</w:t>
      </w:r>
    </w:p>
    <w:p>
      <w:pPr>
        <w:spacing w:after="120" w:line="276" w:lineRule="auto"/>
      </w:pPr>
      <w:r>
        <w:t>### PARTIE 4 : CONCLUSION D'INVESTISSEMENT</w:t>
      </w:r>
    </w:p>
    <w:p>
      <w:pPr>
        <w:spacing w:after="120" w:line="276" w:lineRule="auto"/>
      </w:pPr>
      <w:r>
        <w:t>La synthèse globale pour NTLC révèle une **surévaluation relative** du titre (PER de 20,2x, P/B de 12,6x), mais celle-ci est justifiée par des fondamentaux solides et une dynamique de croissance retrouvée. Le comportement du cours sur 100 jours est **très favorable**, avec une hausse de 35,2% et une volatilité élevée (33,6%) qui offre des opportunités, bien que le kurtosis platykurtique suggère une stabilité relative dans les variations. Les signaux techniques sont **mitigés** à court terme (MACD vendeur, RSI neutre) mais **positifs** à moyen terme (MM50 support), indiquant une consolidation saine. Les fondamentaux sont **excellents**, avec un ROE de 62,3% et une reprise marquée au T1 2026 (+31% CA, +37% RN), laissant présager une année 2026 record. Les **prédictions IA** pour les 10 prochains jours (16 756 à 16 553 FCFA) suggèrent une **légère correction** de 2%, ce qui pourrait représenter un point d'entrée opportun. En conclusion, la convergence entre la solidité fondamentale, la tendance de fond haussière et les perspectives de croissance justifie une recommandation **ACHAT**, avec un niveau de confiance **Élevé** et un risque global **Moyen**. L'horizon d'investissement optimal est le **moyen terme (3-12 mois)**, pour capitaliser sur la croissance attendue en 2026 et une possible revalorisation du titre après consolidation.</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20260522   avis de convocation   assemblee generale ordinaire   nestle ci</w:t>
      </w:r>
    </w:p>
    <w:p>
      <w:pPr>
        <w:spacing w:before="20"/>
        <w:ind w:left="400"/>
      </w:pPr>
      <w:r>
        <w:rPr>
          <w:color w:val="505050"/>
          <w:sz w:val="17"/>
        </w:rPr>
        <w:t xml:space="preserve">Date : 24/05/2026  |  Catégorie : convocation AG  |  Impact : </w:t>
      </w:r>
      <w:r>
        <w:rPr>
          <w:b/>
          <w:color w:val="646464"/>
          <w:sz w:val="17"/>
        </w:rPr>
        <w:t>⚪ NEUTRE</w:t>
      </w:r>
    </w:p>
    <w:p>
      <w:pPr>
        <w:spacing w:before="40"/>
        <w:ind w:left="400"/>
      </w:pPr>
      <w:r>
        <w:rPr>
          <w:sz w:val="18"/>
        </w:rPr>
        <w:t>Nestlé Côte d'Ivoire convoque ses actionnaires à une Assemblée Générale Ordinaire le 11 juin 2026 à 10h00 à l'Espace Latrille Events à Abidjan. L'ordre du jour comprend l'examen des états financiers 2025, la proposition d'affectation du résultat et la ratification d'un nouvel administrateur. Les documents seront disponibles 15 jours avant l'assemblée au siège social et en ligne.</w:t>
      </w:r>
    </w:p>
    <w:p>
      <w:pPr>
        <w:spacing w:before="60"/>
        <w:ind w:left="400"/>
      </w:pPr>
      <w:r>
        <w:rPr>
          <w:b/>
          <w:sz w:val="18"/>
        </w:rPr>
        <w:t>Points clés :</w:t>
      </w:r>
    </w:p>
    <w:p>
      <w:pPr>
        <w:pStyle w:val="ListBullet"/>
        <w:spacing w:before="20" w:after="20"/>
        <w:ind w:left="700"/>
      </w:pPr>
      <w:r>
        <w:rPr>
          <w:sz w:val="18"/>
        </w:rPr>
        <w:t>Assemblée Générale Ordinaire programmée le 11 juin 2026 à 10h00 à Abidjan</w:t>
      </w:r>
    </w:p>
    <w:p>
      <w:pPr>
        <w:pStyle w:val="ListBullet"/>
        <w:spacing w:before="20" w:after="20"/>
        <w:ind w:left="700"/>
      </w:pPr>
      <w:r>
        <w:rPr>
          <w:sz w:val="18"/>
        </w:rPr>
        <w:t>Examen des états financiers SYSCOHADA et IFRS arrêtés au 31 décembre 2025</w:t>
      </w:r>
    </w:p>
    <w:p>
      <w:pPr>
        <w:pStyle w:val="ListBullet"/>
        <w:spacing w:before="20" w:after="20"/>
        <w:ind w:left="700"/>
      </w:pPr>
      <w:r>
        <w:rPr>
          <w:sz w:val="18"/>
        </w:rPr>
        <w:t>Proposition d'affectation du résultat de l'exercice 2025</w:t>
      </w:r>
    </w:p>
    <w:p>
      <w:pPr>
        <w:pStyle w:val="ListBullet"/>
        <w:spacing w:before="20" w:after="20"/>
        <w:ind w:left="700"/>
      </w:pPr>
      <w:r>
        <w:rPr>
          <w:sz w:val="18"/>
        </w:rPr>
        <w:t>Ratification de la désignation d'un nouvel administrateur</w:t>
      </w:r>
    </w:p>
    <w:p>
      <w:pPr>
        <w:pStyle w:val="ListBullet"/>
        <w:spacing w:before="20" w:after="20"/>
        <w:ind w:left="700"/>
      </w:pPr>
      <w:r>
        <w:rPr>
          <w:sz w:val="18"/>
        </w:rPr>
        <w:t>Capital social de 5 517 600 000 F CFA confirmé</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performances exceptionnelles du T1 2026 avec une croissance \u00e0 deux chiffres sur tous les indicateurs cl\u00e9s d\u00e9montrent la solidit\u00e9 du mod\u00e8le. L'entreprise combine efficacement croissance du chiffre d'affaires et am\u00e9lioration de la rentabilit\u00e9 dans un contexte \u00e9conomique pourtant exigeant."}</w:t>
      </w:r>
    </w:p>
    <w:p>
      <w:pPr>
        <w:spacing w:before="40"/>
        <w:ind w:left="400"/>
      </w:pPr>
      <w:r>
        <w:rPr>
          <w:sz w:val="18"/>
        </w:rPr>
        <w:t>Nestlé Côte d'Ivoire affiche une performance remarquable au premier trimestre 2026 avec un chiffre d'affaires en forte croissance de 31% à 70,8 milliards FCFA. Le résultat net bondit de 37% à 7,5 milliards FCFA, témoignant d'une excellente exécution commerciale et d'une maîtrise des coûts. L'entreprise évolue dans un environnement d'affaires stable et bénéficie d'une dynamique de marché solide. La société maintient son engagement RSE avec des programmes d'alphabétisation et de formation professionnelle. Cette performance confirme la robustesse du modèle économique de Nestlé CI malgré les défis économiques.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'+31%', 'capital_social': '5,5 milliards FCFA', 'croissance_resultat_net': '+37%', 'resultat_activites_ordinaires': '10,9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70,8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31% par rapport au T1 2025</w:t>
      </w:r>
    </w:p>
    <w:p>
      <w:pPr>
        <w:pStyle w:val="ListBullet"/>
        <w:spacing w:before="20" w:after="20"/>
        <w:ind w:left="700"/>
      </w:pPr>
      <w:r>
        <w:rPr>
          <w:sz w:val="18"/>
        </w:rPr>
        <w:t>Résultat net en hausse spectaculaire de 37% à 7,5 milliards FCFA</w:t>
      </w:r>
    </w:p>
    <w:p>
      <w:pPr>
        <w:pStyle w:val="ListBullet"/>
        <w:spacing w:before="20" w:after="20"/>
        <w:ind w:left="700"/>
      </w:pPr>
      <w:r>
        <w:rPr>
          <w:sz w:val="18"/>
        </w:rPr>
        <w:t>Résultat des activités ordinaires en progression de 15% à 10,9 milliards FCFA</w:t>
      </w:r>
    </w:p>
    <w:p>
      <w:pPr>
        <w:pStyle w:val="ListBullet"/>
        <w:spacing w:before="20" w:after="20"/>
        <w:ind w:left="700"/>
      </w:pPr>
      <w:r>
        <w:rPr>
          <w:sz w:val="18"/>
        </w:rPr>
        <w:t>Maîtrise efficace des pressions de coûts sur les matières premières et emballages</w:t>
      </w:r>
    </w:p>
    <w:p>
      <w:pPr>
        <w:pStyle w:val="ListBullet"/>
        <w:spacing w:before="20" w:after="20"/>
        <w:ind w:left="700"/>
      </w:pPr>
      <w:r>
        <w:rPr>
          <w:sz w:val="18"/>
        </w:rPr>
        <w:t>Environnement d'affaires stable favorisant l'exécution commerciale</w:t>
      </w:r>
    </w:p>
    <w:p>
      <w:pPr>
        <w:pStyle w:val="ListBullet"/>
        <w:spacing w:before="20" w:after="20"/>
        <w:ind w:left="700"/>
      </w:pPr>
      <w:r>
        <w:rPr>
          <w:sz w:val="18"/>
        </w:rPr>
        <w:t>Programme d'alphabétisation MAGGI en partenariat avec l'UNESCO poursuivi</w:t>
      </w:r>
    </w:p>
    <w:p>
      <w:pPr>
        <w:spacing w:before="40"/>
        <w:ind w:left="400"/>
      </w:pPr>
      <w:r>
        <w:rPr>
          <w:b/>
          <w:color w:val="C05000"/>
          <w:sz w:val="18"/>
        </w:rPr>
        <w:t xml:space="preserve">⚠️ Risques : </w:t>
      </w:r>
      <w:r>
        <w:rPr>
          <w:sz w:val="18"/>
        </w:rPr>
        <w:t>["Pression persistante des co\u00fbts des mati\u00e8res premi\u00e8res et emballages", "Contexte \u00e9conomique exigeant pouvant affecter le pouvoir d'achat des consommateurs", "D\u00e9pendance au march\u00e9 local ivoirien et aux fluctuations \u00e9conomiques r\u00e9gionales"]</w:t>
      </w:r>
    </w:p>
    <w:p>
      <w:pPr>
        <w:spacing w:before="40"/>
        <w:ind w:left="400"/>
      </w:pPr>
      <w:r>
        <w:rPr>
          <w:b/>
          <w:color w:val="0064A0"/>
          <w:sz w:val="18"/>
        </w:rPr>
        <w:t xml:space="preserve">🔮 Perspectives : </w:t>
      </w:r>
      <w:r>
        <w:rPr>
          <w:sz w:val="18"/>
        </w:rPr>
        <w:t>Nestlé Côte d'Ivoire entend poursuivre cette dynamique positive sur les prochains trimestres avec un focus particulier sur la performance opérationnelle et la rentabilité. L'entreprise reste concentrée sur la création de valeur durable et le renforcement progressif de sa position de marché. La stabi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maintient une croissance soutenue et une rentabilit\u00e9 stable malgr\u00e9 l'augmentation des co\u00fbts financiers. La r\u00e9duction du dividende sugg\u00e8re une strat\u00e9gie de conservation des liquidit\u00e9s pour financer la croissance future."}</w:t>
      </w:r>
    </w:p>
    <w:p>
      <w:pPr>
        <w:spacing w:before="40"/>
        <w:ind w:left="400"/>
      </w:pPr>
      <w:r>
        <w:rPr>
          <w:sz w:val="18"/>
        </w:rPr>
        <w:t>Nestlé Côte d'Ivoire affiche des performances solides en 2025 avec une croissance du chiffre d'affaires de 5,98% atteignant 233,3 milliards FCFA. Le résultat net progresse légèrement de 1,5% à 18,4 milliards FCFA malgré une hausse des charges financières. La marge nette reste stable à 7,9%, témoignant d'une rentabilité maintenue. Le total de l'actif augmente de 6,8% à 190 milliards FCFA, reflétant une expansion contrôlée. La politique de dividende se révèle plus conservatrice avec une réduction de 48,8% du dividende brut distribué.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'69 060 804 060 FCFA', 'frais_financiers': '7 957 177 438 FCFA', 'impots_sur_resultat': '11 329 077 586 FCFA', 'excedent_brut_exploitation': '46 171 248 459 FCFA'}</w:t>
            </w:r>
          </w:p>
        </w:tc>
        <w:tc>
          <w:tcPr>
            <w:tcW w:type="dxa" w:w="2160"/>
          </w:tcPr>
          <w:p>
            <w:pPr>
              <w:ind w:left="100"/>
            </w:pPr>
            <w:r/>
            <w:r>
              <w:rPr>
                <w:b/>
                <w:sz w:val="16"/>
              </w:rPr>
              <w:t>dividende</w:t>
              <w:br/>
            </w:r>
            <w:r>
              <w:rPr>
                <w:sz w:val="18"/>
              </w:rPr>
              <w:t>9 269 568 000 FCFA</w:t>
            </w:r>
          </w:p>
        </w:tc>
        <w:tc>
          <w:tcPr>
            <w:tcW w:type="dxa" w:w="2160"/>
          </w:tcPr>
          <w:p>
            <w:pPr>
              <w:ind w:left="100"/>
            </w:pPr>
            <w:r/>
            <w:r>
              <w:rPr>
                <w:b/>
                <w:sz w:val="16"/>
              </w:rPr>
              <w:t>marge_nette</w:t>
              <w:br/>
            </w:r>
            <w:r>
              <w:rPr>
                <w:sz w:val="18"/>
              </w:rPr>
              <w:t>7,9%</w:t>
            </w:r>
          </w:p>
        </w:tc>
        <w:tc>
          <w:tcPr>
            <w:tcW w:type="dxa" w:w="2160"/>
          </w:tcPr>
          <w:p>
            <w:pPr>
              <w:ind w:left="100"/>
            </w:pPr>
            <w:r/>
            <w:r>
              <w:rPr>
                <w:b/>
                <w:sz w:val="16"/>
              </w:rPr>
              <w:t>total_actif</w:t>
              <w:br/>
            </w:r>
            <w:r>
              <w:rPr>
                <w:sz w:val="18"/>
              </w:rPr>
              <w:t>189 958 727 992 FCFA</w:t>
            </w:r>
          </w:p>
        </w:tc>
      </w:tr>
      <w:tr>
        <w:tc>
          <w:tcPr>
            <w:tcW w:type="dxa" w:w="2160"/>
          </w:tcPr>
          <w:p>
            <w:r/>
            <w:r>
              <w:rPr>
                <w:b/>
                <w:sz w:val="16"/>
              </w:rPr>
              <w:t>resultat_net</w:t>
              <w:br/>
            </w:r>
            <w:r>
              <w:rPr>
                <w:sz w:val="18"/>
              </w:rPr>
              <w:t>18 426 899 479 FCFA</w:t>
            </w:r>
          </w:p>
        </w:tc>
        <w:tc>
          <w:tcPr>
            <w:tcW w:type="dxa" w:w="2160"/>
          </w:tcPr>
          <w:p>
            <w:r/>
            <w:r>
              <w:rPr>
                <w:b/>
                <w:sz w:val="16"/>
              </w:rPr>
              <w:t>capitaux_propres</w:t>
              <w:br/>
            </w:r>
            <w:r>
              <w:rPr>
                <w:sz w:val="18"/>
              </w:rPr>
              <w:t>29 565 761 686 FCFA</w:t>
            </w:r>
          </w:p>
        </w:tc>
        <w:tc>
          <w:tcPr>
            <w:tcW w:type="dxa" w:w="2160"/>
          </w:tcPr>
          <w:p>
            <w:r/>
            <w:r>
              <w:rPr>
                <w:b/>
                <w:sz w:val="16"/>
              </w:rPr>
              <w:t>chiffre_affaires</w:t>
              <w:br/>
            </w:r>
            <w:r>
              <w:rPr>
                <w:sz w:val="18"/>
              </w:rPr>
              <w:t>233 261 162 741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5,98% à 233,3 milliards FCFA</w:t>
      </w:r>
    </w:p>
    <w:p>
      <w:pPr>
        <w:pStyle w:val="ListBullet"/>
        <w:spacing w:before="20" w:after="20"/>
        <w:ind w:left="700"/>
      </w:pPr>
      <w:r>
        <w:rPr>
          <w:sz w:val="18"/>
        </w:rPr>
        <w:t>Progression modérée du résultat net de 1,5% à 18,4 milliards FCFA</w:t>
      </w:r>
    </w:p>
    <w:p>
      <w:pPr>
        <w:pStyle w:val="ListBullet"/>
        <w:spacing w:before="20" w:after="20"/>
        <w:ind w:left="700"/>
      </w:pPr>
      <w:r>
        <w:rPr>
          <w:sz w:val="18"/>
        </w:rPr>
        <w:t>Marge nette stable à 7,9% démontrant une bonne maîtrise des coûts</w:t>
      </w:r>
    </w:p>
    <w:p>
      <w:pPr>
        <w:pStyle w:val="ListBullet"/>
        <w:spacing w:before="20" w:after="20"/>
        <w:ind w:left="700"/>
      </w:pPr>
      <w:r>
        <w:rPr>
          <w:sz w:val="18"/>
        </w:rPr>
        <w:t>Augmentation significative des frais financiers de 25,8% à 8 milliards FCFA</w:t>
      </w:r>
    </w:p>
    <w:p>
      <w:pPr>
        <w:pStyle w:val="ListBullet"/>
        <w:spacing w:before="20" w:after="20"/>
        <w:ind w:left="700"/>
      </w:pPr>
      <w:r>
        <w:rPr>
          <w:sz w:val="18"/>
        </w:rPr>
        <w:t>Croissance de l'excédent brut d'exploitation de 6% à 46,2 milliards FCFA</w:t>
      </w:r>
    </w:p>
    <w:p>
      <w:pPr>
        <w:pStyle w:val="ListBullet"/>
        <w:spacing w:before="20" w:after="20"/>
        <w:ind w:left="700"/>
      </w:pPr>
      <w:r>
        <w:rPr>
          <w:sz w:val="18"/>
        </w:rPr>
        <w:t>Réduction importante du dividende brut de 48,8% à 9,3 milliards FCFA</w:t>
      </w:r>
    </w:p>
    <w:p>
      <w:pPr>
        <w:spacing w:before="40"/>
        <w:ind w:left="400"/>
      </w:pPr>
      <w:r>
        <w:rPr>
          <w:b/>
          <w:color w:val="C05000"/>
          <w:sz w:val="18"/>
        </w:rPr>
        <w:t xml:space="preserve">⚠️ Risques : </w:t>
      </w:r>
      <w:r>
        <w:rPr>
          <w:sz w:val="18"/>
        </w:rPr>
        <w:t>["Hausse significative des frais financiers qui impacte la rentabilit\u00e9", "Pression sur les marges due \u00e0 l'inflation des co\u00fbts des mati\u00e8res premi\u00e8res", "D\u00e9pendance aux conditions \u00e9conomiques locales et \u00e0 la stabilit\u00e9 du FCFA"]</w:t>
      </w:r>
    </w:p>
    <w:p>
      <w:pPr>
        <w:spacing w:before="40"/>
        <w:ind w:left="400"/>
      </w:pPr>
      <w:r>
        <w:rPr>
          <w:b/>
          <w:color w:val="0064A0"/>
          <w:sz w:val="18"/>
        </w:rPr>
        <w:t xml:space="preserve">🔮 Perspectives : </w:t>
      </w:r>
      <w:r>
        <w:rPr>
          <w:sz w:val="18"/>
        </w:rPr>
        <w:t>Nestlé CI devrait continuer à bénéficier de la demande croissante des produits de consommation en Afrique de l'Ouest. La société pourrait privilégier les investissements productifs au détriment des distributions aux actionnaires à court terme. L'amélioration de la position de trésorerie offre une fl</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commerciale d\u00e9montre la solidit\u00e9 du positionnement march\u00e9, mais les pressions inflationnistes p\u00e8sent temporairement sur la rentabilit\u00e9. La r\u00e9silience strat\u00e9gique laisse pr\u00e9sager une am\u00e9lioration une fois la situation inflationniste stabilis\u00e9e."}</w:t>
      </w:r>
    </w:p>
    <w:p>
      <w:pPr>
        <w:spacing w:before="40"/>
        <w:ind w:left="400"/>
      </w:pPr>
      <w:r>
        <w:rPr>
          <w:sz w:val="18"/>
        </w:rPr>
        <w:t>Nestlé Côte d'Ivoire affiche une forte croissance du chiffre d'affaires de 20% au T1 2022, atteignant 57,8 milliards FCFA contre 48,1 milliards au T1 2021. Malgré cette performance commerciale remarquable, la rentabilité s'est considérablement détériorée avec un résultat net en baisse de 45% à 2,2 milliards FCFA. Cette dégradation s'explique par l'impact significatif de l'inflation sur les coûts des matières premières, emballages et transport. La société maintient néanmoins une rentabilité positive grâce à la résilience de sa stratégie et l'engagement de ses équipes. Le contexte inflationniste continue de peser sur les marges opérationnelles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'20%', 'capital_social': '5 517 600 000 FCFA', 'variation_resultat_net': '-45%', 'resultat_activites_ordinaires': '3 994 555 295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3,84%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2 220 529 563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57 827 644 484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20% au T1 2022</w:t>
      </w:r>
    </w:p>
    <w:p>
      <w:pPr>
        <w:pStyle w:val="ListBullet"/>
        <w:spacing w:before="20" w:after="20"/>
        <w:ind w:left="700"/>
      </w:pPr>
      <w:r>
        <w:rPr>
          <w:sz w:val="18"/>
        </w:rPr>
        <w:t>Chute significative du résultat net de 45% à 2,2 milliards FCFA</w:t>
      </w:r>
    </w:p>
    <w:p>
      <w:pPr>
        <w:pStyle w:val="ListBullet"/>
        <w:spacing w:before="20" w:after="20"/>
        <w:ind w:left="700"/>
      </w:pPr>
      <w:r>
        <w:rPr>
          <w:sz w:val="18"/>
        </w:rPr>
        <w:t>Baisse du résultat des activités ordinaires de 32%</w:t>
      </w:r>
    </w:p>
    <w:p>
      <w:pPr>
        <w:pStyle w:val="ListBullet"/>
        <w:spacing w:before="20" w:after="20"/>
        <w:ind w:left="700"/>
      </w:pPr>
      <w:r>
        <w:rPr>
          <w:sz w:val="18"/>
        </w:rPr>
        <w:t>Impact majeur de l'inflation sur les coûts de production</w:t>
      </w:r>
    </w:p>
    <w:p>
      <w:pPr>
        <w:pStyle w:val="ListBullet"/>
        <w:spacing w:before="20" w:after="20"/>
        <w:ind w:left="700"/>
      </w:pPr>
      <w:r>
        <w:rPr>
          <w:sz w:val="18"/>
        </w:rPr>
        <w:t>Performance commerciale forte à l'export et localement</w:t>
      </w:r>
    </w:p>
    <w:p>
      <w:pPr>
        <w:pStyle w:val="ListBullet"/>
        <w:spacing w:before="20" w:after="20"/>
        <w:ind w:left="700"/>
      </w:pPr>
      <w:r>
        <w:rPr>
          <w:sz w:val="18"/>
        </w:rPr>
        <w:t>Croissance observée sur toutes les catégories de produits</w:t>
      </w:r>
    </w:p>
    <w:p>
      <w:pPr>
        <w:spacing w:before="40"/>
        <w:ind w:left="400"/>
      </w:pPr>
      <w:r>
        <w:rPr>
          <w:b/>
          <w:color w:val="C05000"/>
          <w:sz w:val="18"/>
        </w:rPr>
        <w:t xml:space="preserve">⚠️ Risques : </w:t>
      </w:r>
      <w:r>
        <w:rPr>
          <w:sz w:val="18"/>
        </w:rPr>
        <w:t>["Persistance de l'inflation sur les mati\u00e8res premi\u00e8res et co\u00fbts de transport", "Pression continue sur les marges op\u00e9rationnelles", "Risque de d\u00e9t\u00e9rioration suppl\u00e9mentaire de la rentabilit\u00e9 si l'inflation perdure"]</w:t>
      </w:r>
    </w:p>
    <w:p>
      <w:pPr>
        <w:spacing w:before="40"/>
        <w:ind w:left="400"/>
      </w:pPr>
      <w:r>
        <w:rPr>
          <w:b/>
          <w:color w:val="0064A0"/>
          <w:sz w:val="18"/>
        </w:rPr>
        <w:t xml:space="preserve">🔮 Perspectives : </w:t>
      </w:r>
      <w:r>
        <w:rPr>
          <w:sz w:val="18"/>
        </w:rPr>
        <w:t>L'amélioration des perspectives dépendra largement de l'évolution du contexte inflationniste et de la capacité de l'entreprise à répercuter les hausses de coûts sur ses prix de vente. La stratégie de résilience mise en place et la forte dynamique commerciale constituent des atouts pour naviguer dans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"Croissance solide du chiffre d'affaires et bonne performance op\u00e9rationnelle, mais rentabilit\u00e9 nette sous pression. L'am\u00e9lioration s\u00e9quentielle du T2 et les mesures d'adaptation aux d\u00e9fis \u00e9conomiques justifient une position d'attente."}</w:t>
      </w:r>
    </w:p>
    <w:p>
      <w:pPr>
        <w:spacing w:before="40"/>
        <w:ind w:left="400"/>
      </w:pPr>
      <w:r>
        <w:rPr>
          <w:sz w:val="18"/>
        </w:rPr>
        <w:t>Nestlé Côte d'Ivoire affiche une solide performance au premier semestre 2022 avec un chiffre d'affaires en hausse de 17,95% à 116,5 milliards FCFA. Le résultat d'exploitation progresse de 14,92% à 18,9 milliards FCFA, témoignant d'une bonne maîtrise opérationnelle. Cependant, le résultat net recule de 8,37% à 10,2 milliards FCFA, impacté par une hausse significative de la charge fiscale et des coûts financiers. La croissance des ventes locales de 19,43% démontre la solidité du positionnement de l'entreprise sur le marché ivoirien. L'entreprise fait face aux défis de la hausse des matières premières et de la dépréciation du FCFA face au dollar.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'5,52 milliards FCFA', 'marge_exploitation': '16,22%',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17,95% au S1 2022 (116,5 Mds FCFA)</w:t>
      </w:r>
    </w:p>
    <w:p>
      <w:pPr>
        <w:pStyle w:val="ListBullet"/>
        <w:spacing w:before="20" w:after="20"/>
        <w:ind w:left="700"/>
      </w:pPr>
      <w:r>
        <w:rPr>
          <w:sz w:val="18"/>
        </w:rPr>
        <w:t>Ventes locales dynamiques avec une progression de 19,43%</w:t>
      </w:r>
    </w:p>
    <w:p>
      <w:pPr>
        <w:pStyle w:val="ListBullet"/>
        <w:spacing w:before="20" w:after="20"/>
        <w:ind w:left="700"/>
      </w:pPr>
      <w:r>
        <w:rPr>
          <w:sz w:val="18"/>
        </w:rPr>
        <w:t>Résultat d'exploitation en hausse de 14,92% (18,9 Mds FCFA)</w:t>
      </w:r>
    </w:p>
    <w:p>
      <w:pPr>
        <w:pStyle w:val="ListBullet"/>
        <w:spacing w:before="20" w:after="20"/>
        <w:ind w:left="700"/>
      </w:pPr>
      <w:r>
        <w:rPr>
          <w:sz w:val="18"/>
        </w:rPr>
        <w:t>Résultat net en baisse de 8,37% (10,2 Mds FCFA) malgré la croissance du CA</w:t>
      </w:r>
    </w:p>
    <w:p>
      <w:pPr>
        <w:pStyle w:val="ListBullet"/>
        <w:spacing w:before="20" w:after="20"/>
        <w:ind w:left="700"/>
      </w:pPr>
      <w:r>
        <w:rPr>
          <w:sz w:val="18"/>
        </w:rPr>
        <w:t>Forte hausse de la charge fiscale (+72,14% à 6,3 Mds FCFA)</w:t>
      </w:r>
    </w:p>
    <w:p>
      <w:pPr>
        <w:pStyle w:val="ListBullet"/>
        <w:spacing w:before="20" w:after="20"/>
        <w:ind w:left="700"/>
      </w:pPr>
      <w:r>
        <w:rPr>
          <w:sz w:val="18"/>
        </w:rPr>
        <w:t>Détérioration du résultat financier (+42,97% de charges à 2,4 Mds FCFA)</w:t>
      </w:r>
    </w:p>
    <w:p>
      <w:pPr>
        <w:spacing w:before="40"/>
        <w:ind w:left="400"/>
      </w:pPr>
      <w:r>
        <w:rPr>
          <w:b/>
          <w:color w:val="C05000"/>
          <w:sz w:val="18"/>
        </w:rPr>
        <w:t xml:space="preserve">⚠️ Risques : </w:t>
      </w:r>
      <w:r>
        <w:rPr>
          <w:sz w:val="18"/>
        </w:rPr>
        <w:t>["Hausse continue des prix des mati\u00e8res premi\u00e8res impactant les marges", "D\u00e9pr\u00e9ciation du FCFA face au dollar am\u00e9ricain augmentant les co\u00fbts d'importation", "Pression fiscale croissante avec une charge d'imp\u00f4t en forte hausse"]</w:t>
      </w:r>
    </w:p>
    <w:p>
      <w:pPr>
        <w:spacing w:before="40"/>
        <w:ind w:left="400"/>
      </w:pPr>
      <w:r>
        <w:rPr>
          <w:b/>
          <w:color w:val="0064A0"/>
          <w:sz w:val="18"/>
        </w:rPr>
        <w:t xml:space="preserve">🔮 Perspectives : </w:t>
      </w:r>
      <w:r>
        <w:rPr>
          <w:sz w:val="18"/>
        </w:rPr>
        <w:t>L'entreprise anticipe de continuer ses actions pour minimiser l'impact de la hausse des matières premières et de la dépréciation du FCFA au second semestre 2022. La dynamique positive des ventes locales et l'amélioration séquentielle du résultat net au T2 laissent entrevoir une stabilisation progres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croissance soutenue du CA et ma\u00eetrise des co\u00fbts, mais vigilance requise sur l'\u00e9volution de la fiscalit\u00e9 et des co\u00fbts financiers. L'am\u00e9lioration s\u00e9quentielle Q2 vs Q1 confirme la capacit\u00e9 d'adaptation de l'entreprise."}</w:t>
      </w:r>
    </w:p>
    <w:p>
      <w:pPr>
        <w:spacing w:before="40"/>
        <w:ind w:left="400"/>
      </w:pPr>
      <w:r>
        <w:rPr>
          <w:sz w:val="18"/>
        </w:rPr>
        <w:t>Nestlé Côte d'Ivoire affiche une solide performance au premier semestre 2022 avec un chiffre d'affaires en hausse de 17,95% à 116,5 milliards FCFA. Le résultat d'exploitation progresse de 14,92% grâce aux mesures de maîtrise des coûts face à la hausse des matières premières. Cependant, le résultat net recule de 8,37% à 10,2 milliards FCFA en raison d'une charge d'impôt significativement plus élevée (+72,14%). L'entreprise démontre sa résilience avec une amélioration notable du résultat net au 2ème trimestre (8 milliards FCFA vs 2,2 milliards au 1er trimestre). La société reste confiante malgré les défis macroéconomiques persistants.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'5,5 milliards FCFA', 'resultat_exploitation': '18,9 milliards FCFA', 'resultat_activites_ordinaires': '16,5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8,77%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116,5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17,95% portée par les ventes locales (+19,43%)</w:t>
      </w:r>
    </w:p>
    <w:p>
      <w:pPr>
        <w:pStyle w:val="ListBullet"/>
        <w:spacing w:before="20" w:after="20"/>
        <w:ind w:left="700"/>
      </w:pPr>
      <w:r>
        <w:rPr>
          <w:sz w:val="18"/>
        </w:rPr>
        <w:t>Résultat d'exploitation en hausse de 14,92% démontrant l'efficacité opérationnelle</w:t>
      </w:r>
    </w:p>
    <w:p>
      <w:pPr>
        <w:pStyle w:val="ListBullet"/>
        <w:spacing w:before="20" w:after="20"/>
        <w:ind w:left="700"/>
      </w:pPr>
      <w:r>
        <w:rPr>
          <w:sz w:val="18"/>
        </w:rPr>
        <w:t>Résultat financier négatif qui se détériore de 42,97% impactant la rentabilité</w:t>
      </w:r>
    </w:p>
    <w:p>
      <w:pPr>
        <w:pStyle w:val="ListBullet"/>
        <w:spacing w:before="20" w:after="20"/>
        <w:ind w:left="700"/>
      </w:pPr>
      <w:r>
        <w:rPr>
          <w:sz w:val="18"/>
        </w:rPr>
        <w:t>Charge d'impôt en forte hausse de 72,14% pesant sur le résultat net</w:t>
      </w:r>
    </w:p>
    <w:p>
      <w:pPr>
        <w:pStyle w:val="ListBullet"/>
        <w:spacing w:before="20" w:after="20"/>
        <w:ind w:left="700"/>
      </w:pPr>
      <w:r>
        <w:rPr>
          <w:sz w:val="18"/>
        </w:rPr>
        <w:t>Amélioration séquentielle notable entre Q1 et Q2 2022</w:t>
      </w:r>
    </w:p>
    <w:p>
      <w:pPr>
        <w:pStyle w:val="ListBullet"/>
        <w:spacing w:before="20" w:after="20"/>
        <w:ind w:left="700"/>
      </w:pPr>
      <w:r>
        <w:rPr>
          <w:sz w:val="18"/>
        </w:rPr>
        <w:t>Maîtrise des coûts de production face à l'inflation des matières premières</w:t>
      </w:r>
    </w:p>
    <w:p>
      <w:pPr>
        <w:spacing w:before="40"/>
        <w:ind w:left="400"/>
      </w:pPr>
      <w:r>
        <w:rPr>
          <w:b/>
          <w:color w:val="C05000"/>
          <w:sz w:val="18"/>
        </w:rPr>
        <w:t xml:space="preserve">⚠️ Risques : </w:t>
      </w:r>
      <w:r>
        <w:rPr>
          <w:sz w:val="18"/>
        </w:rPr>
        <w:t>["Volatilit\u00e9 continue des prix des mati\u00e8res premi\u00e8res impactant les marges", "D\u00e9pr\u00e9ciation du FCFA face au dollar augmentant les co\u00fbts d'importation", "Pression fiscale \u00e9lev\u00e9e avec une charge d'imp\u00f4t en forte progression"]</w:t>
      </w:r>
    </w:p>
    <w:p>
      <w:pPr>
        <w:spacing w:before="40"/>
        <w:ind w:left="400"/>
      </w:pPr>
      <w:r>
        <w:rPr>
          <w:b/>
          <w:color w:val="0064A0"/>
          <w:sz w:val="18"/>
        </w:rPr>
        <w:t xml:space="preserve">🔮 Perspectives : </w:t>
      </w:r>
      <w:r>
        <w:rPr>
          <w:sz w:val="18"/>
        </w:rPr>
        <w:t>Nestlé CI anticipe un second semestre 2022 sous pression avec la persistance de l'inflation des matières premières et la faiblesse du FCFA. L'entreprise mise sur la poursuite de ses actions d'optimisation pour minimiser les impacts négatifs et maintenir sa trajectoire de croissance.</w:t>
      </w:r>
    </w:p>
    <w:p/>
    <w:p>
      <w:r>
        <w:t>════════════════════════════════════════════════════════════════════════════════</w:t>
      </w:r>
    </w:p>
    <w:p>
      <w:r>
        <w:br w:type="page"/>
      </w:r>
    </w:p>
    <w:p>
      <w:pPr>
        <w:pStyle w:val="Heading2"/>
        <w:spacing w:before="360"/>
      </w:pPr>
      <w:r>
        <w:rPr>
          <w:color w:val="0066CC"/>
        </w:rPr>
        <w:t>22. ONTBF - ONTBF - ONATEL BURKINA FASO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ONTBF</w:t>
            </w:r>
          </w:p>
          <w:p>
            <w:r>
              <w:rPr>
                <w:b/>
                <w:color w:val="323250"/>
                <w:sz w:val="16"/>
              </w:rPr>
              <w:t xml:space="preserve">Société : </w:t>
            </w:r>
            <w:r>
              <w:rPr>
                <w:color w:val="000000"/>
                <w:sz w:val="16"/>
              </w:rPr>
              <w:t>ONTBF - ONATEL BURKINA FASO</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197.20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4,889 titres</w:t>
            </w:r>
          </w:p>
        </w:tc>
        <w:tc>
          <w:tcPr>
            <w:tcW w:type="dxa" w:w="2268"/>
            <w:shd w:fill="FFF2CC" w:val="clear"/>
          </w:tcPr>
          <w:p>
            <w:r>
              <w:rPr>
                <w:b/>
                <w:color w:val="503200"/>
                <w:sz w:val="16"/>
              </w:rPr>
              <w:t xml:space="preserve">Cours actuel : </w:t>
            </w:r>
            <w:r>
              <w:rPr>
                <w:color w:val="000000"/>
                <w:sz w:val="17"/>
              </w:rPr>
              <w:t>2,900 FCFA</w:t>
            </w:r>
          </w:p>
          <w:p>
            <w:r>
              <w:rPr>
                <w:b/>
                <w:color w:val="503200"/>
                <w:sz w:val="16"/>
              </w:rPr>
              <w:t xml:space="preserve">Var. 100 jours : </w:t>
            </w:r>
            <w:r>
              <w:rPr>
                <w:b/>
                <w:color w:val="B40000"/>
                <w:sz w:val="17"/>
              </w:rPr>
              <w:t>-1.36%</w:t>
            </w:r>
          </w:p>
          <w:p>
            <w:r>
              <w:rPr>
                <w:b/>
                <w:color w:val="503200"/>
                <w:sz w:val="16"/>
              </w:rPr>
              <w:t xml:space="preserve">Plus haut 100j : </w:t>
            </w:r>
            <w:r>
              <w:rPr>
                <w:color w:val="000000"/>
                <w:sz w:val="17"/>
              </w:rPr>
              <w:t>3,070 FCFA</w:t>
            </w:r>
          </w:p>
          <w:p>
            <w:r>
              <w:rPr>
                <w:b/>
                <w:color w:val="503200"/>
                <w:sz w:val="16"/>
              </w:rPr>
              <w:t xml:space="preserve">Plus bas 100j : </w:t>
            </w:r>
            <w:r>
              <w:rPr>
                <w:color w:val="000000"/>
                <w:sz w:val="17"/>
              </w:rPr>
              <w:t>2,610 FCFA</w:t>
            </w:r>
          </w:p>
          <w:p>
            <w:r>
              <w:rPr>
                <w:b/>
                <w:color w:val="503200"/>
                <w:sz w:val="16"/>
              </w:rPr>
              <w:t xml:space="preserve">Volatilité ann. : </w:t>
            </w:r>
            <w:r>
              <w:rPr>
                <w:color w:val="000000"/>
                <w:sz w:val="17"/>
              </w:rPr>
              <w:t>30.9%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3.05% (Faible) — μ=2,822 FCFA, σ=86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β=0.3243 (Défensif) — Cov=0.000012, Var(idx)=0.000035, ρ=0.099,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4,889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σ_j=1.95%/j (Stable) — Vol. annualisée≈30.9%</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35585"/>
            <wp:docPr id="24" name="Picture 24"/>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2026-08-28</w:t>
            </w:r>
          </w:p>
        </w:tc>
        <w:tc>
          <w:tcPr>
            <w:tcW w:type="dxa" w:w="1440"/>
            <w:shd w:fill="FAFAFA" w:val="clear"/>
          </w:tcPr>
          <w:p>
            <w:r>
              <w:rPr>
                <w:sz w:val="17"/>
              </w:rPr>
              <w:t>2,795</w:t>
            </w:r>
          </w:p>
        </w:tc>
        <w:tc>
          <w:tcPr>
            <w:tcW w:type="dxa" w:w="1440"/>
            <w:shd w:fill="FAFAFA" w:val="clear"/>
          </w:tcPr>
          <w:p>
            <w:r>
              <w:rPr>
                <w:b/>
                <w:sz w:val="17"/>
              </w:rPr>
              <w:t>2,884</w:t>
            </w:r>
          </w:p>
        </w:tc>
        <w:tc>
          <w:tcPr>
            <w:tcW w:type="dxa" w:w="1440"/>
            <w:shd w:fill="FAFAFA" w:val="clear"/>
          </w:tcPr>
          <w:p>
            <w:r>
              <w:rPr>
                <w:sz w:val="17"/>
              </w:rPr>
              <w:t>2,973</w:t>
            </w:r>
          </w:p>
        </w:tc>
        <w:tc>
          <w:tcPr>
            <w:tcW w:type="dxa" w:w="1440"/>
            <w:shd w:fill="FAFAFA" w:val="clear"/>
          </w:tcPr>
          <w:p>
            <w:r>
              <w:rPr>
                <w:b/>
                <w:color w:val="C00000"/>
                <w:sz w:val="17"/>
              </w:rPr>
              <w:t>-0.5%</w:t>
            </w:r>
          </w:p>
        </w:tc>
      </w:tr>
      <w:tr>
        <w:tc>
          <w:tcPr>
            <w:tcW w:type="dxa" w:w="1440"/>
            <w:shd w:fill="FAFAFA" w:val="clear"/>
          </w:tcPr>
          <w:p>
            <w:r>
              <w:rPr>
                <w:sz w:val="17"/>
              </w:rPr>
              <w:t>J+2  ⭐⭐⭐</w:t>
            </w:r>
          </w:p>
        </w:tc>
        <w:tc>
          <w:tcPr>
            <w:tcW w:type="dxa" w:w="1440"/>
            <w:shd w:fill="FAFAFA" w:val="clear"/>
          </w:tcPr>
          <w:p>
            <w:r>
              <w:rPr>
                <w:sz w:val="17"/>
              </w:rPr>
              <w:t>2026-08-31</w:t>
            </w:r>
          </w:p>
        </w:tc>
        <w:tc>
          <w:tcPr>
            <w:tcW w:type="dxa" w:w="1440"/>
            <w:shd w:fill="FAFAFA" w:val="clear"/>
          </w:tcPr>
          <w:p>
            <w:r>
              <w:rPr>
                <w:sz w:val="17"/>
              </w:rPr>
              <w:t>2,754</w:t>
            </w:r>
          </w:p>
        </w:tc>
        <w:tc>
          <w:tcPr>
            <w:tcW w:type="dxa" w:w="1440"/>
            <w:shd w:fill="FAFAFA" w:val="clear"/>
          </w:tcPr>
          <w:p>
            <w:r>
              <w:rPr>
                <w:b/>
                <w:sz w:val="17"/>
              </w:rPr>
              <w:t>2,880</w:t>
            </w:r>
          </w:p>
        </w:tc>
        <w:tc>
          <w:tcPr>
            <w:tcW w:type="dxa" w:w="1440"/>
            <w:shd w:fill="FAFAFA" w:val="clear"/>
          </w:tcPr>
          <w:p>
            <w:r>
              <w:rPr>
                <w:sz w:val="17"/>
              </w:rPr>
              <w:t>3,006</w:t>
            </w:r>
          </w:p>
        </w:tc>
        <w:tc>
          <w:tcPr>
            <w:tcW w:type="dxa" w:w="1440"/>
            <w:shd w:fill="FAFAFA" w:val="clear"/>
          </w:tcPr>
          <w:p>
            <w:r>
              <w:rPr>
                <w:b/>
                <w:color w:val="C00000"/>
                <w:sz w:val="17"/>
              </w:rPr>
              <w:t>-0.7%</w:t>
            </w:r>
          </w:p>
        </w:tc>
      </w:tr>
      <w:tr>
        <w:tc>
          <w:tcPr>
            <w:tcW w:type="dxa" w:w="1440"/>
            <w:shd w:fill="FAFAFA" w:val="clear"/>
          </w:tcPr>
          <w:p>
            <w:r>
              <w:rPr>
                <w:sz w:val="17"/>
              </w:rPr>
              <w:t>J+3  ⭐⭐⭐</w:t>
            </w:r>
          </w:p>
        </w:tc>
        <w:tc>
          <w:tcPr>
            <w:tcW w:type="dxa" w:w="1440"/>
            <w:shd w:fill="FAFAFA" w:val="clear"/>
          </w:tcPr>
          <w:p>
            <w:r>
              <w:rPr>
                <w:sz w:val="17"/>
              </w:rPr>
              <w:t>2026-09-01</w:t>
            </w:r>
          </w:p>
        </w:tc>
        <w:tc>
          <w:tcPr>
            <w:tcW w:type="dxa" w:w="1440"/>
            <w:shd w:fill="FAFAFA" w:val="clear"/>
          </w:tcPr>
          <w:p>
            <w:r>
              <w:rPr>
                <w:sz w:val="17"/>
              </w:rPr>
              <w:t>2,720</w:t>
            </w:r>
          </w:p>
        </w:tc>
        <w:tc>
          <w:tcPr>
            <w:tcW w:type="dxa" w:w="1440"/>
            <w:shd w:fill="FAFAFA" w:val="clear"/>
          </w:tcPr>
          <w:p>
            <w:r>
              <w:rPr>
                <w:b/>
                <w:sz w:val="17"/>
              </w:rPr>
              <w:t>2,874</w:t>
            </w:r>
          </w:p>
        </w:tc>
        <w:tc>
          <w:tcPr>
            <w:tcW w:type="dxa" w:w="1440"/>
            <w:shd w:fill="FAFAFA" w:val="clear"/>
          </w:tcPr>
          <w:p>
            <w:r>
              <w:rPr>
                <w:sz w:val="17"/>
              </w:rPr>
              <w:t>3,028</w:t>
            </w:r>
          </w:p>
        </w:tc>
        <w:tc>
          <w:tcPr>
            <w:tcW w:type="dxa" w:w="1440"/>
            <w:shd w:fill="FAFAFA" w:val="clear"/>
          </w:tcPr>
          <w:p>
            <w:r>
              <w:rPr>
                <w:b/>
                <w:color w:val="C00000"/>
                <w:sz w:val="17"/>
              </w:rPr>
              <w:t>-0.9%</w:t>
            </w:r>
          </w:p>
        </w:tc>
      </w:tr>
      <w:tr>
        <w:tc>
          <w:tcPr>
            <w:tcW w:type="dxa" w:w="1440"/>
            <w:shd w:fill="FAFAFA" w:val="clear"/>
          </w:tcPr>
          <w:p>
            <w:r>
              <w:rPr>
                <w:sz w:val="17"/>
              </w:rPr>
              <w:t>J+4  Moyenne</w:t>
            </w:r>
          </w:p>
        </w:tc>
        <w:tc>
          <w:tcPr>
            <w:tcW w:type="dxa" w:w="1440"/>
            <w:shd w:fill="FAFAFA" w:val="clear"/>
          </w:tcPr>
          <w:p>
            <w:r>
              <w:rPr>
                <w:sz w:val="17"/>
              </w:rPr>
              <w:t>2026-09-02</w:t>
            </w:r>
          </w:p>
        </w:tc>
        <w:tc>
          <w:tcPr>
            <w:tcW w:type="dxa" w:w="1440"/>
            <w:shd w:fill="FAFAFA" w:val="clear"/>
          </w:tcPr>
          <w:p>
            <w:r>
              <w:rPr>
                <w:sz w:val="17"/>
              </w:rPr>
              <w:t>2,691</w:t>
            </w:r>
          </w:p>
        </w:tc>
        <w:tc>
          <w:tcPr>
            <w:tcW w:type="dxa" w:w="1440"/>
            <w:shd w:fill="FAFAFA" w:val="clear"/>
          </w:tcPr>
          <w:p>
            <w:r>
              <w:rPr>
                <w:b/>
                <w:sz w:val="17"/>
              </w:rPr>
              <w:t>2,868</w:t>
            </w:r>
          </w:p>
        </w:tc>
        <w:tc>
          <w:tcPr>
            <w:tcW w:type="dxa" w:w="1440"/>
            <w:shd w:fill="FAFAFA" w:val="clear"/>
          </w:tcPr>
          <w:p>
            <w:r>
              <w:rPr>
                <w:sz w:val="17"/>
              </w:rPr>
              <w:t>3,046</w:t>
            </w:r>
          </w:p>
        </w:tc>
        <w:tc>
          <w:tcPr>
            <w:tcW w:type="dxa" w:w="1440"/>
            <w:shd w:fill="FAFAFA" w:val="clear"/>
          </w:tcPr>
          <w:p>
            <w:r>
              <w:rPr>
                <w:b/>
                <w:color w:val="C00000"/>
                <w:sz w:val="17"/>
              </w:rPr>
              <w:t>-1.1%</w:t>
            </w:r>
          </w:p>
        </w:tc>
      </w:tr>
      <w:tr>
        <w:tc>
          <w:tcPr>
            <w:tcW w:type="dxa" w:w="1440"/>
            <w:shd w:fill="FAFAFA" w:val="clear"/>
          </w:tcPr>
          <w:p>
            <w:r>
              <w:rPr>
                <w:sz w:val="17"/>
              </w:rPr>
              <w:t>J+5  Moyenne</w:t>
            </w:r>
          </w:p>
        </w:tc>
        <w:tc>
          <w:tcPr>
            <w:tcW w:type="dxa" w:w="1440"/>
            <w:shd w:fill="FAFAFA" w:val="clear"/>
          </w:tcPr>
          <w:p>
            <w:r>
              <w:rPr>
                <w:sz w:val="17"/>
              </w:rPr>
              <w:t>2026-09-03</w:t>
            </w:r>
          </w:p>
        </w:tc>
        <w:tc>
          <w:tcPr>
            <w:tcW w:type="dxa" w:w="1440"/>
            <w:shd w:fill="FAFAFA" w:val="clear"/>
          </w:tcPr>
          <w:p>
            <w:r>
              <w:rPr>
                <w:sz w:val="17"/>
              </w:rPr>
              <w:t>2,665</w:t>
            </w:r>
          </w:p>
        </w:tc>
        <w:tc>
          <w:tcPr>
            <w:tcW w:type="dxa" w:w="1440"/>
            <w:shd w:fill="FAFAFA" w:val="clear"/>
          </w:tcPr>
          <w:p>
            <w:r>
              <w:rPr>
                <w:b/>
                <w:sz w:val="17"/>
              </w:rPr>
              <w:t>2,862</w:t>
            </w:r>
          </w:p>
        </w:tc>
        <w:tc>
          <w:tcPr>
            <w:tcW w:type="dxa" w:w="1440"/>
            <w:shd w:fill="FAFAFA" w:val="clear"/>
          </w:tcPr>
          <w:p>
            <w:r>
              <w:rPr>
                <w:sz w:val="17"/>
              </w:rPr>
              <w:t>3,060</w:t>
            </w:r>
          </w:p>
        </w:tc>
        <w:tc>
          <w:tcPr>
            <w:tcW w:type="dxa" w:w="1440"/>
            <w:shd w:fill="FAFAFA" w:val="clear"/>
          </w:tcPr>
          <w:p>
            <w:r>
              <w:rPr>
                <w:b/>
                <w:color w:val="C00000"/>
                <w:sz w:val="17"/>
              </w:rPr>
              <w:t>-1.3%</w:t>
            </w:r>
          </w:p>
        </w:tc>
      </w:tr>
      <w:tr>
        <w:tc>
          <w:tcPr>
            <w:tcW w:type="dxa" w:w="1440"/>
            <w:shd w:fill="FAFAFA" w:val="clear"/>
          </w:tcPr>
          <w:p>
            <w:r>
              <w:rPr>
                <w:sz w:val="17"/>
              </w:rPr>
              <w:t>J+6  Moyenne</w:t>
            </w:r>
          </w:p>
        </w:tc>
        <w:tc>
          <w:tcPr>
            <w:tcW w:type="dxa" w:w="1440"/>
            <w:shd w:fill="FAFAFA" w:val="clear"/>
          </w:tcPr>
          <w:p>
            <w:r>
              <w:rPr>
                <w:sz w:val="17"/>
              </w:rPr>
              <w:t>2026-09-04</w:t>
            </w:r>
          </w:p>
        </w:tc>
        <w:tc>
          <w:tcPr>
            <w:tcW w:type="dxa" w:w="1440"/>
            <w:shd w:fill="FAFAFA" w:val="clear"/>
          </w:tcPr>
          <w:p>
            <w:r>
              <w:rPr>
                <w:sz w:val="17"/>
              </w:rPr>
              <w:t>2,640</w:t>
            </w:r>
          </w:p>
        </w:tc>
        <w:tc>
          <w:tcPr>
            <w:tcW w:type="dxa" w:w="1440"/>
            <w:shd w:fill="FAFAFA" w:val="clear"/>
          </w:tcPr>
          <w:p>
            <w:r>
              <w:rPr>
                <w:b/>
                <w:sz w:val="17"/>
              </w:rPr>
              <w:t>2,857</w:t>
            </w:r>
          </w:p>
        </w:tc>
        <w:tc>
          <w:tcPr>
            <w:tcW w:type="dxa" w:w="1440"/>
            <w:shd w:fill="FAFAFA" w:val="clear"/>
          </w:tcPr>
          <w:p>
            <w:r>
              <w:rPr>
                <w:sz w:val="17"/>
              </w:rPr>
              <w:t>3,073</w:t>
            </w:r>
          </w:p>
        </w:tc>
        <w:tc>
          <w:tcPr>
            <w:tcW w:type="dxa" w:w="1440"/>
            <w:shd w:fill="FAFAFA" w:val="clear"/>
          </w:tcPr>
          <w:p>
            <w:r>
              <w:rPr>
                <w:b/>
                <w:color w:val="C00000"/>
                <w:sz w:val="17"/>
              </w:rPr>
              <w:t>-1.5%</w:t>
            </w:r>
          </w:p>
        </w:tc>
      </w:tr>
      <w:tr>
        <w:tc>
          <w:tcPr>
            <w:tcW w:type="dxa" w:w="1440"/>
            <w:shd w:fill="FAFAFA" w:val="clear"/>
          </w:tcPr>
          <w:p>
            <w:r>
              <w:rPr>
                <w:sz w:val="17"/>
              </w:rPr>
              <w:t>J+7  Moyenne</w:t>
            </w:r>
          </w:p>
        </w:tc>
        <w:tc>
          <w:tcPr>
            <w:tcW w:type="dxa" w:w="1440"/>
            <w:shd w:fill="FAFAFA" w:val="clear"/>
          </w:tcPr>
          <w:p>
            <w:r>
              <w:rPr>
                <w:sz w:val="17"/>
              </w:rPr>
              <w:t>2026-09-07</w:t>
            </w:r>
          </w:p>
        </w:tc>
        <w:tc>
          <w:tcPr>
            <w:tcW w:type="dxa" w:w="1440"/>
            <w:shd w:fill="FAFAFA" w:val="clear"/>
          </w:tcPr>
          <w:p>
            <w:r>
              <w:rPr>
                <w:sz w:val="17"/>
              </w:rPr>
              <w:t>2,618</w:t>
            </w:r>
          </w:p>
        </w:tc>
        <w:tc>
          <w:tcPr>
            <w:tcW w:type="dxa" w:w="1440"/>
            <w:shd w:fill="FAFAFA" w:val="clear"/>
          </w:tcPr>
          <w:p>
            <w:r>
              <w:rPr>
                <w:b/>
                <w:sz w:val="17"/>
              </w:rPr>
              <w:t>2,851</w:t>
            </w:r>
          </w:p>
        </w:tc>
        <w:tc>
          <w:tcPr>
            <w:tcW w:type="dxa" w:w="1440"/>
            <w:shd w:fill="FAFAFA" w:val="clear"/>
          </w:tcPr>
          <w:p>
            <w:r>
              <w:rPr>
                <w:sz w:val="17"/>
              </w:rPr>
              <w:t>3,085</w:t>
            </w:r>
          </w:p>
        </w:tc>
        <w:tc>
          <w:tcPr>
            <w:tcW w:type="dxa" w:w="1440"/>
            <w:shd w:fill="FAFAFA" w:val="clear"/>
          </w:tcPr>
          <w:p>
            <w:r>
              <w:rPr>
                <w:b/>
                <w:color w:val="C00000"/>
                <w:sz w:val="17"/>
              </w:rPr>
              <w:t>-1.7%</w:t>
            </w:r>
          </w:p>
        </w:tc>
      </w:tr>
      <w:tr>
        <w:tc>
          <w:tcPr>
            <w:tcW w:type="dxa" w:w="1440"/>
            <w:shd w:fill="FAFAFA" w:val="clear"/>
          </w:tcPr>
          <w:p>
            <w:r>
              <w:rPr>
                <w:sz w:val="17"/>
              </w:rPr>
              <w:t>J+8  Moyenne</w:t>
            </w:r>
          </w:p>
        </w:tc>
        <w:tc>
          <w:tcPr>
            <w:tcW w:type="dxa" w:w="1440"/>
            <w:shd w:fill="FAFAFA" w:val="clear"/>
          </w:tcPr>
          <w:p>
            <w:r>
              <w:rPr>
                <w:sz w:val="17"/>
              </w:rPr>
              <w:t>2026-09-08</w:t>
            </w:r>
          </w:p>
        </w:tc>
        <w:tc>
          <w:tcPr>
            <w:tcW w:type="dxa" w:w="1440"/>
            <w:shd w:fill="FAFAFA" w:val="clear"/>
          </w:tcPr>
          <w:p>
            <w:r>
              <w:rPr>
                <w:sz w:val="17"/>
              </w:rPr>
              <w:t>2,597</w:t>
            </w:r>
          </w:p>
        </w:tc>
        <w:tc>
          <w:tcPr>
            <w:tcW w:type="dxa" w:w="1440"/>
            <w:shd w:fill="FAFAFA" w:val="clear"/>
          </w:tcPr>
          <w:p>
            <w:r>
              <w:rPr>
                <w:b/>
                <w:sz w:val="17"/>
              </w:rPr>
              <w:t>2,846</w:t>
            </w:r>
          </w:p>
        </w:tc>
        <w:tc>
          <w:tcPr>
            <w:tcW w:type="dxa" w:w="1440"/>
            <w:shd w:fill="FAFAFA" w:val="clear"/>
          </w:tcPr>
          <w:p>
            <w:r>
              <w:rPr>
                <w:sz w:val="17"/>
              </w:rPr>
              <w:t>3,095</w:t>
            </w:r>
          </w:p>
        </w:tc>
        <w:tc>
          <w:tcPr>
            <w:tcW w:type="dxa" w:w="1440"/>
            <w:shd w:fill="FAFAFA" w:val="clear"/>
          </w:tcPr>
          <w:p>
            <w:r>
              <w:rPr>
                <w:b/>
                <w:color w:val="C00000"/>
                <w:sz w:val="17"/>
              </w:rPr>
              <w:t>-1.9%</w:t>
            </w:r>
          </w:p>
        </w:tc>
      </w:tr>
      <w:tr>
        <w:tc>
          <w:tcPr>
            <w:tcW w:type="dxa" w:w="1440"/>
            <w:shd w:fill="FFDCE0" w:val="clear"/>
          </w:tcPr>
          <w:p>
            <w:r>
              <w:rPr>
                <w:sz w:val="17"/>
              </w:rPr>
              <w:t>J+9  Moyenne</w:t>
            </w:r>
          </w:p>
        </w:tc>
        <w:tc>
          <w:tcPr>
            <w:tcW w:type="dxa" w:w="1440"/>
            <w:shd w:fill="FFDCE0" w:val="clear"/>
          </w:tcPr>
          <w:p>
            <w:r>
              <w:rPr>
                <w:sz w:val="17"/>
              </w:rPr>
              <w:t>2026-09-09</w:t>
            </w:r>
          </w:p>
        </w:tc>
        <w:tc>
          <w:tcPr>
            <w:tcW w:type="dxa" w:w="1440"/>
            <w:shd w:fill="FFDCE0" w:val="clear"/>
          </w:tcPr>
          <w:p>
            <w:r>
              <w:rPr>
                <w:sz w:val="17"/>
              </w:rPr>
              <w:t>2,577</w:t>
            </w:r>
          </w:p>
        </w:tc>
        <w:tc>
          <w:tcPr>
            <w:tcW w:type="dxa" w:w="1440"/>
            <w:shd w:fill="FFDCE0" w:val="clear"/>
          </w:tcPr>
          <w:p>
            <w:r>
              <w:rPr>
                <w:b/>
                <w:sz w:val="17"/>
              </w:rPr>
              <w:t>2,840</w:t>
            </w:r>
          </w:p>
        </w:tc>
        <w:tc>
          <w:tcPr>
            <w:tcW w:type="dxa" w:w="1440"/>
            <w:shd w:fill="FFDCE0" w:val="clear"/>
          </w:tcPr>
          <w:p>
            <w:r>
              <w:rPr>
                <w:sz w:val="17"/>
              </w:rPr>
              <w:t>3,104</w:t>
            </w:r>
          </w:p>
        </w:tc>
        <w:tc>
          <w:tcPr>
            <w:tcW w:type="dxa" w:w="1440"/>
            <w:shd w:fill="FFDCE0" w:val="clear"/>
          </w:tcPr>
          <w:p>
            <w:r>
              <w:rPr>
                <w:b/>
                <w:color w:val="C00000"/>
                <w:sz w:val="17"/>
              </w:rPr>
              <w:t>-2.1%</w:t>
            </w:r>
          </w:p>
        </w:tc>
      </w:tr>
      <w:tr>
        <w:tc>
          <w:tcPr>
            <w:tcW w:type="dxa" w:w="1440"/>
            <w:shd w:fill="FFDCE0" w:val="clear"/>
          </w:tcPr>
          <w:p>
            <w:r>
              <w:rPr>
                <w:sz w:val="17"/>
              </w:rPr>
              <w:t>J+10  Moyenne</w:t>
            </w:r>
          </w:p>
        </w:tc>
        <w:tc>
          <w:tcPr>
            <w:tcW w:type="dxa" w:w="1440"/>
            <w:shd w:fill="FFDCE0" w:val="clear"/>
          </w:tcPr>
          <w:p>
            <w:r>
              <w:rPr>
                <w:sz w:val="17"/>
              </w:rPr>
              <w:t>2026-09-10</w:t>
            </w:r>
          </w:p>
        </w:tc>
        <w:tc>
          <w:tcPr>
            <w:tcW w:type="dxa" w:w="1440"/>
            <w:shd w:fill="FFDCE0" w:val="clear"/>
          </w:tcPr>
          <w:p>
            <w:r>
              <w:rPr>
                <w:sz w:val="17"/>
              </w:rPr>
              <w:t>2,558</w:t>
            </w:r>
          </w:p>
        </w:tc>
        <w:tc>
          <w:tcPr>
            <w:tcW w:type="dxa" w:w="1440"/>
            <w:shd w:fill="FFDCE0" w:val="clear"/>
          </w:tcPr>
          <w:p>
            <w:r>
              <w:rPr>
                <w:b/>
                <w:sz w:val="17"/>
              </w:rPr>
              <w:t>2,835</w:t>
            </w:r>
          </w:p>
        </w:tc>
        <w:tc>
          <w:tcPr>
            <w:tcW w:type="dxa" w:w="1440"/>
            <w:shd w:fill="FFDCE0" w:val="clear"/>
          </w:tcPr>
          <w:p>
            <w:r>
              <w:rPr>
                <w:sz w:val="17"/>
              </w:rPr>
              <w:t>3,112</w:t>
            </w:r>
          </w:p>
        </w:tc>
        <w:tc>
          <w:tcPr>
            <w:tcW w:type="dxa" w:w="1440"/>
            <w:shd w:fill="FFDCE0" w:val="clear"/>
          </w:tcPr>
          <w:p>
            <w:r>
              <w:rPr>
                <w:b/>
                <w:color w:val="C00000"/>
                <w:sz w:val="17"/>
              </w:rPr>
              <w:t>-2.2%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13.53 M FCFA</w:t>
            </w:r>
          </w:p>
        </w:tc>
        <w:tc>
          <w:tcPr>
            <w:tcW w:type="dxa" w:w="5669"/>
            <w:shd w:fill="FFFFFF" w:val="clear"/>
          </w:tcPr>
          <w:p>
            <w:r>
              <w:rPr>
                <w:color w:val="282828"/>
                <w:sz w:val="15"/>
              </w:rPr>
              <w:t>Titres d'État détenus (0.0% du bilan). Actif très sécurisé, source de liquidité secondaire.</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12.328 Mds FCFA</w:t>
            </w:r>
          </w:p>
        </w:tc>
        <w:tc>
          <w:tcPr>
            <w:tcW w:type="dxa" w:w="5669"/>
            <w:shd w:fill="FFFFFF" w:val="clear"/>
          </w:tcPr>
          <w:p>
            <w:r>
              <w:rPr>
                <w:color w:val="282828"/>
                <w:sz w:val="15"/>
              </w:rPr>
              <w:t>Créances clients = 8.4%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4.954 Mds FCFA</w:t>
            </w:r>
          </w:p>
        </w:tc>
        <w:tc>
          <w:tcPr>
            <w:tcW w:type="dxa" w:w="5669"/>
            <w:shd w:fill="FFFFFF" w:val="clear"/>
          </w:tcPr>
          <w:p>
            <w:r>
              <w:rPr>
                <w:color w:val="282828"/>
                <w:sz w:val="15"/>
              </w:rPr>
              <w:t>Rotation stocks = 29.5x/an.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53.763 Mds FCFA</w:t>
            </w:r>
          </w:p>
        </w:tc>
        <w:tc>
          <w:tcPr>
            <w:tcW w:type="dxa" w:w="5669"/>
            <w:shd w:fill="FFFFFF" w:val="clear"/>
          </w:tcPr>
          <w:p>
            <w:r>
              <w:rPr>
                <w:color w:val="282828"/>
                <w:sz w:val="15"/>
              </w:rPr>
              <w:t>Ratio actif circ./passif circ. = 0.36x.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56.460 Mds FCFA</w:t>
            </w:r>
          </w:p>
        </w:tc>
        <w:tc>
          <w:tcPr>
            <w:tcW w:type="dxa" w:w="5669"/>
            <w:shd w:fill="FFFFFF" w:val="clear"/>
          </w:tcPr>
          <w:p>
            <w:r>
              <w:rPr>
                <w:color w:val="282828"/>
                <w:sz w:val="15"/>
              </w:rPr>
              <w:t>Brevets, logiciels, fonds commercial (17.4%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152.954 Mds FCFA</w:t>
            </w:r>
          </w:p>
        </w:tc>
        <w:tc>
          <w:tcPr>
            <w:tcW w:type="dxa" w:w="5669"/>
            <w:shd w:fill="FFFFFF" w:val="clear"/>
          </w:tcPr>
          <w:p>
            <w:r>
              <w:rPr>
                <w:color w:val="282828"/>
                <w:sz w:val="15"/>
              </w:rPr>
              <w:t>Outil industriel (47.1%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210.691 Mds FCFA</w:t>
            </w:r>
          </w:p>
        </w:tc>
        <w:tc>
          <w:tcPr>
            <w:tcW w:type="dxa" w:w="5669"/>
            <w:shd w:fill="FFFFFF" w:val="clear"/>
          </w:tcPr>
          <w:p>
            <w:r>
              <w:rPr>
                <w:color w:val="282828"/>
                <w:sz w:val="15"/>
              </w:rPr>
              <w:t>Actif immobilisé = 64.8%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60.449 Mds FCFA</w:t>
            </w:r>
          </w:p>
        </w:tc>
        <w:tc>
          <w:tcPr>
            <w:tcW w:type="dxa" w:w="5669"/>
            <w:shd w:fill="FFFFFF" w:val="clear"/>
          </w:tcPr>
          <w:p>
            <w:r>
              <w:rPr>
                <w:color w:val="282828"/>
                <w:sz w:val="15"/>
              </w:rPr>
              <w:t>Liquidités disponibles (18.6%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324.902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34.000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6.800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57.542 Mds FCFA</w:t>
            </w:r>
          </w:p>
        </w:tc>
        <w:tc>
          <w:tcPr>
            <w:tcW w:type="dxa" w:w="5669"/>
            <w:shd w:fill="FFFFFF" w:val="clear"/>
          </w:tcPr>
          <w:p>
            <w:r>
              <w:rPr>
                <w:color w:val="282828"/>
                <w:sz w:val="15"/>
              </w:rPr>
              <w:t>Fonds propres = 17.7%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127.233 Mds FCFA</w:t>
            </w:r>
          </w:p>
        </w:tc>
        <w:tc>
          <w:tcPr>
            <w:tcW w:type="dxa" w:w="5669"/>
            <w:shd w:fill="FFFFFF" w:val="clear"/>
          </w:tcPr>
          <w:p>
            <w:r>
              <w:rPr>
                <w:color w:val="282828"/>
                <w:sz w:val="15"/>
              </w:rPr>
              <w:t>Capitaux permanents / Actif immobilisé = 0.60x.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42.688 Mds FCFA</w:t>
            </w:r>
          </w:p>
        </w:tc>
        <w:tc>
          <w:tcPr>
            <w:tcW w:type="dxa" w:w="5669"/>
            <w:shd w:fill="FFFFFF" w:val="clear"/>
          </w:tcPr>
          <w:p>
            <w:r>
              <w:rPr>
                <w:color w:val="282828"/>
                <w:sz w:val="15"/>
              </w:rPr>
              <w:t>Dépôts clients = 13.1%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21.592 Mds FCFA</w:t>
            </w:r>
          </w:p>
        </w:tc>
        <w:tc>
          <w:tcPr>
            <w:tcW w:type="dxa" w:w="5669"/>
            <w:shd w:fill="FFFFFF" w:val="clear"/>
          </w:tcPr>
          <w:p>
            <w:r>
              <w:rPr>
                <w:color w:val="282828"/>
                <w:sz w:val="15"/>
              </w:rPr>
              <w:t>Délai fournisseurs implicite ≈ 54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57.796 Mds FCFA</w:t>
            </w:r>
          </w:p>
        </w:tc>
        <w:tc>
          <w:tcPr>
            <w:tcW w:type="dxa" w:w="5669"/>
            <w:shd w:fill="FFFFFF" w:val="clear"/>
          </w:tcPr>
          <w:p>
            <w:r>
              <w:rPr>
                <w:color w:val="282828"/>
                <w:sz w:val="15"/>
              </w:rPr>
              <w:t>Dette LT/MT = 100%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EB9C" w:val="clear"/>
          </w:tcPr>
          <w:p>
            <w:r>
              <w:rPr>
                <w:b/>
                <w:color w:val="006400"/>
                <w:sz w:val="17"/>
              </w:rPr>
              <w:t>107.596 Mds FCFA</w:t>
            </w:r>
          </w:p>
        </w:tc>
        <w:tc>
          <w:tcPr>
            <w:tcW w:type="dxa" w:w="5669"/>
            <w:shd w:fill="FFFFFF" w:val="clear"/>
          </w:tcPr>
          <w:p>
            <w:r>
              <w:rPr>
                <w:color w:val="282828"/>
                <w:sz w:val="15"/>
              </w:rPr>
              <w:t>Dette financière totale = 187% des fonds propres (gearing). ⚠️ Gearing élevé — risque financier accru.</w:t>
            </w:r>
          </w:p>
        </w:tc>
      </w:tr>
      <w:tr>
        <w:tc>
          <w:tcPr>
            <w:tcW w:type="dxa" w:w="2268"/>
            <w:shd w:fill="EEF2F7" w:val="clear"/>
          </w:tcPr>
          <w:p>
            <w:r>
              <w:rPr>
                <w:b/>
                <w:color w:val="1E1E3C"/>
                <w:sz w:val="16"/>
              </w:rPr>
              <w:t>Dettes totales</w:t>
            </w:r>
          </w:p>
        </w:tc>
        <w:tc>
          <w:tcPr>
            <w:tcW w:type="dxa" w:w="1984"/>
            <w:shd w:fill="FFEB9C" w:val="clear"/>
          </w:tcPr>
          <w:p>
            <w:r>
              <w:rPr>
                <w:b/>
                <w:color w:val="006400"/>
                <w:sz w:val="17"/>
              </w:rPr>
              <w:t>267.361 Mds FCFA</w:t>
            </w:r>
          </w:p>
        </w:tc>
        <w:tc>
          <w:tcPr>
            <w:tcW w:type="dxa" w:w="5669"/>
            <w:shd w:fill="FFFFFF" w:val="clear"/>
          </w:tcPr>
          <w:p>
            <w:r>
              <w:rPr>
                <w:color w:val="282828"/>
                <w:sz w:val="15"/>
              </w:rPr>
              <w:t>Dettes totales = 82.3%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146.177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146.177 Mds FCFA</w:t>
            </w:r>
          </w:p>
        </w:tc>
        <w:tc>
          <w:tcPr>
            <w:tcW w:type="dxa" w:w="5669"/>
            <w:shd w:fill="FFFFFF" w:val="clear"/>
          </w:tcPr>
          <w:p>
            <w:r>
              <w:rPr>
                <w:color w:val="282828"/>
                <w:sz w:val="15"/>
              </w:rPr>
              <w:t>Chiffre d'affaires. Croissance: 3.1%.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-73.410 Mds FCFA</w:t>
            </w:r>
          </w:p>
        </w:tc>
        <w:tc>
          <w:tcPr>
            <w:tcW w:type="dxa" w:w="5669"/>
            <w:shd w:fill="FFFFFF" w:val="clear"/>
          </w:tcPr>
          <w:p>
            <w:r>
              <w:rPr>
                <w:color w:val="282828"/>
                <w:sz w:val="15"/>
              </w:rPr>
              <w:t>-50.2%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-32.505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-16.845 Mds FCFA</w:t>
            </w:r>
          </w:p>
        </w:tc>
        <w:tc>
          <w:tcPr>
            <w:tcW w:type="dxa" w:w="5669"/>
            <w:shd w:fill="FFFFFF" w:val="clear"/>
          </w:tcPr>
          <w:p>
            <w:r>
              <w:rPr>
                <w:color w:val="282828"/>
                <w:sz w:val="15"/>
              </w:rPr>
              <w:t>Masse salariale = -11.5%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73.576 Mds FCFA</w:t>
            </w:r>
          </w:p>
        </w:tc>
        <w:tc>
          <w:tcPr>
            <w:tcW w:type="dxa" w:w="5669"/>
            <w:shd w:fill="FFFFFF" w:val="clear"/>
          </w:tcPr>
          <w:p>
            <w:r>
              <w:rPr>
                <w:color w:val="282828"/>
                <w:sz w:val="15"/>
              </w:rPr>
              <w:t>VA = 50.3%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56.731 Mds FCFA</w:t>
            </w:r>
          </w:p>
        </w:tc>
        <w:tc>
          <w:tcPr>
            <w:tcW w:type="dxa" w:w="5669"/>
            <w:shd w:fill="FFFFFF" w:val="clear"/>
          </w:tcPr>
          <w:p>
            <w:r>
              <w:rPr>
                <w:color w:val="282828"/>
                <w:sz w:val="15"/>
              </w:rPr>
              <w:t>EBE = 38.8%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56.731 Mds FCFA</w:t>
            </w:r>
          </w:p>
        </w:tc>
        <w:tc>
          <w:tcPr>
            <w:tcW w:type="dxa" w:w="5669"/>
            <w:shd w:fill="FFFFFF" w:val="clear"/>
          </w:tcPr>
          <w:p>
            <w:r>
              <w:rPr>
                <w:color w:val="282828"/>
                <w:sz w:val="15"/>
              </w:rPr>
              <w:t>RBE = 5673067780400.0%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25.665 Mds FCFA</w:t>
            </w:r>
          </w:p>
        </w:tc>
        <w:tc>
          <w:tcPr>
            <w:tcW w:type="dxa" w:w="5669"/>
            <w:shd w:fill="FFFFFF" w:val="clear"/>
          </w:tcPr>
          <w:p>
            <w:r>
              <w:rPr>
                <w:color w:val="282828"/>
                <w:sz w:val="15"/>
              </w:rPr>
              <w:t>Profit d'exploitation = 17.6%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-31.065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15.887 Mds FCFA</w:t>
            </w:r>
          </w:p>
        </w:tc>
        <w:tc>
          <w:tcPr>
            <w:tcW w:type="dxa" w:w="5669"/>
            <w:shd w:fill="FFFFFF" w:val="clear"/>
          </w:tcPr>
          <w:p>
            <w:r>
              <w:rPr>
                <w:color w:val="282828"/>
                <w:sz w:val="15"/>
              </w:rPr>
              <w:t>Marge nette = 10.9%.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46.952 Mds FCFA</w:t>
            </w:r>
          </w:p>
        </w:tc>
        <w:tc>
          <w:tcPr>
            <w:tcW w:type="dxa" w:w="5669"/>
            <w:shd w:fill="FFFFFF" w:val="clear"/>
          </w:tcPr>
          <w:p>
            <w:r>
              <w:rPr>
                <w:color w:val="282828"/>
                <w:sz w:val="15"/>
              </w:rPr>
              <w:t>CAF = 46.95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68.487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-45.224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-18.671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1.556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-94.101 Mds FCFA</w:t>
            </w:r>
          </w:p>
        </w:tc>
        <w:tc>
          <w:tcPr>
            <w:tcW w:type="dxa" w:w="5669"/>
            <w:shd w:fill="FFFFFF" w:val="clear"/>
          </w:tcPr>
          <w:p>
            <w:r>
              <w:rPr>
                <w:color w:val="282828"/>
                <w:sz w:val="15"/>
              </w:rPr>
              <w:t>BFR = -64.4%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-83.457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10.649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50.33%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10.87%</w:t>
            </w:r>
          </w:p>
        </w:tc>
        <w:tc>
          <w:tcPr>
            <w:tcW w:type="dxa" w:w="5669"/>
            <w:shd w:fill="FFFFFF" w:val="clear"/>
          </w:tcPr>
          <w:p>
            <w:r>
              <w:rPr>
                <w:color w:val="282828"/>
                <w:sz w:val="15"/>
              </w:rPr>
              <w:t>Résultat net / revenus = 10.87%.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17.56%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27.61%</w:t>
            </w:r>
          </w:p>
        </w:tc>
        <w:tc>
          <w:tcPr>
            <w:tcW w:type="dxa" w:w="5669"/>
            <w:shd w:fill="FFFFFF" w:val="clear"/>
          </w:tcPr>
          <w:p>
            <w:r>
              <w:rPr>
                <w:color w:val="282828"/>
                <w:sz w:val="15"/>
              </w:rPr>
              <w:t>Résultat net / capitaux propres = 27.61%.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4.89%</w:t>
            </w:r>
          </w:p>
        </w:tc>
        <w:tc>
          <w:tcPr>
            <w:tcW w:type="dxa" w:w="5669"/>
            <w:shd w:fill="FFFFFF" w:val="clear"/>
          </w:tcPr>
          <w:p>
            <w:r>
              <w:rPr>
                <w:color w:val="282828"/>
                <w:sz w:val="15"/>
              </w:rPr>
              <w:t>Résultat net / total actif = 4.89% (banque: seuil &gt;1%).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44.99%</w:t>
            </w:r>
          </w:p>
        </w:tc>
        <w:tc>
          <w:tcPr>
            <w:tcW w:type="dxa" w:w="5669"/>
            <w:shd w:fill="FFFFFF" w:val="clear"/>
          </w:tcPr>
          <w:p>
            <w:r>
              <w:rPr>
                <w:color w:val="282828"/>
                <w:sz w:val="15"/>
              </w:rPr>
              <w:t>CA / total actif = 44.99x. ⚠️ Actifs peu utilisés.</w:t>
            </w:r>
          </w:p>
        </w:tc>
      </w:tr>
      <w:tr>
        <w:tc>
          <w:tcPr>
            <w:tcW w:type="dxa" w:w="2268"/>
            <w:shd w:fill="EEF2F7" w:val="clear"/>
          </w:tcPr>
          <w:p>
            <w:r>
              <w:rPr>
                <w:b/>
                <w:color w:val="1E1E3C"/>
                <w:sz w:val="16"/>
              </w:rPr>
              <w:t>Coeff. d'exploitation (banque)</w:t>
            </w:r>
          </w:p>
        </w:tc>
        <w:tc>
          <w:tcPr>
            <w:tcW w:type="dxa" w:w="1984"/>
            <w:shd w:fill="FFEB9C" w:val="clear"/>
          </w:tcPr>
          <w:p>
            <w:r>
              <w:rPr>
                <w:b/>
                <w:color w:val="006400"/>
                <w:sz w:val="17"/>
              </w:rPr>
              <w:t>67.07%</w:t>
            </w:r>
          </w:p>
        </w:tc>
        <w:tc>
          <w:tcPr>
            <w:tcW w:type="dxa" w:w="5669"/>
            <w:shd w:fill="FFFFFF" w:val="clear"/>
          </w:tcPr>
          <w:p>
            <w:r>
              <w:rPr>
                <w:color w:val="282828"/>
                <w:sz w:val="15"/>
              </w:rPr>
              <w:t>Charges / PNB = 67.07% (cost-to-income). ⚠️ Efficience limitée — charges absorbent trop du PNB.</w:t>
            </w:r>
          </w:p>
        </w:tc>
      </w:tr>
      <w:tr>
        <w:tc>
          <w:tcPr>
            <w:tcW w:type="dxa" w:w="2268"/>
            <w:shd w:fill="EEF2F7" w:val="clear"/>
          </w:tcPr>
          <w:p>
            <w:r>
              <w:rPr>
                <w:b/>
                <w:color w:val="1E1E3C"/>
                <w:sz w:val="16"/>
              </w:rPr>
              <w:t>Coût du risque</w:t>
            </w:r>
          </w:p>
        </w:tc>
        <w:tc>
          <w:tcPr>
            <w:tcW w:type="dxa" w:w="1984"/>
            <w:shd w:fill="FFC7CE" w:val="clear"/>
          </w:tcPr>
          <w:p>
            <w:r>
              <w:rPr>
                <w:b/>
                <w:color w:val="006400"/>
                <w:sz w:val="17"/>
              </w:rPr>
              <w:t>3.57%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3.06%</w:t>
            </w:r>
          </w:p>
        </w:tc>
        <w:tc>
          <w:tcPr>
            <w:tcW w:type="dxa" w:w="5669"/>
            <w:shd w:fill="FFFFFF" w:val="clear"/>
          </w:tcPr>
          <w:p>
            <w:r>
              <w:rPr>
                <w:color w:val="282828"/>
                <w:sz w:val="15"/>
              </w:rPr>
              <w:t>Croissance PNB vs exercice précédent = 3.06%.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17.71%</w:t>
            </w:r>
          </w:p>
        </w:tc>
        <w:tc>
          <w:tcPr>
            <w:tcW w:type="dxa" w:w="5669"/>
            <w:shd w:fill="FFFFFF" w:val="clear"/>
          </w:tcPr>
          <w:p>
            <w:r>
              <w:rPr>
                <w:color w:val="282828"/>
                <w:sz w:val="15"/>
              </w:rPr>
              <w:t>Fonds propres / total bilan = 17.71%.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82.29%</w:t>
            </w:r>
          </w:p>
        </w:tc>
        <w:tc>
          <w:tcPr>
            <w:tcW w:type="dxa" w:w="5669"/>
            <w:shd w:fill="FFFFFF" w:val="clear"/>
          </w:tcPr>
          <w:p>
            <w:r>
              <w:rPr>
                <w:color w:val="282828"/>
                <w:sz w:val="15"/>
              </w:rPr>
              <w:t>Dettes financières / total bilan = 82.29%. ❌ Structure très endettée — vulnérable aux chocs de taux.</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186.99%</w:t>
            </w:r>
          </w:p>
        </w:tc>
        <w:tc>
          <w:tcPr>
            <w:tcW w:type="dxa" w:w="5669"/>
            <w:shd w:fill="FFFFFF" w:val="clear"/>
          </w:tcPr>
          <w:p>
            <w:r>
              <w:rPr>
                <w:color w:val="282828"/>
                <w:sz w:val="15"/>
              </w:rPr>
              <w:t>Dettes totales / fonds propres = 186.99%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121.52%</w:t>
            </w:r>
          </w:p>
        </w:tc>
        <w:tc>
          <w:tcPr>
            <w:tcW w:type="dxa" w:w="5669"/>
            <w:shd w:fill="FFFFFF" w:val="clear"/>
          </w:tcPr>
          <w:p>
            <w:r>
              <w:rPr>
                <w:color w:val="282828"/>
                <w:sz w:val="15"/>
              </w:rPr>
              <w:t>Total actif / dettes totales = 121.52x.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36.36%</w:t>
            </w:r>
          </w:p>
        </w:tc>
        <w:tc>
          <w:tcPr>
            <w:tcW w:type="dxa" w:w="5669"/>
            <w:shd w:fill="FFFFFF" w:val="clear"/>
          </w:tcPr>
          <w:p>
            <w:r>
              <w:rPr>
                <w:color w:val="282828"/>
                <w:sz w:val="15"/>
              </w:rPr>
              <w:t>Actif circulant / passif circulant = 36.36x. ❌ Liquidité critique — incapacité probable à honorer les dettes CT.</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40.88%</w:t>
            </w:r>
          </w:p>
        </w:tc>
        <w:tc>
          <w:tcPr>
            <w:tcW w:type="dxa" w:w="5669"/>
            <w:shd w:fill="FFFFFF" w:val="clear"/>
          </w:tcPr>
          <w:p>
            <w:r>
              <w:rPr>
                <w:color w:val="282828"/>
                <w:sz w:val="15"/>
              </w:rPr>
              <w:t>Trésorerie / passif circulant = 40.88x. ✅ Trésorerie immédiate confortable.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33.01%</w:t>
            </w:r>
          </w:p>
        </w:tc>
        <w:tc>
          <w:tcPr>
            <w:tcW w:type="dxa" w:w="5669"/>
            <w:shd w:fill="FFFFFF" w:val="clear"/>
          </w:tcPr>
          <w:p>
            <w:r>
              <w:rPr>
                <w:color w:val="282828"/>
                <w:sz w:val="15"/>
              </w:rPr>
              <w:t>(Actif circ. - stocks) / passif circ. = 33.01x.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60.39%</w:t>
            </w:r>
          </w:p>
        </w:tc>
        <w:tc>
          <w:tcPr>
            <w:tcW w:type="dxa" w:w="5669"/>
            <w:shd w:fill="FFFFFF" w:val="clear"/>
          </w:tcPr>
          <w:p>
            <w:r>
              <w:rPr>
                <w:color w:val="282828"/>
                <w:sz w:val="15"/>
              </w:rPr>
              <w:t>Capitaux permanents / actif immobilisé = 60.39x.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2.3 ans</w:t>
            </w:r>
          </w:p>
        </w:tc>
        <w:tc>
          <w:tcPr>
            <w:tcW w:type="dxa" w:w="5669"/>
            <w:shd w:fill="FFFFFF" w:val="clear"/>
          </w:tcPr>
          <w:p>
            <w:r>
              <w:rPr>
                <w:color w:val="282828"/>
                <w:sz w:val="15"/>
              </w:rPr>
              <w:t>Dettes financières / CAF = 2.3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491.55%</w:t>
            </w:r>
          </w:p>
        </w:tc>
        <w:tc>
          <w:tcPr>
            <w:tcW w:type="dxa" w:w="5669"/>
            <w:shd w:fill="FFFFFF" w:val="clear"/>
          </w:tcPr>
          <w:p>
            <w:r>
              <w:rPr>
                <w:color w:val="282828"/>
                <w:sz w:val="15"/>
              </w:rPr>
              <w:t>Résultat exploit. / charges financières = 491.55x.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103.82%</w:t>
            </w:r>
          </w:p>
        </w:tc>
        <w:tc>
          <w:tcPr>
            <w:tcW w:type="dxa" w:w="5669"/>
            <w:shd w:fill="FFFFFF" w:val="clear"/>
          </w:tcPr>
          <w:p>
            <w:r>
              <w:rPr>
                <w:color w:val="282828"/>
                <w:sz w:val="15"/>
              </w:rPr>
              <w:t>CAF / investissements = 103.82x.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30.8 j</w:t>
            </w:r>
          </w:p>
        </w:tc>
        <w:tc>
          <w:tcPr>
            <w:tcW w:type="dxa" w:w="5669"/>
            <w:shd w:fill="FFFFFF" w:val="clear"/>
          </w:tcPr>
          <w:p>
            <w:r>
              <w:rPr>
                <w:color w:val="282828"/>
                <w:sz w:val="15"/>
              </w:rPr>
              <w:t>Les clients paient en moyenne en 31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130.7 j</w:t>
            </w:r>
          </w:p>
        </w:tc>
        <w:tc>
          <w:tcPr>
            <w:tcW w:type="dxa" w:w="5669"/>
            <w:shd w:fill="FFFFFF" w:val="clear"/>
          </w:tcPr>
          <w:p>
            <w:r>
              <w:rPr>
                <w:color w:val="282828"/>
                <w:sz w:val="15"/>
              </w:rPr>
              <w:t>Paiement des fournisseurs en 131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1669.2 j</w:t>
            </w:r>
          </w:p>
        </w:tc>
        <w:tc>
          <w:tcPr>
            <w:tcW w:type="dxa" w:w="5669"/>
            <w:shd w:fill="FFFFFF" w:val="clear"/>
          </w:tcPr>
          <w:p>
            <w:r>
              <w:rPr>
                <w:color w:val="282828"/>
                <w:sz w:val="15"/>
              </w:rPr>
              <w:t>Stock écoulé en 1669 jours. ❌ Stock quasi-bloqué — risque d'obsolescence ou de surstock.</w:t>
            </w:r>
          </w:p>
        </w:tc>
      </w:tr>
    </w:tbl>
    <w:p/>
    <w:p>
      <w:pPr>
        <w:spacing w:after="120" w:line="276" w:lineRule="auto"/>
      </w:pPr>
      <w:r>
        <w:t>**RAPPORT D'ANALYSE FINANCIÈRE — ONTBF (ONATEL-SA / MOOV AFRICA BURKINA FASO)**</w:t>
        <w:br/>
        <w:t>**Date de l'analyse :** 27 août 2026</w:t>
        <w:br/>
        <w:t>**Cours de référence :** 2 900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l'ONTBF s'établit à 197,20 milliards FCFA, ce qui en fait une valeur de première ligne sur la BRVM, bien que loin derrière le géant Sonatel. Avec un BPA de 234 FCFA, le titre se négocie à un PER de 12,4x, légèrement au-dessus de la moyenne historique du marché (8-12x), indiquant que les investisseurs paient une prime modérée pour la qualité de l'actif et son rendement. Le P/B de 3,43x confirme cette prime, le marché valorisant la société à plus de trois fois sa valeur comptable, ce qui reflète une anticipation de croissance future. Enfin, un EV/EBITDA de 5,2x est particulièrement attractif, signalant que la valeur totale de l'entreprise (dette incluse) reste raisonnable par rapport à sa capacité opérationnelle de génération de cash (EBITDA). L'ensemble de ces ratios suggère une valorisation globalement raisonnable, avec un potentiel de hausse si la rentabilité se redresse.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l'ONTBF affiche une variation totale de -1,36%, illustrant une tendance globalement stable mais légèrement baissière, avec un rebond de +0,52% lors de la dernière séance. Le titre a évolué dans un range de 2 610 à 3 070 FCFA, montrant une amplitude de trading significative. La moyenne (2 822 FCFA) et la médiane (2 802 FCFA) sont très proches, et le mode (2 800 FCFA) est quasi identique, indiquant une distribution symétrique des prix autour d'un point d'équilibre. L'écart-type de 86 FCFA (CV=3,1%) démontre une dispersion très faible, et le kurtosis négatif (-0,223) suggère l'absence de mouvements extrêmes (pas de queues épaisses). Le skewness positif (0,213) confirme une asymétrie légèrement positive, avec des pics de prix plus fréquents que les creux. La volatilité annualisée de 30,9% classe le titre comme à volatilité élevée, un point d'attention pour les investisseurs, malgré une stabilité relative sur la période récente.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(2 900 FCFA) se situe au-dessus de la MM20 (2 903,25) et de la MM50 (2 825,6), avec une MM20 supérieure à la MM50, formant une configuration haussière. Le signal d'achat est justifié par cette dynamique positive, le prix évoluant dans une trajectoire ascendante à moyen terme.</w:t>
      </w:r>
    </w:p>
    <w:p>
      <w:pPr>
        <w:spacing w:after="120" w:line="276" w:lineRule="auto"/>
      </w:pPr>
      <w:r>
        <w:t>**Bandes de Bollinger :** Le cours se positionne à l'intérieur des bandes (borne supérieure à 3 018,5 et inférieure à 2 787,9), indiquant une volatilité modérée. La décision "Neutre" est cohérente avec un prix qui n'est ni en zone de surachat ni de survente, évoluant dans un canal normal sans pression directionnelle forte.</w:t>
      </w:r>
    </w:p>
    <w:p>
      <w:pPr>
        <w:spacing w:after="120" w:line="276" w:lineRule="auto"/>
      </w:pPr>
      <w:r>
        <w:t>**MACD :** La valeur du MACD (19,565) est inférieure à son signal (23,106), formant une divergence baissière. Ce croisement indique un affaiblissement du momentum haussier, d'où la décision de "Vente". Cela suggère une possible correction ou consolidation à court terme.</w:t>
      </w:r>
    </w:p>
    <w:p>
      <w:pPr>
        <w:spacing w:after="120" w:line="276" w:lineRule="auto"/>
      </w:pPr>
      <w:r>
        <w:t>**RSI :** À 39,759, le RSI se situe en zone neutre (30-70), sans signal de surachat ni de survente. La décision "Neutre" est appropriée, le marché ne montrant pas de pression directionnelle excessive, laissant la place à une évolution latérale.</w:t>
      </w:r>
    </w:p>
    <w:p>
      <w:pPr>
        <w:spacing w:after="120" w:line="276" w:lineRule="auto"/>
      </w:pPr>
      <w:r>
        <w:t>**Stochastique :** Le %K (68,966) est supérieur au %D (54,52), indiquant un momentum haussier en cours. La décision "Neutre" s'explique par le fait que le %K n'a pas encore franchi le seuil de surachat (80), laissant présager une poursuite de la hausse avant une possible consolidation.</w:t>
      </w:r>
    </w:p>
    <w:p>
      <w:pPr>
        <w:spacing w:after="120" w:line="276" w:lineRule="auto"/>
      </w:pPr>
      <w:r>
        <w:t>**Conclusion technique :** La convergence des indicateurs est mitigée. Les moyennes mobiles sont haussières, mais le MACD montre un essoufflement. Le RSI et les bandes de Bollinger sont neutres, tandis que le stochastique est légèrement positif. Globalement, le titre est dans une phase de consolidation après une hausse, avec un biais haussier à moyen terme mais un risque de correction à court terme. La prudence est de mise.</w:t>
      </w:r>
    </w:p>
    <w:p>
      <w:pPr>
        <w:spacing w:after="120" w:line="276" w:lineRule="auto"/>
      </w:pPr>
      <w:r>
        <w:t>---</w:t>
      </w:r>
    </w:p>
    <w:p>
      <w:pPr>
        <w:spacing w:after="120" w:line="276" w:lineRule="auto"/>
      </w:pPr>
      <w:r>
        <w:t>### PARTIE 3 : ANALYSE FONDAMENTALE (SECTION CRITIQUE)</w:t>
      </w:r>
    </w:p>
    <w:p>
      <w:pPr>
        <w:spacing w:after="120" w:line="276" w:lineRule="auto"/>
      </w:pPr>
      <w:r>
        <w:t>En 2025, l'ONTBF a réalisé un chiffre d'affaires de 146,18 milliards FCFA (+3,1%), mais le résultat net a chuté de 26% à 15,89 milliards FCFA, avec un ROE de 27,6% et un ROA de 4,9%. Le coefficient d'exploitation de 67,1% indique une efficacité opérationnelle moyenne, et le coût du risque de 3,57% est élevé, signalant un risque de crédit significatif. Les rapports trimestriels 2025 (T1, S1, 9 mois) montrent une érosion continue des marges (marge nette passant de 15,1% en 2024 à 10,9% en 2025), due à la hausse des charges opérationnelles (énergie, maintenance en zones sécuritaires). Le rapport du T1 2026 (publié en avril 2026) indique une stabilisation de la marge EBITDA à 41,3% et une croissance du CA de 2,7%, mais le résultat net continue de baisser (-3,577 Mds FCFA). La société reste très génératrice de cash (CAF de 46,95 Mds FCFA) et propose un dividende de 166,08 FCFA par action, soit un rendement d'environ 5,7%. Les fondamentaux sont solides mais la pression sur la rentabilité et l'endettement croissant (dettes financières de 107,6 Mds FCFA) sont des points de vigilance. La recommandation des analystes est de "Conserver".</w:t>
      </w:r>
    </w:p>
    <w:p>
      <w:pPr>
        <w:spacing w:after="120" w:line="276" w:lineRule="auto"/>
      </w:pPr>
      <w:r>
        <w:t>---</w:t>
      </w:r>
    </w:p>
    <w:p>
      <w:pPr>
        <w:spacing w:after="120" w:line="276" w:lineRule="auto"/>
      </w:pPr>
      <w:r>
        <w:t>### PARTIE 4 : CONCLUSION D'INVESTISSEMENT</w:t>
      </w:r>
    </w:p>
    <w:p>
      <w:pPr>
        <w:spacing w:after="120" w:line="276" w:lineRule="auto"/>
      </w:pPr>
      <w:r>
        <w:t>La valorisation (Partie 0) est raisonnable avec un PER de 12,4x et un EV/EBITDA attractif, mais le comportement du cours (Partie 1) montre une stabilité avec une volatilité élevée. Les signaux techniques (Partie 2) sont mitigés, avec des moyennes mobiles haussières mais un MACD baissier. Les fondamentaux (Partie 3) sont solides mais la rentabilité est en baisse. Les prédictions IA (J+1 à J+10) prévoient une légère baisse du cours vers 2 862 FCFA, confirmant le manque de catalyseur haussier à court terme. En synthèse, la convergence des signaux est neutre, avec une valorisation correcte, une technique mitigée et des fondamentaux en dégradation. **Recommandation finale : CONSERVER.** Le niveau de confiance est **Moyen**, le risque global est **Élevé** (contexte sécuritaire, pression sur les marges). L'horizon d'investissement optimal est le **moyen terme (3-12 mois)**, en attendant une amélioration de la rentabilité ou une stabilisation du contexte opérationnel.</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20260409   communique de presse   onatel bf 0</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financiers 2025 avec une croissance du chiffre d'affaires de 3,1% à 146,2 Mds FCFA mais une baisse significative du résultat net de 26% à 15,9 Mds FCFA. La base clients a progressé de 3,9% pour atteindre 12,6 millions d'abonnés grâce aux investissements dans l'extension du réseau. Un dividende de 166,0816 FCFA par action sera proposé à l'Assemblée Générale.</w:t>
      </w:r>
    </w:p>
    <w:p>
      <w:pPr>
        <w:spacing w:before="60"/>
        <w:ind w:left="400"/>
      </w:pPr>
      <w:r>
        <w:rPr>
          <w:b/>
          <w:sz w:val="18"/>
        </w:rPr>
        <w:t>Points clés :</w:t>
      </w:r>
    </w:p>
    <w:p>
      <w:pPr>
        <w:pStyle w:val="ListBullet"/>
        <w:spacing w:before="20" w:after="20"/>
        <w:ind w:left="700"/>
      </w:pPr>
      <w:r>
        <w:rPr>
          <w:sz w:val="18"/>
        </w:rPr>
        <w:t>Chiffre d'affaires en hausse de 3,1% à 146,2 Mds FCFA en 2025</w:t>
      </w:r>
    </w:p>
    <w:p>
      <w:pPr>
        <w:pStyle w:val="ListBullet"/>
        <w:spacing w:before="20" w:after="20"/>
        <w:ind w:left="700"/>
      </w:pPr>
      <w:r>
        <w:rPr>
          <w:sz w:val="18"/>
        </w:rPr>
        <w:t>Résultat net en baisse de 26% à 15,9 Mds FCFA contre 21,5 Mds FCFA en 2024</w:t>
      </w:r>
    </w:p>
    <w:p>
      <w:pPr>
        <w:pStyle w:val="ListBullet"/>
        <w:spacing w:before="20" w:after="20"/>
        <w:ind w:left="700"/>
      </w:pPr>
      <w:r>
        <w:rPr>
          <w:sz w:val="18"/>
        </w:rPr>
        <w:t>Base clients en croissance de 3,9% atteignant 12,6 millions d'abonnés</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Proposition de dividende de 166,0816 FCFA par action pour 68 millions d'actions</w:t>
      </w:r>
    </w:p>
    <w:p>
      <w:pPr>
        <w:ind w:left="400"/>
      </w:pPr>
      <w:r>
        <w:rPr>
          <w:color w:val="B4B4B4"/>
          <w:sz w:val="14"/>
        </w:rPr>
        <w:t xml:space="preserve">· · · · · · · · · · · · · · · · · · · · · · · · · · · · · · </w:t>
      </w:r>
    </w:p>
    <w:p>
      <w:pPr>
        <w:spacing w:before="160"/>
      </w:pPr>
      <w:r>
        <w:rPr>
          <w:b/>
          <w:color w:val="0066CC"/>
          <w:sz w:val="20"/>
        </w:rPr>
        <w:t xml:space="preserve">[2] </w:t>
      </w:r>
      <w:r>
        <w:rPr>
          <w:b/>
          <w:sz w:val="20"/>
        </w:rPr>
        <w:t>20260409   communique de presse   onatel bf</w:t>
      </w:r>
    </w:p>
    <w:p>
      <w:pPr>
        <w:spacing w:before="20"/>
        <w:ind w:left="400"/>
      </w:pPr>
      <w:r>
        <w:rPr>
          <w:color w:val="505050"/>
          <w:sz w:val="17"/>
        </w:rPr>
        <w:t xml:space="preserve">Date : 09/04/2026  |  Catégorie : résultats financiers  |  Impact : </w:t>
      </w:r>
      <w:r>
        <w:rPr>
          <w:b/>
          <w:color w:val="646464"/>
          <w:sz w:val="17"/>
        </w:rPr>
        <w:t>⚪ NEUTRE</w:t>
      </w:r>
    </w:p>
    <w:p>
      <w:pPr>
        <w:spacing w:before="40"/>
        <w:ind w:left="400"/>
      </w:pPr>
      <w:r>
        <w:rPr>
          <w:sz w:val="18"/>
        </w:rPr>
        <w:t>ONATEL-SA publie ses résultats 2025 avec un chiffre d'affaires de 146,2 Mds FCFA (+3,1%) mais un résultat net en baisse à 15,9 Mds FCFA contre 21,5 Mds en 2024. La base clients atteint 12,6 millions (+3,9%) portée par la croissance du mobile et des services innovants. Un dividende de 166,0816 FCFA par action sera proposé à l'AG.</w:t>
      </w:r>
    </w:p>
    <w:p>
      <w:pPr>
        <w:spacing w:before="60"/>
        <w:ind w:left="400"/>
      </w:pPr>
      <w:r>
        <w:rPr>
          <w:b/>
          <w:sz w:val="18"/>
        </w:rPr>
        <w:t>Points clés :</w:t>
      </w:r>
    </w:p>
    <w:p>
      <w:pPr>
        <w:pStyle w:val="ListBullet"/>
        <w:spacing w:before="20" w:after="20"/>
        <w:ind w:left="700"/>
      </w:pPr>
      <w:r>
        <w:rPr>
          <w:sz w:val="18"/>
        </w:rPr>
        <w:t>Chiffre d'affaires 2025 de 146,2 Mds FCFA en progression de 3,1%</w:t>
      </w:r>
    </w:p>
    <w:p>
      <w:pPr>
        <w:pStyle w:val="ListBullet"/>
        <w:spacing w:before="20" w:after="20"/>
        <w:ind w:left="700"/>
      </w:pPr>
      <w:r>
        <w:rPr>
          <w:sz w:val="18"/>
        </w:rPr>
        <w:t>Résultat net en baisse de 26% à 15,9 Mds FCFA contre 21,5 Mds en 2024</w:t>
      </w:r>
    </w:p>
    <w:p>
      <w:pPr>
        <w:pStyle w:val="ListBullet"/>
        <w:spacing w:before="20" w:after="20"/>
        <w:ind w:left="700"/>
      </w:pPr>
      <w:r>
        <w:rPr>
          <w:sz w:val="18"/>
        </w:rPr>
        <w:t>Base clients élargie à 12,6 millions (+3,9%) avec croissance du parc Internet Mobile (+4,6%)</w:t>
      </w:r>
    </w:p>
    <w:p>
      <w:pPr>
        <w:pStyle w:val="ListBullet"/>
        <w:spacing w:before="20" w:after="20"/>
        <w:ind w:left="700"/>
      </w:pPr>
      <w:r>
        <w:rPr>
          <w:sz w:val="18"/>
        </w:rPr>
        <w:t>Résultat d'exploitation en baisse de 23,5% impacté par la hausse des charges opérationnelles</w:t>
      </w:r>
    </w:p>
    <w:p>
      <w:pPr>
        <w:pStyle w:val="ListBullet"/>
        <w:spacing w:before="20" w:after="20"/>
        <w:ind w:left="700"/>
      </w:pPr>
      <w:r>
        <w:rPr>
          <w:sz w:val="18"/>
        </w:rPr>
        <w:t>Dividende proposé de 166,0816 FCFA par action pour 68 millions d'actions</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une baisse du r\u00e9sultat net, ONATEL maintient une croissance solide de son chiffre d'affaires et une rentabilit\u00e9 \u00e9lev\u00e9e. Les investissements strat\u00e9giques dans la digitalisation et l'expansion du r\u00e9seau positionnent bien l'entreprise pour l'avenir."}</w:t>
      </w:r>
    </w:p>
    <w:p>
      <w:pPr>
        <w:spacing w:before="40"/>
        <w:ind w:left="400"/>
      </w:pPr>
      <w:r>
        <w:rPr>
          <w:sz w:val="18"/>
        </w:rPr>
        <w:t>ONATEL-SA présente des résultats solides au 1er trimestre 2026 avec une base clients en croissance de 3,3% atteignant plus de 12,6 millions d'abonnés. Le chiffre d'affaires progresse de 2,7% à 37,1 Mds FCFA en normes OHADA, porté par les revenus Data et l'expansion des segments prépayés et postpayés. La rentabilité demeure robuste avec un taux de marge EBITDA maintenu à 41,3% malgré une légère baisse du résultat net. L'entreprise poursuit ses investissements stratégiques dans l'extension et la modernisation de son réseau ainsi que le déploiement de la fibre optique. La dynamique commerciale positive et la fidélité des clients témoignent de l'attractivité durable des offres de l'opérateur bur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'15 494 millions FCFA', 'base_clients': '12 646 856', 'croissance_ca': '2,7%', 'taux_marge_ebitda': '41,3%'}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9,6% (OHADA) / 10,0% (IFRS)</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3 577 millions FCFA (OHADA) / 3 731 millions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37 137 millions FCFA (OHADA) / 37 481 millions FCFA (IFRS)</w:t>
            </w:r>
          </w:p>
        </w:tc>
        <w:tc>
          <w:tcPr>
            <w:tcW w:type="dxa" w:w="2160"/>
          </w:tcPr>
          <w:p/>
        </w:tc>
      </w:tr>
    </w:tbl>
    <w:p/>
    <w:p>
      <w:pPr>
        <w:spacing w:before="60"/>
        <w:ind w:left="400"/>
      </w:pPr>
      <w:r>
        <w:rPr>
          <w:b/>
          <w:sz w:val="18"/>
        </w:rPr>
        <w:t>Points clés :</w:t>
      </w:r>
    </w:p>
    <w:p>
      <w:pPr>
        <w:pStyle w:val="ListBullet"/>
        <w:spacing w:before="20" w:after="20"/>
        <w:ind w:left="700"/>
      </w:pPr>
      <w:r>
        <w:rPr>
          <w:sz w:val="18"/>
        </w:rPr>
        <w:t>Base clients en croissance de 3,3% à plus de 12,6 millions d'abonnés au 31 mars 2026</w:t>
      </w:r>
    </w:p>
    <w:p>
      <w:pPr>
        <w:pStyle w:val="ListBullet"/>
        <w:spacing w:before="20" w:after="20"/>
        <w:ind w:left="700"/>
      </w:pPr>
      <w:r>
        <w:rPr>
          <w:sz w:val="18"/>
        </w:rPr>
        <w:t>Forte progression du segment Mobile Money avec +17,1% de croissance</w:t>
      </w:r>
    </w:p>
    <w:p>
      <w:pPr>
        <w:pStyle w:val="ListBullet"/>
        <w:spacing w:before="20" w:after="20"/>
        <w:ind w:left="700"/>
      </w:pPr>
      <w:r>
        <w:rPr>
          <w:sz w:val="18"/>
        </w:rPr>
        <w:t>Expansion significative du Très Haut Débit FTTH avec +38,4%</w:t>
      </w:r>
    </w:p>
    <w:p>
      <w:pPr>
        <w:pStyle w:val="ListBullet"/>
        <w:spacing w:before="20" w:after="20"/>
        <w:ind w:left="700"/>
      </w:pPr>
      <w:r>
        <w:rPr>
          <w:sz w:val="18"/>
        </w:rPr>
        <w:t>Chiffre d'affaires en hausse de 2,7% à 37,1 Mds FCFA (normes OHADA)</w:t>
      </w:r>
    </w:p>
    <w:p>
      <w:pPr>
        <w:pStyle w:val="ListBullet"/>
        <w:spacing w:before="20" w:after="20"/>
        <w:ind w:left="700"/>
      </w:pPr>
      <w:r>
        <w:rPr>
          <w:sz w:val="18"/>
        </w:rPr>
        <w:t>Maintien d'un taux de marge EBITDA élevé à 41,3%</w:t>
      </w:r>
    </w:p>
    <w:p>
      <w:pPr>
        <w:pStyle w:val="ListBullet"/>
        <w:spacing w:before="20" w:after="20"/>
        <w:ind w:left="700"/>
      </w:pPr>
      <w:r>
        <w:rPr>
          <w:sz w:val="18"/>
        </w:rPr>
        <w:t>Baisse du résultat des activités ordinaires de 6,1% impactée par les coûts opérationnels</w:t>
      </w:r>
    </w:p>
    <w:p>
      <w:pPr>
        <w:spacing w:before="40"/>
        <w:ind w:left="400"/>
      </w:pPr>
      <w:r>
        <w:rPr>
          <w:b/>
          <w:color w:val="C05000"/>
          <w:sz w:val="18"/>
        </w:rPr>
        <w:t xml:space="preserve">⚠️ Risques : </w:t>
      </w:r>
      <w:r>
        <w:rPr>
          <w:sz w:val="18"/>
        </w:rPr>
        <w:t>["Pression sur les marges due \u00e0 l'augmentation des co\u00fbts op\u00e9rationnels", "Baisse significative du parc Internet (-21,8%) qui pourrait impacter les revenus futurs", "Intensification de la concurrence sur le march\u00e9 des t\u00e9l\u00e9communications au Burkina Faso"]</w:t>
      </w:r>
    </w:p>
    <w:p>
      <w:pPr>
        <w:spacing w:before="40"/>
        <w:ind w:left="400"/>
      </w:pPr>
      <w:r>
        <w:rPr>
          <w:b/>
          <w:color w:val="0064A0"/>
          <w:sz w:val="18"/>
        </w:rPr>
        <w:t xml:space="preserve">🔮 Perspectives : </w:t>
      </w:r>
      <w:r>
        <w:rPr>
          <w:sz w:val="18"/>
        </w:rPr>
        <w:t>ONATEL demeure confiante dans sa capacité à consolider ses performances grâce à la poursuite de son programme d'investissements et à la modernisation de son réseau. L'accélération du déploiement de la fibre optique et le développement des services digitaux devraient soutenir la croissance future.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"Leader télécom rentable, à très forte génération de cash et dividende élevé, mais rentabilité en net recul et endettement en hausse pour financer le capital. À conserver en surveillant la trajectoire des marges."}</w:t>
      </w:r>
    </w:p>
    <w:p>
      <w:pPr>
        <w:spacing w:before="40"/>
        <w:ind w:left="400"/>
      </w:pPr>
      <w:r>
        <w:rPr>
          <w:sz w:val="18"/>
        </w:rPr>
        <w:t>ONATEL (Moov Africa Burkina Faso) enregistre une croissance de son activité mais une rentabilité en recul sur 2025. Le chiffre d'affaires progresse de 3 % à 146,2 milliards FCFA, tandis que l'EBE recule de 12 % (56,7 Md) et le résultat net de 26 %, à 15,89 milliards FCFA, sous l'effet d'une compression des marges. La génération de trésorerie reste très forte (CAFG de 47 milliards, flux opérationnels de 68 milliards), largement absorbée par un programme d'investissement réseau élevé (-45 milliards), financé en partie par de nouveaux emprunts (+20,7 milliards). La société maintient un dividende élevé (15,16 milliards versés). Les dettes financières progressent à 69,7 milliards.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'46,95 milliards FCFA', 'resultat_exploitation': '25,67 milliards FCFA', 'excedent_brut_exploitation': '56,73 milliards FCFA'}</w:t>
            </w:r>
          </w:p>
        </w:tc>
        <w:tc>
          <w:tcPr>
            <w:tcW w:type="dxa" w:w="2160"/>
          </w:tcPr>
          <w:p>
            <w:pPr>
              <w:ind w:left="100"/>
            </w:pPr>
            <w:r/>
            <w:r>
              <w:rPr>
                <w:b/>
                <w:sz w:val="16"/>
              </w:rPr>
              <w:t>dividende</w:t>
              <w:br/>
            </w:r>
            <w:r>
              <w:rPr>
                <w:sz w:val="18"/>
              </w:rPr>
              <w:t>15,16 milliards FCFA (dividendes versés)</w:t>
            </w:r>
          </w:p>
        </w:tc>
        <w:tc>
          <w:tcPr>
            <w:tcW w:type="dxa" w:w="2160"/>
          </w:tcPr>
          <w:p>
            <w:pPr>
              <w:ind w:left="100"/>
            </w:pPr>
            <w:r/>
            <w:r>
              <w:rPr>
                <w:b/>
                <w:sz w:val="16"/>
              </w:rPr>
              <w:t>marge_nette</w:t>
              <w:br/>
            </w:r>
            <w:r>
              <w:rPr>
                <w:sz w:val="18"/>
              </w:rPr>
              <w:t>10,87 %</w:t>
            </w:r>
          </w:p>
        </w:tc>
        <w:tc>
          <w:tcPr>
            <w:tcW w:type="dxa" w:w="2160"/>
          </w:tcPr>
          <w:p>
            <w:pPr>
              <w:ind w:left="100"/>
            </w:pPr>
            <w:r/>
            <w:r>
              <w:rPr>
                <w:b/>
                <w:sz w:val="16"/>
              </w:rPr>
              <w:t>total_actif</w:t>
              <w:br/>
            </w:r>
            <w:r>
              <w:rPr>
                <w:sz w:val="18"/>
              </w:rPr>
              <w:t>324,9 milliards FCFA</w:t>
            </w:r>
          </w:p>
        </w:tc>
      </w:tr>
      <w:tr>
        <w:tc>
          <w:tcPr>
            <w:tcW w:type="dxa" w:w="2160"/>
          </w:tcPr>
          <w:p>
            <w:r/>
            <w:r>
              <w:rPr>
                <w:b/>
                <w:sz w:val="16"/>
              </w:rPr>
              <w:t>resultat_net</w:t>
              <w:br/>
            </w:r>
            <w:r>
              <w:rPr>
                <w:sz w:val="18"/>
              </w:rPr>
              <w:t>15,89 milliards FCFA (bénéfice)</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146,2 Md FCFA, en hausse de 3 %</w:t>
      </w:r>
    </w:p>
    <w:p>
      <w:pPr>
        <w:pStyle w:val="ListBullet"/>
        <w:spacing w:before="20" w:after="20"/>
        <w:ind w:left="700"/>
      </w:pPr>
      <w:r>
        <w:rPr>
          <w:sz w:val="18"/>
        </w:rPr>
        <w:t>EBE 56,7 Md (-12 %) et résultat d'exploitation 25,7 Md (-24 %) : marges sous pression</w:t>
      </w:r>
    </w:p>
    <w:p>
      <w:pPr>
        <w:pStyle w:val="ListBullet"/>
        <w:spacing w:before="20" w:after="20"/>
        <w:ind w:left="700"/>
      </w:pPr>
      <w:r>
        <w:rPr>
          <w:sz w:val="18"/>
        </w:rPr>
        <w:t>Bénéfice net 15,89 Md FCFA, en baisse de 26 %</w:t>
      </w:r>
    </w:p>
    <w:p>
      <w:pPr>
        <w:pStyle w:val="ListBullet"/>
        <w:spacing w:before="20" w:after="20"/>
        <w:ind w:left="700"/>
      </w:pPr>
      <w:r>
        <w:rPr>
          <w:sz w:val="18"/>
        </w:rPr>
        <w:t>Génération de cash élevée : CAFG 47 Md, flux opérationnels 68 Md</w:t>
      </w:r>
    </w:p>
    <w:p>
      <w:pPr>
        <w:pStyle w:val="ListBullet"/>
        <w:spacing w:before="20" w:after="20"/>
        <w:ind w:left="700"/>
      </w:pPr>
      <w:r>
        <w:rPr>
          <w:sz w:val="18"/>
        </w:rPr>
        <w:t>Investissements réseau importants : -45 Md, financés en partie par emprunt (+20,7 Md)</w:t>
      </w:r>
    </w:p>
    <w:p>
      <w:pPr>
        <w:pStyle w:val="ListBullet"/>
        <w:spacing w:before="20" w:after="20"/>
        <w:ind w:left="700"/>
      </w:pPr>
      <w:r>
        <w:rPr>
          <w:sz w:val="18"/>
        </w:rPr>
        <w:t>Dividende maintenu à 15,16 Md FCFA versés</w:t>
      </w:r>
    </w:p>
    <w:p>
      <w:pPr>
        <w:spacing w:before="40"/>
        <w:ind w:left="400"/>
      </w:pPr>
      <w:r>
        <w:rPr>
          <w:b/>
          <w:color w:val="C05000"/>
          <w:sz w:val="18"/>
        </w:rPr>
        <w:t xml:space="preserve">⚠️ Risques : </w:t>
      </w:r>
      <w:r>
        <w:rPr>
          <w:sz w:val="18"/>
        </w:rPr>
        <w:t>["Rentabilité en baisse : résultat net -26 %, EBE -12 %, résultat d'exploitation -24 %", "Capex élevé (~45 Md) financé en partie par emprunt ; dettes financières en hausse (69,7 Md)", "Résultat financier négatif et en dégradation (-3,28 Md)", "Contexte économique et sécuritaire du Burkina Faso ; con</w:t>
      </w:r>
    </w:p>
    <w:p>
      <w:pPr>
        <w:spacing w:before="40"/>
        <w:ind w:left="400"/>
      </w:pPr>
      <w:r>
        <w:rPr>
          <w:b/>
          <w:color w:val="0064A0"/>
          <w:sz w:val="18"/>
        </w:rPr>
        <w:t xml:space="preserve">🔮 Perspectives : </w:t>
      </w:r>
      <w:r>
        <w:rPr>
          <w:sz w:val="18"/>
        </w:rPr>
        <w:t>La croissance du chiffre d'affaires et le lourd programme d'investissement réseau peuvent soutenir l'activité future, mais la compression des marges et la hausse de l'endettement pèsent sur la rentabilité. Le maintien d'un dividende élevé dépendra de la capacité à restaurer les marges tout en poursu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conserve une croissance du chiffre d'affaires et un rendement de dividende attractif, mais le repli du r\u00e9sultat net et les risques r\u00e9glementaires/s\u00e9curitaires limitent le potentiel de revalorisation. La solidit\u00e9 financi\u00e8re et la note rehauss\u00e9e justifient toutefois de conserver le titre."}</w:t>
      </w:r>
    </w:p>
    <w:p>
      <w:pPr>
        <w:spacing w:before="40"/>
        <w:ind w:left="400"/>
      </w:pPr>
      <w:r>
        <w:rPr>
          <w:sz w:val="18"/>
        </w:rPr>
        <w:t>ONATEL SA (Moov Africa Burkina Faso) a enregistré en 2025 un chiffre d'affaires de 146,18 milliards FCFA, en hausse de 3,1%, porté par le FTTH, l'internet mobile et le Mobile Money. Le résultat net ressort à 15,89 milliards FCFA, en net repli de 26% par rapport à 2024, sous l'effet de charges opérationnelles et exceptionnelles élevées. Le total du bilan progresse de 8% à 324,90 milliards FCFA, reflétant la poursuite des investissements de réseau. La base clients atteint 12,61 millions d'abonnés (+4%), avec une forte dynamique du FTTH (+33%) et du Mobile Money (+14%). Le Conseil propose un dividende de 166,08 FCFA par action, et la note de crédit a été relevée à A+(WU) avec perspective stable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'56,73 milliards FCFA', 'note_gcr': 'A+(WU), perspective stable', 'nombre_abonnes': '12,61 millions', 'croissance_parc_ftth': '+33%', 'cours_de_cloture_2025': '2 485 FCFA', 'resultat_exploitation': '25,67 milliards FCFA', 'dividende_total_propose': '11 293 548 800 FCFA', 'capitalisation_boursiere': '168,98 milliards FCFA', 'total_ressources_stables': '127,23 milliards FCFA', 'croissance_parc_mobile_money': '+14%'}</w:t>
            </w:r>
          </w:p>
        </w:tc>
        <w:tc>
          <w:tcPr>
            <w:tcW w:type="dxa" w:w="2160"/>
          </w:tcPr>
          <w:p>
            <w:pPr>
              <w:ind w:left="100"/>
            </w:pPr>
            <w:r/>
            <w:r>
              <w:rPr>
                <w:b/>
                <w:sz w:val="16"/>
              </w:rPr>
              <w:t>dividende</w:t>
              <w:br/>
            </w:r>
            <w:r>
              <w:rPr>
                <w:sz w:val="18"/>
              </w:rPr>
              <w:t>166,0816 FCFA par action (145,3214 FCFA net de l'IRCM)</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324,90 milliards FCFA</w:t>
            </w:r>
          </w:p>
        </w:tc>
      </w:tr>
      <w:tr>
        <w:tc>
          <w:tcPr>
            <w:tcW w:type="dxa" w:w="2160"/>
          </w:tcPr>
          <w:p>
            <w:r/>
            <w:r>
              <w:rPr>
                <w:b/>
                <w:sz w:val="16"/>
              </w:rPr>
              <w:t>resultat_net</w:t>
              <w:br/>
            </w:r>
            <w:r>
              <w:rPr>
                <w:sz w:val="18"/>
              </w:rPr>
              <w:t>15,89 milliards FCFA</w:t>
            </w:r>
          </w:p>
        </w:tc>
        <w:tc>
          <w:tcPr>
            <w:tcW w:type="dxa" w:w="2160"/>
          </w:tcPr>
          <w:p>
            <w:r/>
            <w:r>
              <w:rPr>
                <w:b/>
                <w:sz w:val="16"/>
              </w:rPr>
              <w:t>capitaux_propres</w:t>
              <w:br/>
            </w:r>
            <w:r>
              <w:rPr>
                <w:sz w:val="18"/>
              </w:rPr>
              <w:t>57,54 milliards FCFA</w:t>
            </w:r>
          </w:p>
        </w:tc>
        <w:tc>
          <w:tcPr>
            <w:tcW w:type="dxa" w:w="2160"/>
          </w:tcPr>
          <w:p>
            <w:r/>
            <w:r>
              <w:rPr>
                <w:b/>
                <w:sz w:val="16"/>
              </w:rPr>
              <w:t>chiffre_affaires</w:t>
              <w:br/>
            </w:r>
            <w:r>
              <w:rPr>
                <w:sz w:val="18"/>
              </w:rPr>
              <w:t>146,18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3,1% à 146,18 milliards FCFA en 2025, tiré par le FTTH, l'Internet mobile et le Mobile Money.</w:t>
      </w:r>
    </w:p>
    <w:p>
      <w:pPr>
        <w:pStyle w:val="ListBullet"/>
        <w:spacing w:before="20" w:after="20"/>
        <w:ind w:left="700"/>
      </w:pPr>
      <w:r>
        <w:rPr>
          <w:sz w:val="18"/>
        </w:rPr>
        <w:t>Résultat net en baisse à 15,89 milliards FCFA contre 21,47 milliards en 2024, notamment en raison des indemnités de fin d'engagement, des charges locatives, du coût de l'énergie et de la maintenance e</w:t>
      </w:r>
    </w:p>
    <w:p>
      <w:pPr>
        <w:pStyle w:val="ListBullet"/>
        <w:spacing w:before="20" w:after="20"/>
        <w:ind w:left="700"/>
      </w:pPr>
      <w:r>
        <w:rPr>
          <w:sz w:val="18"/>
        </w:rPr>
        <w:t>Total bilan à 324,90 milliards FCFA (+8%), avec un renforcement des investissements de +10% pour étendre et densifier les réseaux mobile et fixe.</w:t>
      </w:r>
    </w:p>
    <w:p>
      <w:pPr>
        <w:pStyle w:val="ListBullet"/>
        <w:spacing w:before="20" w:after="20"/>
        <w:ind w:left="700"/>
      </w:pPr>
      <w:r>
        <w:rPr>
          <w:sz w:val="18"/>
        </w:rPr>
        <w:t>Parc clients en hausse de 4% à 12,61 millions d'abonnés; le parc FTTH progresse de 33% et représente 95% du parc Internet fixe; le Mobile Money croît de 14%.</w:t>
      </w:r>
    </w:p>
    <w:p>
      <w:pPr>
        <w:pStyle w:val="ListBullet"/>
        <w:spacing w:before="20" w:after="20"/>
        <w:ind w:left="700"/>
      </w:pPr>
      <w:r>
        <w:rPr>
          <w:sz w:val="18"/>
        </w:rPr>
        <w:t>Proposition de dividende de 166,0816 FCFA par action (145,3214 FCFA net de l'IRCM), soit une distribution totale de 11,29 milliards FCFA.</w:t>
      </w:r>
    </w:p>
    <w:p>
      <w:pPr>
        <w:pStyle w:val="ListBullet"/>
        <w:spacing w:before="20" w:after="20"/>
        <w:ind w:left="700"/>
      </w:pPr>
      <w:r>
        <w:rPr>
          <w:sz w:val="18"/>
        </w:rPr>
        <w:t>Rehaussement de la note d'émetteur long terme de ONATEL SA à A+(WU) par GCR Ratings, perspective stable.</w:t>
      </w:r>
    </w:p>
    <w:p>
      <w:pPr>
        <w:spacing w:before="40"/>
        <w:ind w:left="400"/>
      </w:pPr>
      <w:r>
        <w:rPr>
          <w:b/>
          <w:color w:val="C05000"/>
          <w:sz w:val="18"/>
        </w:rPr>
        <w:t xml:space="preserve">⚠️ Risques : </w:t>
      </w:r>
      <w:r>
        <w:rPr>
          <w:sz w:val="18"/>
        </w:rPr>
        <w:t>["D\u00e9gradation du contexte s\u00e9curitaire au Burkina Faso, entra\u00eenant des co\u00fbts de maintenance et d'exploitation plus \u00e9lev\u00e9s dans certaines zones.", "Pression concurrentielle et risques r\u00e9glementaires, notamment une sanction de 1,543 milliard FCFA rendue ex\u00e9cutoir</w:t>
      </w:r>
    </w:p>
    <w:p>
      <w:pPr>
        <w:spacing w:before="40"/>
        <w:ind w:left="400"/>
      </w:pPr>
      <w:r>
        <w:rPr>
          <w:b/>
          <w:color w:val="0064A0"/>
          <w:sz w:val="18"/>
        </w:rPr>
        <w:t xml:space="preserve">🔮 Perspectives : </w:t>
      </w:r>
      <w:r>
        <w:rPr>
          <w:sz w:val="18"/>
        </w:rPr>
        <w:t>Pour 2026, ONATEL SA place l'année sous le thème « Avançons ensemble pour reconquérir notre leadership », avec un accent sur l'optimisation de la couverture mobile, l'accélération du déploiement de la fibre optique et le renforcement des solutions digitales et financières. La direction vise une amél</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r\u00e9sultats li\u00e9e aux probl\u00e8mes s\u00e9curitaires, ONATEL maintient une marge EBITDA solide et investit dans la modernisation de son r\u00e9seau. La croissance des services Internet et les efforts de r\u00e9habilitation laissent pr\u00e9sager une am\u00e9lioration progressive."}</w:t>
      </w:r>
    </w:p>
    <w:p>
      <w:pPr>
        <w:spacing w:before="40"/>
        <w:ind w:left="400"/>
      </w:pPr>
      <w:r>
        <w:rPr>
          <w:sz w:val="18"/>
        </w:rPr>
        <w:t>ONATEL-SA affiche des résultats contrastés pour les 9 premiers mois de 2023 avec une croissance de 3% de sa base clients à 11,4 millions. Le chiffre d'affaires IFRS recule de 5% à 105,5 Mds FCFA contre 111,6 Mds en 2022. Le résultat net baisse de 12% à 15,9 Mds FCFA tandis que la marge EBITDA reste élevée à 48,3%. L'impact des sites vandalisés dans les zones d'insécurité pèse significativement sur les performances avec une baisse globale de 5% du chiffre d'affaires. L'opérateur maintient néanmoins une position solide sur le marché burkinabé avec des revenus Internet Mobile en forte croissance de 16%.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{'ebita': '25,2 Mds FCFA', 'marge_ebitda': '48,3%', 'base_internet': '6,96 millions', 'base_clients_fixe': '75 006', 'base_clients_mobile': '11,34 millions'}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15,9 Mds FCFA (9 mois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105,5 Mds FCFA (9 mois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 la base clients de 3% à 11,4 millions au 30 septembre 2023</w:t>
      </w:r>
    </w:p>
    <w:p>
      <w:pPr>
        <w:pStyle w:val="ListBullet"/>
        <w:spacing w:before="20" w:after="20"/>
        <w:ind w:left="700"/>
      </w:pPr>
      <w:r>
        <w:rPr>
          <w:sz w:val="18"/>
        </w:rPr>
        <w:t>Chiffre d'affaires IFRS en recul de 5% à 105,5 Mds FCFA sur 9 mois</w:t>
      </w:r>
    </w:p>
    <w:p>
      <w:pPr>
        <w:pStyle w:val="ListBullet"/>
        <w:spacing w:before="20" w:after="20"/>
        <w:ind w:left="700"/>
      </w:pPr>
      <w:r>
        <w:rPr>
          <w:sz w:val="18"/>
        </w:rPr>
        <w:t>Résultat net en baisse de 12% à 15,9 Mds FCFA</w:t>
      </w:r>
    </w:p>
    <w:p>
      <w:pPr>
        <w:pStyle w:val="ListBullet"/>
        <w:spacing w:before="20" w:after="20"/>
        <w:ind w:left="700"/>
      </w:pPr>
      <w:r>
        <w:rPr>
          <w:sz w:val="18"/>
        </w:rPr>
        <w:t>Impact significatif des sites vandalisés dans les zones d'insécurité (-5% sur le CA global)</w:t>
      </w:r>
    </w:p>
    <w:p>
      <w:pPr>
        <w:pStyle w:val="ListBullet"/>
        <w:spacing w:before="20" w:after="20"/>
        <w:ind w:left="700"/>
      </w:pPr>
      <w:r>
        <w:rPr>
          <w:sz w:val="18"/>
        </w:rPr>
        <w:t>Forte croissance des revenus Internet Mobile (+16%) et multiplication par 3,5 des revenus fibre</w:t>
      </w:r>
    </w:p>
    <w:p>
      <w:pPr>
        <w:pStyle w:val="ListBullet"/>
        <w:spacing w:before="20" w:after="20"/>
        <w:ind w:left="700"/>
      </w:pPr>
      <w:r>
        <w:rPr>
          <w:sz w:val="18"/>
        </w:rPr>
        <w:t>Marge EBITDA maintenue à un niveau élevé de 48,3%</w:t>
      </w:r>
    </w:p>
    <w:p>
      <w:pPr>
        <w:spacing w:before="40"/>
        <w:ind w:left="400"/>
      </w:pPr>
      <w:r>
        <w:rPr>
          <w:b/>
          <w:color w:val="C05000"/>
          <w:sz w:val="18"/>
        </w:rPr>
        <w:t xml:space="preserve">⚠️ Risques : </w:t>
      </w:r>
      <w:r>
        <w:rPr>
          <w:sz w:val="18"/>
        </w:rPr>
        <w:t>["Persistance de l'ins\u00e9curit\u00e9 et vandalisme des infrastructures dans certaines zones", "Recul du revenu pr\u00e9pay\u00e9 voix li\u00e9 \u00e0 l'usage massif des applications OTT", "Baisse des revenus de l'international entrant affectant la rentabilit\u00e9 globale"]</w:t>
      </w:r>
    </w:p>
    <w:p>
      <w:pPr>
        <w:spacing w:before="40"/>
        <w:ind w:left="400"/>
      </w:pPr>
      <w:r>
        <w:rPr>
          <w:b/>
          <w:color w:val="0064A0"/>
          <w:sz w:val="18"/>
        </w:rPr>
        <w:t xml:space="preserve">🔮 Perspectives : </w:t>
      </w:r>
      <w:r>
        <w:rPr>
          <w:sz w:val="18"/>
        </w:rPr>
        <w:t>La normalisation progressive de la situation sécuritaire et la poursuite des investissements dans les nouvelles technologies devraient permettre une amélioration des performances en 2024. Le déploiement de nouveaux sites et la réhabilitation des infrastructures endommagées constituent des leviers de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ONATEL maintient une position dominante sur le march\u00e9 burkinab\u00e9 avec une structure financi\u00e8re solide. La capacit\u00e9 d'autofinancement positive et la tr\u00e9sorerie nette permettent d'envisager une reprise."}</w:t>
      </w:r>
    </w:p>
    <w:p>
      <w:pPr>
        <w:spacing w:before="40"/>
        <w:ind w:left="400"/>
      </w:pPr>
      <w:r>
        <w:rPr>
          <w:sz w:val="18"/>
        </w:rPr>
        <w:t>ONATEL-SA, l'opérateur national de télécommunications du Burkina Faso, présente des résultats mitigés pour l'exercice 2022 avec un chiffre d'affaires de 145,6 milliards FCFA en baisse par rapport aux 154,9 milliards FCFA de 2021. Le résultat net s'établit à 22,4 milliards FCFA, en forte baisse comparé aux 32,4 milliards FCFA de l'exercice précédent. La société maintient une structure financière solide avec un total actif de 270 milliards FCFA et des capitaux propres de 63,2 milliards FCFA. La capacité d'autofinancement reste positive à 55,3 milliards FCFA malgré la dégradation des performances. L'endettement financier s'élève à 61,6 milliards FCFA, représentant un levier financier maîtrisé.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'11,7 milliards FCFA', 'dettes_financieres': '61,6 milliards FCFA', 'immobilisations_nettes': '176,8 milliards FCFA', 'capacite_autofinancement': '55,3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15,4%</w:t>
            </w:r>
          </w:p>
        </w:tc>
        <w:tc>
          <w:tcPr>
            <w:tcW w:type="dxa" w:w="2160"/>
          </w:tcPr>
          <w:p>
            <w:pPr>
              <w:ind w:left="100"/>
            </w:pPr>
            <w:r/>
            <w:r>
              <w:rPr>
                <w:b/>
                <w:sz w:val="16"/>
              </w:rPr>
              <w:t>total_actif</w:t>
              <w:br/>
            </w:r>
            <w:r>
              <w:rPr>
                <w:sz w:val="18"/>
              </w:rPr>
              <w:t>269,9 milliards FCFA</w:t>
            </w:r>
          </w:p>
        </w:tc>
      </w:tr>
      <w:tr>
        <w:tc>
          <w:tcPr>
            <w:tcW w:type="dxa" w:w="2160"/>
          </w:tcPr>
          <w:p>
            <w:r/>
            <w:r>
              <w:rPr>
                <w:b/>
                <w:sz w:val="16"/>
              </w:rPr>
              <w:t>resultat_net</w:t>
              <w:br/>
            </w:r>
            <w:r>
              <w:rPr>
                <w:sz w:val="18"/>
              </w:rPr>
              <w:t>22,4 milliards FCFA</w:t>
            </w:r>
          </w:p>
        </w:tc>
        <w:tc>
          <w:tcPr>
            <w:tcW w:type="dxa" w:w="2160"/>
          </w:tcPr>
          <w:p>
            <w:r/>
            <w:r>
              <w:rPr>
                <w:b/>
                <w:sz w:val="16"/>
              </w:rPr>
              <w:t>capitaux_propres</w:t>
              <w:br/>
            </w:r>
            <w:r>
              <w:rPr>
                <w:sz w:val="18"/>
              </w:rPr>
              <w:t>63,2 milliards FCFA</w:t>
            </w:r>
          </w:p>
        </w:tc>
        <w:tc>
          <w:tcPr>
            <w:tcW w:type="dxa" w:w="2160"/>
          </w:tcPr>
          <w:p>
            <w:r/>
            <w:r>
              <w:rPr>
                <w:b/>
                <w:sz w:val="16"/>
              </w:rPr>
              <w:t>chiffre_affaires</w:t>
              <w:br/>
            </w:r>
            <w:r>
              <w:rPr>
                <w:sz w:val="18"/>
              </w:rPr>
              <w:t>145,6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 passant de 154,9 à 145,6 milliards FCFA</w:t>
      </w:r>
    </w:p>
    <w:p>
      <w:pPr>
        <w:pStyle w:val="ListBullet"/>
        <w:spacing w:before="20" w:after="20"/>
        <w:ind w:left="700"/>
      </w:pPr>
      <w:r>
        <w:rPr>
          <w:sz w:val="18"/>
        </w:rPr>
        <w:t>Chute significative du résultat net de 31% (32,4 à 22,4 milliards FCFA)</w:t>
      </w:r>
    </w:p>
    <w:p>
      <w:pPr>
        <w:pStyle w:val="ListBullet"/>
        <w:spacing w:before="20" w:after="20"/>
        <w:ind w:left="700"/>
      </w:pPr>
      <w:r>
        <w:rPr>
          <w:sz w:val="18"/>
        </w:rPr>
        <w:t>Dégradation de la marge nette qui passe de 20,9% à 15,4%</w:t>
      </w:r>
    </w:p>
    <w:p>
      <w:pPr>
        <w:pStyle w:val="ListBullet"/>
        <w:spacing w:before="20" w:after="20"/>
        <w:ind w:left="700"/>
      </w:pPr>
      <w:r>
        <w:rPr>
          <w:sz w:val="18"/>
        </w:rPr>
        <w:t>Maintien d'une capacité d'autofinancement solide à 55,3 milliards FCFA</w:t>
      </w:r>
    </w:p>
    <w:p>
      <w:pPr>
        <w:pStyle w:val="ListBullet"/>
        <w:spacing w:before="20" w:after="20"/>
        <w:ind w:left="700"/>
      </w:pPr>
      <w:r>
        <w:rPr>
          <w:sz w:val="18"/>
        </w:rPr>
        <w:t>Augmentation des dettes circulantes de 23% à 104,5 milliards FCFA</w:t>
      </w:r>
    </w:p>
    <w:p>
      <w:pPr>
        <w:pStyle w:val="ListBullet"/>
        <w:spacing w:before="20" w:after="20"/>
        <w:ind w:left="700"/>
      </w:pPr>
      <w:r>
        <w:rPr>
          <w:sz w:val="18"/>
        </w:rPr>
        <w:t>Stabilité du capital social à 34 milliards FCFA</w:t>
      </w:r>
    </w:p>
    <w:p>
      <w:pPr>
        <w:spacing w:before="40"/>
        <w:ind w:left="400"/>
      </w:pPr>
      <w:r>
        <w:rPr>
          <w:b/>
          <w:color w:val="C05000"/>
          <w:sz w:val="18"/>
        </w:rPr>
        <w:t xml:space="preserve">⚠️ Risques : </w:t>
      </w:r>
      <w:r>
        <w:rPr>
          <w:sz w:val="18"/>
        </w:rPr>
        <w:t>["D\u00e9gradation continue de la rentabilit\u00e9 op\u00e9rationnelle dans un march\u00e9 concurrentiel", "Instabilit\u00e9 s\u00e9curitaire au Burkina Faso pouvant affecter les infrastructures t\u00e9l\u00e9coms", "Augmentation significative des dettes circulantes cr\u00e9ant des tensions de tr\u0</w:t>
      </w:r>
    </w:p>
    <w:p>
      <w:pPr>
        <w:spacing w:before="40"/>
        <w:ind w:left="400"/>
      </w:pPr>
      <w:r>
        <w:rPr>
          <w:b/>
          <w:color w:val="0064A0"/>
          <w:sz w:val="18"/>
        </w:rPr>
        <w:t xml:space="preserve">🔮 Perspectives : </w:t>
      </w:r>
      <w:r>
        <w:rPr>
          <w:sz w:val="18"/>
        </w:rPr>
        <w:t>L'évolution d'ONATEL dépendra de sa capacité à stabiliser ses revenus dans un contexte concurrentiel accru et à optimiser sa structure de coûts. Les investissements dans la modernisation des infrastructures télécoms pourraient soutenir la croissance à moyen terme, sous réserve d'amélioration du cont</w:t>
      </w:r>
    </w:p>
    <w:p/>
    <w:p>
      <w:r>
        <w:t>════════════════════════════════════════════════════════════════════════════════</w:t>
      </w:r>
    </w:p>
    <w:p>
      <w:r>
        <w:br w:type="page"/>
      </w:r>
    </w:p>
    <w:p>
      <w:pPr>
        <w:pStyle w:val="Heading2"/>
        <w:spacing w:before="360"/>
      </w:pPr>
      <w:r>
        <w:rPr>
          <w:color w:val="0066CC"/>
        </w:rPr>
        <w:t>23. ORAC - ORAC - ORANGE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ORAC</w:t>
            </w:r>
          </w:p>
          <w:p>
            <w:r>
              <w:rPr>
                <w:b/>
                <w:color w:val="323250"/>
                <w:sz w:val="16"/>
              </w:rPr>
              <w:t xml:space="preserve">Société : </w:t>
            </w:r>
            <w:r>
              <w:rPr>
                <w:color w:val="000000"/>
                <w:sz w:val="16"/>
              </w:rPr>
              <w:t>ORAC - ORANGE COTE D'IVOIRE</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3193.89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2,425 titres</w:t>
            </w:r>
          </w:p>
        </w:tc>
        <w:tc>
          <w:tcPr>
            <w:tcW w:type="dxa" w:w="2268"/>
            <w:shd w:fill="FFF2CC" w:val="clear"/>
          </w:tcPr>
          <w:p>
            <w:r>
              <w:rPr>
                <w:b/>
                <w:color w:val="503200"/>
                <w:sz w:val="16"/>
              </w:rPr>
              <w:t xml:space="preserve">Cours actuel : </w:t>
            </w:r>
            <w:r>
              <w:rPr>
                <w:color w:val="000000"/>
                <w:sz w:val="17"/>
              </w:rPr>
              <w:t>21,200 FCFA</w:t>
            </w:r>
          </w:p>
          <w:p>
            <w:r>
              <w:rPr>
                <w:b/>
                <w:color w:val="503200"/>
                <w:sz w:val="16"/>
              </w:rPr>
              <w:t xml:space="preserve">Var. 100 jours : </w:t>
            </w:r>
            <w:r>
              <w:rPr>
                <w:b/>
                <w:color w:val="007800"/>
                <w:sz w:val="17"/>
              </w:rPr>
              <w:t>+39.47%</w:t>
            </w:r>
          </w:p>
          <w:p>
            <w:r>
              <w:rPr>
                <w:b/>
                <w:color w:val="503200"/>
                <w:sz w:val="16"/>
              </w:rPr>
              <w:t xml:space="preserve">Plus haut 100j : </w:t>
            </w:r>
            <w:r>
              <w:rPr>
                <w:color w:val="000000"/>
                <w:sz w:val="17"/>
              </w:rPr>
              <w:t>21,200 FCFA</w:t>
            </w:r>
          </w:p>
          <w:p>
            <w:r>
              <w:rPr>
                <w:b/>
                <w:color w:val="503200"/>
                <w:sz w:val="16"/>
              </w:rPr>
              <w:t xml:space="preserve">Plus bas 100j : </w:t>
            </w:r>
            <w:r>
              <w:rPr>
                <w:color w:val="000000"/>
                <w:sz w:val="17"/>
              </w:rPr>
              <w:t>14,650 FCFA</w:t>
            </w:r>
          </w:p>
          <w:p>
            <w:r>
              <w:rPr>
                <w:b/>
                <w:color w:val="503200"/>
                <w:sz w:val="16"/>
              </w:rPr>
              <w:t xml:space="preserve">Volatilité ann. : </w:t>
            </w:r>
            <w:r>
              <w:rPr>
                <w:color w:val="000000"/>
                <w:sz w:val="17"/>
              </w:rPr>
              <w:t>28.8%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24.1/100 → Moyen</w:t>
      </w:r>
    </w:p>
    <w:p>
      <w:pPr>
        <w:spacing w:before="40" w:after="80"/>
      </w:pPr>
      <w:r>
        <w:rPr>
          <w:rFonts w:ascii="Courier New" w:hAnsi="Courier New"/>
          <w:color w:val="825A00"/>
          <w:sz w:val="18"/>
        </w:rPr>
        <w:t>████░░░░░░░░░░░░░░░░  24.1/100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8.68% (Moyenne) — μ=16,262 FCFA, σ=1,412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β=1.2118 (Agressif) — Cov=0.000043, Var(idx)=0.000035, ρ=0.397,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2,425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σ_j=1.82%/j (Stable) — Vol. annualisée≈28.8%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25" name="Picture 25"/>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2026-08-28</w:t>
            </w:r>
          </w:p>
        </w:tc>
        <w:tc>
          <w:tcPr>
            <w:tcW w:type="dxa" w:w="1440"/>
            <w:shd w:fill="FFDCE0" w:val="clear"/>
          </w:tcPr>
          <w:p>
            <w:r>
              <w:rPr>
                <w:sz w:val="17"/>
              </w:rPr>
              <w:t>19,966</w:t>
            </w:r>
          </w:p>
        </w:tc>
        <w:tc>
          <w:tcPr>
            <w:tcW w:type="dxa" w:w="1440"/>
            <w:shd w:fill="FFDCE0" w:val="clear"/>
          </w:tcPr>
          <w:p>
            <w:r>
              <w:rPr>
                <w:b/>
                <w:sz w:val="17"/>
              </w:rPr>
              <w:t>20,518</w:t>
            </w:r>
          </w:p>
        </w:tc>
        <w:tc>
          <w:tcPr>
            <w:tcW w:type="dxa" w:w="1440"/>
            <w:shd w:fill="FFDCE0" w:val="clear"/>
          </w:tcPr>
          <w:p>
            <w:r>
              <w:rPr>
                <w:sz w:val="17"/>
              </w:rPr>
              <w:t>21,069</w:t>
            </w:r>
          </w:p>
        </w:tc>
        <w:tc>
          <w:tcPr>
            <w:tcW w:type="dxa" w:w="1440"/>
            <w:shd w:fill="FFDCE0" w:val="clear"/>
          </w:tcPr>
          <w:p>
            <w:r>
              <w:rPr>
                <w:b/>
                <w:color w:val="C00000"/>
                <w:sz w:val="17"/>
              </w:rPr>
              <w:t>-3.2%</w:t>
            </w:r>
          </w:p>
        </w:tc>
      </w:tr>
      <w:tr>
        <w:tc>
          <w:tcPr>
            <w:tcW w:type="dxa" w:w="1440"/>
            <w:shd w:fill="FFDCE0" w:val="clear"/>
          </w:tcPr>
          <w:p>
            <w:r>
              <w:rPr>
                <w:sz w:val="17"/>
              </w:rPr>
              <w:t>J+2  Moyenne</w:t>
            </w:r>
          </w:p>
        </w:tc>
        <w:tc>
          <w:tcPr>
            <w:tcW w:type="dxa" w:w="1440"/>
            <w:shd w:fill="FFDCE0" w:val="clear"/>
          </w:tcPr>
          <w:p>
            <w:r>
              <w:rPr>
                <w:sz w:val="17"/>
              </w:rPr>
              <w:t>2026-08-31</w:t>
            </w:r>
          </w:p>
        </w:tc>
        <w:tc>
          <w:tcPr>
            <w:tcW w:type="dxa" w:w="1440"/>
            <w:shd w:fill="FFDCE0" w:val="clear"/>
          </w:tcPr>
          <w:p>
            <w:r>
              <w:rPr>
                <w:sz w:val="17"/>
              </w:rPr>
              <w:t>19,656</w:t>
            </w:r>
          </w:p>
        </w:tc>
        <w:tc>
          <w:tcPr>
            <w:tcW w:type="dxa" w:w="1440"/>
            <w:shd w:fill="FFDCE0" w:val="clear"/>
          </w:tcPr>
          <w:p>
            <w:r>
              <w:rPr>
                <w:b/>
                <w:sz w:val="17"/>
              </w:rPr>
              <w:t>20,432</w:t>
            </w:r>
          </w:p>
        </w:tc>
        <w:tc>
          <w:tcPr>
            <w:tcW w:type="dxa" w:w="1440"/>
            <w:shd w:fill="FFDCE0" w:val="clear"/>
          </w:tcPr>
          <w:p>
            <w:r>
              <w:rPr>
                <w:sz w:val="17"/>
              </w:rPr>
              <w:t>21,208</w:t>
            </w:r>
          </w:p>
        </w:tc>
        <w:tc>
          <w:tcPr>
            <w:tcW w:type="dxa" w:w="1440"/>
            <w:shd w:fill="FFDCE0" w:val="clear"/>
          </w:tcPr>
          <w:p>
            <w:r>
              <w:rPr>
                <w:b/>
                <w:color w:val="C00000"/>
                <w:sz w:val="17"/>
              </w:rPr>
              <w:t>-3.6%</w:t>
            </w:r>
          </w:p>
        </w:tc>
      </w:tr>
      <w:tr>
        <w:tc>
          <w:tcPr>
            <w:tcW w:type="dxa" w:w="1440"/>
            <w:shd w:fill="FFDCE0" w:val="clear"/>
          </w:tcPr>
          <w:p>
            <w:r>
              <w:rPr>
                <w:sz w:val="17"/>
              </w:rPr>
              <w:t>J+3  ⭐</w:t>
            </w:r>
          </w:p>
        </w:tc>
        <w:tc>
          <w:tcPr>
            <w:tcW w:type="dxa" w:w="1440"/>
            <w:shd w:fill="FFDCE0" w:val="clear"/>
          </w:tcPr>
          <w:p>
            <w:r>
              <w:rPr>
                <w:sz w:val="17"/>
              </w:rPr>
              <w:t>2026-09-01</w:t>
            </w:r>
          </w:p>
        </w:tc>
        <w:tc>
          <w:tcPr>
            <w:tcW w:type="dxa" w:w="1440"/>
            <w:shd w:fill="FFDCE0" w:val="clear"/>
          </w:tcPr>
          <w:p>
            <w:r>
              <w:rPr>
                <w:sz w:val="17"/>
              </w:rPr>
              <w:t>19,358</w:t>
            </w:r>
          </w:p>
        </w:tc>
        <w:tc>
          <w:tcPr>
            <w:tcW w:type="dxa" w:w="1440"/>
            <w:shd w:fill="FFDCE0" w:val="clear"/>
          </w:tcPr>
          <w:p>
            <w:r>
              <w:rPr>
                <w:b/>
                <w:sz w:val="17"/>
              </w:rPr>
              <w:t>20,302</w:t>
            </w:r>
          </w:p>
        </w:tc>
        <w:tc>
          <w:tcPr>
            <w:tcW w:type="dxa" w:w="1440"/>
            <w:shd w:fill="FFDCE0" w:val="clear"/>
          </w:tcPr>
          <w:p>
            <w:r>
              <w:rPr>
                <w:sz w:val="17"/>
              </w:rPr>
              <w:t>21,247</w:t>
            </w:r>
          </w:p>
        </w:tc>
        <w:tc>
          <w:tcPr>
            <w:tcW w:type="dxa" w:w="1440"/>
            <w:shd w:fill="FFDCE0" w:val="clear"/>
          </w:tcPr>
          <w:p>
            <w:r>
              <w:rPr>
                <w:b/>
                <w:color w:val="C00000"/>
                <w:sz w:val="17"/>
              </w:rPr>
              <w:t>-4.2%</w:t>
            </w:r>
          </w:p>
        </w:tc>
      </w:tr>
      <w:tr>
        <w:tc>
          <w:tcPr>
            <w:tcW w:type="dxa" w:w="1440"/>
            <w:shd w:fill="FFDCE0" w:val="clear"/>
          </w:tcPr>
          <w:p>
            <w:r>
              <w:rPr>
                <w:sz w:val="17"/>
              </w:rPr>
              <w:t>J+4  ⭐</w:t>
            </w:r>
          </w:p>
        </w:tc>
        <w:tc>
          <w:tcPr>
            <w:tcW w:type="dxa" w:w="1440"/>
            <w:shd w:fill="FFDCE0" w:val="clear"/>
          </w:tcPr>
          <w:p>
            <w:r>
              <w:rPr>
                <w:sz w:val="17"/>
              </w:rPr>
              <w:t>2026-09-02</w:t>
            </w:r>
          </w:p>
        </w:tc>
        <w:tc>
          <w:tcPr>
            <w:tcW w:type="dxa" w:w="1440"/>
            <w:shd w:fill="FFDCE0" w:val="clear"/>
          </w:tcPr>
          <w:p>
            <w:r>
              <w:rPr>
                <w:sz w:val="17"/>
              </w:rPr>
              <w:t>19,087</w:t>
            </w:r>
          </w:p>
        </w:tc>
        <w:tc>
          <w:tcPr>
            <w:tcW w:type="dxa" w:w="1440"/>
            <w:shd w:fill="FFDCE0" w:val="clear"/>
          </w:tcPr>
          <w:p>
            <w:r>
              <w:rPr>
                <w:b/>
                <w:sz w:val="17"/>
              </w:rPr>
              <w:t>20,171</w:t>
            </w:r>
          </w:p>
        </w:tc>
        <w:tc>
          <w:tcPr>
            <w:tcW w:type="dxa" w:w="1440"/>
            <w:shd w:fill="FFDCE0" w:val="clear"/>
          </w:tcPr>
          <w:p>
            <w:r>
              <w:rPr>
                <w:sz w:val="17"/>
              </w:rPr>
              <w:t>21,254</w:t>
            </w:r>
          </w:p>
        </w:tc>
        <w:tc>
          <w:tcPr>
            <w:tcW w:type="dxa" w:w="1440"/>
            <w:shd w:fill="FFDCE0" w:val="clear"/>
          </w:tcPr>
          <w:p>
            <w:r>
              <w:rPr>
                <w:b/>
                <w:color w:val="C00000"/>
                <w:sz w:val="17"/>
              </w:rPr>
              <w:t>-4.9%</w:t>
            </w:r>
          </w:p>
        </w:tc>
      </w:tr>
      <w:tr>
        <w:tc>
          <w:tcPr>
            <w:tcW w:type="dxa" w:w="1440"/>
            <w:shd w:fill="FFDCE0" w:val="clear"/>
          </w:tcPr>
          <w:p>
            <w:r>
              <w:rPr>
                <w:sz w:val="17"/>
              </w:rPr>
              <w:t>J+5  ⭐</w:t>
            </w:r>
          </w:p>
        </w:tc>
        <w:tc>
          <w:tcPr>
            <w:tcW w:type="dxa" w:w="1440"/>
            <w:shd w:fill="FFDCE0" w:val="clear"/>
          </w:tcPr>
          <w:p>
            <w:r>
              <w:rPr>
                <w:sz w:val="17"/>
              </w:rPr>
              <w:t>2026-09-03</w:t>
            </w:r>
          </w:p>
        </w:tc>
        <w:tc>
          <w:tcPr>
            <w:tcW w:type="dxa" w:w="1440"/>
            <w:shd w:fill="FFDCE0" w:val="clear"/>
          </w:tcPr>
          <w:p>
            <w:r>
              <w:rPr>
                <w:sz w:val="17"/>
              </w:rPr>
              <w:t>18,839</w:t>
            </w:r>
          </w:p>
        </w:tc>
        <w:tc>
          <w:tcPr>
            <w:tcW w:type="dxa" w:w="1440"/>
            <w:shd w:fill="FFDCE0" w:val="clear"/>
          </w:tcPr>
          <w:p>
            <w:r>
              <w:rPr>
                <w:b/>
                <w:sz w:val="17"/>
              </w:rPr>
              <w:t>20,043</w:t>
            </w:r>
          </w:p>
        </w:tc>
        <w:tc>
          <w:tcPr>
            <w:tcW w:type="dxa" w:w="1440"/>
            <w:shd w:fill="FFDCE0" w:val="clear"/>
          </w:tcPr>
          <w:p>
            <w:r>
              <w:rPr>
                <w:sz w:val="17"/>
              </w:rPr>
              <w:t>21,247</w:t>
            </w:r>
          </w:p>
        </w:tc>
        <w:tc>
          <w:tcPr>
            <w:tcW w:type="dxa" w:w="1440"/>
            <w:shd w:fill="FFDCE0" w:val="clear"/>
          </w:tcPr>
          <w:p>
            <w:r>
              <w:rPr>
                <w:b/>
                <w:color w:val="C00000"/>
                <w:sz w:val="17"/>
              </w:rPr>
              <w:t>-5.5%</w:t>
            </w:r>
          </w:p>
        </w:tc>
      </w:tr>
      <w:tr>
        <w:tc>
          <w:tcPr>
            <w:tcW w:type="dxa" w:w="1440"/>
            <w:shd w:fill="FFDCE0" w:val="clear"/>
          </w:tcPr>
          <w:p>
            <w:r>
              <w:rPr>
                <w:sz w:val="17"/>
              </w:rPr>
              <w:t>J+6  ⭐</w:t>
            </w:r>
          </w:p>
        </w:tc>
        <w:tc>
          <w:tcPr>
            <w:tcW w:type="dxa" w:w="1440"/>
            <w:shd w:fill="FFDCE0" w:val="clear"/>
          </w:tcPr>
          <w:p>
            <w:r>
              <w:rPr>
                <w:sz w:val="17"/>
              </w:rPr>
              <w:t>2026-09-04</w:t>
            </w:r>
          </w:p>
        </w:tc>
        <w:tc>
          <w:tcPr>
            <w:tcW w:type="dxa" w:w="1440"/>
            <w:shd w:fill="FFDCE0" w:val="clear"/>
          </w:tcPr>
          <w:p>
            <w:r>
              <w:rPr>
                <w:sz w:val="17"/>
              </w:rPr>
              <w:t>18,610</w:t>
            </w:r>
          </w:p>
        </w:tc>
        <w:tc>
          <w:tcPr>
            <w:tcW w:type="dxa" w:w="1440"/>
            <w:shd w:fill="FFDCE0" w:val="clear"/>
          </w:tcPr>
          <w:p>
            <w:r>
              <w:rPr>
                <w:b/>
                <w:sz w:val="17"/>
              </w:rPr>
              <w:t>19,920</w:t>
            </w:r>
          </w:p>
        </w:tc>
        <w:tc>
          <w:tcPr>
            <w:tcW w:type="dxa" w:w="1440"/>
            <w:shd w:fill="FFDCE0" w:val="clear"/>
          </w:tcPr>
          <w:p>
            <w:r>
              <w:rPr>
                <w:sz w:val="17"/>
              </w:rPr>
              <w:t>21,231</w:t>
            </w:r>
          </w:p>
        </w:tc>
        <w:tc>
          <w:tcPr>
            <w:tcW w:type="dxa" w:w="1440"/>
            <w:shd w:fill="FFDCE0" w:val="clear"/>
          </w:tcPr>
          <w:p>
            <w:r>
              <w:rPr>
                <w:b/>
                <w:color w:val="C00000"/>
                <w:sz w:val="17"/>
              </w:rPr>
              <w:t>-6.0%</w:t>
            </w:r>
          </w:p>
        </w:tc>
      </w:tr>
      <w:tr>
        <w:tc>
          <w:tcPr>
            <w:tcW w:type="dxa" w:w="1440"/>
            <w:shd w:fill="FFDCE0" w:val="clear"/>
          </w:tcPr>
          <w:p>
            <w:r>
              <w:rPr>
                <w:sz w:val="17"/>
              </w:rPr>
              <w:t>J+7  ⭐</w:t>
            </w:r>
          </w:p>
        </w:tc>
        <w:tc>
          <w:tcPr>
            <w:tcW w:type="dxa" w:w="1440"/>
            <w:shd w:fill="FFDCE0" w:val="clear"/>
          </w:tcPr>
          <w:p>
            <w:r>
              <w:rPr>
                <w:sz w:val="17"/>
              </w:rPr>
              <w:t>2026-09-07</w:t>
            </w:r>
          </w:p>
        </w:tc>
        <w:tc>
          <w:tcPr>
            <w:tcW w:type="dxa" w:w="1440"/>
            <w:shd w:fill="FFDCE0" w:val="clear"/>
          </w:tcPr>
          <w:p>
            <w:r>
              <w:rPr>
                <w:sz w:val="17"/>
              </w:rPr>
              <w:t>18,395</w:t>
            </w:r>
          </w:p>
        </w:tc>
        <w:tc>
          <w:tcPr>
            <w:tcW w:type="dxa" w:w="1440"/>
            <w:shd w:fill="FFDCE0" w:val="clear"/>
          </w:tcPr>
          <w:p>
            <w:r>
              <w:rPr>
                <w:b/>
                <w:sz w:val="17"/>
              </w:rPr>
              <w:t>19,802</w:t>
            </w:r>
          </w:p>
        </w:tc>
        <w:tc>
          <w:tcPr>
            <w:tcW w:type="dxa" w:w="1440"/>
            <w:shd w:fill="FFDCE0" w:val="clear"/>
          </w:tcPr>
          <w:p>
            <w:r>
              <w:rPr>
                <w:sz w:val="17"/>
              </w:rPr>
              <w:t>21,210</w:t>
            </w:r>
          </w:p>
        </w:tc>
        <w:tc>
          <w:tcPr>
            <w:tcW w:type="dxa" w:w="1440"/>
            <w:shd w:fill="FFDCE0" w:val="clear"/>
          </w:tcPr>
          <w:p>
            <w:r>
              <w:rPr>
                <w:b/>
                <w:color w:val="C00000"/>
                <w:sz w:val="17"/>
              </w:rPr>
              <w:t>-6.6%</w:t>
            </w:r>
          </w:p>
        </w:tc>
      </w:tr>
      <w:tr>
        <w:tc>
          <w:tcPr>
            <w:tcW w:type="dxa" w:w="1440"/>
            <w:shd w:fill="FFDCE0" w:val="clear"/>
          </w:tcPr>
          <w:p>
            <w:r>
              <w:rPr>
                <w:sz w:val="17"/>
              </w:rPr>
              <w:t>J+8  ⭐</w:t>
            </w:r>
          </w:p>
        </w:tc>
        <w:tc>
          <w:tcPr>
            <w:tcW w:type="dxa" w:w="1440"/>
            <w:shd w:fill="FFDCE0" w:val="clear"/>
          </w:tcPr>
          <w:p>
            <w:r>
              <w:rPr>
                <w:sz w:val="17"/>
              </w:rPr>
              <w:t>2026-09-08</w:t>
            </w:r>
          </w:p>
        </w:tc>
        <w:tc>
          <w:tcPr>
            <w:tcW w:type="dxa" w:w="1440"/>
            <w:shd w:fill="FFDCE0" w:val="clear"/>
          </w:tcPr>
          <w:p>
            <w:r>
              <w:rPr>
                <w:sz w:val="17"/>
              </w:rPr>
              <w:t>18,192</w:t>
            </w:r>
          </w:p>
        </w:tc>
        <w:tc>
          <w:tcPr>
            <w:tcW w:type="dxa" w:w="1440"/>
            <w:shd w:fill="FFDCE0" w:val="clear"/>
          </w:tcPr>
          <w:p>
            <w:r>
              <w:rPr>
                <w:b/>
                <w:sz w:val="17"/>
              </w:rPr>
              <w:t>19,688</w:t>
            </w:r>
          </w:p>
        </w:tc>
        <w:tc>
          <w:tcPr>
            <w:tcW w:type="dxa" w:w="1440"/>
            <w:shd w:fill="FFDCE0" w:val="clear"/>
          </w:tcPr>
          <w:p>
            <w:r>
              <w:rPr>
                <w:sz w:val="17"/>
              </w:rPr>
              <w:t>21,184</w:t>
            </w:r>
          </w:p>
        </w:tc>
        <w:tc>
          <w:tcPr>
            <w:tcW w:type="dxa" w:w="1440"/>
            <w:shd w:fill="FFDCE0" w:val="clear"/>
          </w:tcPr>
          <w:p>
            <w:r>
              <w:rPr>
                <w:b/>
                <w:color w:val="C00000"/>
                <w:sz w:val="17"/>
              </w:rPr>
              <w:t>-7.1%</w:t>
            </w:r>
          </w:p>
        </w:tc>
      </w:tr>
      <w:tr>
        <w:tc>
          <w:tcPr>
            <w:tcW w:type="dxa" w:w="1440"/>
            <w:shd w:fill="FFDCE0" w:val="clear"/>
          </w:tcPr>
          <w:p>
            <w:r>
              <w:rPr>
                <w:sz w:val="17"/>
              </w:rPr>
              <w:t>J+9  ⭐</w:t>
            </w:r>
          </w:p>
        </w:tc>
        <w:tc>
          <w:tcPr>
            <w:tcW w:type="dxa" w:w="1440"/>
            <w:shd w:fill="FFDCE0" w:val="clear"/>
          </w:tcPr>
          <w:p>
            <w:r>
              <w:rPr>
                <w:sz w:val="17"/>
              </w:rPr>
              <w:t>2026-09-09</w:t>
            </w:r>
          </w:p>
        </w:tc>
        <w:tc>
          <w:tcPr>
            <w:tcW w:type="dxa" w:w="1440"/>
            <w:shd w:fill="FFDCE0" w:val="clear"/>
          </w:tcPr>
          <w:p>
            <w:r>
              <w:rPr>
                <w:sz w:val="17"/>
              </w:rPr>
              <w:t>18,000</w:t>
            </w:r>
          </w:p>
        </w:tc>
        <w:tc>
          <w:tcPr>
            <w:tcW w:type="dxa" w:w="1440"/>
            <w:shd w:fill="FFDCE0" w:val="clear"/>
          </w:tcPr>
          <w:p>
            <w:r>
              <w:rPr>
                <w:b/>
                <w:sz w:val="17"/>
              </w:rPr>
              <w:t>19,578</w:t>
            </w:r>
          </w:p>
        </w:tc>
        <w:tc>
          <w:tcPr>
            <w:tcW w:type="dxa" w:w="1440"/>
            <w:shd w:fill="FFDCE0" w:val="clear"/>
          </w:tcPr>
          <w:p>
            <w:r>
              <w:rPr>
                <w:sz w:val="17"/>
              </w:rPr>
              <w:t>21,156</w:t>
            </w:r>
          </w:p>
        </w:tc>
        <w:tc>
          <w:tcPr>
            <w:tcW w:type="dxa" w:w="1440"/>
            <w:shd w:fill="FFDCE0" w:val="clear"/>
          </w:tcPr>
          <w:p>
            <w:r>
              <w:rPr>
                <w:b/>
                <w:color w:val="C00000"/>
                <w:sz w:val="17"/>
              </w:rPr>
              <w:t>-7.7%</w:t>
            </w:r>
          </w:p>
        </w:tc>
      </w:tr>
      <w:tr>
        <w:tc>
          <w:tcPr>
            <w:tcW w:type="dxa" w:w="1440"/>
            <w:shd w:fill="FFDCE0" w:val="clear"/>
          </w:tcPr>
          <w:p>
            <w:r>
              <w:rPr>
                <w:sz w:val="17"/>
              </w:rPr>
              <w:t>J+10  ⭐</w:t>
            </w:r>
          </w:p>
        </w:tc>
        <w:tc>
          <w:tcPr>
            <w:tcW w:type="dxa" w:w="1440"/>
            <w:shd w:fill="FFDCE0" w:val="clear"/>
          </w:tcPr>
          <w:p>
            <w:r>
              <w:rPr>
                <w:sz w:val="17"/>
              </w:rPr>
              <w:t>2026-09-10</w:t>
            </w:r>
          </w:p>
        </w:tc>
        <w:tc>
          <w:tcPr>
            <w:tcW w:type="dxa" w:w="1440"/>
            <w:shd w:fill="FFDCE0" w:val="clear"/>
          </w:tcPr>
          <w:p>
            <w:r>
              <w:rPr>
                <w:sz w:val="17"/>
              </w:rPr>
              <w:t>17,817</w:t>
            </w:r>
          </w:p>
        </w:tc>
        <w:tc>
          <w:tcPr>
            <w:tcW w:type="dxa" w:w="1440"/>
            <w:shd w:fill="FFDCE0" w:val="clear"/>
          </w:tcPr>
          <w:p>
            <w:r>
              <w:rPr>
                <w:b/>
                <w:sz w:val="17"/>
              </w:rPr>
              <w:t>19,471</w:t>
            </w:r>
          </w:p>
        </w:tc>
        <w:tc>
          <w:tcPr>
            <w:tcW w:type="dxa" w:w="1440"/>
            <w:shd w:fill="FFDCE0" w:val="clear"/>
          </w:tcPr>
          <w:p>
            <w:r>
              <w:rPr>
                <w:sz w:val="17"/>
              </w:rPr>
              <w:t>21,126</w:t>
            </w:r>
          </w:p>
        </w:tc>
        <w:tc>
          <w:tcPr>
            <w:tcW w:type="dxa" w:w="1440"/>
            <w:shd w:fill="FFDCE0" w:val="clear"/>
          </w:tcPr>
          <w:p>
            <w:r>
              <w:rPr>
                <w:b/>
                <w:color w:val="C00000"/>
                <w:sz w:val="17"/>
              </w:rPr>
              <w:t>-8.2%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171.400 Mds FCFA</w:t>
            </w:r>
          </w:p>
        </w:tc>
        <w:tc>
          <w:tcPr>
            <w:tcW w:type="dxa" w:w="5669"/>
            <w:shd w:fill="FFFFFF" w:val="clear"/>
          </w:tcPr>
          <w:p>
            <w:r>
              <w:rPr>
                <w:color w:val="282828"/>
                <w:sz w:val="15"/>
              </w:rPr>
              <w:t>Créances clients = 14.3%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26.000 Mds FCFA</w:t>
            </w:r>
          </w:p>
        </w:tc>
        <w:tc>
          <w:tcPr>
            <w:tcW w:type="dxa" w:w="5669"/>
            <w:shd w:fill="FFFFFF" w:val="clear"/>
          </w:tcPr>
          <w:p>
            <w:r>
              <w:rPr>
                <w:color w:val="282828"/>
                <w:sz w:val="15"/>
              </w:rPr>
              <w:t>Rotation stocks = 46.0x/an.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1436.100 Mds FCFA</w:t>
            </w:r>
          </w:p>
        </w:tc>
        <w:tc>
          <w:tcPr>
            <w:tcW w:type="dxa" w:w="5669"/>
            <w:shd w:fill="FFFFFF" w:val="clear"/>
          </w:tcPr>
          <w:p>
            <w:r>
              <w:rPr>
                <w:color w:val="282828"/>
                <w:sz w:val="15"/>
              </w:rPr>
              <w:t>Ratio actif circ./passif circ. = 0.94x.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314.600 Mds FCFA</w:t>
            </w:r>
          </w:p>
        </w:tc>
        <w:tc>
          <w:tcPr>
            <w:tcW w:type="dxa" w:w="5669"/>
            <w:shd w:fill="FFFFFF" w:val="clear"/>
          </w:tcPr>
          <w:p>
            <w:r>
              <w:rPr>
                <w:color w:val="282828"/>
                <w:sz w:val="15"/>
              </w:rPr>
              <w:t>Brevets, logiciels, fonds commercial (12.3%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665.100 Mds FCFA</w:t>
            </w:r>
          </w:p>
        </w:tc>
        <w:tc>
          <w:tcPr>
            <w:tcW w:type="dxa" w:w="5669"/>
            <w:shd w:fill="FFFFFF" w:val="clear"/>
          </w:tcPr>
          <w:p>
            <w:r>
              <w:rPr>
                <w:color w:val="282828"/>
                <w:sz w:val="15"/>
              </w:rPr>
              <w:t>Outil industriel (26.0%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1118.000 Mds FCFA</w:t>
            </w:r>
          </w:p>
        </w:tc>
        <w:tc>
          <w:tcPr>
            <w:tcW w:type="dxa" w:w="5669"/>
            <w:shd w:fill="FFFFFF" w:val="clear"/>
          </w:tcPr>
          <w:p>
            <w:r>
              <w:rPr>
                <w:color w:val="282828"/>
                <w:sz w:val="15"/>
              </w:rPr>
              <w:t>Actif immobilisé = 43.8%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225.800 Mds FCFA</w:t>
            </w:r>
          </w:p>
        </w:tc>
        <w:tc>
          <w:tcPr>
            <w:tcW w:type="dxa" w:w="5669"/>
            <w:shd w:fill="FFFFFF" w:val="clear"/>
          </w:tcPr>
          <w:p>
            <w:r>
              <w:rPr>
                <w:color w:val="282828"/>
                <w:sz w:val="15"/>
              </w:rPr>
              <w:t>Liquidités disponibles (8.8%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2554.100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534.800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707.800 Mds FCFA</w:t>
            </w:r>
          </w:p>
        </w:tc>
        <w:tc>
          <w:tcPr>
            <w:tcW w:type="dxa" w:w="5669"/>
            <w:shd w:fill="FFFFFF" w:val="clear"/>
          </w:tcPr>
          <w:p>
            <w:r>
              <w:rPr>
                <w:color w:val="282828"/>
                <w:sz w:val="15"/>
              </w:rPr>
              <w:t>Fonds propres = 27.7%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1033.900 Mds FCFA</w:t>
            </w:r>
          </w:p>
        </w:tc>
        <w:tc>
          <w:tcPr>
            <w:tcW w:type="dxa" w:w="5669"/>
            <w:shd w:fill="FFFFFF" w:val="clear"/>
          </w:tcPr>
          <w:p>
            <w:r>
              <w:rPr>
                <w:color w:val="282828"/>
                <w:sz w:val="15"/>
              </w:rPr>
              <w:t>Capitaux permanents / Actif immobilisé = 0.92x.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279.100 Mds FCFA</w:t>
            </w:r>
          </w:p>
        </w:tc>
        <w:tc>
          <w:tcPr>
            <w:tcW w:type="dxa" w:w="5669"/>
            <w:shd w:fill="FFFFFF" w:val="clear"/>
          </w:tcPr>
          <w:p>
            <w:r>
              <w:rPr>
                <w:color w:val="282828"/>
                <w:sz w:val="15"/>
              </w:rPr>
              <w:t>Délai fournisseurs implicite ≈ 85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224.000 Mds FCFA</w:t>
            </w:r>
          </w:p>
        </w:tc>
        <w:tc>
          <w:tcPr>
            <w:tcW w:type="dxa" w:w="5669"/>
            <w:shd w:fill="FFFFFF" w:val="clear"/>
          </w:tcPr>
          <w:p>
            <w:r>
              <w:rPr>
                <w:color w:val="282828"/>
                <w:sz w:val="15"/>
              </w:rPr>
              <w:t>Dette LT/MT = 32%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335.900 Mds FCFA</w:t>
            </w:r>
          </w:p>
        </w:tc>
        <w:tc>
          <w:tcPr>
            <w:tcW w:type="dxa" w:w="5669"/>
            <w:shd w:fill="FFFFFF" w:val="clear"/>
          </w:tcPr>
          <w:p>
            <w:r>
              <w:rPr>
                <w:color w:val="282828"/>
                <w:sz w:val="15"/>
              </w:rPr>
              <w:t>Dette financière totale = 47%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1846.300 Mds FCFA</w:t>
            </w:r>
          </w:p>
        </w:tc>
        <w:tc>
          <w:tcPr>
            <w:tcW w:type="dxa" w:w="5669"/>
            <w:shd w:fill="FFFFFF" w:val="clear"/>
          </w:tcPr>
          <w:p>
            <w:r>
              <w:rPr>
                <w:color w:val="282828"/>
                <w:sz w:val="15"/>
              </w:rPr>
              <w:t>Dettes totales = 72.3%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1197.100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1197.100 Mds FCFA</w:t>
            </w:r>
          </w:p>
        </w:tc>
        <w:tc>
          <w:tcPr>
            <w:tcW w:type="dxa" w:w="5669"/>
            <w:shd w:fill="FFFFFF" w:val="clear"/>
          </w:tcPr>
          <w:p>
            <w:r>
              <w:rPr>
                <w:color w:val="282828"/>
                <w:sz w:val="15"/>
              </w:rPr>
              <w:t>Chiffre d'affaires. Croissance: 10.4%. ✅ CA en hausse — bonne dynamique commerciale.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-483.100 Mds FCFA</w:t>
            </w:r>
          </w:p>
        </w:tc>
        <w:tc>
          <w:tcPr>
            <w:tcW w:type="dxa" w:w="5669"/>
            <w:shd w:fill="FFFFFF" w:val="clear"/>
          </w:tcPr>
          <w:p>
            <w:r>
              <w:rPr>
                <w:color w:val="282828"/>
                <w:sz w:val="15"/>
              </w:rPr>
              <w:t>-40.4%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-162.500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-75.500 Mds FCFA</w:t>
            </w:r>
          </w:p>
        </w:tc>
        <w:tc>
          <w:tcPr>
            <w:tcW w:type="dxa" w:w="5669"/>
            <w:shd w:fill="FFFFFF" w:val="clear"/>
          </w:tcPr>
          <w:p>
            <w:r>
              <w:rPr>
                <w:color w:val="282828"/>
                <w:sz w:val="15"/>
              </w:rPr>
              <w:t>Masse salariale = -6.3%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707.300 Mds FCFA</w:t>
            </w:r>
          </w:p>
        </w:tc>
        <w:tc>
          <w:tcPr>
            <w:tcW w:type="dxa" w:w="5669"/>
            <w:shd w:fill="FFFFFF" w:val="clear"/>
          </w:tcPr>
          <w:p>
            <w:r>
              <w:rPr>
                <w:color w:val="282828"/>
                <w:sz w:val="15"/>
              </w:rPr>
              <w:t>VA = 59.1%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450.300 Mds FCFA</w:t>
            </w:r>
          </w:p>
        </w:tc>
        <w:tc>
          <w:tcPr>
            <w:tcW w:type="dxa" w:w="5669"/>
            <w:shd w:fill="FFFFFF" w:val="clear"/>
          </w:tcPr>
          <w:p>
            <w:r>
              <w:rPr>
                <w:color w:val="282828"/>
                <w:sz w:val="15"/>
              </w:rPr>
              <w:t>EBE = 37.6%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287.200 Mds FCFA</w:t>
            </w:r>
          </w:p>
        </w:tc>
        <w:tc>
          <w:tcPr>
            <w:tcW w:type="dxa" w:w="5669"/>
            <w:shd w:fill="FFFFFF" w:val="clear"/>
          </w:tcPr>
          <w:p>
            <w:r>
              <w:rPr>
                <w:color w:val="282828"/>
                <w:sz w:val="15"/>
              </w:rPr>
              <w:t>Profit d'exploitation = 24.0%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-9.700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167.800 Mds FCFA</w:t>
            </w:r>
          </w:p>
        </w:tc>
        <w:tc>
          <w:tcPr>
            <w:tcW w:type="dxa" w:w="5669"/>
            <w:shd w:fill="FFFFFF" w:val="clear"/>
          </w:tcPr>
          <w:p>
            <w:r>
              <w:rPr>
                <w:color w:val="282828"/>
                <w:sz w:val="15"/>
              </w:rPr>
              <w:t>Marge nette = 14.0%.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340.000 Mds FCFA</w:t>
            </w:r>
          </w:p>
        </w:tc>
        <w:tc>
          <w:tcPr>
            <w:tcW w:type="dxa" w:w="5669"/>
            <w:shd w:fill="FFFFFF" w:val="clear"/>
          </w:tcPr>
          <w:p>
            <w:r>
              <w:rPr>
                <w:color w:val="282828"/>
                <w:sz w:val="15"/>
              </w:rPr>
              <w:t>CAF = 340.00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335.500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-179.300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-214.400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156.200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-198.000 Mds FCFA</w:t>
            </w:r>
          </w:p>
        </w:tc>
        <w:tc>
          <w:tcPr>
            <w:tcW w:type="dxa" w:w="5669"/>
            <w:shd w:fill="FFFFFF" w:val="clear"/>
          </w:tcPr>
          <w:p>
            <w:r>
              <w:rPr>
                <w:color w:val="282828"/>
                <w:sz w:val="15"/>
              </w:rPr>
              <w:t>BFR = -16.5%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-84.100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113.900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59.64%</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14.02%</w:t>
            </w:r>
          </w:p>
        </w:tc>
        <w:tc>
          <w:tcPr>
            <w:tcW w:type="dxa" w:w="5669"/>
            <w:shd w:fill="FFFFFF" w:val="clear"/>
          </w:tcPr>
          <w:p>
            <w:r>
              <w:rPr>
                <w:color w:val="282828"/>
                <w:sz w:val="15"/>
              </w:rPr>
              <w:t>Résultat net / revenus = 14.02%.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23.99%</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23.71%</w:t>
            </w:r>
          </w:p>
        </w:tc>
        <w:tc>
          <w:tcPr>
            <w:tcW w:type="dxa" w:w="5669"/>
            <w:shd w:fill="FFFFFF" w:val="clear"/>
          </w:tcPr>
          <w:p>
            <w:r>
              <w:rPr>
                <w:color w:val="282828"/>
                <w:sz w:val="15"/>
              </w:rPr>
              <w:t>Résultat net / capitaux propres = 23.71%.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6.57%</w:t>
            </w:r>
          </w:p>
        </w:tc>
        <w:tc>
          <w:tcPr>
            <w:tcW w:type="dxa" w:w="5669"/>
            <w:shd w:fill="FFFFFF" w:val="clear"/>
          </w:tcPr>
          <w:p>
            <w:r>
              <w:rPr>
                <w:color w:val="282828"/>
                <w:sz w:val="15"/>
              </w:rPr>
              <w:t>Résultat net / total actif = 6.57%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46.87%</w:t>
            </w:r>
          </w:p>
        </w:tc>
        <w:tc>
          <w:tcPr>
            <w:tcW w:type="dxa" w:w="5669"/>
            <w:shd w:fill="FFFFFF" w:val="clear"/>
          </w:tcPr>
          <w:p>
            <w:r>
              <w:rPr>
                <w:color w:val="282828"/>
                <w:sz w:val="15"/>
              </w:rPr>
              <w:t>CA / total actif = 46.87x. ⚠️ Actifs peu utilisés.</w:t>
            </w:r>
          </w:p>
        </w:tc>
      </w:tr>
      <w:tr>
        <w:tc>
          <w:tcPr>
            <w:tcW w:type="dxa" w:w="2268"/>
            <w:shd w:fill="EEF2F7" w:val="clear"/>
          </w:tcPr>
          <w:p>
            <w:r>
              <w:rPr>
                <w:b/>
                <w:color w:val="1E1E3C"/>
                <w:sz w:val="16"/>
              </w:rPr>
              <w:t>Coût du risque</w:t>
            </w:r>
          </w:p>
        </w:tc>
        <w:tc>
          <w:tcPr>
            <w:tcW w:type="dxa" w:w="1984"/>
            <w:shd w:fill="FFEB9C" w:val="clear"/>
          </w:tcPr>
          <w:p>
            <w:r>
              <w:rPr>
                <w:b/>
                <w:color w:val="006400"/>
                <w:sz w:val="17"/>
              </w:rPr>
              <w:t>2.36%</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10.42%</w:t>
            </w:r>
          </w:p>
        </w:tc>
        <w:tc>
          <w:tcPr>
            <w:tcW w:type="dxa" w:w="5669"/>
            <w:shd w:fill="FFFFFF" w:val="clear"/>
          </w:tcPr>
          <w:p>
            <w:r>
              <w:rPr>
                <w:color w:val="282828"/>
                <w:sz w:val="15"/>
              </w:rPr>
              <w:t>Croissance CA vs exercice précédent = 10.42%.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27.71%</w:t>
            </w:r>
          </w:p>
        </w:tc>
        <w:tc>
          <w:tcPr>
            <w:tcW w:type="dxa" w:w="5669"/>
            <w:shd w:fill="FFFFFF" w:val="clear"/>
          </w:tcPr>
          <w:p>
            <w:r>
              <w:rPr>
                <w:color w:val="282828"/>
                <w:sz w:val="15"/>
              </w:rPr>
              <w:t>Fonds propres / total bilan = 27.71%.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72.29%</w:t>
            </w:r>
          </w:p>
        </w:tc>
        <w:tc>
          <w:tcPr>
            <w:tcW w:type="dxa" w:w="5669"/>
            <w:shd w:fill="FFFFFF" w:val="clear"/>
          </w:tcPr>
          <w:p>
            <w:r>
              <w:rPr>
                <w:color w:val="282828"/>
                <w:sz w:val="15"/>
              </w:rPr>
              <w:t>Dettes financières / total bilan = 72.29%.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47.46%</w:t>
            </w:r>
          </w:p>
        </w:tc>
        <w:tc>
          <w:tcPr>
            <w:tcW w:type="dxa" w:w="5669"/>
            <w:shd w:fill="FFFFFF" w:val="clear"/>
          </w:tcPr>
          <w:p>
            <w:r>
              <w:rPr>
                <w:color w:val="282828"/>
                <w:sz w:val="15"/>
              </w:rPr>
              <w:t>Dettes totales / fonds propres = 47.46%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138.34%</w:t>
            </w:r>
          </w:p>
        </w:tc>
        <w:tc>
          <w:tcPr>
            <w:tcW w:type="dxa" w:w="5669"/>
            <w:shd w:fill="FFFFFF" w:val="clear"/>
          </w:tcPr>
          <w:p>
            <w:r>
              <w:rPr>
                <w:color w:val="282828"/>
                <w:sz w:val="15"/>
              </w:rPr>
              <w:t>Total actif / dettes totales = 138.34x.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101.83%</w:t>
            </w:r>
          </w:p>
        </w:tc>
        <w:tc>
          <w:tcPr>
            <w:tcW w:type="dxa" w:w="5669"/>
            <w:shd w:fill="FFFFFF" w:val="clear"/>
          </w:tcPr>
          <w:p>
            <w:r>
              <w:rPr>
                <w:color w:val="282828"/>
                <w:sz w:val="15"/>
              </w:rPr>
              <w:t>Actif circulant / passif circulant = 101.83x.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13.83%</w:t>
            </w:r>
          </w:p>
        </w:tc>
        <w:tc>
          <w:tcPr>
            <w:tcW w:type="dxa" w:w="5669"/>
            <w:shd w:fill="FFFFFF" w:val="clear"/>
          </w:tcPr>
          <w:p>
            <w:r>
              <w:rPr>
                <w:color w:val="282828"/>
                <w:sz w:val="15"/>
              </w:rPr>
              <w:t>Trésorerie / passif circulant = 13.83x.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100.23%</w:t>
            </w:r>
          </w:p>
        </w:tc>
        <w:tc>
          <w:tcPr>
            <w:tcW w:type="dxa" w:w="5669"/>
            <w:shd w:fill="FFFFFF" w:val="clear"/>
          </w:tcPr>
          <w:p>
            <w:r>
              <w:rPr>
                <w:color w:val="282828"/>
                <w:sz w:val="15"/>
              </w:rPr>
              <w:t>(Actif circ. - stocks) / passif circ. = 100.23x.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92.48%</w:t>
            </w:r>
          </w:p>
        </w:tc>
        <w:tc>
          <w:tcPr>
            <w:tcW w:type="dxa" w:w="5669"/>
            <w:shd w:fill="FFFFFF" w:val="clear"/>
          </w:tcPr>
          <w:p>
            <w:r>
              <w:rPr>
                <w:color w:val="282828"/>
                <w:sz w:val="15"/>
              </w:rPr>
              <w:t>Capitaux permanents / actif immobilisé = 92.48x.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1018.44%</w:t>
            </w:r>
          </w:p>
        </w:tc>
        <w:tc>
          <w:tcPr>
            <w:tcW w:type="dxa" w:w="5669"/>
            <w:shd w:fill="FFFFFF" w:val="clear"/>
          </w:tcPr>
          <w:p>
            <w:r>
              <w:rPr>
                <w:color w:val="282828"/>
                <w:sz w:val="15"/>
              </w:rPr>
              <w:t>Résultat exploit. / charges financières = 1018.44x.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189.63%</w:t>
            </w:r>
          </w:p>
        </w:tc>
        <w:tc>
          <w:tcPr>
            <w:tcW w:type="dxa" w:w="5669"/>
            <w:shd w:fill="FFFFFF" w:val="clear"/>
          </w:tcPr>
          <w:p>
            <w:r>
              <w:rPr>
                <w:color w:val="282828"/>
                <w:sz w:val="15"/>
              </w:rPr>
              <w:t>CAF / investissements = 189.63x.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52.3 j</w:t>
            </w:r>
          </w:p>
        </w:tc>
        <w:tc>
          <w:tcPr>
            <w:tcW w:type="dxa" w:w="5669"/>
            <w:shd w:fill="FFFFFF" w:val="clear"/>
          </w:tcPr>
          <w:p>
            <w:r>
              <w:rPr>
                <w:color w:val="282828"/>
                <w:sz w:val="15"/>
              </w:rPr>
              <w:t>Les clients paient en moyenne en 52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210.9 j</w:t>
            </w:r>
          </w:p>
        </w:tc>
        <w:tc>
          <w:tcPr>
            <w:tcW w:type="dxa" w:w="5669"/>
            <w:shd w:fill="FFFFFF" w:val="clear"/>
          </w:tcPr>
          <w:p>
            <w:r>
              <w:rPr>
                <w:color w:val="282828"/>
                <w:sz w:val="15"/>
              </w:rPr>
              <w:t>Paiement des fournisseurs en 211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19.6 j</w:t>
            </w:r>
          </w:p>
        </w:tc>
        <w:tc>
          <w:tcPr>
            <w:tcW w:type="dxa" w:w="5669"/>
            <w:shd w:fill="FFFFFF" w:val="clear"/>
          </w:tcPr>
          <w:p>
            <w:r>
              <w:rPr>
                <w:color w:val="282828"/>
                <w:sz w:val="15"/>
              </w:rPr>
              <w:t>Stock écoulé en 20 jours. ✅ Rotation rapide — faible immobilisation de capital.</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d'ORAC s'établit à 3 193,89 milliards FCFA, un niveau qui en fait l'une des toutes premières capitalisations de la BRVM, représentant une part significative de la richesse totale du marché. Avec un BPA de 1 114 FCFA, chaque action génère un bénéfice substantiel. Le PER de 19,0x est nettement supérieur à la moyenne historique de la BRVM (8-12x), indiquant que les investisseurs paient une prime conséquente pour la croissance et la qualité perçue de l'actif. Le P/B de 4,51x confirme cette prime, le marché valorisant fortement les capitaux propres de l'entreprise. Enfin, l'EV/EBITDA de 7,6x reste dans une zone raisonnable, suggérant que la valeur totale de l'entreprise (dette incluse) reste cohérente avec sa capacité opérationnelle à générer des flux.</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ORAC a enregistré une progression spectaculaire de +39,47%, avec une dernière séance en hausse de +1,95% à 21 200 FCFA. Le titre a évolué dans une fourchette large de 14 650 FCFA (plus bas) à 21 200 FCFA (plus haut), démontrant une dynamique haussière soutenue et continue. La moyenne du cours sur la période (16 262 FCFA) est proche de la médiane (16 000 FCFA), mais l'écart-type de 1 419 FCFA (CV=8,7%) révèle une dispersion modérée. Le kurtosis de 3,702 indique une distribution leptokurtique avec des queues épaisses, signalant un risque de mouvements extrêmes. Le skewness positif de 1,849 suggère que le titre a passé plus de journées sous sa moyenne, avec des pics de hausse importants. La volatilité annualisée de 28,8% classe le titre dans la catégorie "modérée à élevée", reflétant un profil de risque dynamique.</w:t>
      </w:r>
    </w:p>
    <w:p>
      <w:pPr>
        <w:spacing w:after="120" w:line="276" w:lineRule="auto" w:before="240"/>
      </w:pPr>
      <w:r>
        <w:rPr>
          <w:b/>
          <w:color w:val="003366"/>
          <w:sz w:val="24"/>
        </w:rPr>
        <w:t>**PARTIE 2 : ANALYSE TECHNIQUE DÉTAILLÉE**</w:t>
      </w:r>
    </w:p>
    <w:p>
      <w:pPr>
        <w:spacing w:after="120" w:line="276" w:lineRule="auto"/>
      </w:pPr>
      <w:r>
        <w:t>**Moyennes Mobiles** : Le cours actuel de 21 200 FCFA se situe nettement au-dessus de la MM20 (18 381,75 FCFA) et de la MM50 (17 177,6 FCFA). Cette configuration haussière, avec le prix au-dessus des deux moyennes, confirme une tendance de fond positive. La décision "Achat" est justifiée par la vigueur de la tendance et la position relative du prix.</w:t>
      </w:r>
    </w:p>
    <w:p>
      <w:pPr>
        <w:spacing w:after="120" w:line="276" w:lineRule="auto"/>
      </w:pPr>
      <w:r>
        <w:t>**Bandes de Bollinger** : Le prix évolue près de la borne supérieure (21 717,08 FCFA), indiquant une pression acheteuse intense. La décision "Neutre" s'explique par le fait que le titre n'a pas encore franchi la borne, mais la proximité suggère un marché suracheté à court terme. La largeur des bandes reflète une volatilité accrue.</w:t>
      </w:r>
    </w:p>
    <w:p>
      <w:pPr>
        <w:spacing w:after="120" w:line="276" w:lineRule="auto"/>
      </w:pPr>
      <w:r>
        <w:t>**MACD** : La valeur du MACD (1 174,56) est nettement supérieure à son signal (833,85), avec un écart positif important. Cette configuration signale un momentum haussier très fort. La décision "Achat" est cohérente avec la dynamique positive, bien que l'écart important puisse indiquer une exubérance excessive.</w:t>
      </w:r>
    </w:p>
    <w:p>
      <w:pPr>
        <w:spacing w:after="120" w:line="276" w:lineRule="auto"/>
      </w:pPr>
      <w:r>
        <w:t>**RSI** : Le RSI à 88,81 est extrêmement élevé, bien au-delà du seuil de surachat de 70. Cette valeur indique que le titre est massivement suracheté, ce qui justifie la décision "Vente". Un tel niveau suggère une correction technique probable à court terme.</w:t>
      </w:r>
    </w:p>
    <w:p>
      <w:pPr>
        <w:spacing w:after="120" w:line="276" w:lineRule="auto"/>
      </w:pPr>
      <w:r>
        <w:t>**Stochastique** : Le %K à 100,0 et le %D à 96,79 sont en zone de surachat extrême. La décision "Vente" est justifiée par cette configuration, qui signale une exubérance excessive et un risque élevé de retournement.</w:t>
      </w:r>
    </w:p>
    <w:p>
      <w:pPr>
        <w:spacing w:after="120" w:line="276" w:lineRule="auto"/>
      </w:pPr>
      <w:r>
        <w:t>**Conclusion technique** : Les indicateurs de tendance (MM, MACD) sont positifs, mais les oscillateurs (RSI, Stochastique) sont en zone de surachat extrême. Cette divergence entre tendance et momentum suggère une possible consolidation ou correction à court terme avant une poursuite de la tendance haussière.</w:t>
      </w:r>
    </w:p>
    <w:p>
      <w:pPr>
        <w:spacing w:after="120" w:line="276" w:lineRule="auto" w:before="240"/>
      </w:pPr>
      <w:r>
        <w:rPr>
          <w:b/>
          <w:color w:val="003366"/>
          <w:sz w:val="24"/>
        </w:rPr>
        <w:t>**PARTIE 3 : ANALYSE FONDAMENTALE (SECTION CRITIQUE)**</w:t>
      </w:r>
    </w:p>
    <w:p>
      <w:pPr>
        <w:spacing w:after="120" w:line="276" w:lineRule="auto"/>
      </w:pPr>
      <w:r>
        <w:t>En 2025, ORAC a réalisé un chiffre d'affaires consolidé de 1 197,1 milliards FCFA, en hausse de +10,4% par rapport à 2024 (1 084,1 milliards FCFA). Le résultat net consolidé s'établit à 167,8 milliards FCFA (+6,1%), avec un résultat net part du groupe de 129,1 milliards FCFA (+14,5%). La marge nette ressort à 14,0%, la marge opérationnelle à 24,0%, et le ROE atteint un excellent niveau de 23,7%, tandis que le ROA s'établit à 6,6%. Le BFR négatif de -198 milliards FCFA est un signe de solidité, indiquant que l'entreprise finance son exploitation par ses fournisseurs (délai fournisseurs de 210,9 jours contre 52,3 jours pour les clients). Le ratio de solvabilité générale de 138,3% et la capacité de remboursement de 0,99 an confirment une structure financière saine. Le dividende proposé pour 2025 est de 800 FCFA brut par action, soit un rendement attractif. Sur la base du rapport T1 2026 (CA +14,8% à 325,6 milliards FCFA, résultat net +25,2% à 48,3 milliards FCFA), on estime que l'exercice 2026 pourrait dépasser les performances de 2025, avec un CA potentiel de 1 300 milliards FCFA et un résultat net de 190 milliards FCFA. La recommandation fondamentale est **ACHAT**, compte tenu de la solidité financière, de la croissance soutenue et des perspectives prometteuses.</w:t>
      </w:r>
    </w:p>
    <w:p>
      <w:pPr>
        <w:spacing w:after="120" w:line="276" w:lineRule="auto" w:before="240"/>
      </w:pPr>
      <w:r>
        <w:rPr>
          <w:b/>
          <w:color w:val="003366"/>
          <w:sz w:val="24"/>
        </w:rPr>
        <w:t>**PARTIE 4 : CONCLUSION D'INVESTISSEMENT**</w:t>
      </w:r>
    </w:p>
    <w:p>
      <w:pPr>
        <w:spacing w:after="120" w:line="276" w:lineRule="auto"/>
      </w:pPr>
      <w:r>
        <w:t>La valorisation d'ORAC (PER 19,0x, P/B 4,51x) est exigeante, mais justifiée par la qualité des fondamentaux et la position de leader. Le comportement du cours (+39,47% sur 100 jours) montre une tendance haussière forte, mais les statistiques (kurtosis élevé, skewness positif) et la volatilité de 28,8% signalent un risque de mouvements brusques. Les signaux techniques sont mitigés : tendance positive (MM, MACD) mais surachat extrême (RSI, Stochastique). Les fondamentaux sont excellents avec une croissance à deux chiffres et une rentabilité élevée. Les prédictions IA (20 518 FCFA à J+1, 20 043 FCFA à J+10) suggèrent une légère correction, contredisant partiellement la tendance haussière récente. La synthèse globale indique une convergence entre la solidité fondamentale et la tendance de fond, mais une divergence avec les signaux techniques de surachat. **Recommandation finale : CONSERVER**, avec un niveau de confiance **Moyen** et un risque global **Élevé**. L'horizon d'investissement optimal est le **moyen terme (3-12 mois)**, en attendant une éventuelle correction technique pour renforcer les positions.</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20260520   avis ndeg142 brvmdg   transactions sur dossier</w:t>
      </w:r>
    </w:p>
    <w:p>
      <w:pPr>
        <w:spacing w:before="20"/>
        <w:ind w:left="400"/>
      </w:pPr>
      <w:r>
        <w:rPr>
          <w:color w:val="505050"/>
          <w:sz w:val="17"/>
        </w:rPr>
        <w:t xml:space="preserve">Date : 21/05/2026  |  Catégorie : avis de marché  |  Impact : </w:t>
      </w:r>
      <w:r>
        <w:rPr>
          <w:b/>
          <w:color w:val="646464"/>
          <w:sz w:val="17"/>
        </w:rPr>
        <w:t>⚪ NEUTRE</w:t>
      </w:r>
    </w:p>
    <w:p>
      <w:pPr>
        <w:spacing w:before="40"/>
        <w:ind w:left="400"/>
      </w:pPr>
      <w:r>
        <w:rPr>
          <w:sz w:val="18"/>
        </w:rPr>
        <w:t>La BRVM annonce via l'avis N°142-2026 que 4 transactions sur dossier ont été réalisées le 20 mai 2026. Ces transactions portent sur 77 actions ORANGE CI à 5 FCFA, 100 actions SONATEL SN à 5 FCFA, et 100 obligations BIDC-EBID GSS BOND à 6,50% ainsi que 30 obligations TPCI à 6,25% au prix de 0,05% de leur valeur nominale.</w:t>
      </w:r>
    </w:p>
    <w:p>
      <w:pPr>
        <w:spacing w:before="60"/>
        <w:ind w:left="400"/>
      </w:pPr>
      <w:r>
        <w:rPr>
          <w:b/>
          <w:sz w:val="18"/>
        </w:rPr>
        <w:t>Points clés :</w:t>
      </w:r>
    </w:p>
    <w:p>
      <w:pPr>
        <w:pStyle w:val="ListBullet"/>
        <w:spacing w:before="20" w:after="20"/>
        <w:ind w:left="700"/>
      </w:pPr>
      <w:r>
        <w:rPr>
          <w:sz w:val="18"/>
        </w:rPr>
        <w:t>4 transactions sur dossier réalisées le mercredi 20 mai 2026</w:t>
      </w:r>
    </w:p>
    <w:p>
      <w:pPr>
        <w:pStyle w:val="ListBullet"/>
        <w:spacing w:before="20" w:after="20"/>
        <w:ind w:left="700"/>
      </w:pPr>
      <w:r>
        <w:rPr>
          <w:sz w:val="18"/>
        </w:rPr>
        <w:t>77 actions ORANGE CI négociées au prix unitaire de 5 FCFA</w:t>
      </w:r>
    </w:p>
    <w:p>
      <w:pPr>
        <w:pStyle w:val="ListBullet"/>
        <w:spacing w:before="20" w:after="20"/>
        <w:ind w:left="700"/>
      </w:pPr>
      <w:r>
        <w:rPr>
          <w:sz w:val="18"/>
        </w:rPr>
        <w:t>100 actions SONATEL SN négociées au prix unitaire de 5 FCFA</w:t>
      </w:r>
    </w:p>
    <w:p>
      <w:pPr>
        <w:pStyle w:val="ListBullet"/>
        <w:spacing w:before="20" w:after="20"/>
        <w:ind w:left="700"/>
      </w:pPr>
      <w:r>
        <w:rPr>
          <w:sz w:val="18"/>
        </w:rPr>
        <w:t>100 obligations BIDC-EBID GSS BOND 6,50% 2024-2031 et 30 obligations TPCI 6,25% 2017-2029</w:t>
      </w:r>
    </w:p>
    <w:p>
      <w:pPr>
        <w:pStyle w:val="ListBullet"/>
        <w:spacing w:before="20" w:after="20"/>
        <w:ind w:left="700"/>
      </w:pPr>
      <w:r>
        <w:rPr>
          <w:sz w:val="18"/>
        </w:rPr>
        <w:t>Valeur totale des transactions obligataires de 1 535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20260403   avis de convocation   assemblee generale ordinaire   orange ci</w:t>
      </w:r>
    </w:p>
    <w:p>
      <w:pPr>
        <w:spacing w:before="20"/>
        <w:ind w:left="400"/>
      </w:pPr>
      <w:r>
        <w:rPr>
          <w:color w:val="505050"/>
          <w:sz w:val="17"/>
        </w:rPr>
        <w:t xml:space="preserve">Date : 03/04/2026  |  Catégorie : convocation AG  |  Impact : </w:t>
      </w:r>
      <w:r>
        <w:rPr>
          <w:b/>
          <w:color w:val="008000"/>
          <w:sz w:val="17"/>
        </w:rPr>
        <w:t>🟢 POSITIF</w:t>
      </w:r>
    </w:p>
    <w:p>
      <w:pPr>
        <w:spacing w:before="40"/>
        <w:ind w:left="400"/>
      </w:pPr>
      <w:r>
        <w:rPr>
          <w:sz w:val="18"/>
        </w:rPr>
        <w:t>Orange Côte d'Ivoire convoque ses actionnaires à l'Assemblée Générale Ordinaire du 29 avril 2026 pour approuver les comptes 2025 et délibérer sur plusieurs résolutions. La société propose une distribution de dividendes de 120,5 milliards F CFA, soit 800 F CFA brut par action. Les résultats 2025 affichent un bénéfice net de 131,8 milliards F CFA.</w:t>
      </w:r>
    </w:p>
    <w:p>
      <w:pPr>
        <w:spacing w:before="60"/>
        <w:ind w:left="400"/>
      </w:pPr>
      <w:r>
        <w:rPr>
          <w:b/>
          <w:sz w:val="18"/>
        </w:rPr>
        <w:t>Points clés :</w:t>
      </w:r>
    </w:p>
    <w:p>
      <w:pPr>
        <w:pStyle w:val="ListBullet"/>
        <w:spacing w:before="20" w:after="20"/>
        <w:ind w:left="700"/>
      </w:pPr>
      <w:r>
        <w:rPr>
          <w:sz w:val="18"/>
        </w:rPr>
        <w:t>Assemblée Générale Ordinaire convoquée le 29 avril 2026</w:t>
      </w:r>
    </w:p>
    <w:p>
      <w:pPr>
        <w:pStyle w:val="ListBullet"/>
        <w:spacing w:before="20" w:after="20"/>
        <w:ind w:left="700"/>
      </w:pPr>
      <w:r>
        <w:rPr>
          <w:sz w:val="18"/>
        </w:rPr>
        <w:t>Bénéfice net 2025 de 131,774 milliards F CFA</w:t>
      </w:r>
    </w:p>
    <w:p>
      <w:pPr>
        <w:pStyle w:val="ListBullet"/>
        <w:spacing w:before="20" w:after="20"/>
        <w:ind w:left="700"/>
      </w:pPr>
      <w:r>
        <w:rPr>
          <w:sz w:val="18"/>
        </w:rPr>
        <w:t>Distribution de dividendes de 120,524 milliards F CFA (800 F CFA brut par action)</w:t>
      </w:r>
    </w:p>
    <w:p>
      <w:pPr>
        <w:pStyle w:val="ListBullet"/>
        <w:spacing w:before="20" w:after="20"/>
        <w:ind w:left="700"/>
      </w:pPr>
      <w:r>
        <w:rPr>
          <w:sz w:val="18"/>
        </w:rPr>
        <w:t>Ratification de la cooptation de deux nouveaux administrateurs (Yasser SHAKER et Ben Cheick HAÏDARA)</w:t>
      </w:r>
    </w:p>
    <w:p>
      <w:pPr>
        <w:pStyle w:val="ListBullet"/>
        <w:spacing w:before="20" w:after="20"/>
        <w:ind w:left="700"/>
      </w:pPr>
      <w:r>
        <w:rPr>
          <w:sz w:val="18"/>
        </w:rPr>
        <w:t>Approbation de conventions réglementées avec Orange S.A. France et Orange MEA</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exceptionnels du T1 2026 avec une croissance \u00e0 deux chiffres sur tous les indicateurs cl\u00e9s d\u00e9montrent la solidit\u00e9 du mod\u00e8le \u00e9conomique. La strat\u00e9gie d'investissement dans la fibre et l'expansion g\u00e9ographique porte ses fruits avec une rentabilit\u00e9 en forte progression."}</w:t>
      </w:r>
    </w:p>
    <w:p>
      <w:pPr>
        <w:spacing w:before="40"/>
        <w:ind w:left="400"/>
      </w:pPr>
      <w:r>
        <w:rPr>
          <w:sz w:val="18"/>
        </w:rPr>
        <w:t>Orange CI présente des résultats très solides au T1 2026 avec un chiffre d'affaires en hausse de 14,8% à 325,6 milliards FCFA. La croissance est portée par la dynamique positive sur les trois pays (Côte d'Ivoire, Burkina Faso, Libéria) notamment grâce aux investissements dans la fibre et le mobile. L'EBITDAaL progresse de 15,7% à 114,2 milliards FCFA, témoignant d'une gestion optimale des coûts. Le résultat net bondit de 25,2% à 48,3 milliards FCFA, reflétant l'efficacité opérationnelle du groupe. Les investissements soutenus (eCapex +9,8%) et la croissance du parc clients (+8,8%) confirment la stratégie de développement.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'70,6 milliards FCFA', 'EBITDAaL': '114,2 milliards FCFA', 'parc_FMI': '39,3 millions de clients'}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48,3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325,6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+14,8% à 325,6 milliards FCFA au T1 2026</w:t>
      </w:r>
    </w:p>
    <w:p>
      <w:pPr>
        <w:pStyle w:val="ListBullet"/>
        <w:spacing w:before="20" w:after="20"/>
        <w:ind w:left="700"/>
      </w:pPr>
      <w:r>
        <w:rPr>
          <w:sz w:val="18"/>
        </w:rPr>
        <w:t>Progression exceptionnelle du résultat net de +25,2% à 48,3 milliards FCFA</w:t>
      </w:r>
    </w:p>
    <w:p>
      <w:pPr>
        <w:pStyle w:val="ListBullet"/>
        <w:spacing w:before="20" w:after="20"/>
        <w:ind w:left="700"/>
      </w:pPr>
      <w:r>
        <w:rPr>
          <w:sz w:val="18"/>
        </w:rPr>
        <w:t>EBITDAaL en hausse de +15,7% à 114,2 milliards FCFA, démontrant l'efficacité opérationnelle</w:t>
      </w:r>
    </w:p>
    <w:p>
      <w:pPr>
        <w:pStyle w:val="ListBullet"/>
        <w:spacing w:before="20" w:after="20"/>
        <w:ind w:left="700"/>
      </w:pPr>
      <w:r>
        <w:rPr>
          <w:sz w:val="18"/>
        </w:rPr>
        <w:t>Croissance du parc FMI de +8,8% atteignant 39,3 millions de clients</w:t>
      </w:r>
    </w:p>
    <w:p>
      <w:pPr>
        <w:pStyle w:val="ListBullet"/>
        <w:spacing w:before="20" w:after="20"/>
        <w:ind w:left="700"/>
      </w:pPr>
      <w:r>
        <w:rPr>
          <w:sz w:val="18"/>
        </w:rPr>
        <w:t>Augmentation significative des investissements (eCapex) de +9,8% à 70,6 milliards FCFA</w:t>
      </w:r>
    </w:p>
    <w:p>
      <w:pPr>
        <w:pStyle w:val="ListBullet"/>
        <w:spacing w:before="20" w:after="20"/>
        <w:ind w:left="700"/>
      </w:pPr>
      <w:r>
        <w:rPr>
          <w:sz w:val="18"/>
        </w:rPr>
        <w:t>Performance solide sur les trois pays avec contribution d'Orange Money et de la data</w:t>
      </w:r>
    </w:p>
    <w:p>
      <w:pPr>
        <w:spacing w:before="40"/>
        <w:ind w:left="400"/>
      </w:pPr>
      <w:r>
        <w:rPr>
          <w:b/>
          <w:color w:val="C05000"/>
          <w:sz w:val="18"/>
        </w:rPr>
        <w:t xml:space="preserve">⚠️ Risques : </w:t>
      </w:r>
      <w:r>
        <w:rPr>
          <w:sz w:val="18"/>
        </w:rPr>
        <w:t>["Exposition aux risques politiques et r\u00e9glementaires dans les trois pays d'op\u00e9ration", "Concurrence accrue sur les march\u00e9s des t\u00e9l\u00e9communications en Afrique de l'Ouest", "Risques de change li\u00e9s aux fluctuations des devises locales face \u00e0 l'euro"]</w:t>
      </w:r>
    </w:p>
    <w:p>
      <w:pPr>
        <w:spacing w:before="40"/>
        <w:ind w:left="400"/>
      </w:pPr>
      <w:r>
        <w:rPr>
          <w:b/>
          <w:color w:val="0064A0"/>
          <w:sz w:val="18"/>
        </w:rPr>
        <w:t xml:space="preserve">🔮 Perspectives : </w:t>
      </w:r>
      <w:r>
        <w:rPr>
          <w:sz w:val="18"/>
        </w:rPr>
        <w:t>Orange CI semble bien positionné pour maintenir sa dynamique de croissance grâce à ses investissements soutenus dans l'infrastructure et l'expansion de ses services. La diversification géographique et l'essor d'Orange Money constituent des leviers de croissance durables pour les prochains trimestres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"acheter", "justification": "La soci\u00e9t\u00e9 enregistre une croissance solide de son activit\u00e9 et de sa rentabilit\u00e9, avec un dividende \u00e9lev\u00e9. La solidit\u00e9 financi\u00e8re et les perspectives de financement des investissements soutiennent une recommandation d'achat."}</w:t>
      </w:r>
    </w:p>
    <w:p>
      <w:pPr>
        <w:spacing w:before="40"/>
        <w:ind w:left="400"/>
      </w:pPr>
      <w:r>
        <w:rPr>
          <w:sz w:val="18"/>
        </w:rPr>
        <w:t>En 2025, Orange CI affiche un chiffre d'affaires consolidé de 1 197,1 milliards FCFA, en hausse de 10,4%. Le résultat net part du groupe progresse de 14,5% à 129,1 milliards FCFA, tandis que le résultat opérationnel atteint 287,2 milliards FCFA. L'entreprise propose un dividende brut de 800 FCFA par action. Le total bilan s'établit à 2 554,1 milliards FCFA, en hausse de 10,6%. Les flux de trésorerie d'exploitation ont augmenté à 335,5 milliards FCFA. L'assemblée générale approuve les comptes et l'affectation du résultat.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{'resultat_net_total': '167,8 milliards FCFA', 'marge_operationnelle': '24,0%', 'endettement_financier': '224,0 milliards FCFA (non courant) + 111,9 milliards FCFA (courant)', 'investissements_capex': '184,2 milliards FCFA', 'resultat_operationnel': '287,2 milliards FCFA', 'resultat_net_part_groupe': '129,1 milliards FCFA', 'capitaux_propres_part_groupe': '616,7 milliards FCFA', 'flux_tresorerie_exploitation': '335,5 milliards FCFA'}</w:t>
            </w:r>
          </w:p>
        </w:tc>
        <w:tc>
          <w:tcPr>
            <w:tcW w:type="dxa" w:w="2160"/>
          </w:tcPr>
          <w:p>
            <w:pPr>
              <w:ind w:left="100"/>
            </w:pPr>
            <w:r/>
            <w:r>
              <w:rPr>
                <w:b/>
                <w:sz w:val="16"/>
              </w:rPr>
              <w:t>dividende</w:t>
              <w:br/>
            </w:r>
            <w:r>
              <w:rPr>
                <w:sz w:val="18"/>
              </w:rPr>
              <w:t>800 FCFA brut par action</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2 554,1 milliards FCFA</w:t>
            </w:r>
          </w:p>
        </w:tc>
      </w:tr>
      <w:tr>
        <w:tc>
          <w:tcPr>
            <w:tcW w:type="dxa" w:w="2160"/>
          </w:tcPr>
          <w:p>
            <w:r/>
            <w:r>
              <w:rPr>
                <w:b/>
                <w:sz w:val="16"/>
              </w:rPr>
              <w:t>resultat_net</w:t>
              <w:br/>
            </w:r>
            <w:r>
              <w:rPr>
                <w:sz w:val="18"/>
              </w:rPr>
              <w:t>129,1 milliards FCFA (part du groupe)</w:t>
            </w:r>
          </w:p>
        </w:tc>
        <w:tc>
          <w:tcPr>
            <w:tcW w:type="dxa" w:w="2160"/>
          </w:tcPr>
          <w:p>
            <w:r/>
            <w:r>
              <w:rPr>
                <w:b/>
                <w:sz w:val="16"/>
              </w:rPr>
              <w:t>capitaux_propres</w:t>
              <w:br/>
            </w:r>
            <w:r>
              <w:rPr>
                <w:sz w:val="18"/>
              </w:rPr>
              <w:t>707,8 milliards FCFA</w:t>
            </w:r>
          </w:p>
        </w:tc>
        <w:tc>
          <w:tcPr>
            <w:tcW w:type="dxa" w:w="2160"/>
          </w:tcPr>
          <w:p>
            <w:r/>
            <w:r>
              <w:rPr>
                <w:b/>
                <w:sz w:val="16"/>
              </w:rPr>
              <w:t>chiffre_affaires</w:t>
              <w:br/>
            </w:r>
            <w:r>
              <w:rPr>
                <w:sz w:val="18"/>
              </w:rPr>
              <w:t>1 197,1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10,4% à 1 197,1 milliards FCFA.</w:t>
      </w:r>
    </w:p>
    <w:p>
      <w:pPr>
        <w:pStyle w:val="ListBullet"/>
        <w:spacing w:before="20" w:after="20"/>
        <w:ind w:left="700"/>
      </w:pPr>
      <w:r>
        <w:rPr>
          <w:sz w:val="18"/>
        </w:rPr>
        <w:t>Résultat net part du groupe en hausse de 14,5% à 129,1 milliards FCFA.</w:t>
      </w:r>
    </w:p>
    <w:p>
      <w:pPr>
        <w:pStyle w:val="ListBullet"/>
        <w:spacing w:before="20" w:after="20"/>
        <w:ind w:left="700"/>
      </w:pPr>
      <w:r>
        <w:rPr>
          <w:sz w:val="18"/>
        </w:rPr>
        <w:t>Résultat opérationnel de 287,2 milliards FCFA, en progression de 9,1%.</w:t>
      </w:r>
    </w:p>
    <w:p>
      <w:pPr>
        <w:pStyle w:val="ListBullet"/>
        <w:spacing w:before="20" w:after="20"/>
        <w:ind w:left="700"/>
      </w:pPr>
      <w:r>
        <w:rPr>
          <w:sz w:val="18"/>
        </w:rPr>
        <w:t>Dividende brut proposé de 800 FCFA par action.</w:t>
      </w:r>
    </w:p>
    <w:p>
      <w:pPr>
        <w:pStyle w:val="ListBullet"/>
        <w:spacing w:before="20" w:after="20"/>
        <w:ind w:left="700"/>
      </w:pPr>
      <w:r>
        <w:rPr>
          <w:sz w:val="18"/>
        </w:rPr>
        <w:t>Trésorerie générée par l'activité : 335,5 milliards FCFA, en forte hausse.</w:t>
      </w:r>
    </w:p>
    <w:p>
      <w:pPr>
        <w:pStyle w:val="ListBullet"/>
        <w:spacing w:before="20" w:after="20"/>
        <w:ind w:left="700"/>
      </w:pPr>
      <w:r>
        <w:rPr>
          <w:sz w:val="18"/>
        </w:rPr>
        <w:t>Total du bilan à 2 554,1 milliards FCFA (+10,6%).</w:t>
      </w:r>
    </w:p>
    <w:p>
      <w:pPr>
        <w:spacing w:before="40"/>
        <w:ind w:left="400"/>
      </w:pPr>
      <w:r>
        <w:rPr>
          <w:b/>
          <w:color w:val="C05000"/>
          <w:sz w:val="18"/>
        </w:rPr>
        <w:t xml:space="preserve">⚠️ Risques : </w:t>
      </w:r>
      <w:r>
        <w:rPr>
          <w:sz w:val="18"/>
        </w:rPr>
        <w:t>["Concurrence intense sur le march\u00e9 des t\u00e9l\u00e9communications et pression sur les prix.", "Hausse des charges d'exploitation, notamment les imp\u00f4ts et taxes (+20,8%).", "D\u00e9t\u00e9rioration du besoin en fonds de roulement et volatilit\u00e9 des flux de tr\u00e9sorerie."]</w:t>
      </w:r>
    </w:p>
    <w:p>
      <w:pPr>
        <w:spacing w:before="40"/>
        <w:ind w:left="400"/>
      </w:pPr>
      <w:r>
        <w:rPr>
          <w:b/>
          <w:color w:val="0064A0"/>
          <w:sz w:val="18"/>
        </w:rPr>
        <w:t xml:space="preserve">🔮 Perspectives : </w:t>
      </w:r>
      <w:r>
        <w:rPr>
          <w:sz w:val="18"/>
        </w:rPr>
        <w:t>Orange CI devrait poursuivre sa croissance en 2026, en s'appuyant sur le financement des investissements futurs via le report à nouveau et les réserves. La stratégie de développement vise à maintenir l'expansion du chiffre d'affaires et à améliorer la rentabilité opérationnelle.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croissance \u00e9quilibr\u00e9e du CA et maintien des marges dans un contexte r\u00e9gional difficile. Les investissements soutenus dans les infrastructures et l'innovation positionnent bien le groupe pour l'avenir."}</w:t>
      </w:r>
    </w:p>
    <w:p>
      <w:pPr>
        <w:spacing w:before="40"/>
        <w:ind w:left="400"/>
      </w:pPr>
      <w:r>
        <w:rPr>
          <w:sz w:val="18"/>
        </w:rPr>
        <w:t>Orange Côte d'Ivoire affiche une performance solide en 2025 avec un chiffre d'affaires de 1 197,1 milliards FCFA (+10,4%) et un EBITDAaL de 424,1 milliards FCFA (35,4% du CA). Le Groupe a investi massivement dans ses infrastructures avec 184 milliards FCFA (15,4% du CA) pour étendre et moderniser ses réseaux. La croissance des usages est soutenue avec un parc mobile qui progresse de 8,6% et Orange Money de 10,2%. L'entreprise renforce sa position de leader numérique régional en Côte d'Ivoire, au Burkina Faso et au Libéria. Les fondamentaux restent solides malgré un environnement régional marqué par des contraintes économiques et énergétiques.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'424,1 milliards FCFA (35,4% du CA)', 'parc_mobile': '37,6M abonnés (+8,6%)', 'orange_money': '40,4M clients (+10,2%)', 'investissements': '184 milliards FCFA (15,4% du CA)', 'sites_solarises': '707 nouveaux sites', 'couverture_4g_cote_ivoire': '95,01%'}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1 197,1 milliards FCFA (+10,4%)</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10,4% à 1 197,1 milliards FCFA</w:t>
      </w:r>
    </w:p>
    <w:p>
      <w:pPr>
        <w:pStyle w:val="ListBullet"/>
        <w:spacing w:before="20" w:after="20"/>
        <w:ind w:left="700"/>
      </w:pPr>
      <w:r>
        <w:rPr>
          <w:sz w:val="18"/>
        </w:rPr>
        <w:t>EBITDAaL maintenu à 35,4% du chiffre d'affaires (424,1 milliards FCFA)</w:t>
      </w:r>
    </w:p>
    <w:p>
      <w:pPr>
        <w:pStyle w:val="ListBullet"/>
        <w:spacing w:before="20" w:after="20"/>
        <w:ind w:left="700"/>
      </w:pPr>
      <w:r>
        <w:rPr>
          <w:sz w:val="18"/>
        </w:rPr>
        <w:t>Investissements massifs de 184 milliards FCFA dans les infrastructures réseau</w:t>
      </w:r>
    </w:p>
    <w:p>
      <w:pPr>
        <w:pStyle w:val="ListBullet"/>
        <w:spacing w:before="20" w:after="20"/>
        <w:ind w:left="700"/>
      </w:pPr>
      <w:r>
        <w:rPr>
          <w:sz w:val="18"/>
        </w:rPr>
        <w:t>Déploiement de 1 073 nouveaux sites mobiles, dont 70% en zones rurales</w:t>
      </w:r>
    </w:p>
    <w:p>
      <w:pPr>
        <w:pStyle w:val="ListBullet"/>
        <w:spacing w:before="20" w:after="20"/>
        <w:ind w:left="700"/>
      </w:pPr>
      <w:r>
        <w:rPr>
          <w:sz w:val="18"/>
        </w:rPr>
        <w:t>Croissance du parc mobile de 8,6% et d'Orange Money de 10,2%</w:t>
      </w:r>
    </w:p>
    <w:p>
      <w:pPr>
        <w:pStyle w:val="ListBullet"/>
        <w:spacing w:before="20" w:after="20"/>
        <w:ind w:left="700"/>
      </w:pPr>
      <w:r>
        <w:rPr>
          <w:sz w:val="18"/>
        </w:rPr>
        <w:t>707 sites solarisés supplémentaires pour améliorer la résilience énergétique</w:t>
      </w:r>
    </w:p>
    <w:p>
      <w:pPr>
        <w:spacing w:before="40"/>
        <w:ind w:left="400"/>
      </w:pPr>
      <w:r>
        <w:rPr>
          <w:b/>
          <w:color w:val="C05000"/>
          <w:sz w:val="18"/>
        </w:rPr>
        <w:t xml:space="preserve">⚠️ Risques : </w:t>
      </w:r>
      <w:r>
        <w:rPr>
          <w:sz w:val="18"/>
        </w:rPr>
        <w:t>["Contexte s\u00e9curitaire contraint au Burkina Faso affectant la continuit\u00e9 op\u00e9rationnelle", "Contraintes \u00e9nerg\u00e9tiques importantes, notamment au Lib\u00e9ria avec 600 sites non raccord\u00e9s", "Pression concurrentielle croissante et intensification des investissements marketin</w:t>
      </w:r>
    </w:p>
    <w:p>
      <w:pPr>
        <w:spacing w:before="40"/>
        <w:ind w:left="400"/>
      </w:pPr>
      <w:r>
        <w:rPr>
          <w:b/>
          <w:color w:val="0064A0"/>
          <w:sz w:val="18"/>
        </w:rPr>
        <w:t xml:space="preserve">🔮 Perspectives : </w:t>
      </w:r>
      <w:r>
        <w:rPr>
          <w:sz w:val="18"/>
        </w:rPr>
        <w:t>Le groupe s'engage dans le nouveau plan stratégique 'Trust the Future' qui place la confiance au cœur du modèle de croissance. L'accent sera mis sur l'accélération de l'innovation, le renforcement de la proximité client et le développement de nouveaux relais de croissance dans un environnement techn</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affiche une croissance soutenue sur tous les indicateurs cl\u00e9s avec une excellente ma\u00eetrise des co\u00fbts. La forte progression du mobile money et l'expansion du parc client offrent des perspectives de croissance durables."}</w:t>
      </w:r>
    </w:p>
    <w:p>
      <w:pPr>
        <w:spacing w:before="40"/>
        <w:ind w:left="400"/>
      </w:pPr>
      <w:r>
        <w:rPr>
          <w:sz w:val="18"/>
        </w:rPr>
        <w:t>Orange CI présente des résultats solides au T1 2023 avec un chiffre d'affaires consolidé de 246 milliards FCFA en croissance de 3,9%. Le groupe bénéficie d'une expansion significative de son parc client FMI (+4,5%) et d'une forte croissance du mobile money (+20% de parc). L'EBITDAaL progresse de 2,6% malgré les pressions inflationnistes, témoignant d'une gestion efficace des coûts. Le résultat net affiche une excellente performance avec une hausse de 15,2% à 33 milliards FCFA. La performance est notamment tirée par Orange Burkina malgré le contexte sécuritaire difficile et par le marché entreprises.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{'EBITDAaL': '85 milliards FCFA', 'parc_FMI': "30,364 millions d'abonnés", 'croissance_parc_FMI': '4,5%', 'croissance_mobile_money': '20%'}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consolidé en hausse de 3,9% à 246 milliards FCFA</w:t>
      </w:r>
    </w:p>
    <w:p>
      <w:pPr>
        <w:pStyle w:val="ListBullet"/>
        <w:spacing w:before="20" w:after="20"/>
        <w:ind w:left="700"/>
      </w:pPr>
      <w:r>
        <w:rPr>
          <w:sz w:val="18"/>
        </w:rPr>
        <w:t>Croissance du parc FMI de 4,5% atteignant 30,364 millions d'abonnés</w:t>
      </w:r>
    </w:p>
    <w:p>
      <w:pPr>
        <w:pStyle w:val="ListBullet"/>
        <w:spacing w:before="20" w:after="20"/>
        <w:ind w:left="700"/>
      </w:pPr>
      <w:r>
        <w:rPr>
          <w:sz w:val="18"/>
        </w:rPr>
        <w:t>Forte expansion du mobile money avec un parc en hausse de 20%</w:t>
      </w:r>
    </w:p>
    <w:p>
      <w:pPr>
        <w:pStyle w:val="ListBullet"/>
        <w:spacing w:before="20" w:after="20"/>
        <w:ind w:left="700"/>
      </w:pPr>
      <w:r>
        <w:rPr>
          <w:sz w:val="18"/>
        </w:rPr>
        <w:t>Résultat net en forte progression de 15,2% à 33 milliards FCFA</w:t>
      </w:r>
    </w:p>
    <w:p>
      <w:pPr>
        <w:pStyle w:val="ListBullet"/>
        <w:spacing w:before="20" w:after="20"/>
        <w:ind w:left="700"/>
      </w:pPr>
      <w:r>
        <w:rPr>
          <w:sz w:val="18"/>
        </w:rPr>
        <w:t>EBITDAaL en croissance de 2,6% à 85 milliards FCFA malgré l'inflation</w:t>
      </w:r>
    </w:p>
    <w:p>
      <w:pPr>
        <w:pStyle w:val="ListBullet"/>
        <w:spacing w:before="20" w:after="20"/>
        <w:ind w:left="700"/>
      </w:pPr>
      <w:r>
        <w:rPr>
          <w:sz w:val="18"/>
        </w:rPr>
        <w:t>Performance solide d'Orange Burkina malgré le contexte sécuritaire difficile</w:t>
      </w:r>
    </w:p>
    <w:p>
      <w:pPr>
        <w:spacing w:before="40"/>
        <w:ind w:left="400"/>
      </w:pPr>
      <w:r>
        <w:rPr>
          <w:b/>
          <w:color w:val="C05000"/>
          <w:sz w:val="18"/>
        </w:rPr>
        <w:t xml:space="preserve">⚠️ Risques : </w:t>
      </w:r>
      <w:r>
        <w:rPr>
          <w:sz w:val="18"/>
        </w:rPr>
        <w:t>["Contexte s\u00e9curitaire difficile au Burkina Faso pouvant impacter les op\u00e9rations", "Pression inflationniste dans les trois filiales du groupe", "Concurrence accrue sur le march\u00e9 des t\u00e9l\u00e9communications ouest-africain"]</w:t>
      </w:r>
    </w:p>
    <w:p>
      <w:pPr>
        <w:spacing w:before="40"/>
        <w:ind w:left="400"/>
      </w:pPr>
      <w:r>
        <w:rPr>
          <w:b/>
          <w:color w:val="0064A0"/>
          <w:sz w:val="18"/>
        </w:rPr>
        <w:t xml:space="preserve">🔮 Perspectives : </w:t>
      </w:r>
      <w:r>
        <w:rPr>
          <w:sz w:val="18"/>
        </w:rPr>
        <w:t>La dynamique de croissance devrait se poursuivre portée par l'expansion du mobile money et la digitalisation croissante en Afrique de l'Ouest. La stratégie d'optimisation des coûts et la diversification géographique renforcent la résilience du groupe face aux défis régionaux.</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de leader consolid\u00e9e sur trois march\u00e9s avec une strat\u00e9gie d'expansion num\u00e9rique coh\u00e9rente et des investissements soutenus dans l'infrastructure. Les initiatives RSE renforcent l'ancrage local et la r\u00e9putation de marque, essentiels pour la croissance long terme."}</w:t>
      </w:r>
    </w:p>
    <w:p>
      <w:pPr>
        <w:spacing w:before="40"/>
        <w:ind w:left="400"/>
      </w:pPr>
      <w:r>
        <w:rPr>
          <w:sz w:val="18"/>
        </w:rPr>
        <w:t>Orange Côte d'Ivoire présente son rapport RSE 2022, couvrant ses activités en Côte d'Ivoire, Burkina Faso et Libéria avec 29 millions de clients. Le groupe emploie 2 274 collaborateurs et maintient sa position de leader sur ses trois marchés avec un chiffre d'affaires de 965 milliards FCFA. L'entreprise renforce son engagement sociétal à travers des programmes d'éducation numérique, de santé et d'infrastructures rurales. Le groupe a investi massivement dans la connectivité avec plus de 17 000 km de fibre déployés et 5 315 sites techniques. Orange CI se positionne comme un acteur clé de la transformation numérique en Afrique de l'Ouest avec des initiatives d'inclusion financière et énergétiqu</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{'taux_femmes': '38%', 'fibre_deployee': '17000 km', 'nombre_clients': '29 millions', 'nombre_employes': '2274', 'sites_techniques': '5315', 'beneficiaires_projets_villages': '175000'}</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965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29 millions de clients à travers trois pays (Côte d'Ivoire, Burkina Faso, Libéria)</w:t>
      </w:r>
    </w:p>
    <w:p>
      <w:pPr>
        <w:pStyle w:val="ListBullet"/>
        <w:spacing w:before="20" w:after="20"/>
        <w:ind w:left="700"/>
      </w:pPr>
      <w:r>
        <w:rPr>
          <w:sz w:val="18"/>
        </w:rPr>
        <w:t>Chiffre d'affaires de 965 milliards FCFA en 2022 avec 2 274 collaborateurs</w:t>
      </w:r>
    </w:p>
    <w:p>
      <w:pPr>
        <w:pStyle w:val="ListBullet"/>
        <w:spacing w:before="20" w:after="20"/>
        <w:ind w:left="700"/>
      </w:pPr>
      <w:r>
        <w:rPr>
          <w:sz w:val="18"/>
        </w:rPr>
        <w:t>Déploiement de plus de 17 000 km de fibre optique et 5 315 sites techniques</w:t>
      </w:r>
    </w:p>
    <w:p>
      <w:pPr>
        <w:pStyle w:val="ListBullet"/>
        <w:spacing w:before="20" w:after="20"/>
        <w:ind w:left="700"/>
      </w:pPr>
      <w:r>
        <w:rPr>
          <w:sz w:val="18"/>
        </w:rPr>
        <w:t>38% de femmes dans le groupe et certification GEEIS pour l'égalité professionnelle</w:t>
      </w:r>
    </w:p>
    <w:p>
      <w:pPr>
        <w:pStyle w:val="ListBullet"/>
        <w:spacing w:before="20" w:after="20"/>
        <w:ind w:left="700"/>
      </w:pPr>
      <w:r>
        <w:rPr>
          <w:sz w:val="18"/>
        </w:rPr>
        <w:t>Plus de 100 000 bénéficiaires des kits solaires Orange Energie</w:t>
      </w:r>
    </w:p>
    <w:p>
      <w:pPr>
        <w:pStyle w:val="ListBullet"/>
        <w:spacing w:before="20" w:after="20"/>
        <w:ind w:left="700"/>
      </w:pPr>
      <w:r>
        <w:rPr>
          <w:sz w:val="18"/>
        </w:rPr>
        <w:t>35 villages Orange avec +175 000 bénéficiaires des projets sociaux</w:t>
      </w:r>
    </w:p>
    <w:p>
      <w:pPr>
        <w:spacing w:before="40"/>
        <w:ind w:left="400"/>
      </w:pPr>
      <w:r>
        <w:rPr>
          <w:b/>
          <w:color w:val="C05000"/>
          <w:sz w:val="18"/>
        </w:rPr>
        <w:t xml:space="preserve">⚠️ Risques : </w:t>
      </w:r>
      <w:r>
        <w:rPr>
          <w:sz w:val="18"/>
        </w:rPr>
        <w:t>["Instabilit\u00e9 s\u00e9curitaire au Burkina Faso impactant les op\u00e9rations et investissements", "Concurrence accrue dans le secteur des t\u00e9l\u00e9communications en Afrique de l'Ouest", "D\u00e9fis r\u00e9glementaires et fiscaux dans les trois pays d'op\u00e9ration"]</w:t>
      </w:r>
    </w:p>
    <w:p>
      <w:pPr>
        <w:spacing w:before="40"/>
        <w:ind w:left="400"/>
      </w:pPr>
      <w:r>
        <w:rPr>
          <w:b/>
          <w:color w:val="0064A0"/>
          <w:sz w:val="18"/>
        </w:rPr>
        <w:t xml:space="preserve">🔮 Perspectives : </w:t>
      </w:r>
      <w:r>
        <w:rPr>
          <w:sz w:val="18"/>
        </w:rPr>
        <w:t xml:space="preserve">Le groupe vise à renforcer son leadership technologique avec le déploiement de 1 150 sites solaires d'ici 2025 et l'expansion des services numériques. La stratégie 'Lead the Future' mise sur la transformation digitale et l'inclusion financière pour soutenir la croissance. L'accent sera maintenu sur </w:t>
      </w:r>
    </w:p>
    <w:p/>
    <w:p>
      <w:r>
        <w:t>════════════════════════════════════════════════════════════════════════════════</w:t>
      </w:r>
    </w:p>
    <w:p>
      <w:r>
        <w:br w:type="page"/>
      </w:r>
    </w:p>
    <w:p>
      <w:pPr>
        <w:pStyle w:val="Heading2"/>
        <w:spacing w:before="360"/>
      </w:pPr>
      <w:r>
        <w:rPr>
          <w:color w:val="0066CC"/>
        </w:rPr>
        <w:t>24. ORGT - ORGT - ORAGROUP TOGO</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ORGT</w:t>
            </w:r>
          </w:p>
          <w:p>
            <w:r>
              <w:rPr>
                <w:b/>
                <w:color w:val="323250"/>
                <w:sz w:val="16"/>
              </w:rPr>
              <w:t xml:space="preserve">Société : </w:t>
            </w:r>
            <w:r>
              <w:rPr>
                <w:color w:val="000000"/>
                <w:sz w:val="16"/>
              </w:rPr>
              <w:t>ORGT - ORAGROUP TOGO</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220.74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5,497 titres</w:t>
            </w:r>
          </w:p>
        </w:tc>
        <w:tc>
          <w:tcPr>
            <w:tcW w:type="dxa" w:w="2268"/>
            <w:shd w:fill="FFF2CC" w:val="clear"/>
          </w:tcPr>
          <w:p>
            <w:r>
              <w:rPr>
                <w:b/>
                <w:color w:val="503200"/>
                <w:sz w:val="16"/>
              </w:rPr>
              <w:t xml:space="preserve">Cours actuel : </w:t>
            </w:r>
            <w:r>
              <w:rPr>
                <w:color w:val="000000"/>
                <w:sz w:val="17"/>
              </w:rPr>
              <w:t>3,180 FCFA</w:t>
            </w:r>
          </w:p>
          <w:p>
            <w:r>
              <w:rPr>
                <w:b/>
                <w:color w:val="503200"/>
                <w:sz w:val="16"/>
              </w:rPr>
              <w:t xml:space="preserve">Var. 100 jours : </w:t>
            </w:r>
            <w:r>
              <w:rPr>
                <w:b/>
                <w:color w:val="B40000"/>
                <w:sz w:val="17"/>
              </w:rPr>
              <w:t>-13.11%</w:t>
            </w:r>
          </w:p>
          <w:p>
            <w:r>
              <w:rPr>
                <w:b/>
                <w:color w:val="503200"/>
                <w:sz w:val="16"/>
              </w:rPr>
              <w:t xml:space="preserve">Plus haut 100j : </w:t>
            </w:r>
            <w:r>
              <w:rPr>
                <w:color w:val="000000"/>
                <w:sz w:val="17"/>
              </w:rPr>
              <w:t>3,660 FCFA</w:t>
            </w:r>
          </w:p>
          <w:p>
            <w:r>
              <w:rPr>
                <w:b/>
                <w:color w:val="503200"/>
                <w:sz w:val="16"/>
              </w:rPr>
              <w:t xml:space="preserve">Plus bas 100j : </w:t>
            </w:r>
            <w:r>
              <w:rPr>
                <w:color w:val="000000"/>
                <w:sz w:val="17"/>
              </w:rPr>
              <w:t>2,435 FCFA</w:t>
            </w:r>
          </w:p>
          <w:p>
            <w:r>
              <w:rPr>
                <w:b/>
                <w:color w:val="503200"/>
                <w:sz w:val="16"/>
              </w:rPr>
              <w:t xml:space="preserve">Volatilité ann. : </w:t>
            </w:r>
            <w:r>
              <w:rPr>
                <w:color w:val="000000"/>
                <w:sz w:val="17"/>
              </w:rPr>
              <w:t>43.6%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11.11% (Moyenne) — μ=2,946 FCFA, σ=327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β=0.3498 (Défensif) — Cov=0.000012, Var(idx)=0.000035, ρ=0.076,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5,497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σ_j=2.74%/j (Stable) — Vol. annualisée≈43.6%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26" name="Picture 26"/>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2026-08-28</w:t>
            </w:r>
          </w:p>
        </w:tc>
        <w:tc>
          <w:tcPr>
            <w:tcW w:type="dxa" w:w="1440"/>
            <w:shd w:fill="FAFAFA" w:val="clear"/>
          </w:tcPr>
          <w:p>
            <w:r>
              <w:rPr>
                <w:sz w:val="17"/>
              </w:rPr>
              <w:t>3,073</w:t>
            </w:r>
          </w:p>
        </w:tc>
        <w:tc>
          <w:tcPr>
            <w:tcW w:type="dxa" w:w="1440"/>
            <w:shd w:fill="FAFAFA" w:val="clear"/>
          </w:tcPr>
          <w:p>
            <w:r>
              <w:rPr>
                <w:b/>
                <w:sz w:val="17"/>
              </w:rPr>
              <w:t>3,168</w:t>
            </w:r>
          </w:p>
        </w:tc>
        <w:tc>
          <w:tcPr>
            <w:tcW w:type="dxa" w:w="1440"/>
            <w:shd w:fill="FAFAFA" w:val="clear"/>
          </w:tcPr>
          <w:p>
            <w:r>
              <w:rPr>
                <w:sz w:val="17"/>
              </w:rPr>
              <w:t>3,262</w:t>
            </w:r>
          </w:p>
        </w:tc>
        <w:tc>
          <w:tcPr>
            <w:tcW w:type="dxa" w:w="1440"/>
            <w:shd w:fill="FAFAFA" w:val="clear"/>
          </w:tcPr>
          <w:p>
            <w:r>
              <w:rPr>
                <w:b/>
                <w:color w:val="C00000"/>
                <w:sz w:val="17"/>
              </w:rPr>
              <w:t>-0.4%</w:t>
            </w:r>
          </w:p>
        </w:tc>
      </w:tr>
      <w:tr>
        <w:tc>
          <w:tcPr>
            <w:tcW w:type="dxa" w:w="1440"/>
            <w:shd w:fill="FAFAFA" w:val="clear"/>
          </w:tcPr>
          <w:p>
            <w:r>
              <w:rPr>
                <w:sz w:val="17"/>
              </w:rPr>
              <w:t>J+2  ⭐⭐⭐</w:t>
            </w:r>
          </w:p>
        </w:tc>
        <w:tc>
          <w:tcPr>
            <w:tcW w:type="dxa" w:w="1440"/>
            <w:shd w:fill="FAFAFA" w:val="clear"/>
          </w:tcPr>
          <w:p>
            <w:r>
              <w:rPr>
                <w:sz w:val="17"/>
              </w:rPr>
              <w:t>2026-08-31</w:t>
            </w:r>
          </w:p>
        </w:tc>
        <w:tc>
          <w:tcPr>
            <w:tcW w:type="dxa" w:w="1440"/>
            <w:shd w:fill="FAFAFA" w:val="clear"/>
          </w:tcPr>
          <w:p>
            <w:r>
              <w:rPr>
                <w:sz w:val="17"/>
              </w:rPr>
              <w:t>3,030</w:t>
            </w:r>
          </w:p>
        </w:tc>
        <w:tc>
          <w:tcPr>
            <w:tcW w:type="dxa" w:w="1440"/>
            <w:shd w:fill="FAFAFA" w:val="clear"/>
          </w:tcPr>
          <w:p>
            <w:r>
              <w:rPr>
                <w:b/>
                <w:sz w:val="17"/>
              </w:rPr>
              <w:t>3,163</w:t>
            </w:r>
          </w:p>
        </w:tc>
        <w:tc>
          <w:tcPr>
            <w:tcW w:type="dxa" w:w="1440"/>
            <w:shd w:fill="FAFAFA" w:val="clear"/>
          </w:tcPr>
          <w:p>
            <w:r>
              <w:rPr>
                <w:sz w:val="17"/>
              </w:rPr>
              <w:t>3,296</w:t>
            </w:r>
          </w:p>
        </w:tc>
        <w:tc>
          <w:tcPr>
            <w:tcW w:type="dxa" w:w="1440"/>
            <w:shd w:fill="FAFAFA" w:val="clear"/>
          </w:tcPr>
          <w:p>
            <w:r>
              <w:rPr>
                <w:b/>
                <w:color w:val="C00000"/>
                <w:sz w:val="17"/>
              </w:rPr>
              <w:t>-0.5%</w:t>
            </w:r>
          </w:p>
        </w:tc>
      </w:tr>
      <w:tr>
        <w:tc>
          <w:tcPr>
            <w:tcW w:type="dxa" w:w="1440"/>
            <w:shd w:fill="FAFAFA" w:val="clear"/>
          </w:tcPr>
          <w:p>
            <w:r>
              <w:rPr>
                <w:sz w:val="17"/>
              </w:rPr>
              <w:t>J+3  ⭐⭐⭐</w:t>
            </w:r>
          </w:p>
        </w:tc>
        <w:tc>
          <w:tcPr>
            <w:tcW w:type="dxa" w:w="1440"/>
            <w:shd w:fill="FAFAFA" w:val="clear"/>
          </w:tcPr>
          <w:p>
            <w:r>
              <w:rPr>
                <w:sz w:val="17"/>
              </w:rPr>
              <w:t>2026-09-01</w:t>
            </w:r>
          </w:p>
        </w:tc>
        <w:tc>
          <w:tcPr>
            <w:tcW w:type="dxa" w:w="1440"/>
            <w:shd w:fill="FAFAFA" w:val="clear"/>
          </w:tcPr>
          <w:p>
            <w:r>
              <w:rPr>
                <w:sz w:val="17"/>
              </w:rPr>
              <w:t>2,996</w:t>
            </w:r>
          </w:p>
        </w:tc>
        <w:tc>
          <w:tcPr>
            <w:tcW w:type="dxa" w:w="1440"/>
            <w:shd w:fill="FAFAFA" w:val="clear"/>
          </w:tcPr>
          <w:p>
            <w:r>
              <w:rPr>
                <w:b/>
                <w:sz w:val="17"/>
              </w:rPr>
              <w:t>3,159</w:t>
            </w:r>
          </w:p>
        </w:tc>
        <w:tc>
          <w:tcPr>
            <w:tcW w:type="dxa" w:w="1440"/>
            <w:shd w:fill="FAFAFA" w:val="clear"/>
          </w:tcPr>
          <w:p>
            <w:r>
              <w:rPr>
                <w:sz w:val="17"/>
              </w:rPr>
              <w:t>3,322</w:t>
            </w:r>
          </w:p>
        </w:tc>
        <w:tc>
          <w:tcPr>
            <w:tcW w:type="dxa" w:w="1440"/>
            <w:shd w:fill="FAFAFA" w:val="clear"/>
          </w:tcPr>
          <w:p>
            <w:r>
              <w:rPr>
                <w:b/>
                <w:color w:val="C00000"/>
                <w:sz w:val="17"/>
              </w:rPr>
              <w:t>-0.7%</w:t>
            </w:r>
          </w:p>
        </w:tc>
      </w:tr>
      <w:tr>
        <w:tc>
          <w:tcPr>
            <w:tcW w:type="dxa" w:w="1440"/>
            <w:shd w:fill="FAFAFA" w:val="clear"/>
          </w:tcPr>
          <w:p>
            <w:r>
              <w:rPr>
                <w:sz w:val="17"/>
              </w:rPr>
              <w:t>J+4  Moyenne</w:t>
            </w:r>
          </w:p>
        </w:tc>
        <w:tc>
          <w:tcPr>
            <w:tcW w:type="dxa" w:w="1440"/>
            <w:shd w:fill="FAFAFA" w:val="clear"/>
          </w:tcPr>
          <w:p>
            <w:r>
              <w:rPr>
                <w:sz w:val="17"/>
              </w:rPr>
              <w:t>2026-09-02</w:t>
            </w:r>
          </w:p>
        </w:tc>
        <w:tc>
          <w:tcPr>
            <w:tcW w:type="dxa" w:w="1440"/>
            <w:shd w:fill="FAFAFA" w:val="clear"/>
          </w:tcPr>
          <w:p>
            <w:r>
              <w:rPr>
                <w:sz w:val="17"/>
              </w:rPr>
              <w:t>2,967</w:t>
            </w:r>
          </w:p>
        </w:tc>
        <w:tc>
          <w:tcPr>
            <w:tcW w:type="dxa" w:w="1440"/>
            <w:shd w:fill="FAFAFA" w:val="clear"/>
          </w:tcPr>
          <w:p>
            <w:r>
              <w:rPr>
                <w:b/>
                <w:sz w:val="17"/>
              </w:rPr>
              <w:t>3,155</w:t>
            </w:r>
          </w:p>
        </w:tc>
        <w:tc>
          <w:tcPr>
            <w:tcW w:type="dxa" w:w="1440"/>
            <w:shd w:fill="FAFAFA" w:val="clear"/>
          </w:tcPr>
          <w:p>
            <w:r>
              <w:rPr>
                <w:sz w:val="17"/>
              </w:rPr>
              <w:t>3,343</w:t>
            </w:r>
          </w:p>
        </w:tc>
        <w:tc>
          <w:tcPr>
            <w:tcW w:type="dxa" w:w="1440"/>
            <w:shd w:fill="FAFAFA" w:val="clear"/>
          </w:tcPr>
          <w:p>
            <w:r>
              <w:rPr>
                <w:b/>
                <w:color w:val="C00000"/>
                <w:sz w:val="17"/>
              </w:rPr>
              <w:t>-0.8%</w:t>
            </w:r>
          </w:p>
        </w:tc>
      </w:tr>
      <w:tr>
        <w:tc>
          <w:tcPr>
            <w:tcW w:type="dxa" w:w="1440"/>
            <w:shd w:fill="FAFAFA" w:val="clear"/>
          </w:tcPr>
          <w:p>
            <w:r>
              <w:rPr>
                <w:sz w:val="17"/>
              </w:rPr>
              <w:t>J+5  Moyenne</w:t>
            </w:r>
          </w:p>
        </w:tc>
        <w:tc>
          <w:tcPr>
            <w:tcW w:type="dxa" w:w="1440"/>
            <w:shd w:fill="FAFAFA" w:val="clear"/>
          </w:tcPr>
          <w:p>
            <w:r>
              <w:rPr>
                <w:sz w:val="17"/>
              </w:rPr>
              <w:t>2026-09-03</w:t>
            </w:r>
          </w:p>
        </w:tc>
        <w:tc>
          <w:tcPr>
            <w:tcW w:type="dxa" w:w="1440"/>
            <w:shd w:fill="FAFAFA" w:val="clear"/>
          </w:tcPr>
          <w:p>
            <w:r>
              <w:rPr>
                <w:sz w:val="17"/>
              </w:rPr>
              <w:t>2,942</w:t>
            </w:r>
          </w:p>
        </w:tc>
        <w:tc>
          <w:tcPr>
            <w:tcW w:type="dxa" w:w="1440"/>
            <w:shd w:fill="FAFAFA" w:val="clear"/>
          </w:tcPr>
          <w:p>
            <w:r>
              <w:rPr>
                <w:b/>
                <w:sz w:val="17"/>
              </w:rPr>
              <w:t>3,152</w:t>
            </w:r>
          </w:p>
        </w:tc>
        <w:tc>
          <w:tcPr>
            <w:tcW w:type="dxa" w:w="1440"/>
            <w:shd w:fill="FAFAFA" w:val="clear"/>
          </w:tcPr>
          <w:p>
            <w:r>
              <w:rPr>
                <w:sz w:val="17"/>
              </w:rPr>
              <w:t>3,362</w:t>
            </w:r>
          </w:p>
        </w:tc>
        <w:tc>
          <w:tcPr>
            <w:tcW w:type="dxa" w:w="1440"/>
            <w:shd w:fill="FAFAFA" w:val="clear"/>
          </w:tcPr>
          <w:p>
            <w:r>
              <w:rPr>
                <w:b/>
                <w:color w:val="C00000"/>
                <w:sz w:val="17"/>
              </w:rPr>
              <w:t>-0.9%</w:t>
            </w:r>
          </w:p>
        </w:tc>
      </w:tr>
      <w:tr>
        <w:tc>
          <w:tcPr>
            <w:tcW w:type="dxa" w:w="1440"/>
            <w:shd w:fill="FAFAFA" w:val="clear"/>
          </w:tcPr>
          <w:p>
            <w:r>
              <w:rPr>
                <w:sz w:val="17"/>
              </w:rPr>
              <w:t>J+6  Moyenne</w:t>
            </w:r>
          </w:p>
        </w:tc>
        <w:tc>
          <w:tcPr>
            <w:tcW w:type="dxa" w:w="1440"/>
            <w:shd w:fill="FAFAFA" w:val="clear"/>
          </w:tcPr>
          <w:p>
            <w:r>
              <w:rPr>
                <w:sz w:val="17"/>
              </w:rPr>
              <w:t>2026-09-04</w:t>
            </w:r>
          </w:p>
        </w:tc>
        <w:tc>
          <w:tcPr>
            <w:tcW w:type="dxa" w:w="1440"/>
            <w:shd w:fill="FAFAFA" w:val="clear"/>
          </w:tcPr>
          <w:p>
            <w:r>
              <w:rPr>
                <w:sz w:val="17"/>
              </w:rPr>
              <w:t>2,919</w:t>
            </w:r>
          </w:p>
        </w:tc>
        <w:tc>
          <w:tcPr>
            <w:tcW w:type="dxa" w:w="1440"/>
            <w:shd w:fill="FAFAFA" w:val="clear"/>
          </w:tcPr>
          <w:p>
            <w:r>
              <w:rPr>
                <w:b/>
                <w:sz w:val="17"/>
              </w:rPr>
              <w:t>3,149</w:t>
            </w:r>
          </w:p>
        </w:tc>
        <w:tc>
          <w:tcPr>
            <w:tcW w:type="dxa" w:w="1440"/>
            <w:shd w:fill="FAFAFA" w:val="clear"/>
          </w:tcPr>
          <w:p>
            <w:r>
              <w:rPr>
                <w:sz w:val="17"/>
              </w:rPr>
              <w:t>3,379</w:t>
            </w:r>
          </w:p>
        </w:tc>
        <w:tc>
          <w:tcPr>
            <w:tcW w:type="dxa" w:w="1440"/>
            <w:shd w:fill="FAFAFA" w:val="clear"/>
          </w:tcPr>
          <w:p>
            <w:r>
              <w:rPr>
                <w:b/>
                <w:color w:val="C00000"/>
                <w:sz w:val="17"/>
              </w:rPr>
              <w:t>-1.0%</w:t>
            </w:r>
          </w:p>
        </w:tc>
      </w:tr>
      <w:tr>
        <w:tc>
          <w:tcPr>
            <w:tcW w:type="dxa" w:w="1440"/>
            <w:shd w:fill="FAFAFA" w:val="clear"/>
          </w:tcPr>
          <w:p>
            <w:r>
              <w:rPr>
                <w:sz w:val="17"/>
              </w:rPr>
              <w:t>J+7  Moyenne</w:t>
            </w:r>
          </w:p>
        </w:tc>
        <w:tc>
          <w:tcPr>
            <w:tcW w:type="dxa" w:w="1440"/>
            <w:shd w:fill="FAFAFA" w:val="clear"/>
          </w:tcPr>
          <w:p>
            <w:r>
              <w:rPr>
                <w:sz w:val="17"/>
              </w:rPr>
              <w:t>2026-09-07</w:t>
            </w:r>
          </w:p>
        </w:tc>
        <w:tc>
          <w:tcPr>
            <w:tcW w:type="dxa" w:w="1440"/>
            <w:shd w:fill="FAFAFA" w:val="clear"/>
          </w:tcPr>
          <w:p>
            <w:r>
              <w:rPr>
                <w:sz w:val="17"/>
              </w:rPr>
              <w:t>2,898</w:t>
            </w:r>
          </w:p>
        </w:tc>
        <w:tc>
          <w:tcPr>
            <w:tcW w:type="dxa" w:w="1440"/>
            <w:shd w:fill="FAFAFA" w:val="clear"/>
          </w:tcPr>
          <w:p>
            <w:r>
              <w:rPr>
                <w:b/>
                <w:sz w:val="17"/>
              </w:rPr>
              <w:t>3,146</w:t>
            </w:r>
          </w:p>
        </w:tc>
        <w:tc>
          <w:tcPr>
            <w:tcW w:type="dxa" w:w="1440"/>
            <w:shd w:fill="FAFAFA" w:val="clear"/>
          </w:tcPr>
          <w:p>
            <w:r>
              <w:rPr>
                <w:sz w:val="17"/>
              </w:rPr>
              <w:t>3,394</w:t>
            </w:r>
          </w:p>
        </w:tc>
        <w:tc>
          <w:tcPr>
            <w:tcW w:type="dxa" w:w="1440"/>
            <w:shd w:fill="FAFAFA" w:val="clear"/>
          </w:tcPr>
          <w:p>
            <w:r>
              <w:rPr>
                <w:b/>
                <w:color w:val="C00000"/>
                <w:sz w:val="17"/>
              </w:rPr>
              <w:t>-1.1%</w:t>
            </w:r>
          </w:p>
        </w:tc>
      </w:tr>
      <w:tr>
        <w:tc>
          <w:tcPr>
            <w:tcW w:type="dxa" w:w="1440"/>
            <w:shd w:fill="FAFAFA" w:val="clear"/>
          </w:tcPr>
          <w:p>
            <w:r>
              <w:rPr>
                <w:sz w:val="17"/>
              </w:rPr>
              <w:t>J+8  Moyenne</w:t>
            </w:r>
          </w:p>
        </w:tc>
        <w:tc>
          <w:tcPr>
            <w:tcW w:type="dxa" w:w="1440"/>
            <w:shd w:fill="FAFAFA" w:val="clear"/>
          </w:tcPr>
          <w:p>
            <w:r>
              <w:rPr>
                <w:sz w:val="17"/>
              </w:rPr>
              <w:t>2026-09-08</w:t>
            </w:r>
          </w:p>
        </w:tc>
        <w:tc>
          <w:tcPr>
            <w:tcW w:type="dxa" w:w="1440"/>
            <w:shd w:fill="FAFAFA" w:val="clear"/>
          </w:tcPr>
          <w:p>
            <w:r>
              <w:rPr>
                <w:sz w:val="17"/>
              </w:rPr>
              <w:t>2,878</w:t>
            </w:r>
          </w:p>
        </w:tc>
        <w:tc>
          <w:tcPr>
            <w:tcW w:type="dxa" w:w="1440"/>
            <w:shd w:fill="FAFAFA" w:val="clear"/>
          </w:tcPr>
          <w:p>
            <w:r>
              <w:rPr>
                <w:b/>
                <w:sz w:val="17"/>
              </w:rPr>
              <w:t>3,143</w:t>
            </w:r>
          </w:p>
        </w:tc>
        <w:tc>
          <w:tcPr>
            <w:tcW w:type="dxa" w:w="1440"/>
            <w:shd w:fill="FAFAFA" w:val="clear"/>
          </w:tcPr>
          <w:p>
            <w:r>
              <w:rPr>
                <w:sz w:val="17"/>
              </w:rPr>
              <w:t>3,408</w:t>
            </w:r>
          </w:p>
        </w:tc>
        <w:tc>
          <w:tcPr>
            <w:tcW w:type="dxa" w:w="1440"/>
            <w:shd w:fill="FAFAFA" w:val="clear"/>
          </w:tcPr>
          <w:p>
            <w:r>
              <w:rPr>
                <w:b/>
                <w:color w:val="C00000"/>
                <w:sz w:val="17"/>
              </w:rPr>
              <w:t>-1.2%</w:t>
            </w:r>
          </w:p>
        </w:tc>
      </w:tr>
      <w:tr>
        <w:tc>
          <w:tcPr>
            <w:tcW w:type="dxa" w:w="1440"/>
            <w:shd w:fill="FAFAFA" w:val="clear"/>
          </w:tcPr>
          <w:p>
            <w:r>
              <w:rPr>
                <w:sz w:val="17"/>
              </w:rPr>
              <w:t>J+9  Moyenne</w:t>
            </w:r>
          </w:p>
        </w:tc>
        <w:tc>
          <w:tcPr>
            <w:tcW w:type="dxa" w:w="1440"/>
            <w:shd w:fill="FAFAFA" w:val="clear"/>
          </w:tcPr>
          <w:p>
            <w:r>
              <w:rPr>
                <w:sz w:val="17"/>
              </w:rPr>
              <w:t>2026-09-09</w:t>
            </w:r>
          </w:p>
        </w:tc>
        <w:tc>
          <w:tcPr>
            <w:tcW w:type="dxa" w:w="1440"/>
            <w:shd w:fill="FAFAFA" w:val="clear"/>
          </w:tcPr>
          <w:p>
            <w:r>
              <w:rPr>
                <w:sz w:val="17"/>
              </w:rPr>
              <w:t>2,859</w:t>
            </w:r>
          </w:p>
        </w:tc>
        <w:tc>
          <w:tcPr>
            <w:tcW w:type="dxa" w:w="1440"/>
            <w:shd w:fill="FAFAFA" w:val="clear"/>
          </w:tcPr>
          <w:p>
            <w:r>
              <w:rPr>
                <w:b/>
                <w:sz w:val="17"/>
              </w:rPr>
              <w:t>3,140</w:t>
            </w:r>
          </w:p>
        </w:tc>
        <w:tc>
          <w:tcPr>
            <w:tcW w:type="dxa" w:w="1440"/>
            <w:shd w:fill="FAFAFA" w:val="clear"/>
          </w:tcPr>
          <w:p>
            <w:r>
              <w:rPr>
                <w:sz w:val="17"/>
              </w:rPr>
              <w:t>3,421</w:t>
            </w:r>
          </w:p>
        </w:tc>
        <w:tc>
          <w:tcPr>
            <w:tcW w:type="dxa" w:w="1440"/>
            <w:shd w:fill="FAFAFA" w:val="clear"/>
          </w:tcPr>
          <w:p>
            <w:r>
              <w:rPr>
                <w:b/>
                <w:color w:val="C00000"/>
                <w:sz w:val="17"/>
              </w:rPr>
              <w:t>-1.2%</w:t>
            </w:r>
          </w:p>
        </w:tc>
      </w:tr>
      <w:tr>
        <w:tc>
          <w:tcPr>
            <w:tcW w:type="dxa" w:w="1440"/>
            <w:shd w:fill="FAFAFA" w:val="clear"/>
          </w:tcPr>
          <w:p>
            <w:r>
              <w:rPr>
                <w:sz w:val="17"/>
              </w:rPr>
              <w:t>J+10  Moyenne</w:t>
            </w:r>
          </w:p>
        </w:tc>
        <w:tc>
          <w:tcPr>
            <w:tcW w:type="dxa" w:w="1440"/>
            <w:shd w:fill="FAFAFA" w:val="clear"/>
          </w:tcPr>
          <w:p>
            <w:r>
              <w:rPr>
                <w:sz w:val="17"/>
              </w:rPr>
              <w:t>2026-09-10</w:t>
            </w:r>
          </w:p>
        </w:tc>
        <w:tc>
          <w:tcPr>
            <w:tcW w:type="dxa" w:w="1440"/>
            <w:shd w:fill="FAFAFA" w:val="clear"/>
          </w:tcPr>
          <w:p>
            <w:r>
              <w:rPr>
                <w:sz w:val="17"/>
              </w:rPr>
              <w:t>2,842</w:t>
            </w:r>
          </w:p>
        </w:tc>
        <w:tc>
          <w:tcPr>
            <w:tcW w:type="dxa" w:w="1440"/>
            <w:shd w:fill="FAFAFA" w:val="clear"/>
          </w:tcPr>
          <w:p>
            <w:r>
              <w:rPr>
                <w:b/>
                <w:sz w:val="17"/>
              </w:rPr>
              <w:t>3,138</w:t>
            </w:r>
          </w:p>
        </w:tc>
        <w:tc>
          <w:tcPr>
            <w:tcW w:type="dxa" w:w="1440"/>
            <w:shd w:fill="FAFAFA" w:val="clear"/>
          </w:tcPr>
          <w:p>
            <w:r>
              <w:rPr>
                <w:sz w:val="17"/>
              </w:rPr>
              <w:t>3,434</w:t>
            </w:r>
          </w:p>
        </w:tc>
        <w:tc>
          <w:tcPr>
            <w:tcW w:type="dxa" w:w="1440"/>
            <w:shd w:fill="FAFAFA" w:val="clear"/>
          </w:tcPr>
          <w:p>
            <w:r>
              <w:rPr>
                <w:b/>
                <w:color w:val="C00000"/>
                <w:sz w:val="17"/>
              </w:rPr>
              <w:t>-1.3%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346.667 Mds FCFA</w:t>
            </w:r>
          </w:p>
        </w:tc>
        <w:tc>
          <w:tcPr>
            <w:tcW w:type="dxa" w:w="5669"/>
            <w:shd w:fill="FFFFFF" w:val="clear"/>
          </w:tcPr>
          <w:p>
            <w:r>
              <w:rPr>
                <w:color w:val="282828"/>
                <w:sz w:val="15"/>
              </w:rPr>
              <w:t>Représente 8.6%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1462.409 Mds FCFA</w:t>
            </w:r>
          </w:p>
        </w:tc>
        <w:tc>
          <w:tcPr>
            <w:tcW w:type="dxa" w:w="5669"/>
            <w:shd w:fill="FFFFFF" w:val="clear"/>
          </w:tcPr>
          <w:p>
            <w:r>
              <w:rPr>
                <w:color w:val="282828"/>
                <w:sz w:val="15"/>
              </w:rPr>
              <w:t>Titres d'État détenus (36.4%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275.515 Mds FCFA</w:t>
            </w:r>
          </w:p>
        </w:tc>
        <w:tc>
          <w:tcPr>
            <w:tcW w:type="dxa" w:w="5669"/>
            <w:shd w:fill="FFFFFF" w:val="clear"/>
          </w:tcPr>
          <w:p>
            <w:r>
              <w:rPr>
                <w:color w:val="282828"/>
                <w:sz w:val="15"/>
              </w:rPr>
              <w:t>Prêts aux autres banques (6.9%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1523.765 Mds FCFA</w:t>
            </w:r>
          </w:p>
        </w:tc>
        <w:tc>
          <w:tcPr>
            <w:tcW w:type="dxa" w:w="5669"/>
            <w:shd w:fill="FFFFFF" w:val="clear"/>
          </w:tcPr>
          <w:p>
            <w:r>
              <w:rPr>
                <w:color w:val="282828"/>
                <w:sz w:val="15"/>
              </w:rPr>
              <w:t>Portefeuille crédits (38.0%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7.145 Mds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72.673 Mds FCFA</w:t>
            </w:r>
          </w:p>
        </w:tc>
        <w:tc>
          <w:tcPr>
            <w:tcW w:type="dxa" w:w="5669"/>
            <w:shd w:fill="FFFFFF" w:val="clear"/>
          </w:tcPr>
          <w:p>
            <w:r>
              <w:rPr>
                <w:color w:val="282828"/>
                <w:sz w:val="15"/>
              </w:rPr>
              <w:t>Outil industriel (1.8%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4014.192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87.404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FFEB9C" w:val="clear"/>
          </w:tcPr>
          <w:p>
            <w:r>
              <w:rPr>
                <w:b/>
                <w:color w:val="B40000"/>
                <w:sz w:val="17"/>
              </w:rPr>
              <w:t>-17.925 Mds FCFA</w:t>
            </w:r>
          </w:p>
        </w:tc>
        <w:tc>
          <w:tcPr>
            <w:tcW w:type="dxa" w:w="5669"/>
            <w:shd w:fill="FFFFFF" w:val="clear"/>
          </w:tcPr>
          <w:p>
            <w:r>
              <w:rPr>
                <w:color w:val="282828"/>
                <w:sz w:val="15"/>
              </w:rPr>
              <w:t>⚠️ Réserves nulles ou négatives — capacité de résistance limitée.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113.165 Mds FCFA</w:t>
            </w:r>
          </w:p>
        </w:tc>
        <w:tc>
          <w:tcPr>
            <w:tcW w:type="dxa" w:w="5669"/>
            <w:shd w:fill="FFFFFF" w:val="clear"/>
          </w:tcPr>
          <w:p>
            <w:r>
              <w:rPr>
                <w:color w:val="282828"/>
                <w:sz w:val="15"/>
              </w:rPr>
              <w:t>Fonds propres = 2.8% du bilan. ❌ Sous-capitalisation critique — risque de solvabilité.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139.530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432.668 Mds FCFA</w:t>
            </w:r>
          </w:p>
        </w:tc>
        <w:tc>
          <w:tcPr>
            <w:tcW w:type="dxa" w:w="5669"/>
            <w:shd w:fill="FFFFFF" w:val="clear"/>
          </w:tcPr>
          <w:p>
            <w:r>
              <w:rPr>
                <w:color w:val="282828"/>
                <w:sz w:val="15"/>
              </w:rPr>
              <w:t>Refinancement interbancaire (10.8%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3088.698 Mds FCFA</w:t>
            </w:r>
          </w:p>
        </w:tc>
        <w:tc>
          <w:tcPr>
            <w:tcW w:type="dxa" w:w="5669"/>
            <w:shd w:fill="FFFFFF" w:val="clear"/>
          </w:tcPr>
          <w:p>
            <w:r>
              <w:rPr>
                <w:color w:val="282828"/>
                <w:sz w:val="15"/>
              </w:rPr>
              <w:t>Dépôts clients = 76.9% du bilan. ✅ Base de dépôts solide — financement stable et peu coûteux.</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26.365 Mds FCFA</w:t>
            </w:r>
          </w:p>
        </w:tc>
        <w:tc>
          <w:tcPr>
            <w:tcW w:type="dxa" w:w="5669"/>
            <w:shd w:fill="FFFFFF" w:val="clear"/>
          </w:tcPr>
          <w:p>
            <w:r>
              <w:rPr>
                <w:color w:val="282828"/>
                <w:sz w:val="15"/>
              </w:rPr>
              <w:t>Dette LT/MT = 23% des fonds propres. ✅ Endettement LT maîtrisé.</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503.513 Mds FCFA</w:t>
            </w:r>
          </w:p>
        </w:tc>
        <w:tc>
          <w:tcPr>
            <w:tcW w:type="dxa" w:w="5669"/>
            <w:shd w:fill="FFFFFF" w:val="clear"/>
          </w:tcPr>
          <w:p>
            <w:r>
              <w:rPr>
                <w:color w:val="282828"/>
                <w:sz w:val="15"/>
              </w:rPr>
              <w:t>Dette financière totale = 445%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3901.027 Mds FCFA</w:t>
            </w:r>
          </w:p>
        </w:tc>
        <w:tc>
          <w:tcPr>
            <w:tcW w:type="dxa" w:w="5669"/>
            <w:shd w:fill="FFFFFF" w:val="clear"/>
          </w:tcPr>
          <w:p>
            <w:r>
              <w:rPr>
                <w:color w:val="282828"/>
                <w:sz w:val="15"/>
              </w:rPr>
              <w:t>Dettes totales = 97.2%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186.609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C7CE" w:val="clear"/>
          </w:tcPr>
          <w:p>
            <w:r>
              <w:rPr>
                <w:b/>
                <w:color w:val="006400"/>
                <w:sz w:val="17"/>
              </w:rPr>
              <w:t>186.609 Mds FCFA</w:t>
            </w:r>
          </w:p>
        </w:tc>
        <w:tc>
          <w:tcPr>
            <w:tcW w:type="dxa" w:w="5669"/>
            <w:shd w:fill="FFFFFF" w:val="clear"/>
          </w:tcPr>
          <w:p>
            <w:r>
              <w:rPr>
                <w:color w:val="282828"/>
                <w:sz w:val="15"/>
              </w:rPr>
              <w:t>Revenu bancaire central (≡ CA). Croissance: -4.5%. ❌ PNB en recul — pression sur la rentabilité.</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222.533 Mds FCFA</w:t>
            </w:r>
          </w:p>
        </w:tc>
        <w:tc>
          <w:tcPr>
            <w:tcW w:type="dxa" w:w="5669"/>
            <w:shd w:fill="FFFFFF" w:val="clear"/>
          </w:tcPr>
          <w:p>
            <w:r>
              <w:rPr>
                <w:color w:val="282828"/>
                <w:sz w:val="15"/>
              </w:rPr>
              <w:t>Revenus d'intérêts sur crédits (119%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-118.034 Mds FCFA</w:t>
            </w:r>
          </w:p>
        </w:tc>
        <w:tc>
          <w:tcPr>
            <w:tcW w:type="dxa" w:w="5669"/>
            <w:shd w:fill="FFFFFF" w:val="clear"/>
          </w:tcPr>
          <w:p>
            <w:r>
              <w:rPr>
                <w:color w:val="282828"/>
                <w:sz w:val="15"/>
              </w:rPr>
              <w:t>Coût des dépôts collectés (-63%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90.417 Mds FCFA</w:t>
            </w:r>
          </w:p>
        </w:tc>
        <w:tc>
          <w:tcPr>
            <w:tcW w:type="dxa" w:w="5669"/>
            <w:shd w:fill="FFFFFF" w:val="clear"/>
          </w:tcPr>
          <w:p>
            <w:r>
              <w:rPr>
                <w:color w:val="282828"/>
                <w:sz w:val="15"/>
              </w:rPr>
              <w:t>Revenus de commissions (48.5%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61.869 Mds FCFA</w:t>
            </w:r>
          </w:p>
        </w:tc>
        <w:tc>
          <w:tcPr>
            <w:tcW w:type="dxa" w:w="5669"/>
            <w:shd w:fill="FFFFFF" w:val="clear"/>
          </w:tcPr>
          <w:p>
            <w:r>
              <w:rPr>
                <w:color w:val="282828"/>
                <w:sz w:val="15"/>
              </w:rPr>
              <w:t>33.2%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18.096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70.507 Mds FCFA</w:t>
            </w:r>
          </w:p>
        </w:tc>
        <w:tc>
          <w:tcPr>
            <w:tcW w:type="dxa" w:w="5669"/>
            <w:shd w:fill="FFFFFF" w:val="clear"/>
          </w:tcPr>
          <w:p>
            <w:r>
              <w:rPr>
                <w:color w:val="282828"/>
                <w:sz w:val="15"/>
              </w:rPr>
              <w:t>Masse salariale = 37.8% des revenus. ⚠️ Masse salariale importante.</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36.137 Mds FCFA</w:t>
            </w:r>
          </w:p>
        </w:tc>
        <w:tc>
          <w:tcPr>
            <w:tcW w:type="dxa" w:w="5669"/>
            <w:shd w:fill="FFFFFF" w:val="clear"/>
          </w:tcPr>
          <w:p>
            <w:r>
              <w:rPr>
                <w:color w:val="282828"/>
                <w:sz w:val="15"/>
              </w:rPr>
              <w:t>RBE = 19.4%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29.166 Mds FCFA</w:t>
            </w:r>
          </w:p>
        </w:tc>
        <w:tc>
          <w:tcPr>
            <w:tcW w:type="dxa" w:w="5669"/>
            <w:shd w:fill="FFFFFF" w:val="clear"/>
          </w:tcPr>
          <w:p>
            <w:r>
              <w:rPr>
                <w:color w:val="282828"/>
                <w:sz w:val="15"/>
              </w:rPr>
              <w:t>Profit d'exploitation = 15.6%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-6.971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21.643 Mds FCFA</w:t>
            </w:r>
          </w:p>
        </w:tc>
        <w:tc>
          <w:tcPr>
            <w:tcW w:type="dxa" w:w="5669"/>
            <w:shd w:fill="FFFFFF" w:val="clear"/>
          </w:tcPr>
          <w:p>
            <w:r>
              <w:rPr>
                <w:color w:val="282828"/>
                <w:sz w:val="15"/>
              </w:rPr>
              <w:t>Marge nette = 11.6%.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288.054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-155.148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-40.511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132.906 Mds FCFA</w:t>
            </w:r>
          </w:p>
        </w:tc>
        <w:tc>
          <w:tcPr>
            <w:tcW w:type="dxa" w:w="5669"/>
            <w:shd w:fill="FFFFFF" w:val="clear"/>
          </w:tcPr>
          <w:p>
            <w:r>
              <w:rPr>
                <w:color w:val="282828"/>
                <w:sz w:val="15"/>
              </w:rPr>
              <w:t>FCF = flux opé. - capex. ✅ FCF positif — la société dégage du cash après ses investissements.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19.37%</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11.60%</w:t>
            </w:r>
          </w:p>
        </w:tc>
        <w:tc>
          <w:tcPr>
            <w:tcW w:type="dxa" w:w="5669"/>
            <w:shd w:fill="FFFFFF" w:val="clear"/>
          </w:tcPr>
          <w:p>
            <w:r>
              <w:rPr>
                <w:color w:val="282828"/>
                <w:sz w:val="15"/>
              </w:rPr>
              <w:t>Résultat net / revenus = 11.60%.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15.63%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19.13%</w:t>
            </w:r>
          </w:p>
        </w:tc>
        <w:tc>
          <w:tcPr>
            <w:tcW w:type="dxa" w:w="5669"/>
            <w:shd w:fill="FFFFFF" w:val="clear"/>
          </w:tcPr>
          <w:p>
            <w:r>
              <w:rPr>
                <w:color w:val="282828"/>
                <w:sz w:val="15"/>
              </w:rPr>
              <w:t>Résultat net / capitaux propres = 19.13%.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0.54%</w:t>
            </w:r>
          </w:p>
        </w:tc>
        <w:tc>
          <w:tcPr>
            <w:tcW w:type="dxa" w:w="5669"/>
            <w:shd w:fill="FFFFFF" w:val="clear"/>
          </w:tcPr>
          <w:p>
            <w:r>
              <w:rPr>
                <w:color w:val="282828"/>
                <w:sz w:val="15"/>
              </w:rPr>
              <w:t>Résultat net / total actif = 0.54%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4.65%</w:t>
            </w:r>
          </w:p>
        </w:tc>
        <w:tc>
          <w:tcPr>
            <w:tcW w:type="dxa" w:w="5669"/>
            <w:shd w:fill="FFFFFF" w:val="clear"/>
          </w:tcPr>
          <w:p>
            <w:r>
              <w:rPr>
                <w:color w:val="282828"/>
                <w:sz w:val="15"/>
              </w:rPr>
              <w:t>CA / total actif = 4.65x.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42.85%</w:t>
            </w:r>
          </w:p>
        </w:tc>
        <w:tc>
          <w:tcPr>
            <w:tcW w:type="dxa" w:w="5669"/>
            <w:shd w:fill="FFFFFF" w:val="clear"/>
          </w:tcPr>
          <w:p>
            <w:r>
              <w:rPr>
                <w:color w:val="282828"/>
                <w:sz w:val="15"/>
              </w:rPr>
              <w:t>Charges / PNB = 42.85%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3.74%</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FFEB9C" w:val="clear"/>
          </w:tcPr>
          <w:p>
            <w:r>
              <w:rPr>
                <w:b/>
                <w:color w:val="B40000"/>
                <w:sz w:val="17"/>
              </w:rPr>
              <w:t>-4.52%</w:t>
            </w:r>
          </w:p>
        </w:tc>
        <w:tc>
          <w:tcPr>
            <w:tcW w:type="dxa" w:w="5669"/>
            <w:shd w:fill="FFFFFF" w:val="clear"/>
          </w:tcPr>
          <w:p>
            <w:r>
              <w:rPr>
                <w:color w:val="282828"/>
                <w:sz w:val="15"/>
              </w:rPr>
              <w:t>Croissance PNB vs exercice précédent = -4.52%. ⚠️ Activité stagnante.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2.82%</w:t>
            </w:r>
          </w:p>
        </w:tc>
        <w:tc>
          <w:tcPr>
            <w:tcW w:type="dxa" w:w="5669"/>
            <w:shd w:fill="FFFFFF" w:val="clear"/>
          </w:tcPr>
          <w:p>
            <w:r>
              <w:rPr>
                <w:color w:val="282828"/>
                <w:sz w:val="15"/>
              </w:rPr>
              <w:t>Fonds propres / total bilan = 2.82%.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97.18%</w:t>
            </w:r>
          </w:p>
        </w:tc>
        <w:tc>
          <w:tcPr>
            <w:tcW w:type="dxa" w:w="5669"/>
            <w:shd w:fill="FFFFFF" w:val="clear"/>
          </w:tcPr>
          <w:p>
            <w:r>
              <w:rPr>
                <w:color w:val="282828"/>
                <w:sz w:val="15"/>
              </w:rPr>
              <w:t>Dettes financières / total bilan = 97.18%.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444.94%</w:t>
            </w:r>
          </w:p>
        </w:tc>
        <w:tc>
          <w:tcPr>
            <w:tcW w:type="dxa" w:w="5669"/>
            <w:shd w:fill="FFFFFF" w:val="clear"/>
          </w:tcPr>
          <w:p>
            <w:r>
              <w:rPr>
                <w:color w:val="282828"/>
                <w:sz w:val="15"/>
              </w:rPr>
              <w:t>Dettes totales / fonds propres = 444.94%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102.90%</w:t>
            </w:r>
          </w:p>
        </w:tc>
        <w:tc>
          <w:tcPr>
            <w:tcW w:type="dxa" w:w="5669"/>
            <w:shd w:fill="FFFFFF" w:val="clear"/>
          </w:tcPr>
          <w:p>
            <w:r>
              <w:rPr>
                <w:color w:val="282828"/>
                <w:sz w:val="15"/>
              </w:rPr>
              <w:t>Total actif / dettes totales = 102.90x. ✅ Solvable.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24.71%</w:t>
            </w:r>
          </w:p>
        </w:tc>
        <w:tc>
          <w:tcPr>
            <w:tcW w:type="dxa" w:w="5669"/>
            <w:shd w:fill="FFFFFF" w:val="clear"/>
          </w:tcPr>
          <w:p>
            <w:r>
              <w:rPr>
                <w:color w:val="282828"/>
                <w:sz w:val="15"/>
              </w:rPr>
              <w:t>Résultat exploit. / charges financières = 24.71x. ❌ L'exploitation ne couvre pas les charges financières.</w:t>
            </w:r>
          </w:p>
        </w:tc>
      </w:tr>
    </w:tbl>
    <w:p/>
    <w:p>
      <w:pPr>
        <w:spacing w:after="120" w:line="276" w:lineRule="auto"/>
      </w:pPr>
      <w:r>
        <w:t>**RAPPORT D'ANALYSE FINANCIÈRE — ORAGROUP (ORGT)**</w:t>
        <w:br/>
        <w:t>**Date : 27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d'ORGT s'établit à 220,74 milliards FCFA, ce qui positionne le titre parmi les valeurs moyennes du compartiment bancaire de la BRVM. Avec un BPA de 312 FCFA, le PER ressort à 10,2x, un niveau modéré qui se situe dans la fourchette moyenne du marché (8-12x), indiquant que les investisseurs ne paient pas un prix excessif pour les bénéfices générés. Le P/B de 1,95x montre que le marché valorise la société légèrement au-dessus de sa valeur comptable, ce qui est raisonnable pour une banque en phase de redressement. En revanche, l'EV/EBITDA de 20,0x apparaît très exigeant, suggérant que la valeur d'entreprise intègre des anticipations de croissance future significative des résultats opérationnels. Cette combinaison de ratios traduit une valorisation globalement raisonnable, avec une prime sur la capacité bénéficiaire future.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ORGT a enregistré une baisse de 13,11%, avec une dernière séance en repli de 0,47% à 3 180 FCFA. Le cours a évolué dans une fourchette large de 2 435 à 3 660 FCFA, illustrant une volatilité importante. La moyenne de 2 946 FCFA, inférieure à la médiane de 2 780 FCFA, révèle une asymétrie positive (skewness de 0,674), signifiant que le cours a passé plus de journées sous sa moyenne, avec des épisodes de hausse marqués. L'écart-type de 329 FCFA (CV de 11,2%) témoigne d'une dispersion modérée autour de la moyenne. Le kurtosis de -0,651 (mésokurtique) indique une distribution proche de la normale, sans risque de variations extrêmes fréquentes. La volatilité annualisée de 43,6% classe le titre dans la catégorie élevée (&gt;30%), confirmant un profil de risque soutenu. La tendance générale reste baissière malgré des rebonds ponctuels, dans un contexte de consolidation après le redressement fondamental de 2025.</w:t>
      </w:r>
    </w:p>
    <w:p>
      <w:pPr>
        <w:spacing w:after="120" w:line="276" w:lineRule="auto"/>
      </w:pPr>
      <w:r>
        <w:t>---</w:t>
      </w:r>
    </w:p>
    <w:p>
      <w:pPr>
        <w:spacing w:after="120" w:line="276" w:lineRule="auto"/>
      </w:pPr>
      <w:r>
        <w:t>### PARTIE 2 : ANALYSE TECHNIQUE DÉTAILLÉE</w:t>
      </w:r>
    </w:p>
    <w:p>
      <w:pPr>
        <w:spacing w:after="120" w:line="276" w:lineRule="auto"/>
      </w:pPr>
      <w:r>
        <w:t>**Moyennes Mobiles :** La MM20 à 3 107,5 FCFA et la MM50 à 2 855,8 FCFA sont toutes deux inférieures au cours actuel de 3 180 FCFA, configurant une dynamique haussière à court et moyen terme. Le croisement positif des moyennes mobiles confirme la tendance haussière, justifiant la décision d'achat. Cette configuration indique que le titre évolue dans une phase de reprise technique après le creux observé.</w:t>
      </w:r>
    </w:p>
    <w:p>
      <w:pPr>
        <w:spacing w:after="120" w:line="276" w:lineRule="auto"/>
      </w:pPr>
      <w:r>
        <w:t>**Bandes de Bollinger :** Le cours à 3 180 FCFA se situe entre la borne supérieure à 3 234,6 FCFA et la borne inférieure à 2 980,4 FCFA, proche de la partie haute de l'enveloppe. Cette position suggère une pression acheteuse modérée sans atteindre les zones de surachat extrême. La décision neutre reflète un équilibre entre la tendance haussière et la proximité de la résistance supérieure.</w:t>
      </w:r>
    </w:p>
    <w:p>
      <w:pPr>
        <w:spacing w:after="120" w:line="276" w:lineRule="auto"/>
      </w:pPr>
      <w:r>
        <w:t>**MACD :** Le MACD à 91,735 est légèrement inférieur à son signal à 93,507, indiquant un affaiblissement du momentum haussier à très court terme. Cette configuration baissière suggère une possible consolidation ou correction technique après la récente progression. La décision de vente signale une prudence à court terme malgré la tendance de fond positive.</w:t>
      </w:r>
    </w:p>
    <w:p>
      <w:pPr>
        <w:spacing w:after="120" w:line="276" w:lineRule="auto"/>
      </w:pPr>
      <w:r>
        <w:t>**RSI :** À 55,128, le RSI se situe en zone neutre, sans signal de surachat ni de survente. Cette valeur indique que le titre dispose d'une marge de progression avant d'atteindre des niveaux extrêmes, tout en confirmant une dynamique positive modérée. La décision neutre reflète l'absence de signal directionnel fort.</w:t>
      </w:r>
    </w:p>
    <w:p>
      <w:pPr>
        <w:spacing w:after="120" w:line="276" w:lineRule="auto"/>
      </w:pPr>
      <w:r>
        <w:t>**Stochastique :** Le %K à 90,625 et le %D à 96,875 sont tous deux en zone de surachat (&gt;80), avec un %K inférieur au %D, suggérant un croisement baissier potentiel. Cette configuration indique un essoufflement de la dynamique haussière à court terme, justifiant la décision de vente.</w:t>
      </w:r>
    </w:p>
    <w:p>
      <w:pPr>
        <w:spacing w:after="120" w:line="276" w:lineRule="auto"/>
      </w:pPr>
      <w:r>
        <w:t>**Conclusion technique :** Les indicateurs présentent un tableau contrasté : la tendance de fond reste haussière (moyennes mobiles), mais les oscillateurs (MACD, Stochastique) signalent un essoufflement à court terme. Le RSI neutre et les bandes de Bollinger suggèrent une consolidation probable. La prudence est recommandée à court terme, avec un potentiel de reprise si le cours maintient ses niveaux actuels.</w:t>
      </w:r>
    </w:p>
    <w:p>
      <w:pPr>
        <w:spacing w:after="120" w:line="276" w:lineRule="auto"/>
      </w:pPr>
      <w:r>
        <w:t>---</w:t>
      </w:r>
    </w:p>
    <w:p>
      <w:pPr>
        <w:spacing w:after="120" w:line="276" w:lineRule="auto"/>
      </w:pPr>
      <w:r>
        <w:t>### PARTIE 3 : ANALYSE FONDAMENTALE (SECTION CRITIQUE)</w:t>
      </w:r>
    </w:p>
    <w:p>
      <w:pPr>
        <w:spacing w:after="120" w:line="276" w:lineRule="auto"/>
      </w:pPr>
      <w:r>
        <w:t>En 2025, Oragroup a réalisé un retour spectaculaire à la rentabilité avec un résultat net consolidé de 21,643 milliards FCFA, contre une perte de 44,363 milliards en 2024, soit une amélioration de 149%. Le Produit Net Bancaire s'établit à 186,609 milliards FCFA, en baisse de 4,5% par rapport à 2024, conséquence d'une stratégie délibérée de sélectivité dans l'octroi de crédits. La banque affiche un coefficient d'exploitation de 42,85%, un niveau excellent (&lt;50%) témoignant d'une gestion rigoureuse des charges. Le coût du risque s'est effondré de 90% à 6,971 milliards FCFA, reflétant l'efficacité des actions de recouvrement. Le ROE atteint 19,13% (&gt;15% = excellent) et le ROA de 0,54% reste modeste, caractéristique du secteur bancaire. Les dépôts clientèle à 3 088,698 milliards FCFA couvrent largement les créances clientèle de 1 523,765 milliards FCFA, assurant une transformation saine. Les capitaux propres se renforcent à 113,165 milliards FCFA (+17%). Sur la base du rapport T1 2026 (résultat net de 6,555 milliards FCFA, +37%), on estime que l'exercice 2026 pourrait confirmer la consolidation avec un résultat annuel potentiel de 24-26 milliards FCFA. Les rapports trimestriels 2025 (S1 : 18,3 milliards, T3 : 19,6 milliards) montrent une trajectoire de redressement continue et durable.</w:t>
      </w:r>
    </w:p>
    <w:p>
      <w:pPr>
        <w:spacing w:after="120" w:line="276" w:lineRule="auto"/>
      </w:pPr>
      <w:r>
        <w:t>---</w:t>
      </w:r>
    </w:p>
    <w:p>
      <w:pPr>
        <w:spacing w:after="120" w:line="276" w:lineRule="auto"/>
      </w:pPr>
      <w:r>
        <w:t>### PARTIE 4 : CONCLUSION D'INVESTISSEMENT</w:t>
      </w:r>
    </w:p>
    <w:p>
      <w:pPr>
        <w:spacing w:after="120" w:line="276" w:lineRule="auto"/>
      </w:pPr>
      <w:r>
        <w:t>La valorisation d'ORGT apparaît raisonnable avec un PER de 10,2x et un P/B de 1,95x, même si l'EV/EBITDA de 20x reste exigeant. Le comportement du cours sur 100 jours montre une tendance baissière (-13,11%) avec une volatilité élevée (43,6%), mais les statistiques descriptives révèlent une distribution asymétrique positive, suggérant un potentiel de rebond. Les signaux techniques sont mitigés : tendance haussière à moyen terme (MM) mais essoufflement à court terme (MACD, Stochastique). Les fondamentaux sont solidement orientés à la hausse avec un redressement spectaculaire de la rentabilité, une maîtrise exemplaire des coûts et du risque, et des perspectives 2026 favorables selon les estimations trimestrielles. Les prédictions IA (3 168 à 3 152 FCFA sur J+1 à J+10) suggèrent une légère consolidation, en ligne avec les signaux techniques de court terme. La convergence entre fondamentaux solides et valorisation raisonnable, malgré des signaux techniques contrastés, conduit à une recommandation **CONSERVER**, avec un niveau de confiance **Moyen** et un risque global **Élevé** en raison de la volatilité. L'horizon d'investissement optimal est le **moyen terme (3-12 mois)** pour bénéficier de la consolidation du redressement et d'une éventuelle reprise de la dynamique commerciale.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20260703   avis de convocation et projet de resolution   assemblee generale mixte   oragroup tg</w:t>
      </w:r>
    </w:p>
    <w:p>
      <w:pPr>
        <w:spacing w:before="20"/>
        <w:ind w:left="400"/>
      </w:pPr>
      <w:r>
        <w:rPr>
          <w:color w:val="505050"/>
          <w:sz w:val="17"/>
        </w:rPr>
        <w:t xml:space="preserve">Date : 05/07/2026  |  Catégorie : convocation AG  |  Impact : </w:t>
      </w:r>
      <w:r>
        <w:rPr>
          <w:b/>
          <w:color w:val="646464"/>
          <w:sz w:val="17"/>
        </w:rPr>
        <w:t>⚪ NEUTRE</w:t>
      </w:r>
    </w:p>
    <w:p>
      <w:pPr>
        <w:spacing w:before="40"/>
        <w:ind w:left="400"/>
      </w:pPr>
      <w:r>
        <w:rPr>
          <w:sz w:val="18"/>
        </w:rPr>
        <w:t>Oragroup convoque ses actionnaires à une Assemblée Générale Mixte le 23 juillet 2026 à Lomé pour approuver les comptes 2025 et renouveler une délégation d'augmentation de capital. Les comptes sociaux font apparaître une perte nette de 8 milliards FCFA et aucun dividende n'est proposé, tandis que les comptes consolidés affichent un résultat net positif de 21,6 milliards FCFA. L'assemblée devra également statuer sur la gouvernance, les mandats des commissaires aux comptes et l'allocation d'indemnités aux administrateurs.</w:t>
      </w:r>
    </w:p>
    <w:p>
      <w:pPr>
        <w:spacing w:before="60"/>
        <w:ind w:left="400"/>
      </w:pPr>
      <w:r>
        <w:rPr>
          <w:b/>
          <w:sz w:val="18"/>
        </w:rPr>
        <w:t>Points clés :</w:t>
      </w:r>
    </w:p>
    <w:p>
      <w:pPr>
        <w:pStyle w:val="ListBullet"/>
        <w:spacing w:before="20" w:after="20"/>
        <w:ind w:left="700"/>
      </w:pPr>
      <w:r>
        <w:rPr>
          <w:sz w:val="18"/>
        </w:rPr>
        <w:t>Convocation à l'Assemblée Générale Mixte le 23 juillet 2026 à l'Hôtel 2 Février à Lomé.</w:t>
      </w:r>
    </w:p>
    <w:p>
      <w:pPr>
        <w:pStyle w:val="ListBullet"/>
        <w:spacing w:before="20" w:after="20"/>
        <w:ind w:left="700"/>
      </w:pPr>
      <w:r>
        <w:rPr>
          <w:sz w:val="18"/>
        </w:rPr>
        <w:t>Approbation des comptes sociaux 2025 présentant une perte nette de -8,04 milliards FCFA.</w:t>
      </w:r>
    </w:p>
    <w:p>
      <w:pPr>
        <w:pStyle w:val="ListBullet"/>
        <w:spacing w:before="20" w:after="20"/>
        <w:ind w:left="700"/>
      </w:pPr>
      <w:r>
        <w:rPr>
          <w:sz w:val="18"/>
        </w:rPr>
        <w:t>Renouvellement de la délégation au Conseil d'Administration pour une augmentation de capital jusqu'à 160 milliards FCFA.</w:t>
      </w:r>
    </w:p>
    <w:p>
      <w:pPr>
        <w:pStyle w:val="ListBullet"/>
        <w:spacing w:before="20" w:after="20"/>
        <w:ind w:left="700"/>
      </w:pPr>
      <w:r>
        <w:rPr>
          <w:sz w:val="18"/>
        </w:rPr>
        <w:t>Aucune distribution de dividendes au titre de l'exercice 2025.</w:t>
      </w:r>
    </w:p>
    <w:p>
      <w:pPr>
        <w:pStyle w:val="ListBullet"/>
        <w:spacing w:before="20" w:after="20"/>
        <w:ind w:left="700"/>
      </w:pPr>
      <w:r>
        <w:rPr>
          <w:sz w:val="18"/>
        </w:rPr>
        <w:t>Renouvellement des mandats des commissaires aux comptes et nomination d'un nouveau suppléant.</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PNB, la forte am\u00e9lioration du r\u00e9sultat net (+37%) t\u00e9moigne d'une bonne ma\u00eetrise op\u00e9rationnelle. La croissance des d\u00e9p\u00f4ts et l'optimisation des co\u00fbts compensent le contexte difficile."}</w:t>
      </w:r>
    </w:p>
    <w:p>
      <w:pPr>
        <w:spacing w:before="40"/>
        <w:ind w:left="400"/>
      </w:pPr>
      <w:r>
        <w:rPr>
          <w:sz w:val="18"/>
        </w:rPr>
        <w:t>Oragroup présente des résultats contrastés au T1 2026 avec une baisse de 2% du Produit Net Bancaire à 50,124 millions FCFA. Le Résultat Net progresse fortement de 37% à 6,555 millions FCFA grâce à l'amélioration du coût du risque et des frais généraux. Les dépôts clientèle augmentent de 14% à 3,343 milliards FCFA tandis que les crédits nets reculent de 12%. Le groupe évolue dans un contexte difficile marqué par les tensions géopolitiques au Moyen-Orient et l'instabilité macroéconomique africaine. La stratégie d'optimisation du financement et de mobilisation de ressources moins coûteuses est poursuivie.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'1,433,787 millions FCFA', 'depots_clientele': '3,343,025 millions FCFA', 'resultat_avant_impots': '7,762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6,555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50,124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en baisse de 2% à 50,124 millions FCFA</w:t>
      </w:r>
    </w:p>
    <w:p>
      <w:pPr>
        <w:pStyle w:val="ListBullet"/>
        <w:spacing w:before="20" w:after="20"/>
        <w:ind w:left="700"/>
      </w:pPr>
      <w:r>
        <w:rPr>
          <w:sz w:val="18"/>
        </w:rPr>
        <w:t>Résultat Net en forte hausse de 37% à 6,555 millions FCFA</w:t>
      </w:r>
    </w:p>
    <w:p>
      <w:pPr>
        <w:pStyle w:val="ListBullet"/>
        <w:spacing w:before="20" w:after="20"/>
        <w:ind w:left="700"/>
      </w:pPr>
      <w:r>
        <w:rPr>
          <w:sz w:val="18"/>
        </w:rPr>
        <w:t>Amélioration du coût du risque avec une baisse de 10%</w:t>
      </w:r>
    </w:p>
    <w:p>
      <w:pPr>
        <w:pStyle w:val="ListBullet"/>
        <w:spacing w:before="20" w:after="20"/>
        <w:ind w:left="700"/>
      </w:pPr>
      <w:r>
        <w:rPr>
          <w:sz w:val="18"/>
        </w:rPr>
        <w:t>Progression des frais généraux maîtrisée en recul de 44%</w:t>
      </w:r>
    </w:p>
    <w:p>
      <w:pPr>
        <w:pStyle w:val="ListBullet"/>
        <w:spacing w:before="20" w:after="20"/>
        <w:ind w:left="700"/>
      </w:pPr>
      <w:r>
        <w:rPr>
          <w:sz w:val="18"/>
        </w:rPr>
        <w:t>Croissance des dépôts clientèle de 14% à 3,343 milliards FCFA</w:t>
      </w:r>
    </w:p>
    <w:p>
      <w:pPr>
        <w:pStyle w:val="ListBullet"/>
        <w:spacing w:before="20" w:after="20"/>
        <w:ind w:left="700"/>
      </w:pPr>
      <w:r>
        <w:rPr>
          <w:sz w:val="18"/>
        </w:rPr>
        <w:t>Contraction des crédits nets à la clientèle de 12%</w:t>
      </w:r>
    </w:p>
    <w:p>
      <w:pPr>
        <w:spacing w:before="40"/>
        <w:ind w:left="400"/>
      </w:pPr>
      <w:r>
        <w:rPr>
          <w:b/>
          <w:color w:val="C05000"/>
          <w:sz w:val="18"/>
        </w:rPr>
        <w:t xml:space="preserve">⚠️ Risques : </w:t>
      </w:r>
      <w:r>
        <w:rPr>
          <w:sz w:val="18"/>
        </w:rPr>
        <w:t>["Impact des tensions g\u00e9opolitiques au Moyen-Orient sur les prix des mati\u00e8res premi\u00e8res", "Instabilit\u00e9 macro\u00e9conomique dans les \u00e9conomies africaines de pr\u00e9sence", "Contraction de l'activit\u00e9 de cr\u00e9dit affectant la croissance future"]</w:t>
      </w:r>
    </w:p>
    <w:p>
      <w:pPr>
        <w:spacing w:before="40"/>
        <w:ind w:left="400"/>
      </w:pPr>
      <w:r>
        <w:rPr>
          <w:b/>
          <w:color w:val="0064A0"/>
          <w:sz w:val="18"/>
        </w:rPr>
        <w:t xml:space="preserve">🔮 Perspectives : </w:t>
      </w:r>
      <w:r>
        <w:rPr>
          <w:sz w:val="18"/>
        </w:rPr>
        <w:t>Le groupe mise sur sa stratégie d'optimisation du financement et de mobilisation de ressources moins coûteuses pour améliorer sa rentabilité. La poursuite de la maîtrise des coûts et du risque devrait soutenir la performance malgré un environnement économique challenging.</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am\u00e9lioration de la rentabilit\u00e9 et la ma\u00eetrise du co\u00fbt du risque sont encourageantes. Cependant, le recul du PNB et la baisse des cr\u00e9dits n\u00e9cessitent une surveillance de la dynamique commerciale."}</w:t>
      </w:r>
    </w:p>
    <w:p>
      <w:pPr>
        <w:spacing w:before="40"/>
        <w:ind w:left="400"/>
      </w:pPr>
      <w:r>
        <w:rPr>
          <w:sz w:val="18"/>
        </w:rPr>
        <w:t>ORAGROUP présente des résultats financiers en nette amélioration pour 2025 avec un retour à la rentabilité après les difficultés de 2024. Le groupe affiche un résultat net consolidé positif de 21,6 milliards FCFA contre une perte de 44,4 milliards FCFA en 2024. Le produit net bancaire s'établit à 186,6 milliards FCFA, en léger recul par rapport aux 195,4 milliards de 2024. Les capitaux propres se renforcent significativement à 113,2 milliards FCFA contre 96,7 milliards en 2024. Le total du bilan progresse légèrement à 4 014 milliards FCFA contre 3 961 milliards en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'0,5%', 'ROE': '19,1%', 'cost_income_ratio': '80,6%', 'ratio_solvabilite': None}</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4 014 milliards FCFA</w:t>
            </w:r>
          </w:p>
        </w:tc>
      </w:tr>
      <w:tr>
        <w:tc>
          <w:tcPr>
            <w:tcW w:type="dxa" w:w="2160"/>
          </w:tcPr>
          <w:p>
            <w:r/>
            <w:r>
              <w:rPr>
                <w:b/>
                <w:sz w:val="16"/>
              </w:rPr>
              <w:t>resultat_net</w:t>
              <w:br/>
            </w:r>
            <w:r>
              <w:rPr>
                <w:sz w:val="18"/>
              </w:rPr>
              <w:t>21,6 milliards FCFA</w:t>
            </w:r>
          </w:p>
        </w:tc>
        <w:tc>
          <w:tcPr>
            <w:tcW w:type="dxa" w:w="2160"/>
          </w:tcPr>
          <w:p>
            <w:r/>
            <w:r>
              <w:rPr>
                <w:b/>
                <w:sz w:val="16"/>
              </w:rPr>
              <w:t>capitaux_propres</w:t>
              <w:br/>
            </w:r>
            <w:r>
              <w:rPr>
                <w:sz w:val="18"/>
              </w:rPr>
              <w:t>113,2 milliards FCFA</w:t>
            </w:r>
          </w:p>
        </w:tc>
        <w:tc>
          <w:tcPr>
            <w:tcW w:type="dxa" w:w="2160"/>
          </w:tcPr>
          <w:p>
            <w:r/>
            <w:r>
              <w:rPr>
                <w:b/>
                <w:sz w:val="16"/>
              </w:rPr>
              <w:t>chiffre_affaires</w:t>
              <w:br/>
            </w:r>
            <w:r>
              <w:rPr>
                <w:sz w:val="18"/>
              </w:rPr>
              <w:t>186,6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rentabilité avec un résultat net de 21,6 milliards FCFA après une perte de 44,4 milliards en 2024</w:t>
      </w:r>
    </w:p>
    <w:p>
      <w:pPr>
        <w:pStyle w:val="ListBullet"/>
        <w:spacing w:before="20" w:after="20"/>
        <w:ind w:left="700"/>
      </w:pPr>
      <w:r>
        <w:rPr>
          <w:sz w:val="18"/>
        </w:rPr>
        <w:t>Amélioration spectaculaire du coût du risque qui passe de 69,1 milliards FCFA en 2024 à 7,0 milliards en 2025</w:t>
      </w:r>
    </w:p>
    <w:p>
      <w:pPr>
        <w:pStyle w:val="ListBullet"/>
        <w:spacing w:before="20" w:after="20"/>
        <w:ind w:left="700"/>
      </w:pPr>
      <w:r>
        <w:rPr>
          <w:sz w:val="18"/>
        </w:rPr>
        <w:t>Renforcement des capitaux propres à 113,2 milliards FCFA (+17,0% par rapport à 2024)</w:t>
      </w:r>
    </w:p>
    <w:p>
      <w:pPr>
        <w:pStyle w:val="ListBullet"/>
        <w:spacing w:before="20" w:after="20"/>
        <w:ind w:left="700"/>
      </w:pPr>
      <w:r>
        <w:rPr>
          <w:sz w:val="18"/>
        </w:rPr>
        <w:t>Léger recul du produit net bancaire à 186,6 milliards FCFA (-4,5% vs 2024)</w:t>
      </w:r>
    </w:p>
    <w:p>
      <w:pPr>
        <w:pStyle w:val="ListBullet"/>
        <w:spacing w:before="20" w:after="20"/>
        <w:ind w:left="700"/>
      </w:pPr>
      <w:r>
        <w:rPr>
          <w:sz w:val="18"/>
        </w:rPr>
        <w:t>Réduction des charges d'exploitation à 150,5 milliards FCFA contre 171,1 milliards en 2024</w:t>
      </w:r>
    </w:p>
    <w:p>
      <w:pPr>
        <w:pStyle w:val="ListBullet"/>
        <w:spacing w:before="20" w:after="20"/>
        <w:ind w:left="700"/>
      </w:pPr>
      <w:r>
        <w:rPr>
          <w:sz w:val="18"/>
        </w:rPr>
        <w:t>Augmentation des dépôts clientèle à 3 089 milliards FCFA (+5,3% vs 2024)</w:t>
      </w:r>
    </w:p>
    <w:p>
      <w:pPr>
        <w:spacing w:before="40"/>
        <w:ind w:left="400"/>
      </w:pPr>
      <w:r>
        <w:rPr>
          <w:b/>
          <w:color w:val="C05000"/>
          <w:sz w:val="18"/>
        </w:rPr>
        <w:t xml:space="preserve">⚠️ Risques : </w:t>
      </w:r>
      <w:r>
        <w:rPr>
          <w:sz w:val="18"/>
        </w:rPr>
        <w:t>["Environnement \u00e9conomique difficile dans les pays d'implantation pouvant affecter la qualit\u00e9 des actifs", "Recul de l'activit\u00e9 de cr\u00e9dit qui pourrait impacter la croissance future des revenus", "Exposition aux risques de change et de taux dans un contexte d'instabilit\u00e9 mon\</w:t>
      </w:r>
    </w:p>
    <w:p>
      <w:pPr>
        <w:spacing w:before="40"/>
        <w:ind w:left="400"/>
      </w:pPr>
      <w:r>
        <w:rPr>
          <w:b/>
          <w:color w:val="0064A0"/>
          <w:sz w:val="18"/>
        </w:rPr>
        <w:t xml:space="preserve">🔮 Perspectives : </w:t>
      </w:r>
      <w:r>
        <w:rPr>
          <w:sz w:val="18"/>
        </w:rPr>
        <w:t>Les perspectives pour 2026 semblent favorables avec la consolidation du redressement opérationnel et la maîtrise des risques. Le groupe devra néanmoins relancer sa dynamique commerciale pour soutenir la croissance du PNB et retrouver une trajectoire de croissance durable. La poursuite de l'améliorat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spectaculaire des r\u00e9sultats et la ma\u00eetrise des risques d\u00e9montrent une gestion efficace. Cependant, la baisse du PNB et l'environnement \u00e9conomique incertain justifient une prudence."}</w:t>
      </w:r>
    </w:p>
    <w:p>
      <w:pPr>
        <w:spacing w:before="40"/>
        <w:ind w:left="400"/>
      </w:pPr>
      <w:r>
        <w:rPr>
          <w:sz w:val="18"/>
        </w:rPr>
        <w:t>Oragroup affiche un redressement spectaculaire en 2025 avec un retour à la profitabilité après une année 2024 déficitaire. Le résultat net s'établit à 21,643 millions FCFA contre -44,363 millions en 2024, soit une amélioration de 149%. Cette performance s'explique principalement par une réduction drastique du coût net du risque de 90% et une baisse des frais généraux de 12%. Le produit net bancaire a légèrement reculé de 5% à 186,609 millions FCFA dans un contexte économique difficile. Le total bilan progresse modérément de 1% à 4,014 milliards FCFA avec une croissance des dépôts clientèle de 5%.</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'3,088,698 millions FCFA', 'cout_net_du_risque': '-6,971 millions FCFA', 'credits_nets_clientele': '1,523,765 millions FCFA', 'resultat_brut_exploitation': '36,137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11.6%</w:t>
            </w:r>
          </w:p>
        </w:tc>
        <w:tc>
          <w:tcPr>
            <w:tcW w:type="dxa" w:w="2160"/>
          </w:tcPr>
          <w:p>
            <w:pPr>
              <w:ind w:left="100"/>
            </w:pPr>
            <w:r/>
            <w:r>
              <w:rPr>
                <w:b/>
                <w:sz w:val="16"/>
              </w:rPr>
              <w:t>total_actif</w:t>
              <w:br/>
            </w:r>
            <w:r>
              <w:rPr>
                <w:sz w:val="18"/>
              </w:rPr>
              <w:t>4,014,192 millions FCFA</w:t>
            </w:r>
          </w:p>
        </w:tc>
      </w:tr>
      <w:tr>
        <w:tc>
          <w:tcPr>
            <w:tcW w:type="dxa" w:w="2160"/>
          </w:tcPr>
          <w:p>
            <w:r/>
            <w:r>
              <w:rPr>
                <w:b/>
                <w:sz w:val="16"/>
              </w:rPr>
              <w:t>resultat_net</w:t>
              <w:br/>
            </w:r>
            <w:r>
              <w:rPr>
                <w:sz w:val="18"/>
              </w:rPr>
              <w:t>21,643 millions FCFA</w:t>
            </w:r>
          </w:p>
        </w:tc>
        <w:tc>
          <w:tcPr>
            <w:tcW w:type="dxa" w:w="2160"/>
          </w:tcPr>
          <w:p>
            <w:r/>
            <w:r>
              <w:rPr>
                <w:b/>
                <w:sz w:val="16"/>
              </w:rPr>
              <w:t>capitaux_propres</w:t>
              <w:br/>
            </w:r>
            <w:r>
              <w:rPr>
                <w:sz w:val="18"/>
              </w:rPr>
              <w:t>113,165 millions FCFA</w:t>
            </w:r>
          </w:p>
        </w:tc>
        <w:tc>
          <w:tcPr>
            <w:tcW w:type="dxa" w:w="2160"/>
          </w:tcPr>
          <w:p>
            <w:r/>
            <w:r>
              <w:rPr>
                <w:b/>
                <w:sz w:val="16"/>
              </w:rPr>
              <w:t>chiffre_affaires</w:t>
              <w:br/>
            </w:r>
            <w:r>
              <w:rPr>
                <w:sz w:val="18"/>
              </w:rPr>
              <w:t>186,609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Retour à la profitabilité avec un résultat net de 21,643 millions FCFA (+149%)</w:t>
      </w:r>
    </w:p>
    <w:p>
      <w:pPr>
        <w:pStyle w:val="ListBullet"/>
        <w:spacing w:before="20" w:after="20"/>
        <w:ind w:left="700"/>
      </w:pPr>
      <w:r>
        <w:rPr>
          <w:sz w:val="18"/>
        </w:rPr>
        <w:t>Amélioration drastique du coût net du risque à -6,971 millions FCFA (-90%)</w:t>
      </w:r>
    </w:p>
    <w:p>
      <w:pPr>
        <w:pStyle w:val="ListBullet"/>
        <w:spacing w:before="20" w:after="20"/>
        <w:ind w:left="700"/>
      </w:pPr>
      <w:r>
        <w:rPr>
          <w:sz w:val="18"/>
        </w:rPr>
        <w:t>Réduction significative des frais généraux de 12% grâce aux efforts d'optimisation</w:t>
      </w:r>
    </w:p>
    <w:p>
      <w:pPr>
        <w:pStyle w:val="ListBullet"/>
        <w:spacing w:before="20" w:after="20"/>
        <w:ind w:left="700"/>
      </w:pPr>
      <w:r>
        <w:rPr>
          <w:sz w:val="18"/>
        </w:rPr>
        <w:t>Baisse du produit net bancaire de 5% impactée par l'environnement économique difficile</w:t>
      </w:r>
    </w:p>
    <w:p>
      <w:pPr>
        <w:pStyle w:val="ListBullet"/>
        <w:spacing w:before="20" w:after="20"/>
        <w:ind w:left="700"/>
      </w:pPr>
      <w:r>
        <w:rPr>
          <w:sz w:val="18"/>
        </w:rPr>
        <w:t>Croissance des dépôts clientèle de 5% à 3,088,698 millions FCFA</w:t>
      </w:r>
    </w:p>
    <w:p>
      <w:pPr>
        <w:pStyle w:val="ListBullet"/>
        <w:spacing w:before="20" w:after="20"/>
        <w:ind w:left="700"/>
      </w:pPr>
      <w:r>
        <w:rPr>
          <w:sz w:val="18"/>
        </w:rPr>
        <w:t>Diminution des crédits nets à la clientèle de 8% reflétant une politique de risque sélective</w:t>
      </w:r>
    </w:p>
    <w:p>
      <w:pPr>
        <w:spacing w:before="40"/>
        <w:ind w:left="400"/>
      </w:pPr>
      <w:r>
        <w:rPr>
          <w:b/>
          <w:color w:val="C05000"/>
          <w:sz w:val="18"/>
        </w:rPr>
        <w:t xml:space="preserve">⚠️ Risques : </w:t>
      </w:r>
      <w:r>
        <w:rPr>
          <w:sz w:val="18"/>
        </w:rPr>
        <w:t>["Environnement \u00e9conomique africain d\u00e9favorable avec croissance insuffisante selon la Banque Mondiale", "Baisse du produit net bancaire refl\u00e9tant des difficult\u00e9s commerciales", "R\u00e9duction du portefeuille de cr\u00e9dits pouvant limiter la croissance future"]</w:t>
      </w:r>
    </w:p>
    <w:p>
      <w:pPr>
        <w:spacing w:before="40"/>
        <w:ind w:left="400"/>
      </w:pPr>
      <w:r>
        <w:rPr>
          <w:b/>
          <w:color w:val="0064A0"/>
          <w:sz w:val="18"/>
        </w:rPr>
        <w:t xml:space="preserve">🔮 Perspectives : </w:t>
      </w:r>
      <w:r>
        <w:rPr>
          <w:sz w:val="18"/>
        </w:rPr>
        <w:t>La direction poursuit sa stratégie de contrôle strict des coûts et de surveillance rapprochée des portefeuilles de crédit initiée en 2023. Le plan d'action consolidé en 2024 et 2025 continuera à produire ses effets au cours de l'exercice 2026 pour une amélioration durable des performances.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semestrielle, la solidit\u00e9 du bilan et la valorisation croissante des filiales bancaires offrent un potentiel de redressement. La structure financi\u00e8re reste robuste avec des capitaux propres repr\u00e9sentant pr\u00e8s de 60% du bilan."}</w:t>
      </w:r>
    </w:p>
    <w:p>
      <w:pPr>
        <w:spacing w:before="40"/>
        <w:ind w:left="400"/>
      </w:pPr>
      <w:r>
        <w:rPr>
          <w:sz w:val="18"/>
        </w:rPr>
        <w:t>ORAGROUP S.A., holding bancaire du Groupe Orabank, présente des résultats semestriels décevants au 30 juin 2021 avec une perte nette de 1,067 milliard FCFA contre un bénéfice de 2,19 milliards FCFA en 2020. La dégradation s'explique principalement par une marge nette d'intérêts négative de -1,683 milliard FCFA et des charges d'intérêts élevées de 2,891 milliards FCFA sur les emprunts interbancaires. Malgré cette performance opérationnelle difficile, la société maintient une structure bilancielle solide avec un total actif de 298,9 milliards FCFA et des capitaux propres de 177 milliards FCFA. Le portefeuille de participations dans les filiales bancaires représente 217,9 milliards FCFA en just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{'emprunts_long_terme': '117,9 milliards FCFA', 'marge_nette_interets': '-1,683 milliard FCFA', 'ratio_capitaux_propres': '59,2%', 'juste_valeur_participations': '217,9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-24,9%</w:t>
            </w:r>
          </w:p>
        </w:tc>
        <w:tc>
          <w:tcPr>
            <w:tcW w:type="dxa" w:w="2160"/>
          </w:tcPr>
          <w:p>
            <w:pPr>
              <w:ind w:left="100"/>
            </w:pPr>
            <w:r/>
            <w:r>
              <w:rPr>
                <w:b/>
                <w:sz w:val="16"/>
              </w:rPr>
              <w:t>total_actif</w:t>
              <w:br/>
            </w:r>
            <w:r>
              <w:rPr>
                <w:sz w:val="18"/>
              </w:rPr>
              <w:t>298,9 milliards FCFA</w:t>
            </w:r>
          </w:p>
        </w:tc>
      </w:tr>
      <w:tr>
        <w:tc>
          <w:tcPr>
            <w:tcW w:type="dxa" w:w="2160"/>
          </w:tcPr>
          <w:p>
            <w:r/>
            <w:r>
              <w:rPr>
                <w:b/>
                <w:sz w:val="16"/>
              </w:rPr>
              <w:t>resultat_net</w:t>
              <w:br/>
            </w:r>
            <w:r>
              <w:rPr>
                <w:sz w:val="18"/>
              </w:rPr>
              <w:t>-1,067 milliard FCFA</w:t>
            </w:r>
          </w:p>
        </w:tc>
        <w:tc>
          <w:tcPr>
            <w:tcW w:type="dxa" w:w="2160"/>
          </w:tcPr>
          <w:p>
            <w:r/>
            <w:r>
              <w:rPr>
                <w:b/>
                <w:sz w:val="16"/>
              </w:rPr>
              <w:t>capitaux_propres</w:t>
              <w:br/>
            </w:r>
            <w:r>
              <w:rPr>
                <w:sz w:val="18"/>
              </w:rPr>
              <w:t>177 milliards FCFA</w:t>
            </w:r>
          </w:p>
        </w:tc>
        <w:tc>
          <w:tcPr>
            <w:tcW w:type="dxa" w:w="2160"/>
          </w:tcPr>
          <w:p>
            <w:r/>
            <w:r>
              <w:rPr>
                <w:b/>
                <w:sz w:val="16"/>
              </w:rPr>
              <w:t>chiffre_affaires</w:t>
              <w:br/>
            </w:r>
            <w:r>
              <w:rPr>
                <w:sz w:val="18"/>
              </w:rPr>
              <w:t>4,281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Perte nette semestrielle de 1,067 milliard FCFA contre un bénéfice de 2,19 milliards FCFA en 2020</w:t>
      </w:r>
    </w:p>
    <w:p>
      <w:pPr>
        <w:pStyle w:val="ListBullet"/>
        <w:spacing w:before="20" w:after="20"/>
        <w:ind w:left="700"/>
      </w:pPr>
      <w:r>
        <w:rPr>
          <w:sz w:val="18"/>
        </w:rPr>
        <w:t>Marge nette d'intérêts fortement négative à -1,683 milliard FCFA impactée par des charges d'intérêts de 2,891 milliards FCFA</w:t>
      </w:r>
    </w:p>
    <w:p>
      <w:pPr>
        <w:pStyle w:val="ListBullet"/>
        <w:spacing w:before="20" w:after="20"/>
        <w:ind w:left="700"/>
      </w:pPr>
      <w:r>
        <w:rPr>
          <w:sz w:val="18"/>
        </w:rPr>
        <w:t>Valorisation du portefeuille de participations en hausse à 217,9 milliards FCFA (+25,8 milliards vs décembre 2020)</w:t>
      </w:r>
    </w:p>
    <w:p>
      <w:pPr>
        <w:pStyle w:val="ListBullet"/>
        <w:spacing w:before="20" w:after="20"/>
        <w:ind w:left="700"/>
      </w:pPr>
      <w:r>
        <w:rPr>
          <w:sz w:val="18"/>
        </w:rPr>
        <w:t>Augmentation de capital de 10 milliards FCFA réalisée dans Orabank Côte d'Ivoire</w:t>
      </w:r>
    </w:p>
    <w:p>
      <w:pPr>
        <w:pStyle w:val="ListBullet"/>
        <w:spacing w:before="20" w:after="20"/>
        <w:ind w:left="700"/>
      </w:pPr>
      <w:r>
        <w:rPr>
          <w:sz w:val="18"/>
        </w:rPr>
        <w:t>Endettement à long terme en hausse à 117,9 milliards FCFA contre 91,2 milliards en décembre 2020</w:t>
      </w:r>
    </w:p>
    <w:p>
      <w:pPr>
        <w:pStyle w:val="ListBullet"/>
        <w:spacing w:before="20" w:after="20"/>
        <w:ind w:left="700"/>
      </w:pPr>
      <w:r>
        <w:rPr>
          <w:sz w:val="18"/>
        </w:rPr>
        <w:t>Capitaux propres solides à 177 milliards FCFA représentant 59% du total bilan</w:t>
      </w:r>
    </w:p>
    <w:p>
      <w:pPr>
        <w:spacing w:before="40"/>
        <w:ind w:left="400"/>
      </w:pPr>
      <w:r>
        <w:rPr>
          <w:b/>
          <w:color w:val="C05000"/>
          <w:sz w:val="18"/>
        </w:rPr>
        <w:t xml:space="preserve">⚠️ Risques : </w:t>
      </w:r>
      <w:r>
        <w:rPr>
          <w:sz w:val="18"/>
        </w:rPr>
        <w:t>["Charges d'int\u00e9r\u00eats \u00e9lev\u00e9es pesant sur la rentabilit\u00e9 avec 2,891 milliards FCFA de co\u00fbts de financement", "Endettement croissant avec 117,9 milliards FCFA d'emprunts \u00e0 long terme n\u00e9cessitant une gestion rigoureuse", "D\u00e9pendance aux performances des filia</w:t>
      </w:r>
    </w:p>
    <w:p>
      <w:pPr>
        <w:spacing w:before="40"/>
        <w:ind w:left="400"/>
      </w:pPr>
      <w:r>
        <w:rPr>
          <w:b/>
          <w:color w:val="0064A0"/>
          <w:sz w:val="18"/>
        </w:rPr>
        <w:t xml:space="preserve">🔮 Perspectives : </w:t>
      </w:r>
      <w:r>
        <w:rPr>
          <w:sz w:val="18"/>
        </w:rPr>
        <w:t>Le redressement dépendra de l'optimisation de la structure de financement pour réduire les charges d'intérêts et de l'amélioration des performances des filiales bancaires. La valorisation croissante du portefeuille de participations et les augmentations de capital dans les filiales laissent présager</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avec un retour \u00e0 la rentabilit\u00e9 et une am\u00e9lioration drastique de la gestion des risques confirme l'efficacit\u00e9 de la strat\u00e9gie de restructuration. La ma\u00eetrise des co\u00fbts et l'optimisation du portefeuille cr\u00e9dit positionnent favorablement le groupe pour la suite."}</w:t>
      </w:r>
    </w:p>
    <w:p>
      <w:pPr>
        <w:spacing w:before="40"/>
        <w:ind w:left="400"/>
      </w:pPr>
      <w:r>
        <w:rPr>
          <w:sz w:val="18"/>
        </w:rPr>
        <w:t>Oragroup présente un redressement spectaculaire au 3ème trimestre 2025 avec un résultat net positif de 19,6 milliards FCFA contre une perte de 13,2 milliards un an plus tôt. Cette performance exceptionnelle (+248%) résulte principalement d'une baisse drastique de 74% du coût net du risque grâce à l'intensification des actions de recouvrement. Le Produit Net Bancaire recule légèrement de 4% à 152,6 milliards FCFA, conséquence d'une stratégie d'optimisation des financements. Les dépôts clientèle progressent modestement de 1% tandis que les crédits nets diminuent de 12%. La maîtrise des frais généraux (-15%) contribue significativement à l'amélioration de la rentabilité.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{'credits_nets': '1 482 535 millions FCFA', 'capital_social': '69 415 031 000 FCFA', 'depots_clientele': '3 031 267 millions FCFA', 'resultat_avant_impots': '24 108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19 604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152 559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 résultat net de 19,6 milliards FCFA contre -13,2 milliards en septembre 2024 (+248%)</w:t>
      </w:r>
    </w:p>
    <w:p>
      <w:pPr>
        <w:pStyle w:val="ListBullet"/>
        <w:spacing w:before="20" w:after="20"/>
        <w:ind w:left="700"/>
      </w:pPr>
      <w:r>
        <w:rPr>
          <w:sz w:val="18"/>
        </w:rPr>
        <w:t>Résultat avant impôts positif de 24,1 milliards FCFA contre -9,9 milliards l'année précédente (+344%)</w:t>
      </w:r>
    </w:p>
    <w:p>
      <w:pPr>
        <w:pStyle w:val="ListBullet"/>
        <w:spacing w:before="20" w:after="20"/>
        <w:ind w:left="700"/>
      </w:pPr>
      <w:r>
        <w:rPr>
          <w:sz w:val="18"/>
        </w:rPr>
        <w:t>Baisse drastique de 74% du coût net du risque grâce aux actions de recouvrement intensifiées</w:t>
      </w:r>
    </w:p>
    <w:p>
      <w:pPr>
        <w:pStyle w:val="ListBullet"/>
        <w:spacing w:before="20" w:after="20"/>
        <w:ind w:left="700"/>
      </w:pPr>
      <w:r>
        <w:rPr>
          <w:sz w:val="18"/>
        </w:rPr>
        <w:t>Maîtrise exemplaire des frais généraux avec une réduction de 15%</w:t>
      </w:r>
    </w:p>
    <w:p>
      <w:pPr>
        <w:pStyle w:val="ListBullet"/>
        <w:spacing w:before="20" w:after="20"/>
        <w:ind w:left="700"/>
      </w:pPr>
      <w:r>
        <w:rPr>
          <w:sz w:val="18"/>
        </w:rPr>
        <w:t>Stratégie d'optimisation des financements : baisse volontaire des crédits nets de 12% (-199 milliards FCFA)</w:t>
      </w:r>
    </w:p>
    <w:p>
      <w:pPr>
        <w:pStyle w:val="ListBullet"/>
        <w:spacing w:before="20" w:after="20"/>
        <w:ind w:left="700"/>
      </w:pPr>
      <w:r>
        <w:rPr>
          <w:sz w:val="18"/>
        </w:rPr>
        <w:t>Produit Net Bancaire en léger recul de 4% à 152,6 milliards FCFA</w:t>
      </w:r>
    </w:p>
    <w:p>
      <w:pPr>
        <w:spacing w:before="40"/>
        <w:ind w:left="400"/>
      </w:pPr>
      <w:r>
        <w:rPr>
          <w:b/>
          <w:color w:val="C05000"/>
          <w:sz w:val="18"/>
        </w:rPr>
        <w:t xml:space="preserve">⚠️ Risques : </w:t>
      </w:r>
      <w:r>
        <w:rPr>
          <w:sz w:val="18"/>
        </w:rPr>
        <w:t>["Baisse continue du volume des cr\u00e9dits (-12%) pouvant limiter la croissance future des revenus", "Environnement \u00e9conomique complexe dans la zone d'activit\u00e9 du groupe", "Concentration des efforts sur le recouvrement qui pourrait impacter le d\u00e9veloppement commercial"]</w:t>
      </w:r>
    </w:p>
    <w:p>
      <w:pPr>
        <w:spacing w:before="40"/>
        <w:ind w:left="400"/>
      </w:pPr>
      <w:r>
        <w:rPr>
          <w:b/>
          <w:color w:val="0064A0"/>
          <w:sz w:val="18"/>
        </w:rPr>
        <w:t xml:space="preserve">🔮 Perspectives : </w:t>
      </w:r>
      <w:r>
        <w:rPr>
          <w:sz w:val="18"/>
        </w:rPr>
        <w:t>La dynamique positive observée sur les trois premiers trimestres 2025 devrait se poursuivre avec une rentabilité durablement restaurée. Le groupe semble bien positionné pour maintenir sa trajectoire de redressement grâce à sa stratégie d'optimisation et sa maîtrise des risques, tout en cherchant à r</w:t>
      </w:r>
    </w:p>
    <w:p/>
    <w:p>
      <w:r>
        <w:t>════════════════════════════════════════════════════════════════════════════════</w:t>
      </w:r>
    </w:p>
    <w:p>
      <w:r>
        <w:br w:type="page"/>
      </w:r>
    </w:p>
    <w:p>
      <w:pPr>
        <w:pStyle w:val="Heading2"/>
        <w:spacing w:before="360"/>
      </w:pPr>
      <w:r>
        <w:rPr>
          <w:color w:val="0066CC"/>
        </w:rPr>
        <w:t>25. PALC - PALC - PALM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PALC</w:t>
            </w:r>
          </w:p>
          <w:p>
            <w:r>
              <w:rPr>
                <w:b/>
                <w:color w:val="323250"/>
                <w:sz w:val="16"/>
              </w:rPr>
              <w:t xml:space="preserve">Société : </w:t>
            </w:r>
            <w:r>
              <w:rPr>
                <w:color w:val="000000"/>
                <w:sz w:val="16"/>
              </w:rPr>
              <w:t>PALC - PALM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140.68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3,564 titres</w:t>
            </w:r>
          </w:p>
        </w:tc>
        <w:tc>
          <w:tcPr>
            <w:tcW w:type="dxa" w:w="2268"/>
            <w:shd w:fill="FFF2CC" w:val="clear"/>
          </w:tcPr>
          <w:p>
            <w:r>
              <w:rPr>
                <w:b/>
                <w:color w:val="503200"/>
                <w:sz w:val="16"/>
              </w:rPr>
              <w:t xml:space="preserve">Cours actuel : </w:t>
            </w:r>
            <w:r>
              <w:rPr>
                <w:color w:val="000000"/>
                <w:sz w:val="17"/>
              </w:rPr>
              <w:t>9,100 FCFA</w:t>
            </w:r>
          </w:p>
          <w:p>
            <w:r>
              <w:rPr>
                <w:b/>
                <w:color w:val="503200"/>
                <w:sz w:val="16"/>
              </w:rPr>
              <w:t xml:space="preserve">Var. 100 jours : </w:t>
            </w:r>
            <w:r>
              <w:rPr>
                <w:b/>
                <w:color w:val="007800"/>
                <w:sz w:val="17"/>
              </w:rPr>
              <w:t>+12.62%</w:t>
            </w:r>
          </w:p>
          <w:p>
            <w:r>
              <w:rPr>
                <w:b/>
                <w:color w:val="503200"/>
                <w:sz w:val="16"/>
              </w:rPr>
              <w:t xml:space="preserve">Plus haut 100j : </w:t>
            </w:r>
            <w:r>
              <w:rPr>
                <w:color w:val="000000"/>
                <w:sz w:val="17"/>
              </w:rPr>
              <w:t>9,640 FCFA</w:t>
            </w:r>
          </w:p>
          <w:p>
            <w:r>
              <w:rPr>
                <w:b/>
                <w:color w:val="503200"/>
                <w:sz w:val="16"/>
              </w:rPr>
              <w:t xml:space="preserve">Plus bas 100j : </w:t>
            </w:r>
            <w:r>
              <w:rPr>
                <w:color w:val="000000"/>
                <w:sz w:val="17"/>
              </w:rPr>
              <w:t>7,000 FCFA</w:t>
            </w:r>
          </w:p>
          <w:p>
            <w:r>
              <w:rPr>
                <w:b/>
                <w:color w:val="503200"/>
                <w:sz w:val="16"/>
              </w:rPr>
              <w:t xml:space="preserve">Volatilité ann. : </w:t>
            </w:r>
            <w:r>
              <w:rPr>
                <w:color w:val="000000"/>
                <w:sz w:val="17"/>
              </w:rPr>
              <w:t>37.5%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6.49% (Moyenne) — μ=8,470 FCFA, σ=550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β=-0.2180 (Contre-cyclique) — Cov=-0.000008, Var(idx)=0.000035, ρ=-0.055,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3,564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σ_j=2.36%/j (Stable) — Vol. annualisée≈37.5%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27" name="Picture 27"/>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2026-08-28</w:t>
            </w:r>
          </w:p>
        </w:tc>
        <w:tc>
          <w:tcPr>
            <w:tcW w:type="dxa" w:w="1440"/>
            <w:shd w:fill="FAFAFA" w:val="clear"/>
          </w:tcPr>
          <w:p>
            <w:r>
              <w:rPr>
                <w:sz w:val="17"/>
              </w:rPr>
              <w:t>9,002</w:t>
            </w:r>
          </w:p>
        </w:tc>
        <w:tc>
          <w:tcPr>
            <w:tcW w:type="dxa" w:w="1440"/>
            <w:shd w:fill="FAFAFA" w:val="clear"/>
          </w:tcPr>
          <w:p>
            <w:r>
              <w:rPr>
                <w:b/>
                <w:sz w:val="17"/>
              </w:rPr>
              <w:t>9,267</w:t>
            </w:r>
          </w:p>
        </w:tc>
        <w:tc>
          <w:tcPr>
            <w:tcW w:type="dxa" w:w="1440"/>
            <w:shd w:fill="FAFAFA" w:val="clear"/>
          </w:tcPr>
          <w:p>
            <w:r>
              <w:rPr>
                <w:sz w:val="17"/>
              </w:rPr>
              <w:t>9,532</w:t>
            </w:r>
          </w:p>
        </w:tc>
        <w:tc>
          <w:tcPr>
            <w:tcW w:type="dxa" w:w="1440"/>
            <w:shd w:fill="FAFAFA" w:val="clear"/>
          </w:tcPr>
          <w:p>
            <w:r>
              <w:rPr>
                <w:b/>
                <w:color w:val="008000"/>
                <w:sz w:val="17"/>
              </w:rPr>
              <w:t>+1.8%</w:t>
            </w:r>
          </w:p>
        </w:tc>
      </w:tr>
      <w:tr>
        <w:tc>
          <w:tcPr>
            <w:tcW w:type="dxa" w:w="1440"/>
            <w:shd w:fill="FAFAFA" w:val="clear"/>
          </w:tcPr>
          <w:p>
            <w:r>
              <w:rPr>
                <w:sz w:val="17"/>
              </w:rPr>
              <w:t>J+2  ⭐⭐⭐</w:t>
            </w:r>
          </w:p>
        </w:tc>
        <w:tc>
          <w:tcPr>
            <w:tcW w:type="dxa" w:w="1440"/>
            <w:shd w:fill="FAFAFA" w:val="clear"/>
          </w:tcPr>
          <w:p>
            <w:r>
              <w:rPr>
                <w:sz w:val="17"/>
              </w:rPr>
              <w:t>2026-08-31</w:t>
            </w:r>
          </w:p>
        </w:tc>
        <w:tc>
          <w:tcPr>
            <w:tcW w:type="dxa" w:w="1440"/>
            <w:shd w:fill="FAFAFA" w:val="clear"/>
          </w:tcPr>
          <w:p>
            <w:r>
              <w:rPr>
                <w:sz w:val="17"/>
              </w:rPr>
              <w:t>8,894</w:t>
            </w:r>
          </w:p>
        </w:tc>
        <w:tc>
          <w:tcPr>
            <w:tcW w:type="dxa" w:w="1440"/>
            <w:shd w:fill="FAFAFA" w:val="clear"/>
          </w:tcPr>
          <w:p>
            <w:r>
              <w:rPr>
                <w:b/>
                <w:sz w:val="17"/>
              </w:rPr>
              <w:t>9,269</w:t>
            </w:r>
          </w:p>
        </w:tc>
        <w:tc>
          <w:tcPr>
            <w:tcW w:type="dxa" w:w="1440"/>
            <w:shd w:fill="FAFAFA" w:val="clear"/>
          </w:tcPr>
          <w:p>
            <w:r>
              <w:rPr>
                <w:sz w:val="17"/>
              </w:rPr>
              <w:t>9,645</w:t>
            </w:r>
          </w:p>
        </w:tc>
        <w:tc>
          <w:tcPr>
            <w:tcW w:type="dxa" w:w="1440"/>
            <w:shd w:fill="FAFAFA" w:val="clear"/>
          </w:tcPr>
          <w:p>
            <w:r>
              <w:rPr>
                <w:b/>
                <w:color w:val="008000"/>
                <w:sz w:val="17"/>
              </w:rPr>
              <w:t>+1.9%</w:t>
            </w:r>
          </w:p>
        </w:tc>
      </w:tr>
      <w:tr>
        <w:tc>
          <w:tcPr>
            <w:tcW w:type="dxa" w:w="1440"/>
            <w:shd w:fill="C6EFCE" w:val="clear"/>
          </w:tcPr>
          <w:p>
            <w:r>
              <w:rPr>
                <w:sz w:val="17"/>
              </w:rPr>
              <w:t>J+3  ⭐⭐⭐</w:t>
            </w:r>
          </w:p>
        </w:tc>
        <w:tc>
          <w:tcPr>
            <w:tcW w:type="dxa" w:w="1440"/>
            <w:shd w:fill="C6EFCE" w:val="clear"/>
          </w:tcPr>
          <w:p>
            <w:r>
              <w:rPr>
                <w:sz w:val="17"/>
              </w:rPr>
              <w:t>2026-09-01</w:t>
            </w:r>
          </w:p>
        </w:tc>
        <w:tc>
          <w:tcPr>
            <w:tcW w:type="dxa" w:w="1440"/>
            <w:shd w:fill="C6EFCE" w:val="clear"/>
          </w:tcPr>
          <w:p>
            <w:r>
              <w:rPr>
                <w:sz w:val="17"/>
              </w:rPr>
              <w:t>8,836</w:t>
            </w:r>
          </w:p>
        </w:tc>
        <w:tc>
          <w:tcPr>
            <w:tcW w:type="dxa" w:w="1440"/>
            <w:shd w:fill="C6EFCE" w:val="clear"/>
          </w:tcPr>
          <w:p>
            <w:r>
              <w:rPr>
                <w:b/>
                <w:sz w:val="17"/>
              </w:rPr>
              <w:t>9,297</w:t>
            </w:r>
          </w:p>
        </w:tc>
        <w:tc>
          <w:tcPr>
            <w:tcW w:type="dxa" w:w="1440"/>
            <w:shd w:fill="C6EFCE" w:val="clear"/>
          </w:tcPr>
          <w:p>
            <w:r>
              <w:rPr>
                <w:sz w:val="17"/>
              </w:rPr>
              <w:t>9,759</w:t>
            </w:r>
          </w:p>
        </w:tc>
        <w:tc>
          <w:tcPr>
            <w:tcW w:type="dxa" w:w="1440"/>
            <w:shd w:fill="C6EFCE" w:val="clear"/>
          </w:tcPr>
          <w:p>
            <w:r>
              <w:rPr>
                <w:b/>
                <w:color w:val="008000"/>
                <w:sz w:val="17"/>
              </w:rPr>
              <w:t>+2.2%</w:t>
            </w:r>
          </w:p>
        </w:tc>
      </w:tr>
      <w:tr>
        <w:tc>
          <w:tcPr>
            <w:tcW w:type="dxa" w:w="1440"/>
            <w:shd w:fill="C6EFCE" w:val="clear"/>
          </w:tcPr>
          <w:p>
            <w:r>
              <w:rPr>
                <w:sz w:val="17"/>
              </w:rPr>
              <w:t>J+4  Moyenne</w:t>
            </w:r>
          </w:p>
        </w:tc>
        <w:tc>
          <w:tcPr>
            <w:tcW w:type="dxa" w:w="1440"/>
            <w:shd w:fill="C6EFCE" w:val="clear"/>
          </w:tcPr>
          <w:p>
            <w:r>
              <w:rPr>
                <w:sz w:val="17"/>
              </w:rPr>
              <w:t>2026-09-02</w:t>
            </w:r>
          </w:p>
        </w:tc>
        <w:tc>
          <w:tcPr>
            <w:tcW w:type="dxa" w:w="1440"/>
            <w:shd w:fill="C6EFCE" w:val="clear"/>
          </w:tcPr>
          <w:p>
            <w:r>
              <w:rPr>
                <w:sz w:val="17"/>
              </w:rPr>
              <w:t>8,792</w:t>
            </w:r>
          </w:p>
        </w:tc>
        <w:tc>
          <w:tcPr>
            <w:tcW w:type="dxa" w:w="1440"/>
            <w:shd w:fill="C6EFCE" w:val="clear"/>
          </w:tcPr>
          <w:p>
            <w:r>
              <w:rPr>
                <w:b/>
                <w:sz w:val="17"/>
              </w:rPr>
              <w:t>9,326</w:t>
            </w:r>
          </w:p>
        </w:tc>
        <w:tc>
          <w:tcPr>
            <w:tcW w:type="dxa" w:w="1440"/>
            <w:shd w:fill="C6EFCE" w:val="clear"/>
          </w:tcPr>
          <w:p>
            <w:r>
              <w:rPr>
                <w:sz w:val="17"/>
              </w:rPr>
              <w:t>9,860</w:t>
            </w:r>
          </w:p>
        </w:tc>
        <w:tc>
          <w:tcPr>
            <w:tcW w:type="dxa" w:w="1440"/>
            <w:shd w:fill="C6EFCE" w:val="clear"/>
          </w:tcPr>
          <w:p>
            <w:r>
              <w:rPr>
                <w:b/>
                <w:color w:val="008000"/>
                <w:sz w:val="17"/>
              </w:rPr>
              <w:t>+2.5%</w:t>
            </w:r>
          </w:p>
        </w:tc>
      </w:tr>
      <w:tr>
        <w:tc>
          <w:tcPr>
            <w:tcW w:type="dxa" w:w="1440"/>
            <w:shd w:fill="C6EFCE" w:val="clear"/>
          </w:tcPr>
          <w:p>
            <w:r>
              <w:rPr>
                <w:sz w:val="17"/>
              </w:rPr>
              <w:t>J+5  Moyenne</w:t>
            </w:r>
          </w:p>
        </w:tc>
        <w:tc>
          <w:tcPr>
            <w:tcW w:type="dxa" w:w="1440"/>
            <w:shd w:fill="C6EFCE" w:val="clear"/>
          </w:tcPr>
          <w:p>
            <w:r>
              <w:rPr>
                <w:sz w:val="17"/>
              </w:rPr>
              <w:t>2026-09-03</w:t>
            </w:r>
          </w:p>
        </w:tc>
        <w:tc>
          <w:tcPr>
            <w:tcW w:type="dxa" w:w="1440"/>
            <w:shd w:fill="C6EFCE" w:val="clear"/>
          </w:tcPr>
          <w:p>
            <w:r>
              <w:rPr>
                <w:sz w:val="17"/>
              </w:rPr>
              <w:t>8,753</w:t>
            </w:r>
          </w:p>
        </w:tc>
        <w:tc>
          <w:tcPr>
            <w:tcW w:type="dxa" w:w="1440"/>
            <w:shd w:fill="C6EFCE" w:val="clear"/>
          </w:tcPr>
          <w:p>
            <w:r>
              <w:rPr>
                <w:b/>
                <w:sz w:val="17"/>
              </w:rPr>
              <w:t>9,352</w:t>
            </w:r>
          </w:p>
        </w:tc>
        <w:tc>
          <w:tcPr>
            <w:tcW w:type="dxa" w:w="1440"/>
            <w:shd w:fill="C6EFCE" w:val="clear"/>
          </w:tcPr>
          <w:p>
            <w:r>
              <w:rPr>
                <w:sz w:val="17"/>
              </w:rPr>
              <w:t>9,951</w:t>
            </w:r>
          </w:p>
        </w:tc>
        <w:tc>
          <w:tcPr>
            <w:tcW w:type="dxa" w:w="1440"/>
            <w:shd w:fill="C6EFCE" w:val="clear"/>
          </w:tcPr>
          <w:p>
            <w:r>
              <w:rPr>
                <w:b/>
                <w:color w:val="008000"/>
                <w:sz w:val="17"/>
              </w:rPr>
              <w:t>+2.8%</w:t>
            </w:r>
          </w:p>
        </w:tc>
      </w:tr>
      <w:tr>
        <w:tc>
          <w:tcPr>
            <w:tcW w:type="dxa" w:w="1440"/>
            <w:shd w:fill="C6EFCE" w:val="clear"/>
          </w:tcPr>
          <w:p>
            <w:r>
              <w:rPr>
                <w:sz w:val="17"/>
              </w:rPr>
              <w:t>J+6  Moyenne</w:t>
            </w:r>
          </w:p>
        </w:tc>
        <w:tc>
          <w:tcPr>
            <w:tcW w:type="dxa" w:w="1440"/>
            <w:shd w:fill="C6EFCE" w:val="clear"/>
          </w:tcPr>
          <w:p>
            <w:r>
              <w:rPr>
                <w:sz w:val="17"/>
              </w:rPr>
              <w:t>2026-09-04</w:t>
            </w:r>
          </w:p>
        </w:tc>
        <w:tc>
          <w:tcPr>
            <w:tcW w:type="dxa" w:w="1440"/>
            <w:shd w:fill="C6EFCE" w:val="clear"/>
          </w:tcPr>
          <w:p>
            <w:r>
              <w:rPr>
                <w:sz w:val="17"/>
              </w:rPr>
              <w:t>8,720</w:t>
            </w:r>
          </w:p>
        </w:tc>
        <w:tc>
          <w:tcPr>
            <w:tcW w:type="dxa" w:w="1440"/>
            <w:shd w:fill="C6EFCE" w:val="clear"/>
          </w:tcPr>
          <w:p>
            <w:r>
              <w:rPr>
                <w:b/>
                <w:sz w:val="17"/>
              </w:rPr>
              <w:t>9,378</w:t>
            </w:r>
          </w:p>
        </w:tc>
        <w:tc>
          <w:tcPr>
            <w:tcW w:type="dxa" w:w="1440"/>
            <w:shd w:fill="C6EFCE" w:val="clear"/>
          </w:tcPr>
          <w:p>
            <w:r>
              <w:rPr>
                <w:sz w:val="17"/>
              </w:rPr>
              <w:t>10,036</w:t>
            </w:r>
          </w:p>
        </w:tc>
        <w:tc>
          <w:tcPr>
            <w:tcW w:type="dxa" w:w="1440"/>
            <w:shd w:fill="C6EFCE" w:val="clear"/>
          </w:tcPr>
          <w:p>
            <w:r>
              <w:rPr>
                <w:b/>
                <w:color w:val="008000"/>
                <w:sz w:val="17"/>
              </w:rPr>
              <w:t>+3.1%</w:t>
            </w:r>
          </w:p>
        </w:tc>
      </w:tr>
      <w:tr>
        <w:tc>
          <w:tcPr>
            <w:tcW w:type="dxa" w:w="1440"/>
            <w:shd w:fill="C6EFCE" w:val="clear"/>
          </w:tcPr>
          <w:p>
            <w:r>
              <w:rPr>
                <w:sz w:val="17"/>
              </w:rPr>
              <w:t>J+7  Moyenne</w:t>
            </w:r>
          </w:p>
        </w:tc>
        <w:tc>
          <w:tcPr>
            <w:tcW w:type="dxa" w:w="1440"/>
            <w:shd w:fill="C6EFCE" w:val="clear"/>
          </w:tcPr>
          <w:p>
            <w:r>
              <w:rPr>
                <w:sz w:val="17"/>
              </w:rPr>
              <w:t>2026-09-07</w:t>
            </w:r>
          </w:p>
        </w:tc>
        <w:tc>
          <w:tcPr>
            <w:tcW w:type="dxa" w:w="1440"/>
            <w:shd w:fill="C6EFCE" w:val="clear"/>
          </w:tcPr>
          <w:p>
            <w:r>
              <w:rPr>
                <w:sz w:val="17"/>
              </w:rPr>
              <w:t>8,691</w:t>
            </w:r>
          </w:p>
        </w:tc>
        <w:tc>
          <w:tcPr>
            <w:tcW w:type="dxa" w:w="1440"/>
            <w:shd w:fill="C6EFCE" w:val="clear"/>
          </w:tcPr>
          <w:p>
            <w:r>
              <w:rPr>
                <w:b/>
                <w:sz w:val="17"/>
              </w:rPr>
              <w:t>9,404</w:t>
            </w:r>
          </w:p>
        </w:tc>
        <w:tc>
          <w:tcPr>
            <w:tcW w:type="dxa" w:w="1440"/>
            <w:shd w:fill="C6EFCE" w:val="clear"/>
          </w:tcPr>
          <w:p>
            <w:r>
              <w:rPr>
                <w:sz w:val="17"/>
              </w:rPr>
              <w:t>10,116</w:t>
            </w:r>
          </w:p>
        </w:tc>
        <w:tc>
          <w:tcPr>
            <w:tcW w:type="dxa" w:w="1440"/>
            <w:shd w:fill="C6EFCE" w:val="clear"/>
          </w:tcPr>
          <w:p>
            <w:r>
              <w:rPr>
                <w:b/>
                <w:color w:val="008000"/>
                <w:sz w:val="17"/>
              </w:rPr>
              <w:t>+3.3%</w:t>
            </w:r>
          </w:p>
        </w:tc>
      </w:tr>
      <w:tr>
        <w:tc>
          <w:tcPr>
            <w:tcW w:type="dxa" w:w="1440"/>
            <w:shd w:fill="C6EFCE" w:val="clear"/>
          </w:tcPr>
          <w:p>
            <w:r>
              <w:rPr>
                <w:sz w:val="17"/>
              </w:rPr>
              <w:t>J+8  Moyenne</w:t>
            </w:r>
          </w:p>
        </w:tc>
        <w:tc>
          <w:tcPr>
            <w:tcW w:type="dxa" w:w="1440"/>
            <w:shd w:fill="C6EFCE" w:val="clear"/>
          </w:tcPr>
          <w:p>
            <w:r>
              <w:rPr>
                <w:sz w:val="17"/>
              </w:rPr>
              <w:t>2026-09-08</w:t>
            </w:r>
          </w:p>
        </w:tc>
        <w:tc>
          <w:tcPr>
            <w:tcW w:type="dxa" w:w="1440"/>
            <w:shd w:fill="C6EFCE" w:val="clear"/>
          </w:tcPr>
          <w:p>
            <w:r>
              <w:rPr>
                <w:sz w:val="17"/>
              </w:rPr>
              <w:t>8,666</w:t>
            </w:r>
          </w:p>
        </w:tc>
        <w:tc>
          <w:tcPr>
            <w:tcW w:type="dxa" w:w="1440"/>
            <w:shd w:fill="C6EFCE" w:val="clear"/>
          </w:tcPr>
          <w:p>
            <w:r>
              <w:rPr>
                <w:b/>
                <w:sz w:val="17"/>
              </w:rPr>
              <w:t>9,429</w:t>
            </w:r>
          </w:p>
        </w:tc>
        <w:tc>
          <w:tcPr>
            <w:tcW w:type="dxa" w:w="1440"/>
            <w:shd w:fill="C6EFCE" w:val="clear"/>
          </w:tcPr>
          <w:p>
            <w:r>
              <w:rPr>
                <w:sz w:val="17"/>
              </w:rPr>
              <w:t>10,193</w:t>
            </w:r>
          </w:p>
        </w:tc>
        <w:tc>
          <w:tcPr>
            <w:tcW w:type="dxa" w:w="1440"/>
            <w:shd w:fill="C6EFCE" w:val="clear"/>
          </w:tcPr>
          <w:p>
            <w:r>
              <w:rPr>
                <w:b/>
                <w:color w:val="008000"/>
                <w:sz w:val="17"/>
              </w:rPr>
              <w:t>+3.6%</w:t>
            </w:r>
          </w:p>
        </w:tc>
      </w:tr>
      <w:tr>
        <w:tc>
          <w:tcPr>
            <w:tcW w:type="dxa" w:w="1440"/>
            <w:shd w:fill="C6EFCE" w:val="clear"/>
          </w:tcPr>
          <w:p>
            <w:r>
              <w:rPr>
                <w:sz w:val="17"/>
              </w:rPr>
              <w:t>J+9  Moyenne</w:t>
            </w:r>
          </w:p>
        </w:tc>
        <w:tc>
          <w:tcPr>
            <w:tcW w:type="dxa" w:w="1440"/>
            <w:shd w:fill="C6EFCE" w:val="clear"/>
          </w:tcPr>
          <w:p>
            <w:r>
              <w:rPr>
                <w:sz w:val="17"/>
              </w:rPr>
              <w:t>2026-09-09</w:t>
            </w:r>
          </w:p>
        </w:tc>
        <w:tc>
          <w:tcPr>
            <w:tcW w:type="dxa" w:w="1440"/>
            <w:shd w:fill="C6EFCE" w:val="clear"/>
          </w:tcPr>
          <w:p>
            <w:r>
              <w:rPr>
                <w:sz w:val="17"/>
              </w:rPr>
              <w:t>8,643</w:t>
            </w:r>
          </w:p>
        </w:tc>
        <w:tc>
          <w:tcPr>
            <w:tcW w:type="dxa" w:w="1440"/>
            <w:shd w:fill="C6EFCE" w:val="clear"/>
          </w:tcPr>
          <w:p>
            <w:r>
              <w:rPr>
                <w:b/>
                <w:sz w:val="17"/>
              </w:rPr>
              <w:t>9,455</w:t>
            </w:r>
          </w:p>
        </w:tc>
        <w:tc>
          <w:tcPr>
            <w:tcW w:type="dxa" w:w="1440"/>
            <w:shd w:fill="C6EFCE" w:val="clear"/>
          </w:tcPr>
          <w:p>
            <w:r>
              <w:rPr>
                <w:sz w:val="17"/>
              </w:rPr>
              <w:t>10,267</w:t>
            </w:r>
          </w:p>
        </w:tc>
        <w:tc>
          <w:tcPr>
            <w:tcW w:type="dxa" w:w="1440"/>
            <w:shd w:fill="C6EFCE" w:val="clear"/>
          </w:tcPr>
          <w:p>
            <w:r>
              <w:rPr>
                <w:b/>
                <w:color w:val="008000"/>
                <w:sz w:val="17"/>
              </w:rPr>
              <w:t>+3.9%</w:t>
            </w:r>
          </w:p>
        </w:tc>
      </w:tr>
      <w:tr>
        <w:tc>
          <w:tcPr>
            <w:tcW w:type="dxa" w:w="1440"/>
            <w:shd w:fill="C6EFCE" w:val="clear"/>
          </w:tcPr>
          <w:p>
            <w:r>
              <w:rPr>
                <w:sz w:val="17"/>
              </w:rPr>
              <w:t>J+10  Moyenne</w:t>
            </w:r>
          </w:p>
        </w:tc>
        <w:tc>
          <w:tcPr>
            <w:tcW w:type="dxa" w:w="1440"/>
            <w:shd w:fill="C6EFCE" w:val="clear"/>
          </w:tcPr>
          <w:p>
            <w:r>
              <w:rPr>
                <w:sz w:val="17"/>
              </w:rPr>
              <w:t>2026-09-10</w:t>
            </w:r>
          </w:p>
        </w:tc>
        <w:tc>
          <w:tcPr>
            <w:tcW w:type="dxa" w:w="1440"/>
            <w:shd w:fill="C6EFCE" w:val="clear"/>
          </w:tcPr>
          <w:p>
            <w:r>
              <w:rPr>
                <w:sz w:val="17"/>
              </w:rPr>
              <w:t>8,622</w:t>
            </w:r>
          </w:p>
        </w:tc>
        <w:tc>
          <w:tcPr>
            <w:tcW w:type="dxa" w:w="1440"/>
            <w:shd w:fill="C6EFCE" w:val="clear"/>
          </w:tcPr>
          <w:p>
            <w:r>
              <w:rPr>
                <w:b/>
                <w:sz w:val="17"/>
              </w:rPr>
              <w:t>9,481</w:t>
            </w:r>
          </w:p>
        </w:tc>
        <w:tc>
          <w:tcPr>
            <w:tcW w:type="dxa" w:w="1440"/>
            <w:shd w:fill="C6EFCE" w:val="clear"/>
          </w:tcPr>
          <w:p>
            <w:r>
              <w:rPr>
                <w:sz w:val="17"/>
              </w:rPr>
              <w:t>10,340</w:t>
            </w:r>
          </w:p>
        </w:tc>
        <w:tc>
          <w:tcPr>
            <w:tcW w:type="dxa" w:w="1440"/>
            <w:shd w:fill="C6EFCE" w:val="clear"/>
          </w:tcPr>
          <w:p>
            <w:r>
              <w:rPr>
                <w:b/>
                <w:color w:val="008000"/>
                <w:sz w:val="17"/>
              </w:rPr>
              <w:t>+4.2%</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EB9C" w:val="clear"/>
          </w:tcPr>
          <w:p>
            <w:r>
              <w:rPr>
                <w:b/>
                <w:color w:val="006400"/>
                <w:sz w:val="17"/>
              </w:rPr>
              <w:t>78.270 Mds FCFA</w:t>
            </w:r>
          </w:p>
        </w:tc>
        <w:tc>
          <w:tcPr>
            <w:tcW w:type="dxa" w:w="5669"/>
            <w:shd w:fill="FFFFFF" w:val="clear"/>
          </w:tcPr>
          <w:p>
            <w:r>
              <w:rPr>
                <w:color w:val="282828"/>
                <w:sz w:val="15"/>
              </w:rPr>
              <w:t>Créances clients = 39.6% du CA. ⚠️ Risque de retard de paiement significatif.</w:t>
            </w:r>
          </w:p>
        </w:tc>
      </w:tr>
      <w:tr>
        <w:tc>
          <w:tcPr>
            <w:tcW w:type="dxa" w:w="2268"/>
            <w:shd w:fill="EEF2F7" w:val="clear"/>
          </w:tcPr>
          <w:p>
            <w:r>
              <w:rPr>
                <w:b/>
                <w:color w:val="1E1E3C"/>
                <w:sz w:val="16"/>
              </w:rPr>
              <w:t>Stocks</w:t>
            </w:r>
          </w:p>
        </w:tc>
        <w:tc>
          <w:tcPr>
            <w:tcW w:type="dxa" w:w="1984"/>
            <w:shd w:fill="C6EFCE" w:val="clear"/>
          </w:tcPr>
          <w:p>
            <w:r>
              <w:rPr>
                <w:b/>
                <w:color w:val="006400"/>
                <w:sz w:val="17"/>
              </w:rPr>
              <w:t>7.987 Mds FCFA</w:t>
            </w:r>
          </w:p>
        </w:tc>
        <w:tc>
          <w:tcPr>
            <w:tcW w:type="dxa" w:w="5669"/>
            <w:shd w:fill="FFFFFF" w:val="clear"/>
          </w:tcPr>
          <w:p>
            <w:r>
              <w:rPr>
                <w:color w:val="282828"/>
                <w:sz w:val="15"/>
              </w:rPr>
              <w:t>Rotation stocks = 24.7x/an.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86.257 Mds FCFA</w:t>
            </w:r>
          </w:p>
        </w:tc>
        <w:tc>
          <w:tcPr>
            <w:tcW w:type="dxa" w:w="5669"/>
            <w:shd w:fill="FFFFFF" w:val="clear"/>
          </w:tcPr>
          <w:p>
            <w:r>
              <w:rPr>
                <w:color w:val="282828"/>
                <w:sz w:val="15"/>
              </w:rPr>
              <w:t>Ratio actif circ./passif circ. = 2.07x.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184.16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99.077 Mds FCFA</w:t>
            </w:r>
          </w:p>
        </w:tc>
        <w:tc>
          <w:tcPr>
            <w:tcW w:type="dxa" w:w="5669"/>
            <w:shd w:fill="FFFFFF" w:val="clear"/>
          </w:tcPr>
          <w:p>
            <w:r>
              <w:rPr>
                <w:color w:val="282828"/>
                <w:sz w:val="15"/>
              </w:rPr>
              <w:t>Outil industriel (49.8%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103.371 Mds FCFA</w:t>
            </w:r>
          </w:p>
        </w:tc>
        <w:tc>
          <w:tcPr>
            <w:tcW w:type="dxa" w:w="5669"/>
            <w:shd w:fill="FFFFFF" w:val="clear"/>
          </w:tcPr>
          <w:p>
            <w:r>
              <w:rPr>
                <w:color w:val="282828"/>
                <w:sz w:val="15"/>
              </w:rPr>
              <w:t>Actif immobilisé = 51.9%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9.489 Mds FCFA</w:t>
            </w:r>
          </w:p>
        </w:tc>
        <w:tc>
          <w:tcPr>
            <w:tcW w:type="dxa" w:w="5669"/>
            <w:shd w:fill="FFFFFF" w:val="clear"/>
          </w:tcPr>
          <w:p>
            <w:r>
              <w:rPr>
                <w:color w:val="282828"/>
                <w:sz w:val="15"/>
              </w:rPr>
              <w:t>Liquidités disponibles (4.8%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199.116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20.406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40.451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142.639 Mds FCFA</w:t>
            </w:r>
          </w:p>
        </w:tc>
        <w:tc>
          <w:tcPr>
            <w:tcW w:type="dxa" w:w="5669"/>
            <w:shd w:fill="FFFFFF" w:val="clear"/>
          </w:tcPr>
          <w:p>
            <w:r>
              <w:rPr>
                <w:color w:val="282828"/>
                <w:sz w:val="15"/>
              </w:rPr>
              <w:t>Fonds propres = 71.6%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143.436 Mds FCFA</w:t>
            </w:r>
          </w:p>
        </w:tc>
        <w:tc>
          <w:tcPr>
            <w:tcW w:type="dxa" w:w="5669"/>
            <w:shd w:fill="FFFFFF" w:val="clear"/>
          </w:tcPr>
          <w:p>
            <w:r>
              <w:rPr>
                <w:color w:val="282828"/>
                <w:sz w:val="15"/>
              </w:rPr>
              <w:t>Capitaux permanents / Actif immobilisé = 1.39x.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796.56 M FCFA</w:t>
            </w:r>
          </w:p>
        </w:tc>
        <w:tc>
          <w:tcPr>
            <w:tcW w:type="dxa" w:w="5669"/>
            <w:shd w:fill="FFFFFF" w:val="clear"/>
          </w:tcPr>
          <w:p>
            <w:r>
              <w:rPr>
                <w:color w:val="282828"/>
                <w:sz w:val="15"/>
              </w:rPr>
              <w:t>Dette LT/MT = 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796.56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56.477 Mds FCFA</w:t>
            </w:r>
          </w:p>
        </w:tc>
        <w:tc>
          <w:tcPr>
            <w:tcW w:type="dxa" w:w="5669"/>
            <w:shd w:fill="FFFFFF" w:val="clear"/>
          </w:tcPr>
          <w:p>
            <w:r>
              <w:rPr>
                <w:color w:val="282828"/>
                <w:sz w:val="15"/>
              </w:rPr>
              <w:t>Dettes totales = 28.4%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197.630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197.630 Mds FCFA</w:t>
            </w:r>
          </w:p>
        </w:tc>
        <w:tc>
          <w:tcPr>
            <w:tcW w:type="dxa" w:w="5669"/>
            <w:shd w:fill="FFFFFF" w:val="clear"/>
          </w:tcPr>
          <w:p>
            <w:r>
              <w:rPr>
                <w:color w:val="282828"/>
                <w:sz w:val="15"/>
              </w:rPr>
              <w:t>Chiffre d'affaires. Croissance: 14.8%.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19.109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29.621 Mds FCFA</w:t>
            </w:r>
          </w:p>
        </w:tc>
        <w:tc>
          <w:tcPr>
            <w:tcW w:type="dxa" w:w="5669"/>
            <w:shd w:fill="FFFFFF" w:val="clear"/>
          </w:tcPr>
          <w:p>
            <w:r>
              <w:rPr>
                <w:color w:val="282828"/>
                <w:sz w:val="15"/>
              </w:rPr>
              <w:t>Masse salariale = 15.0%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62.648 Mds FCFA</w:t>
            </w:r>
          </w:p>
        </w:tc>
        <w:tc>
          <w:tcPr>
            <w:tcW w:type="dxa" w:w="5669"/>
            <w:shd w:fill="FFFFFF" w:val="clear"/>
          </w:tcPr>
          <w:p>
            <w:r>
              <w:rPr>
                <w:color w:val="282828"/>
                <w:sz w:val="15"/>
              </w:rPr>
              <w:t>VA = 31.7%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33.027 Mds FCFA</w:t>
            </w:r>
          </w:p>
        </w:tc>
        <w:tc>
          <w:tcPr>
            <w:tcW w:type="dxa" w:w="5669"/>
            <w:shd w:fill="FFFFFF" w:val="clear"/>
          </w:tcPr>
          <w:p>
            <w:r>
              <w:rPr>
                <w:color w:val="282828"/>
                <w:sz w:val="15"/>
              </w:rPr>
              <w:t>EBE = 16.7%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18.163 Mds FCFA</w:t>
            </w:r>
          </w:p>
        </w:tc>
        <w:tc>
          <w:tcPr>
            <w:tcW w:type="dxa" w:w="5669"/>
            <w:shd w:fill="FFFFFF" w:val="clear"/>
          </w:tcPr>
          <w:p>
            <w:r>
              <w:rPr>
                <w:color w:val="282828"/>
                <w:sz w:val="15"/>
              </w:rPr>
              <w:t>Profit d'exploitation = 9.2%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15.509 Mds FCFA</w:t>
            </w:r>
          </w:p>
        </w:tc>
        <w:tc>
          <w:tcPr>
            <w:tcW w:type="dxa" w:w="5669"/>
            <w:shd w:fill="FFFFFF" w:val="clear"/>
          </w:tcPr>
          <w:p>
            <w:r>
              <w:rPr>
                <w:color w:val="282828"/>
                <w:sz w:val="15"/>
              </w:rPr>
              <w:t>Marge nette = 7.8%.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38.741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-19.687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-10.952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19.053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44.623 Mds FCFA</w:t>
            </w:r>
          </w:p>
        </w:tc>
        <w:tc>
          <w:tcPr>
            <w:tcW w:type="dxa" w:w="5669"/>
            <w:shd w:fill="FFFFFF" w:val="clear"/>
          </w:tcPr>
          <w:p>
            <w:r>
              <w:rPr>
                <w:color w:val="282828"/>
                <w:sz w:val="15"/>
              </w:rPr>
              <w:t>BFR = 22.6%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40.065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-4.559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31.70%</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7.85%</w:t>
            </w:r>
          </w:p>
        </w:tc>
        <w:tc>
          <w:tcPr>
            <w:tcW w:type="dxa" w:w="5669"/>
            <w:shd w:fill="FFFFFF" w:val="clear"/>
          </w:tcPr>
          <w:p>
            <w:r>
              <w:rPr>
                <w:color w:val="282828"/>
                <w:sz w:val="15"/>
              </w:rPr>
              <w:t>Résultat net / revenus = 7.85%.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9.19%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10.87%</w:t>
            </w:r>
          </w:p>
        </w:tc>
        <w:tc>
          <w:tcPr>
            <w:tcW w:type="dxa" w:w="5669"/>
            <w:shd w:fill="FFFFFF" w:val="clear"/>
          </w:tcPr>
          <w:p>
            <w:r>
              <w:rPr>
                <w:color w:val="282828"/>
                <w:sz w:val="15"/>
              </w:rPr>
              <w:t>Résultat net / capitaux propres = 10.87%.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7.79%</w:t>
            </w:r>
          </w:p>
        </w:tc>
        <w:tc>
          <w:tcPr>
            <w:tcW w:type="dxa" w:w="5669"/>
            <w:shd w:fill="FFFFFF" w:val="clear"/>
          </w:tcPr>
          <w:p>
            <w:r>
              <w:rPr>
                <w:color w:val="282828"/>
                <w:sz w:val="15"/>
              </w:rPr>
              <w:t>Résultat net / total actif = 7.79%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99.25%</w:t>
            </w:r>
          </w:p>
        </w:tc>
        <w:tc>
          <w:tcPr>
            <w:tcW w:type="dxa" w:w="5669"/>
            <w:shd w:fill="FFFFFF" w:val="clear"/>
          </w:tcPr>
          <w:p>
            <w:r>
              <w:rPr>
                <w:color w:val="282828"/>
                <w:sz w:val="15"/>
              </w:rPr>
              <w:t>CA / total actif = 99.25x.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0.65%</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14.78%</w:t>
            </w:r>
          </w:p>
        </w:tc>
        <w:tc>
          <w:tcPr>
            <w:tcW w:type="dxa" w:w="5669"/>
            <w:shd w:fill="FFFFFF" w:val="clear"/>
          </w:tcPr>
          <w:p>
            <w:r>
              <w:rPr>
                <w:color w:val="282828"/>
                <w:sz w:val="15"/>
              </w:rPr>
              <w:t>Croissance CA vs exercice précédent = 14.78%.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71.64%</w:t>
            </w:r>
          </w:p>
        </w:tc>
        <w:tc>
          <w:tcPr>
            <w:tcW w:type="dxa" w:w="5669"/>
            <w:shd w:fill="FFFFFF" w:val="clear"/>
          </w:tcPr>
          <w:p>
            <w:r>
              <w:rPr>
                <w:color w:val="282828"/>
                <w:sz w:val="15"/>
              </w:rPr>
              <w:t>Fonds propres / total bilan = 71.64%.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28.36%</w:t>
            </w:r>
          </w:p>
        </w:tc>
        <w:tc>
          <w:tcPr>
            <w:tcW w:type="dxa" w:w="5669"/>
            <w:shd w:fill="FFFFFF" w:val="clear"/>
          </w:tcPr>
          <w:p>
            <w:r>
              <w:rPr>
                <w:color w:val="282828"/>
                <w:sz w:val="15"/>
              </w:rPr>
              <w:t>Dettes financières / total bilan = 28.36%.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0.56%</w:t>
            </w:r>
          </w:p>
        </w:tc>
        <w:tc>
          <w:tcPr>
            <w:tcW w:type="dxa" w:w="5669"/>
            <w:shd w:fill="FFFFFF" w:val="clear"/>
          </w:tcPr>
          <w:p>
            <w:r>
              <w:rPr>
                <w:color w:val="282828"/>
                <w:sz w:val="15"/>
              </w:rPr>
              <w:t>Dettes totales / fonds propres = 0.56%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352.56%</w:t>
            </w:r>
          </w:p>
        </w:tc>
        <w:tc>
          <w:tcPr>
            <w:tcW w:type="dxa" w:w="5669"/>
            <w:shd w:fill="FFFFFF" w:val="clear"/>
          </w:tcPr>
          <w:p>
            <w:r>
              <w:rPr>
                <w:color w:val="282828"/>
                <w:sz w:val="15"/>
              </w:rPr>
              <w:t>Total actif / dettes totales = 352.56x.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171.95%</w:t>
            </w:r>
          </w:p>
        </w:tc>
        <w:tc>
          <w:tcPr>
            <w:tcW w:type="dxa" w:w="5669"/>
            <w:shd w:fill="FFFFFF" w:val="clear"/>
          </w:tcPr>
          <w:p>
            <w:r>
              <w:rPr>
                <w:color w:val="282828"/>
                <w:sz w:val="15"/>
              </w:rPr>
              <w:t>Actif circulant / passif circulant = 171.95x.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17.04%</w:t>
            </w:r>
          </w:p>
        </w:tc>
        <w:tc>
          <w:tcPr>
            <w:tcW w:type="dxa" w:w="5669"/>
            <w:shd w:fill="FFFFFF" w:val="clear"/>
          </w:tcPr>
          <w:p>
            <w:r>
              <w:rPr>
                <w:color w:val="282828"/>
                <w:sz w:val="15"/>
              </w:rPr>
              <w:t>Trésorerie / passif circulant = 17.04x.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157.61%</w:t>
            </w:r>
          </w:p>
        </w:tc>
        <w:tc>
          <w:tcPr>
            <w:tcW w:type="dxa" w:w="5669"/>
            <w:shd w:fill="FFFFFF" w:val="clear"/>
          </w:tcPr>
          <w:p>
            <w:r>
              <w:rPr>
                <w:color w:val="282828"/>
                <w:sz w:val="15"/>
              </w:rPr>
              <w:t>(Actif circ. - stocks) / passif circ. = 157.61x.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138.76%</w:t>
            </w:r>
          </w:p>
        </w:tc>
        <w:tc>
          <w:tcPr>
            <w:tcW w:type="dxa" w:w="5669"/>
            <w:shd w:fill="FFFFFF" w:val="clear"/>
          </w:tcPr>
          <w:p>
            <w:r>
              <w:rPr>
                <w:color w:val="282828"/>
                <w:sz w:val="15"/>
              </w:rPr>
              <w:t>Capitaux permanents / actif immobilisé = 138.76x.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1415.66%</w:t>
            </w:r>
          </w:p>
        </w:tc>
        <w:tc>
          <w:tcPr>
            <w:tcW w:type="dxa" w:w="5669"/>
            <w:shd w:fill="FFFFFF" w:val="clear"/>
          </w:tcPr>
          <w:p>
            <w:r>
              <w:rPr>
                <w:color w:val="282828"/>
                <w:sz w:val="15"/>
              </w:rPr>
              <w:t>Résultat exploit. / charges financières = 1415.66x.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155.26%</w:t>
            </w:r>
          </w:p>
        </w:tc>
        <w:tc>
          <w:tcPr>
            <w:tcW w:type="dxa" w:w="5669"/>
            <w:shd w:fill="FFFFFF" w:val="clear"/>
          </w:tcPr>
          <w:p>
            <w:r>
              <w:rPr>
                <w:color w:val="282828"/>
                <w:sz w:val="15"/>
              </w:rPr>
              <w:t>CAF / investissements = 155.26x.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142.6 j</w:t>
            </w:r>
          </w:p>
        </w:tc>
        <w:tc>
          <w:tcPr>
            <w:tcW w:type="dxa" w:w="5669"/>
            <w:shd w:fill="FFFFFF" w:val="clear"/>
          </w:tcPr>
          <w:p>
            <w:r>
              <w:rPr>
                <w:color w:val="282828"/>
                <w:sz w:val="15"/>
              </w:rPr>
              <w:t>Les clients paient en moyenne en 143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15 jours. ✅ Rotation rapide — faible immobilisation de capital.</w:t>
            </w:r>
          </w:p>
        </w:tc>
      </w:tr>
    </w:tbl>
    <w:p/>
    <w:p>
      <w:pPr>
        <w:spacing w:after="120" w:line="276" w:lineRule="auto"/>
      </w:pPr>
      <w:r>
        <w:t>**RAPPORT D'ANALYSE FINANCIÈRE — PALC (PALMCI S.A.)**</w:t>
        <w:br/>
        <w:t>**Date de l'analyse : 27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PALC s'établit à 140,68 milliards FCFA, un niveau significatif qui en fait l'une des valeurs moyennes les plus capitalisées de la BRVM. Avec un BPA de 1 003 FCFA, le titre se négocie à un PER de 9,1x, inférieur à la moyenne historique de la place (~8-12x), ce qui suggère une sous-évaluation relative du titre par rapport à ses bénéfices. Le P/B de 0,99x est particulièrement attractif : le marché valorise l'action légèrement en dessous de sa valeur comptable (142,64 Mds FCFA de capitaux propres), offrant ainsi une marge de sécurité pour l'investisseur. Enfin, l'EV/EBITDA de 4,4x, nettement sous le seuil de 5x, confirme que la valeur totale de l'entreprise (capitalisation + dette nette) reste très raisonnable par rapport à sa capacité opérationnelle. L'ensemble de ces ratios témoigne d'une décote boursière potentielle pour un actif aux fondamentaux solides.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l'action PALC affiche une progression de +12,62%, passant d'un plus bas de 7 000 FCFA à un plus haut de 9 640 FCFA, avant de clôturer à 9 100 FCFA, en léger repli de -1,52% sur la dernière séance. La moyenne du cours sur la période (8 470 FCFA) est inférieure à la médiane (8 665 FCFA), indiquant une distribution légèrement asymétrique à gauche, confirmée par un skewness de -0,202 ; cela signifie que les fortes baisses ont été plus fréquentes que les fortes hausses, mais sans excès. L'écart-type de 553 FCFA (CV = 6,5%) révèle une dispersion modérée autour de la moyenne. Le kurtosis de -0,494 (mésokurtique) indique l'absence de risques extrêmes (pas de queues épaisses), tandis que la volatilité annualisée de 37,5% classe le titre comme très volatil (&gt;30%), reflétant un profil de risque élevé pour les investisseurs. La tendance générale reste haussière sur la période, malgré la consolidation récente.</w:t>
      </w:r>
    </w:p>
    <w:p>
      <w:pPr>
        <w:spacing w:after="120" w:line="276" w:lineRule="auto"/>
      </w:pPr>
      <w:r>
        <w:t>---</w:t>
      </w:r>
    </w:p>
    <w:p>
      <w:pPr>
        <w:spacing w:after="120" w:line="276" w:lineRule="auto"/>
      </w:pPr>
      <w:r>
        <w:t>### PARTIE 2 : ANALYSE TECHNIQUE DÉTAILLÉE</w:t>
      </w:r>
    </w:p>
    <w:p>
      <w:pPr>
        <w:spacing w:after="120" w:line="276" w:lineRule="auto"/>
      </w:pPr>
      <w:r>
        <w:t>**Moyennes Mobiles :** La MM20 (9 162,75 FCFA) est supérieure à la MM50 (8 897,4 FCFA), et le cours actuel (9 100 FCFA) se situe sous la MM20 mais au-dessus de la MM50. Cette configuration en "croix dorée" (MM20 &gt; MM50) signale une dynamique haussière à moyen terme, justifiant la décision d'**Achat**. Le cours teste actuellement le support de la MM20, un niveau clé à surveiller.</w:t>
      </w:r>
    </w:p>
    <w:p>
      <w:pPr>
        <w:spacing w:after="120" w:line="276" w:lineRule="auto"/>
      </w:pPr>
      <w:r>
        <w:t>**Bandes de Bollinger :** Le cours (9 100 FCFA) évolue dans la partie médiane du canal, entre la borne inférieure (8 619,92 FCFA) et la borne supérieure (9 705,58 FCFA). La largeur du canal (environ 1 086 FCFA) indique une volatilité modérée. La position neutre du prix, ni suracheté ni survendu, justifie la décision **Neutre**. Un mouvement vers la borne supérieure confirmerait la reprise haussière.</w:t>
      </w:r>
    </w:p>
    <w:p>
      <w:pPr>
        <w:spacing w:after="120" w:line="276" w:lineRule="auto"/>
      </w:pPr>
      <w:r>
        <w:t>**MACD :** La valeur du MACD (161,54) est inférieure à son signal (170,49), indiquant un momentum baissier à court terme. Cette configuration, bien que légèrement négative, survient après une phase de hausse, suggérant une consolidation. La décision de **Vente** est donc temporaire et pourrait s'inverser si le MACD repasse au-dessus du signal.</w:t>
      </w:r>
    </w:p>
    <w:p>
      <w:pPr>
        <w:spacing w:after="120" w:line="276" w:lineRule="auto"/>
      </w:pPr>
      <w:r>
        <w:t>**RSI :** À 53,66, le RSI se situe en zone neutre (30-70), indiquant un équilibre entre pression acheteuse et vendeuse. Aucune condition de surachat ou de survente n'est détectée, ce qui laisse de la marge pour un mouvement directionnel. La décision **Neutre** est cohérente avec l'absence de signal fort.</w:t>
      </w:r>
    </w:p>
    <w:p>
      <w:pPr>
        <w:spacing w:after="120" w:line="276" w:lineRule="auto"/>
      </w:pPr>
      <w:r>
        <w:t>**Stochastique :** Le %K (18,18) est nettement inférieur au %D (45,45), signalant une zone de survente. Ce croisement baissier suggère un potentiel de rebond technique à court terme, justifiant la décision d'**Achat**. Les niveaux actuels indiquent que le titre pourrait être temporairement sous-évalué d'un point de vue technique.</w:t>
      </w:r>
    </w:p>
    <w:p>
      <w:pPr>
        <w:spacing w:after="120" w:line="276" w:lineRule="auto"/>
      </w:pPr>
      <w:r>
        <w:t>**Conclusion technique :** Les indicateurs sont mitigés : les moyennes mobiles et le stochastique plaident pour un achat, tandis que le MACD suggère une prudence à court terme. Le RSI et les bandes de Bollinger restent neutres. Globalement, la tendance de fond reste haussière, mais une consolidation est en cours. Un signal d'achat se renforcerait si le cours repassait au-dessus de la MM20 (9 163 FCFA).</w:t>
      </w:r>
    </w:p>
    <w:p>
      <w:pPr>
        <w:spacing w:after="120" w:line="276" w:lineRule="auto"/>
      </w:pPr>
      <w:r>
        <w:t>---</w:t>
      </w:r>
    </w:p>
    <w:p>
      <w:pPr>
        <w:spacing w:after="120" w:line="276" w:lineRule="auto"/>
      </w:pPr>
      <w:r>
        <w:t>### PARTIE 3 : ANALYSE FONDAMENTALE (SECTION CRITIQUE)</w:t>
      </w:r>
    </w:p>
    <w:p>
      <w:pPr>
        <w:spacing w:after="120" w:line="276" w:lineRule="auto"/>
      </w:pPr>
      <w:r>
        <w:t>**En 2025**, PALC a réalisé un chiffre d'affaires de 197,63 milliards FCFA, en croissance de +14,8% par rapport à 2024 (172,2 Mds FCFA), porté par la hausse des prix et des volumes d'huile de palme. Le résultat net s'établit à 15,51 milliards FCFA, en léger repli de -2,2% vs 2024 (15,9 Mds FCFA), avec une marge nette de 7,85%. La rentabilité des capitaux propres (ROE) atteint 10,87%, et le ROA est de 7,79%, des niveaux corrects mais en deçà du seuil d'excellence de 15%. Le bilan est très solide : capitaux propres de 142,64 Mds FCFA (autonomie financière de 71,6%), dette financière quasi inexistante (0,8 Md FCFA), et une solvabilité générale de 352,6%. Le BFR de 44,62 Mds FCFA reflète un délai clients élevé (142,6 jours), un point de vigilance pour la trésorerie, malgré un flux opérationnel positif de 38,74 Mds FCFA. **Les rapports trimestriels 2025** confirment cette dynamique : le T1 2025 (CA +32%, RN +65%) et le S1 2025 (CA +25%, RN +37%) étaient excellents, mais le T3 2025 (cumul 9 mois : CA +18%, RN +11%) montre un ralentissement. **Le rapport T1 2026** (publié en 2026) est préoccupant : CA en baisse de -27% à 49,4 Mds FCFA et RN en chute de -86% à 1,6 Md FCFA, attribué à un décalage temporel des ventes. Sur la base de ce T1 2026, on estime que l'exercice 2026 pourrait être difficile, avec un résultat net potentiellement inférieur à 10 Mds FCFA si la tendance ne s'inverse pas. La recommandation fondamentale est de **CONSERVER**, la société restant financièrement solide mais confrontée à une forte cyclicité des prix et à des défis opérationnels.</w:t>
      </w:r>
    </w:p>
    <w:p>
      <w:pPr>
        <w:spacing w:after="120" w:line="276" w:lineRule="auto"/>
      </w:pPr>
      <w:r>
        <w:t>---</w:t>
      </w:r>
    </w:p>
    <w:p>
      <w:pPr>
        <w:spacing w:after="120" w:line="276" w:lineRule="auto"/>
      </w:pPr>
      <w:r>
        <w:t>### PARTIE 4 : CONCLUSION D'INVESTISSEMENT</w:t>
      </w:r>
    </w:p>
    <w:p>
      <w:pPr>
        <w:spacing w:after="120" w:line="276" w:lineRule="auto"/>
      </w:pPr>
      <w:r>
        <w:t>La synthèse globale fait ressortir une **opposition entre valorisation et dynamique récente**. D'un côté, les ratios de valorisation (PER 9,1x, P/B 0,99x, EV/EBITDA 4,4x) indiquent une nette sous-évaluation, renforcée par une structure financière très saine (faible dette, capitaux propres importants). De l'autre, le comportement du cours (volatilité élevée de 37,5%, skewness négatif) et les signaux techniques mitigés (MM haussières mais MACD vendeur, RSI neutre) suggèrent une consolidation. Les fondamentaux, bien que solides à moyen terme, montrent des signes de ralentissement avec un T1 2026 très faible (-86% du RN). Les prédictions IA (9 267 à 9 352 FCFA sur 10 jours) anticipent une légère hausse, ce qui contredit partiellement la faiblesse récente et suggère un rebond technique. **Recommandation finale : ACHAT** pour les investisseurs de long terme, capitalisant sur la sous-évaluation et la solidité bilancielle, avec un niveau de confiance **Moyen** (incertitude sur la reprise 2026) et un risque global **Élevé** (volatilité du cours et des matières premières). Horizon d'investissement optimal : **Moyen terme (6-12 mois)**, en attendant la confirmation d'un redressement des résultats trimestriels.</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forte baisse trimestrielle, la direction anticipe une am\u00e9lioration avec l'\u00e9coulement des stocks \u00e0 l'export. Les fondamentaux de production restent solides selon les pr\u00e9visions management."}</w:t>
      </w:r>
    </w:p>
    <w:p>
      <w:pPr>
        <w:spacing w:before="40"/>
        <w:ind w:left="400"/>
      </w:pPr>
      <w:r>
        <w:rPr>
          <w:sz w:val="18"/>
        </w:rPr>
        <w:t>PALMCI affiche une performance décevante au 1er trimestre 2026 avec un chiffre d'affaires en baisse de 27% à 49,4 milliards FCFA contre 67,5 milliards en 2025. Le résultat net chute drastiquement de 86% à 1,6 milliard FCFA contre 11,6 milliards l'année précédente. Cette contre-performance s'explique par des quantités vendues plus faibles sur le marché local d'huiles brutes de palme et de palmiste, mais constituerait selon la direction un simple décalage temporel des ventes. La société dispose d'un stock de produits finis dont l'écoulement a commencé en avril 2026 à l'export et à des prix plus élevés. Malgré ce début d'année difficile, PALMCI anticipe un résultat net positif pour l'exercice 2</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'-27%', 'capital_social': '20,4 milliards FCFA', 'variation_resultat_net': '-86%', 'resultat_activites_ordinaires': '2,1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 milliard FCFA (T1 2026)</w:t>
            </w:r>
          </w:p>
        </w:tc>
        <w:tc>
          <w:tcPr>
            <w:tcW w:type="dxa" w:w="2160"/>
          </w:tcPr>
          <w:p>
            <w:r/>
            <w:r>
              <w:rPr>
                <w:b/>
                <w:sz w:val="16"/>
              </w:rPr>
              <w:t>capitaux_propres</w:t>
              <w:br/>
            </w:r>
            <w:r>
              <w:rPr>
                <w:sz w:val="18"/>
              </w:rPr>
              <w:t>None</w:t>
            </w:r>
          </w:p>
        </w:tc>
        <w:tc>
          <w:tcPr>
            <w:tcW w:type="dxa" w:w="2160"/>
          </w:tcPr>
          <w:p>
            <w:r/>
            <w:r>
              <w:rPr>
                <w:b/>
                <w:sz w:val="16"/>
              </w:rPr>
              <w:t>chiffre_affaires</w:t>
              <w:br/>
            </w:r>
            <w:r>
              <w:rPr>
                <w:sz w:val="18"/>
              </w:rPr>
              <w:t>49,4 milliards FCFA (T1 2026)</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27% au T1 2026 (49,4 Mds FCFA vs 67,5 Mds FCFA)</w:t>
      </w:r>
    </w:p>
    <w:p>
      <w:pPr>
        <w:pStyle w:val="ListBullet"/>
        <w:spacing w:before="20" w:after="20"/>
        <w:ind w:left="700"/>
      </w:pPr>
      <w:r>
        <w:rPr>
          <w:sz w:val="18"/>
        </w:rPr>
        <w:t>Effondrement du résultat net de 86% à 1,6 milliard FCFA contre 11,6 milliards en 2025</w:t>
      </w:r>
    </w:p>
    <w:p>
      <w:pPr>
        <w:pStyle w:val="ListBullet"/>
        <w:spacing w:before="20" w:after="20"/>
        <w:ind w:left="700"/>
      </w:pPr>
      <w:r>
        <w:rPr>
          <w:sz w:val="18"/>
        </w:rPr>
        <w:t>Baisse attribuée à des quantités vendues plus faibles sur le marché local</w:t>
      </w:r>
    </w:p>
    <w:p>
      <w:pPr>
        <w:pStyle w:val="ListBullet"/>
        <w:spacing w:before="20" w:after="20"/>
        <w:ind w:left="700"/>
      </w:pPr>
      <w:r>
        <w:rPr>
          <w:sz w:val="18"/>
        </w:rPr>
        <w:t>Management évoque un décalage temporel des ventes plutôt qu'un problème structurel</w:t>
      </w:r>
    </w:p>
    <w:p>
      <w:pPr>
        <w:pStyle w:val="ListBullet"/>
        <w:spacing w:before="20" w:after="20"/>
        <w:ind w:left="700"/>
      </w:pPr>
      <w:r>
        <w:rPr>
          <w:sz w:val="18"/>
        </w:rPr>
        <w:t>Constitution d'un stock de produits finis écoulé dès avril 2026</w:t>
      </w:r>
    </w:p>
    <w:p>
      <w:pPr>
        <w:pStyle w:val="ListBullet"/>
        <w:spacing w:before="20" w:after="20"/>
        <w:ind w:left="700"/>
      </w:pPr>
      <w:r>
        <w:rPr>
          <w:sz w:val="18"/>
        </w:rPr>
        <w:t>Stratégie d'exportation à des prix plus élevés mise en œuvre</w:t>
      </w:r>
    </w:p>
    <w:p>
      <w:pPr>
        <w:spacing w:before="40"/>
        <w:ind w:left="400"/>
      </w:pPr>
      <w:r>
        <w:rPr>
          <w:b/>
          <w:color w:val="C05000"/>
          <w:sz w:val="18"/>
        </w:rPr>
        <w:t xml:space="preserve">⚠️ Risques : </w:t>
      </w:r>
      <w:r>
        <w:rPr>
          <w:sz w:val="18"/>
        </w:rPr>
        <w:t>["Volatilit\u00e9 des prix des huiles de palme sur les march\u00e9s internationaux", "D\u00e9pendance aux conditions climatiques pour la production de r\u00e9gimes", "Risque de surestimation par le management de la capacit\u00e9 \u00e0 \u00e9couler les stocks"]</w:t>
      </w:r>
    </w:p>
    <w:p>
      <w:pPr>
        <w:spacing w:before="40"/>
        <w:ind w:left="400"/>
      </w:pPr>
      <w:r>
        <w:rPr>
          <w:b/>
          <w:color w:val="0064A0"/>
          <w:sz w:val="18"/>
        </w:rPr>
        <w:t xml:space="preserve">🔮 Perspectives : </w:t>
      </w:r>
      <w:r>
        <w:rPr>
          <w:sz w:val="18"/>
        </w:rPr>
        <w:t>PALMCI table sur un redressement progressif avec l'écoulement des stocks constitués, notamment à l'export et à des prix plus rémunérateurs. La société anticipe un résultat net positif pour l'exercice 2026 comparable à celui de 2025, soutenu par le niveau de production des plantations industrielles 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S1 2021 et les perspectives favorables li\u00e9es au cours \u00e9lev\u00e9 de l'huile de palme justifient un investissement. La forte rentabilit\u00e9 et la croissance soutenue des volumes positionnent PALMCI comme un actif attractif sur la BRVM."}</w:t>
      </w:r>
    </w:p>
    <w:p>
      <w:pPr>
        <w:spacing w:before="40"/>
        <w:ind w:left="400"/>
      </w:pPr>
      <w:r>
        <w:rPr>
          <w:sz w:val="18"/>
        </w:rPr>
        <w:t>PALMCI présente des résultats exceptionnels au premier semestre 2021 avec une croissance explosive de 45% du chiffre d'affaires à 110,1 milliards FCFA. Le résultat d'exploitation bondit de 252% à 40,6 milliards FCFA, porté par la hausse conjointe des volumes d'huile de palme brute vendus (+6%) et des prix (+37%). Le résultat net atteint 31,4 milliards FCFA, soit une progression remarquable de 196% par rapport au premier semestre 2020. Cette performance s'explique principalement par l'effet positif de la hausse du cours mondial de l'huile de palme brute. La société affiche une marge nette impressionnante de 28,5% et confirme sa position de leader sur le marché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{'hausse_prix': '37%', 'croissance_ca': '45%', 'hausse_volumes': '6%', 'resultat_financier': '-1 108 490 milliers FCFA', 'impots_sur_resultat': '-8 100 000 milliers FCFA', 'resultat_exploitation': '40 643 565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31 372 570 milliers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110 064 498 milliers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45% à 110,1 milliards FCFA au S1 2021</w:t>
      </w:r>
    </w:p>
    <w:p>
      <w:pPr>
        <w:pStyle w:val="ListBullet"/>
        <w:spacing w:before="20" w:after="20"/>
        <w:ind w:left="700"/>
      </w:pPr>
      <w:r>
        <w:rPr>
          <w:sz w:val="18"/>
        </w:rPr>
        <w:t>Résultat d'exploitation multiplié par 3,5 avec une progression de 252%</w:t>
      </w:r>
    </w:p>
    <w:p>
      <w:pPr>
        <w:pStyle w:val="ListBullet"/>
        <w:spacing w:before="20" w:after="20"/>
        <w:ind w:left="700"/>
      </w:pPr>
      <w:r>
        <w:rPr>
          <w:sz w:val="18"/>
        </w:rPr>
        <w:t>Résultat net en forte croissance de 196% à 31,4 milliards FCFA</w:t>
      </w:r>
    </w:p>
    <w:p>
      <w:pPr>
        <w:pStyle w:val="ListBullet"/>
        <w:spacing w:before="20" w:after="20"/>
        <w:ind w:left="700"/>
      </w:pPr>
      <w:r>
        <w:rPr>
          <w:sz w:val="18"/>
        </w:rPr>
        <w:t>Hausse des prix de vente de 37% liée au cours mondial de l'huile de palme</w:t>
      </w:r>
    </w:p>
    <w:p>
      <w:pPr>
        <w:pStyle w:val="ListBullet"/>
        <w:spacing w:before="20" w:after="20"/>
        <w:ind w:left="700"/>
      </w:pPr>
      <w:r>
        <w:rPr>
          <w:sz w:val="18"/>
        </w:rPr>
        <w:t>Augmentation des volumes vendus d'huile de palme brute de 6%</w:t>
      </w:r>
    </w:p>
    <w:p>
      <w:pPr>
        <w:pStyle w:val="ListBullet"/>
        <w:spacing w:before="20" w:after="20"/>
        <w:ind w:left="700"/>
      </w:pPr>
      <w:r>
        <w:rPr>
          <w:sz w:val="18"/>
        </w:rPr>
        <w:t>Marge nette exceptionnelle de 28,5% au premier semestre 2021</w:t>
      </w:r>
    </w:p>
    <w:p>
      <w:pPr>
        <w:spacing w:before="40"/>
        <w:ind w:left="400"/>
      </w:pPr>
      <w:r>
        <w:rPr>
          <w:b/>
          <w:color w:val="C05000"/>
          <w:sz w:val="18"/>
        </w:rPr>
        <w:t xml:space="preserve">⚠️ Risques : </w:t>
      </w:r>
      <w:r>
        <w:rPr>
          <w:sz w:val="18"/>
        </w:rPr>
        <w:t>["Volatilit\u00e9 du cours mondial de l'huile de palme brute impactant directement la rentabilit\u00e9", "D\u00e9pendance forte aux conditions climatiques pour la production agricole", "Pression fiscale croissante avec des imp\u00f4ts multipli\u00e9s par 462 en un an"]</w:t>
      </w:r>
    </w:p>
    <w:p>
      <w:pPr>
        <w:spacing w:before="40"/>
        <w:ind w:left="400"/>
      </w:pPr>
      <w:r>
        <w:rPr>
          <w:b/>
          <w:color w:val="0064A0"/>
          <w:sz w:val="18"/>
        </w:rPr>
        <w:t xml:space="preserve">🔮 Perspectives : </w:t>
      </w:r>
      <w:r>
        <w:rPr>
          <w:sz w:val="18"/>
        </w:rPr>
        <w:t>La société anticipe un résultat net 2021 nettement supérieur à celui de 2020, soutenu par la dynamique favorable des cours mondiaux. La combinaison d'une croissance des volumes et du maintien de prix élevés devrait permettre de consolider cette performance sur l'ensemble de l'exercice 2021.</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am\u00e9lioration et des perspectives 2021 tr\u00e8s positives. La soci\u00e9t\u00e9 b\u00e9n\u00e9ficie pleinement de la hausse des cours mondiaux de l'huile de palme avec une croissance \u00e9quilibr\u00e9e volumes/prix."}</w:t>
      </w:r>
    </w:p>
    <w:p>
      <w:pPr>
        <w:spacing w:before="40"/>
        <w:ind w:left="400"/>
      </w:pPr>
      <w:r>
        <w:rPr>
          <w:sz w:val="18"/>
        </w:rPr>
        <w:t>PALMCI affiche une performance exceptionnelle au 3ème trimestre 2021 avec un chiffre d'affaires en hausse de 60% à 152,6 milliards FCFA contre 95,7 milliards en 2020. Le résultat net bondit de 410% à 36,4 milliards FCFA, soit une amélioration de 29,3 milliards FCFA par rapport au trimestre comparable de 2020. Cette croissance remarquable résulte de l'effet combiné d'une hausse des volumes vendus d'huile de palme brute (+9%) et d'une forte augmentation des prix (+43%). La hausse des prix est directement liée à l'envolée des cours mondiaux de l'huile de palme brute. La société anticipe un résultat net 2021 nettement supérieur à celui de 2020, confirmant la solidité de sa dynamique commerciale.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'+60%', 'capital_social': '20,4 milliards FCFA', 'variation_resultat_net': '+410%', 'resultat_activites_ordinaires': '46,2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36,4 milliards FCFA (T3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152,6 milliards FCFA (T3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exceptionnelle de +60% au T3 2021</w:t>
      </w:r>
    </w:p>
    <w:p>
      <w:pPr>
        <w:pStyle w:val="ListBullet"/>
        <w:spacing w:before="20" w:after="20"/>
        <w:ind w:left="700"/>
      </w:pPr>
      <w:r>
        <w:rPr>
          <w:sz w:val="18"/>
        </w:rPr>
        <w:t>Résultat net multiplié par plus de 5, passant de 7,1 à 36,4 milliards FCFA</w:t>
      </w:r>
    </w:p>
    <w:p>
      <w:pPr>
        <w:pStyle w:val="ListBullet"/>
        <w:spacing w:before="20" w:after="20"/>
        <w:ind w:left="700"/>
      </w:pPr>
      <w:r>
        <w:rPr>
          <w:sz w:val="18"/>
        </w:rPr>
        <w:t>Hausse des volumes d'huile de palme brute vendus de +9%</w:t>
      </w:r>
    </w:p>
    <w:p>
      <w:pPr>
        <w:pStyle w:val="ListBullet"/>
        <w:spacing w:before="20" w:after="20"/>
        <w:ind w:left="700"/>
      </w:pPr>
      <w:r>
        <w:rPr>
          <w:sz w:val="18"/>
        </w:rPr>
        <w:t>Forte augmentation des prix de vente de +43%</w:t>
      </w:r>
    </w:p>
    <w:p>
      <w:pPr>
        <w:pStyle w:val="ListBullet"/>
        <w:spacing w:before="20" w:after="20"/>
        <w:ind w:left="700"/>
      </w:pPr>
      <w:r>
        <w:rPr>
          <w:sz w:val="18"/>
        </w:rPr>
        <w:t>Bénéfice de la hausse des cours mondiaux de l'huile de palme</w:t>
      </w:r>
    </w:p>
    <w:p>
      <w:pPr>
        <w:pStyle w:val="ListBullet"/>
        <w:spacing w:before="20" w:after="20"/>
        <w:ind w:left="700"/>
      </w:pPr>
      <w:r>
        <w:rPr>
          <w:sz w:val="18"/>
        </w:rPr>
        <w:t>Amélioration du résultat net de 29,3 milliards FCFA en variation absolue</w:t>
      </w:r>
    </w:p>
    <w:p>
      <w:pPr>
        <w:spacing w:before="40"/>
        <w:ind w:left="400"/>
      </w:pPr>
      <w:r>
        <w:rPr>
          <w:b/>
          <w:color w:val="C05000"/>
          <w:sz w:val="18"/>
        </w:rPr>
        <w:t xml:space="preserve">⚠️ Risques : </w:t>
      </w:r>
      <w:r>
        <w:rPr>
          <w:sz w:val="18"/>
        </w:rPr>
        <w:t>["D\u00e9pendance forte aux cours mondiaux de l'huile de palme, tr\u00e8s volatils", "Exposition aux conditions climatiques pouvant affecter la production", "Risques g\u00e9opolitiques et r\u00e9glementaires dans le secteur de l'huile de palme"]</w:t>
      </w:r>
    </w:p>
    <w:p>
      <w:pPr>
        <w:spacing w:before="40"/>
        <w:ind w:left="400"/>
      </w:pPr>
      <w:r>
        <w:rPr>
          <w:b/>
          <w:color w:val="0064A0"/>
          <w:sz w:val="18"/>
        </w:rPr>
        <w:t xml:space="preserve">🔮 Perspectives : </w:t>
      </w:r>
      <w:r>
        <w:rPr>
          <w:sz w:val="18"/>
        </w:rPr>
        <w:t>La société anticipe un résultat net 2021 nettement supérieur à celui de 2020, portée par la dynamique favorable des cours mondiaux. Le maintien de cette performance dépendra de l'évolution des prix internationaux de l'huile de palme et de la capacité à soutenir les volumes de production. L'environne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"PALMCI pr\u00e9sente une performance financi\u00e8re exceptionnelle avec une rentabilit\u00e9 \u00e9lev\u00e9e et un dividende attractif. La solidit\u00e9 du bilan et l'am\u00e9lioration de la tr\u00e9sorerie renforcent la confiance dans la capacit\u00e9 de croissance future."}</w:t>
      </w:r>
    </w:p>
    <w:p>
      <w:pPr>
        <w:spacing w:before="40"/>
        <w:ind w:left="400"/>
      </w:pPr>
      <w:r>
        <w:rPr>
          <w:sz w:val="18"/>
        </w:rPr>
        <w:t>PALMCI affiche une performance financière solide en 2021 avec un chiffre d'affaires de 195,6 milliards FCFA et un résultat net de 42,5 milliards FCFA. La société maintient sa rentabilité avec une marge nette de 21,7% et propose un dividende attractif de 1 374 FCFA par action. Le total actif s'élève à 167 milliards FCFA avec des capitaux propres de 109,9 milliards FCFA, témoignant d'une structure financière équilibrée. La trésorerie nette s'améliore significativement, passant de 9,7 milliards à 12,6 milliards FCFA. L'entreprise démontre une croissance soutenue de son activité dans le secteur de l'huile de palme.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'12 560 898 070 FCFA', 'variation_tresorerie': '+2 909 465 648 FCFA', 'immobilisations_corporelles': '87 997 914 819 FCFA'}</w:t>
            </w:r>
          </w:p>
        </w:tc>
        <w:tc>
          <w:tcPr>
            <w:tcW w:type="dxa" w:w="2160"/>
          </w:tcPr>
          <w:p>
            <w:pPr>
              <w:ind w:left="100"/>
            </w:pPr>
            <w:r/>
            <w:r>
              <w:rPr>
                <w:b/>
                <w:sz w:val="16"/>
              </w:rPr>
              <w:t>dividende</w:t>
              <w:br/>
            </w:r>
            <w:r>
              <w:rPr>
                <w:sz w:val="18"/>
              </w:rPr>
              <w:t>1 374 FCFA par action</w:t>
            </w:r>
          </w:p>
        </w:tc>
        <w:tc>
          <w:tcPr>
            <w:tcW w:type="dxa" w:w="2160"/>
          </w:tcPr>
          <w:p>
            <w:pPr>
              <w:ind w:left="100"/>
            </w:pPr>
            <w:r/>
            <w:r>
              <w:rPr>
                <w:b/>
                <w:sz w:val="16"/>
              </w:rPr>
              <w:t>marge_nette</w:t>
              <w:br/>
            </w:r>
            <w:r>
              <w:rPr>
                <w:sz w:val="18"/>
              </w:rPr>
              <w:t>21,7%</w:t>
            </w:r>
          </w:p>
        </w:tc>
        <w:tc>
          <w:tcPr>
            <w:tcW w:type="dxa" w:w="2160"/>
          </w:tcPr>
          <w:p>
            <w:pPr>
              <w:ind w:left="100"/>
            </w:pPr>
            <w:r/>
            <w:r>
              <w:rPr>
                <w:b/>
                <w:sz w:val="16"/>
              </w:rPr>
              <w:t>total_actif</w:t>
              <w:br/>
            </w:r>
            <w:r>
              <w:rPr>
                <w:sz w:val="18"/>
              </w:rPr>
              <w:t>167 045 712 552 FCFA</w:t>
            </w:r>
          </w:p>
        </w:tc>
      </w:tr>
      <w:tr>
        <w:tc>
          <w:tcPr>
            <w:tcW w:type="dxa" w:w="2160"/>
          </w:tcPr>
          <w:p>
            <w:r/>
            <w:r>
              <w:rPr>
                <w:b/>
                <w:sz w:val="16"/>
              </w:rPr>
              <w:t>resultat_net</w:t>
              <w:br/>
            </w:r>
            <w:r>
              <w:rPr>
                <w:sz w:val="18"/>
              </w:rPr>
              <w:t>42 473 119 895 FCFA</w:t>
            </w:r>
          </w:p>
        </w:tc>
        <w:tc>
          <w:tcPr>
            <w:tcW w:type="dxa" w:w="2160"/>
          </w:tcPr>
          <w:p>
            <w:r/>
            <w:r>
              <w:rPr>
                <w:b/>
                <w:sz w:val="16"/>
              </w:rPr>
              <w:t>capitaux_propres</w:t>
              <w:br/>
            </w:r>
            <w:r>
              <w:rPr>
                <w:sz w:val="18"/>
              </w:rPr>
              <w:t>109 913 559 811 FCFA</w:t>
            </w:r>
          </w:p>
        </w:tc>
        <w:tc>
          <w:tcPr>
            <w:tcW w:type="dxa" w:w="2160"/>
          </w:tcPr>
          <w:p>
            <w:r/>
            <w:r>
              <w:rPr>
                <w:b/>
                <w:sz w:val="16"/>
              </w:rPr>
              <w:t>chiffre_affaires</w:t>
              <w:br/>
            </w:r>
            <w:r>
              <w:rPr>
                <w:sz w:val="18"/>
              </w:rPr>
              <w:t>195 659 428 355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195,6 milliards FCFA en 2021</w:t>
      </w:r>
    </w:p>
    <w:p>
      <w:pPr>
        <w:pStyle w:val="ListBullet"/>
        <w:spacing w:before="20" w:after="20"/>
        <w:ind w:left="700"/>
      </w:pPr>
      <w:r>
        <w:rPr>
          <w:sz w:val="18"/>
        </w:rPr>
        <w:t>Résultat net solide de 42,5 milliards FCFA avec une marge nette de 21,7%</w:t>
      </w:r>
    </w:p>
    <w:p>
      <w:pPr>
        <w:pStyle w:val="ListBullet"/>
        <w:spacing w:before="20" w:after="20"/>
        <w:ind w:left="700"/>
      </w:pPr>
      <w:r>
        <w:rPr>
          <w:sz w:val="18"/>
        </w:rPr>
        <w:t>Dividende proposé attractif de 1 374 FCFA par action</w:t>
      </w:r>
    </w:p>
    <w:p>
      <w:pPr>
        <w:pStyle w:val="ListBullet"/>
        <w:spacing w:before="20" w:after="20"/>
        <w:ind w:left="700"/>
      </w:pPr>
      <w:r>
        <w:rPr>
          <w:sz w:val="18"/>
        </w:rPr>
        <w:t>Total actif de 167 milliards FCFA avec des capitaux propres de 109,9 milliards FCFA</w:t>
      </w:r>
    </w:p>
    <w:p>
      <w:pPr>
        <w:pStyle w:val="ListBullet"/>
        <w:spacing w:before="20" w:after="20"/>
        <w:ind w:left="700"/>
      </w:pPr>
      <w:r>
        <w:rPr>
          <w:sz w:val="18"/>
        </w:rPr>
        <w:t>Amélioration de la trésorerie nette de 9,7 à 12,6 milliards FCFA</w:t>
      </w:r>
    </w:p>
    <w:p>
      <w:pPr>
        <w:pStyle w:val="ListBullet"/>
        <w:spacing w:before="20" w:after="20"/>
        <w:ind w:left="700"/>
      </w:pPr>
      <w:r>
        <w:rPr>
          <w:sz w:val="18"/>
        </w:rPr>
        <w:t>Croissance des immobilisations corporelles témoignant d'investissements soutenus</w:t>
      </w:r>
    </w:p>
    <w:p>
      <w:pPr>
        <w:spacing w:before="40"/>
        <w:ind w:left="400"/>
      </w:pPr>
      <w:r>
        <w:rPr>
          <w:b/>
          <w:color w:val="C05000"/>
          <w:sz w:val="18"/>
        </w:rPr>
        <w:t xml:space="preserve">⚠️ Risques : </w:t>
      </w:r>
      <w:r>
        <w:rPr>
          <w:sz w:val="18"/>
        </w:rPr>
        <w:t>["D\u00e9pendance aux cours internationaux de l'huile de palme", "Exposition aux risques climatiques et agricoles", "Concentration g\u00e9ographique des activit\u00e9s en C\u00f4te d'Ivoire"]</w:t>
      </w:r>
    </w:p>
    <w:p>
      <w:pPr>
        <w:spacing w:before="40"/>
        <w:ind w:left="400"/>
      </w:pPr>
      <w:r>
        <w:rPr>
          <w:b/>
          <w:color w:val="0064A0"/>
          <w:sz w:val="18"/>
        </w:rPr>
        <w:t xml:space="preserve">🔮 Perspectives : </w:t>
      </w:r>
      <w:r>
        <w:rPr>
          <w:sz w:val="18"/>
        </w:rPr>
        <w:t>Les perspectives restent favorables compte tenu de la demande mondiale croissante pour l'huile de palme et de la position dominante de PALMCI sur le marché ivoirien. La capacité d'investissement de l'entreprise et sa solidité financière lui permettront de saisir les opportunités de croissance. Le ma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r\u00e9sultats exceptionnels du T1 2022 avec une croissance de 43% du CA et 53% du r\u00e9sultat net d\u00e9montrent la solidit\u00e9 du mod\u00e8le \u00e9conomique. L'environnement de prix favorable et les perspectives maintenues pour 2022 renforcent l'attractivit\u00e9 du titre."}</w:t>
      </w:r>
    </w:p>
    <w:p>
      <w:pPr>
        <w:spacing w:before="40"/>
        <w:ind w:left="400"/>
      </w:pPr>
      <w:r>
        <w:rPr>
          <w:sz w:val="18"/>
        </w:rPr>
        <w:t>PALMCI présente d'excellents résultats au premier trimestre 2022 avec un chiffre d'affaires de 71,4 milliards FCFA, en hausse de 43% par rapport à T1 2021. Cette performance s'explique principalement par l'augmentation des cours de l'huile de palme (+24%) et la croissance des volumes vendus (+13%). Le résultat net atteint 18,6 milliards FCFA, soit une progression exceptionnelle de 53% sur un an. La société bénéficie d'un environnement de prix favorable sur le marché de l'huile de palme. Ces résultats positionnent PALMCI sur une trajectoire de forte croissance pour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'+43%', 'variation_resultat_net': '+53%', 'resultat_activites_ordinaires': '24 743 673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18 565 357 milliers FCFA (T1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71 426 626 milliers FCFA (T1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43% à 71,4 milliards FCFA au T1 2022</w:t>
      </w:r>
    </w:p>
    <w:p>
      <w:pPr>
        <w:pStyle w:val="ListBullet"/>
        <w:spacing w:before="20" w:after="20"/>
        <w:ind w:left="700"/>
      </w:pPr>
      <w:r>
        <w:rPr>
          <w:sz w:val="18"/>
        </w:rPr>
        <w:t>Résultat net en progression de 53% à 18,6 milliards FCFA</w:t>
      </w:r>
    </w:p>
    <w:p>
      <w:pPr>
        <w:pStyle w:val="ListBullet"/>
        <w:spacing w:before="20" w:after="20"/>
        <w:ind w:left="700"/>
      </w:pPr>
      <w:r>
        <w:rPr>
          <w:sz w:val="18"/>
        </w:rPr>
        <w:t>Hausse des cours de l'huile de palme de 24% sur la période</w:t>
      </w:r>
    </w:p>
    <w:p>
      <w:pPr>
        <w:pStyle w:val="ListBullet"/>
        <w:spacing w:before="20" w:after="20"/>
        <w:ind w:left="700"/>
      </w:pPr>
      <w:r>
        <w:rPr>
          <w:sz w:val="18"/>
        </w:rPr>
        <w:t>Croissance des volumes vendus de 13% par rapport à T1 2021</w:t>
      </w:r>
    </w:p>
    <w:p>
      <w:pPr>
        <w:pStyle w:val="ListBullet"/>
        <w:spacing w:before="20" w:after="20"/>
        <w:ind w:left="700"/>
      </w:pPr>
      <w:r>
        <w:rPr>
          <w:sz w:val="18"/>
        </w:rPr>
        <w:t>Résultat des activités ordinaires en hausse de 66% à 24,7 milliards FCFA</w:t>
      </w:r>
    </w:p>
    <w:p>
      <w:pPr>
        <w:pStyle w:val="ListBullet"/>
        <w:spacing w:before="20" w:after="20"/>
        <w:ind w:left="700"/>
      </w:pPr>
      <w:r>
        <w:rPr>
          <w:sz w:val="18"/>
        </w:rPr>
        <w:t>Marge nette attractive à 26% au premier trimestre</w:t>
      </w:r>
    </w:p>
    <w:p>
      <w:pPr>
        <w:spacing w:before="40"/>
        <w:ind w:left="400"/>
      </w:pPr>
      <w:r>
        <w:rPr>
          <w:b/>
          <w:color w:val="C05000"/>
          <w:sz w:val="18"/>
        </w:rPr>
        <w:t xml:space="preserve">⚠️ Risques : </w:t>
      </w:r>
      <w:r>
        <w:rPr>
          <w:sz w:val="18"/>
        </w:rPr>
        <w:t>["Volatilit\u00e9 des cours internationaux de l'huile de palme", "D\u00e9pendance aux conditions climatiques pour la production", "Risques op\u00e9rationnels li\u00e9s \u00e0 l'activit\u00e9 agricole et industrielle"]</w:t>
      </w:r>
    </w:p>
    <w:p>
      <w:pPr>
        <w:spacing w:before="40"/>
        <w:ind w:left="400"/>
      </w:pPr>
      <w:r>
        <w:rPr>
          <w:b/>
          <w:color w:val="0064A0"/>
          <w:sz w:val="18"/>
        </w:rPr>
        <w:t xml:space="preserve">🔮 Perspectives : </w:t>
      </w:r>
      <w:r>
        <w:rPr>
          <w:sz w:val="18"/>
        </w:rPr>
        <w:t>Les perspectives pour le reste de 2022 restent favorables selon la direction, avec un niveau de production et des prix qui devraient permettre de maintenir une performance solide. Le résultat net 2022 devrait se situer aux alentours du niveau de 2021, malgré la base de comparaison élevée.</w:t>
      </w:r>
    </w:p>
    <w:p/>
    <w:p>
      <w:r>
        <w:t>════════════════════════════════════════════════════════════════════════════════</w:t>
      </w:r>
    </w:p>
    <w:p>
      <w:r>
        <w:br w:type="page"/>
      </w:r>
    </w:p>
    <w:p>
      <w:pPr>
        <w:pStyle w:val="Heading2"/>
        <w:spacing w:before="360"/>
      </w:pPr>
      <w:r>
        <w:rPr>
          <w:color w:val="0066CC"/>
        </w:rPr>
        <w:t>26. PRSC - PRSC - TRACTAFRIC MOTORS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PRSC</w:t>
            </w:r>
          </w:p>
          <w:p>
            <w:r>
              <w:rPr>
                <w:b/>
                <w:color w:val="323250"/>
                <w:sz w:val="16"/>
              </w:rPr>
              <w:t xml:space="preserve">Société : </w:t>
            </w:r>
            <w:r>
              <w:rPr>
                <w:color w:val="000000"/>
                <w:sz w:val="16"/>
              </w:rPr>
              <w:t>PRSC - TRACTAFRIC MOTORS CI</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46.54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883 titres</w:t>
            </w:r>
          </w:p>
        </w:tc>
        <w:tc>
          <w:tcPr>
            <w:tcW w:type="dxa" w:w="2268"/>
            <w:shd w:fill="FFF2CC" w:val="clear"/>
          </w:tcPr>
          <w:p>
            <w:r>
              <w:rPr>
                <w:b/>
                <w:color w:val="503200"/>
                <w:sz w:val="16"/>
              </w:rPr>
              <w:t xml:space="preserve">Cours actuel : </w:t>
            </w:r>
            <w:r>
              <w:rPr>
                <w:color w:val="000000"/>
                <w:sz w:val="17"/>
              </w:rPr>
              <w:t>4,545 FCFA</w:t>
            </w:r>
          </w:p>
          <w:p>
            <w:r>
              <w:rPr>
                <w:b/>
                <w:color w:val="503200"/>
                <w:sz w:val="16"/>
              </w:rPr>
              <w:t xml:space="preserve">Var. 100 jours : </w:t>
            </w:r>
            <w:r>
              <w:rPr>
                <w:b/>
                <w:color w:val="B40000"/>
                <w:sz w:val="17"/>
              </w:rPr>
              <w:t>-6.86%</w:t>
            </w:r>
          </w:p>
          <w:p>
            <w:r>
              <w:rPr>
                <w:b/>
                <w:color w:val="503200"/>
                <w:sz w:val="16"/>
              </w:rPr>
              <w:t xml:space="preserve">Plus haut 100j : </w:t>
            </w:r>
            <w:r>
              <w:rPr>
                <w:color w:val="000000"/>
                <w:sz w:val="17"/>
              </w:rPr>
              <w:t>5,100 FCFA</w:t>
            </w:r>
          </w:p>
          <w:p>
            <w:r>
              <w:rPr>
                <w:b/>
                <w:color w:val="503200"/>
                <w:sz w:val="16"/>
              </w:rPr>
              <w:t xml:space="preserve">Plus bas 100j : </w:t>
            </w:r>
            <w:r>
              <w:rPr>
                <w:color w:val="000000"/>
                <w:sz w:val="17"/>
              </w:rPr>
              <w:t>3,620 FCFA</w:t>
            </w:r>
          </w:p>
          <w:p>
            <w:r>
              <w:rPr>
                <w:b/>
                <w:color w:val="503200"/>
                <w:sz w:val="16"/>
              </w:rPr>
              <w:t xml:space="preserve">Volatilité ann. : </w:t>
            </w:r>
            <w:r>
              <w:rPr>
                <w:color w:val="000000"/>
                <w:sz w:val="17"/>
              </w:rPr>
              <w:t>40.1%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23.3/100 → Moyen</w:t>
      </w:r>
    </w:p>
    <w:p>
      <w:pPr>
        <w:spacing w:before="40" w:after="80"/>
      </w:pPr>
      <w:r>
        <w:rPr>
          <w:rFonts w:ascii="Courier New" w:hAnsi="Courier New"/>
          <w:color w:val="825A00"/>
          <w:sz w:val="18"/>
        </w:rPr>
        <w:t>████░░░░░░░░░░░░░░░░  23.3/100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7.84% (Moyenne) — μ=4,449 FCFA, σ=349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β=-0.3520 (Contre-cyclique) — Cov=-0.000012, Var(idx)=0.000035, ρ=-0.082,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883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σ_j=2.53%/j (Stable) — Vol. annualisée≈40.1%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60/100  (Bon)</w:t>
      </w:r>
    </w:p>
    <w:p/>
    <w:p>
      <w:pPr>
        <w:jc w:val="center"/>
      </w:pPr>
      <w:r>
        <w:drawing>
          <wp:inline xmlns:a="http://schemas.openxmlformats.org/drawingml/2006/main" xmlns:pic="http://schemas.openxmlformats.org/drawingml/2006/picture">
            <wp:extent cx="5669280" cy="2635585"/>
            <wp:docPr id="28" name="Picture 28"/>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2026-08-28</w:t>
            </w:r>
          </w:p>
        </w:tc>
        <w:tc>
          <w:tcPr>
            <w:tcW w:type="dxa" w:w="1440"/>
            <w:shd w:fill="FAFAFA" w:val="clear"/>
          </w:tcPr>
          <w:p>
            <w:r>
              <w:rPr>
                <w:sz w:val="17"/>
              </w:rPr>
              <w:t>4,398</w:t>
            </w:r>
          </w:p>
        </w:tc>
        <w:tc>
          <w:tcPr>
            <w:tcW w:type="dxa" w:w="1440"/>
            <w:shd w:fill="FAFAFA" w:val="clear"/>
          </w:tcPr>
          <w:p>
            <w:r>
              <w:rPr>
                <w:b/>
                <w:sz w:val="17"/>
              </w:rPr>
              <w:t>4,496</w:t>
            </w:r>
          </w:p>
        </w:tc>
        <w:tc>
          <w:tcPr>
            <w:tcW w:type="dxa" w:w="1440"/>
            <w:shd w:fill="FAFAFA" w:val="clear"/>
          </w:tcPr>
          <w:p>
            <w:r>
              <w:rPr>
                <w:sz w:val="17"/>
              </w:rPr>
              <w:t>4,594</w:t>
            </w:r>
          </w:p>
        </w:tc>
        <w:tc>
          <w:tcPr>
            <w:tcW w:type="dxa" w:w="1440"/>
            <w:shd w:fill="FAFAFA" w:val="clear"/>
          </w:tcPr>
          <w:p>
            <w:r>
              <w:rPr>
                <w:b/>
                <w:color w:val="C00000"/>
                <w:sz w:val="17"/>
              </w:rPr>
              <w:t>-1.1%</w:t>
            </w:r>
          </w:p>
        </w:tc>
      </w:tr>
      <w:tr>
        <w:tc>
          <w:tcPr>
            <w:tcW w:type="dxa" w:w="1440"/>
            <w:shd w:fill="FAFAFA" w:val="clear"/>
          </w:tcPr>
          <w:p>
            <w:r>
              <w:rPr>
                <w:sz w:val="17"/>
              </w:rPr>
              <w:t>J+2  ⭐⭐⭐</w:t>
            </w:r>
          </w:p>
        </w:tc>
        <w:tc>
          <w:tcPr>
            <w:tcW w:type="dxa" w:w="1440"/>
            <w:shd w:fill="FAFAFA" w:val="clear"/>
          </w:tcPr>
          <w:p>
            <w:r>
              <w:rPr>
                <w:sz w:val="17"/>
              </w:rPr>
              <w:t>2026-08-31</w:t>
            </w:r>
          </w:p>
        </w:tc>
        <w:tc>
          <w:tcPr>
            <w:tcW w:type="dxa" w:w="1440"/>
            <w:shd w:fill="FAFAFA" w:val="clear"/>
          </w:tcPr>
          <w:p>
            <w:r>
              <w:rPr>
                <w:sz w:val="17"/>
              </w:rPr>
              <w:t>4,339</w:t>
            </w:r>
          </w:p>
        </w:tc>
        <w:tc>
          <w:tcPr>
            <w:tcW w:type="dxa" w:w="1440"/>
            <w:shd w:fill="FAFAFA" w:val="clear"/>
          </w:tcPr>
          <w:p>
            <w:r>
              <w:rPr>
                <w:b/>
                <w:sz w:val="17"/>
              </w:rPr>
              <w:t>4,478</w:t>
            </w:r>
          </w:p>
        </w:tc>
        <w:tc>
          <w:tcPr>
            <w:tcW w:type="dxa" w:w="1440"/>
            <w:shd w:fill="FAFAFA" w:val="clear"/>
          </w:tcPr>
          <w:p>
            <w:r>
              <w:rPr>
                <w:sz w:val="17"/>
              </w:rPr>
              <w:t>4,616</w:t>
            </w:r>
          </w:p>
        </w:tc>
        <w:tc>
          <w:tcPr>
            <w:tcW w:type="dxa" w:w="1440"/>
            <w:shd w:fill="FAFAFA" w:val="clear"/>
          </w:tcPr>
          <w:p>
            <w:r>
              <w:rPr>
                <w:b/>
                <w:color w:val="C00000"/>
                <w:sz w:val="17"/>
              </w:rPr>
              <w:t>-1.5%</w:t>
            </w:r>
          </w:p>
        </w:tc>
      </w:tr>
      <w:tr>
        <w:tc>
          <w:tcPr>
            <w:tcW w:type="dxa" w:w="1440"/>
            <w:shd w:fill="FFDCE0" w:val="clear"/>
          </w:tcPr>
          <w:p>
            <w:r>
              <w:rPr>
                <w:sz w:val="17"/>
              </w:rPr>
              <w:t>J+3  ⭐⭐⭐</w:t>
            </w:r>
          </w:p>
        </w:tc>
        <w:tc>
          <w:tcPr>
            <w:tcW w:type="dxa" w:w="1440"/>
            <w:shd w:fill="FFDCE0" w:val="clear"/>
          </w:tcPr>
          <w:p>
            <w:r>
              <w:rPr>
                <w:sz w:val="17"/>
              </w:rPr>
              <w:t>2026-09-01</w:t>
            </w:r>
          </w:p>
        </w:tc>
        <w:tc>
          <w:tcPr>
            <w:tcW w:type="dxa" w:w="1440"/>
            <w:shd w:fill="FFDCE0" w:val="clear"/>
          </w:tcPr>
          <w:p>
            <w:r>
              <w:rPr>
                <w:sz w:val="17"/>
              </w:rPr>
              <w:t>4,285</w:t>
            </w:r>
          </w:p>
        </w:tc>
        <w:tc>
          <w:tcPr>
            <w:tcW w:type="dxa" w:w="1440"/>
            <w:shd w:fill="FFDCE0" w:val="clear"/>
          </w:tcPr>
          <w:p>
            <w:r>
              <w:rPr>
                <w:b/>
                <w:sz w:val="17"/>
              </w:rPr>
              <w:t>4,453</w:t>
            </w:r>
          </w:p>
        </w:tc>
        <w:tc>
          <w:tcPr>
            <w:tcW w:type="dxa" w:w="1440"/>
            <w:shd w:fill="FFDCE0" w:val="clear"/>
          </w:tcPr>
          <w:p>
            <w:r>
              <w:rPr>
                <w:sz w:val="17"/>
              </w:rPr>
              <w:t>4,622</w:t>
            </w:r>
          </w:p>
        </w:tc>
        <w:tc>
          <w:tcPr>
            <w:tcW w:type="dxa" w:w="1440"/>
            <w:shd w:fill="FFDCE0" w:val="clear"/>
          </w:tcPr>
          <w:p>
            <w:r>
              <w:rPr>
                <w:b/>
                <w:color w:val="C00000"/>
                <w:sz w:val="17"/>
              </w:rPr>
              <w:t>-2.0%</w:t>
            </w:r>
          </w:p>
        </w:tc>
      </w:tr>
      <w:tr>
        <w:tc>
          <w:tcPr>
            <w:tcW w:type="dxa" w:w="1440"/>
            <w:shd w:fill="FFDCE0" w:val="clear"/>
          </w:tcPr>
          <w:p>
            <w:r>
              <w:rPr>
                <w:sz w:val="17"/>
              </w:rPr>
              <w:t>J+4  Moyenne</w:t>
            </w:r>
          </w:p>
        </w:tc>
        <w:tc>
          <w:tcPr>
            <w:tcW w:type="dxa" w:w="1440"/>
            <w:shd w:fill="FFDCE0" w:val="clear"/>
          </w:tcPr>
          <w:p>
            <w:r>
              <w:rPr>
                <w:sz w:val="17"/>
              </w:rPr>
              <w:t>2026-09-02</w:t>
            </w:r>
          </w:p>
        </w:tc>
        <w:tc>
          <w:tcPr>
            <w:tcW w:type="dxa" w:w="1440"/>
            <w:shd w:fill="FFDCE0" w:val="clear"/>
          </w:tcPr>
          <w:p>
            <w:r>
              <w:rPr>
                <w:sz w:val="17"/>
              </w:rPr>
              <w:t>4,236</w:t>
            </w:r>
          </w:p>
        </w:tc>
        <w:tc>
          <w:tcPr>
            <w:tcW w:type="dxa" w:w="1440"/>
            <w:shd w:fill="FFDCE0" w:val="clear"/>
          </w:tcPr>
          <w:p>
            <w:r>
              <w:rPr>
                <w:b/>
                <w:sz w:val="17"/>
              </w:rPr>
              <w:t>4,430</w:t>
            </w:r>
          </w:p>
        </w:tc>
        <w:tc>
          <w:tcPr>
            <w:tcW w:type="dxa" w:w="1440"/>
            <w:shd w:fill="FFDCE0" w:val="clear"/>
          </w:tcPr>
          <w:p>
            <w:r>
              <w:rPr>
                <w:sz w:val="17"/>
              </w:rPr>
              <w:t>4,624</w:t>
            </w:r>
          </w:p>
        </w:tc>
        <w:tc>
          <w:tcPr>
            <w:tcW w:type="dxa" w:w="1440"/>
            <w:shd w:fill="FFDCE0" w:val="clear"/>
          </w:tcPr>
          <w:p>
            <w:r>
              <w:rPr>
                <w:b/>
                <w:color w:val="C00000"/>
                <w:sz w:val="17"/>
              </w:rPr>
              <w:t>-2.5%</w:t>
            </w:r>
          </w:p>
        </w:tc>
      </w:tr>
      <w:tr>
        <w:tc>
          <w:tcPr>
            <w:tcW w:type="dxa" w:w="1440"/>
            <w:shd w:fill="FFDCE0" w:val="clear"/>
          </w:tcPr>
          <w:p>
            <w:r>
              <w:rPr>
                <w:sz w:val="17"/>
              </w:rPr>
              <w:t>J+5  Moyenne</w:t>
            </w:r>
          </w:p>
        </w:tc>
        <w:tc>
          <w:tcPr>
            <w:tcW w:type="dxa" w:w="1440"/>
            <w:shd w:fill="FFDCE0" w:val="clear"/>
          </w:tcPr>
          <w:p>
            <w:r>
              <w:rPr>
                <w:sz w:val="17"/>
              </w:rPr>
              <w:t>2026-09-03</w:t>
            </w:r>
          </w:p>
        </w:tc>
        <w:tc>
          <w:tcPr>
            <w:tcW w:type="dxa" w:w="1440"/>
            <w:shd w:fill="FFDCE0" w:val="clear"/>
          </w:tcPr>
          <w:p>
            <w:r>
              <w:rPr>
                <w:sz w:val="17"/>
              </w:rPr>
              <w:t>4,192</w:t>
            </w:r>
          </w:p>
        </w:tc>
        <w:tc>
          <w:tcPr>
            <w:tcW w:type="dxa" w:w="1440"/>
            <w:shd w:fill="FFDCE0" w:val="clear"/>
          </w:tcPr>
          <w:p>
            <w:r>
              <w:rPr>
                <w:b/>
                <w:sz w:val="17"/>
              </w:rPr>
              <w:t>4,408</w:t>
            </w:r>
          </w:p>
        </w:tc>
        <w:tc>
          <w:tcPr>
            <w:tcW w:type="dxa" w:w="1440"/>
            <w:shd w:fill="FFDCE0" w:val="clear"/>
          </w:tcPr>
          <w:p>
            <w:r>
              <w:rPr>
                <w:sz w:val="17"/>
              </w:rPr>
              <w:t>4,624</w:t>
            </w:r>
          </w:p>
        </w:tc>
        <w:tc>
          <w:tcPr>
            <w:tcW w:type="dxa" w:w="1440"/>
            <w:shd w:fill="FFDCE0" w:val="clear"/>
          </w:tcPr>
          <w:p>
            <w:r>
              <w:rPr>
                <w:b/>
                <w:color w:val="C00000"/>
                <w:sz w:val="17"/>
              </w:rPr>
              <w:t>-3.0%</w:t>
            </w:r>
          </w:p>
        </w:tc>
      </w:tr>
      <w:tr>
        <w:tc>
          <w:tcPr>
            <w:tcW w:type="dxa" w:w="1440"/>
            <w:shd w:fill="FFDCE0" w:val="clear"/>
          </w:tcPr>
          <w:p>
            <w:r>
              <w:rPr>
                <w:sz w:val="17"/>
              </w:rPr>
              <w:t>J+6  Moyenne</w:t>
            </w:r>
          </w:p>
        </w:tc>
        <w:tc>
          <w:tcPr>
            <w:tcW w:type="dxa" w:w="1440"/>
            <w:shd w:fill="FFDCE0" w:val="clear"/>
          </w:tcPr>
          <w:p>
            <w:r>
              <w:rPr>
                <w:sz w:val="17"/>
              </w:rPr>
              <w:t>2026-09-04</w:t>
            </w:r>
          </w:p>
        </w:tc>
        <w:tc>
          <w:tcPr>
            <w:tcW w:type="dxa" w:w="1440"/>
            <w:shd w:fill="FFDCE0" w:val="clear"/>
          </w:tcPr>
          <w:p>
            <w:r>
              <w:rPr>
                <w:sz w:val="17"/>
              </w:rPr>
              <w:t>4,151</w:t>
            </w:r>
          </w:p>
        </w:tc>
        <w:tc>
          <w:tcPr>
            <w:tcW w:type="dxa" w:w="1440"/>
            <w:shd w:fill="FFDCE0" w:val="clear"/>
          </w:tcPr>
          <w:p>
            <w:r>
              <w:rPr>
                <w:b/>
                <w:sz w:val="17"/>
              </w:rPr>
              <w:t>4,386</w:t>
            </w:r>
          </w:p>
        </w:tc>
        <w:tc>
          <w:tcPr>
            <w:tcW w:type="dxa" w:w="1440"/>
            <w:shd w:fill="FFDCE0" w:val="clear"/>
          </w:tcPr>
          <w:p>
            <w:r>
              <w:rPr>
                <w:sz w:val="17"/>
              </w:rPr>
              <w:t>4,621</w:t>
            </w:r>
          </w:p>
        </w:tc>
        <w:tc>
          <w:tcPr>
            <w:tcW w:type="dxa" w:w="1440"/>
            <w:shd w:fill="FFDCE0" w:val="clear"/>
          </w:tcPr>
          <w:p>
            <w:r>
              <w:rPr>
                <w:b/>
                <w:color w:val="C00000"/>
                <w:sz w:val="17"/>
              </w:rPr>
              <w:t>-3.5%</w:t>
            </w:r>
          </w:p>
        </w:tc>
      </w:tr>
      <w:tr>
        <w:tc>
          <w:tcPr>
            <w:tcW w:type="dxa" w:w="1440"/>
            <w:shd w:fill="FFDCE0" w:val="clear"/>
          </w:tcPr>
          <w:p>
            <w:r>
              <w:rPr>
                <w:sz w:val="17"/>
              </w:rPr>
              <w:t>J+7  Moyenne</w:t>
            </w:r>
          </w:p>
        </w:tc>
        <w:tc>
          <w:tcPr>
            <w:tcW w:type="dxa" w:w="1440"/>
            <w:shd w:fill="FFDCE0" w:val="clear"/>
          </w:tcPr>
          <w:p>
            <w:r>
              <w:rPr>
                <w:sz w:val="17"/>
              </w:rPr>
              <w:t>2026-09-07</w:t>
            </w:r>
          </w:p>
        </w:tc>
        <w:tc>
          <w:tcPr>
            <w:tcW w:type="dxa" w:w="1440"/>
            <w:shd w:fill="FFDCE0" w:val="clear"/>
          </w:tcPr>
          <w:p>
            <w:r>
              <w:rPr>
                <w:sz w:val="17"/>
              </w:rPr>
              <w:t>4,112</w:t>
            </w:r>
          </w:p>
        </w:tc>
        <w:tc>
          <w:tcPr>
            <w:tcW w:type="dxa" w:w="1440"/>
            <w:shd w:fill="FFDCE0" w:val="clear"/>
          </w:tcPr>
          <w:p>
            <w:r>
              <w:rPr>
                <w:b/>
                <w:sz w:val="17"/>
              </w:rPr>
              <w:t>4,365</w:t>
            </w:r>
          </w:p>
        </w:tc>
        <w:tc>
          <w:tcPr>
            <w:tcW w:type="dxa" w:w="1440"/>
            <w:shd w:fill="FFDCE0" w:val="clear"/>
          </w:tcPr>
          <w:p>
            <w:r>
              <w:rPr>
                <w:sz w:val="17"/>
              </w:rPr>
              <w:t>4,618</w:t>
            </w:r>
          </w:p>
        </w:tc>
        <w:tc>
          <w:tcPr>
            <w:tcW w:type="dxa" w:w="1440"/>
            <w:shd w:fill="FFDCE0" w:val="clear"/>
          </w:tcPr>
          <w:p>
            <w:r>
              <w:rPr>
                <w:b/>
                <w:color w:val="C00000"/>
                <w:sz w:val="17"/>
              </w:rPr>
              <w:t>-4.0%</w:t>
            </w:r>
          </w:p>
        </w:tc>
      </w:tr>
      <w:tr>
        <w:tc>
          <w:tcPr>
            <w:tcW w:type="dxa" w:w="1440"/>
            <w:shd w:fill="FFDCE0" w:val="clear"/>
          </w:tcPr>
          <w:p>
            <w:r>
              <w:rPr>
                <w:sz w:val="17"/>
              </w:rPr>
              <w:t>J+8  Moyenne</w:t>
            </w:r>
          </w:p>
        </w:tc>
        <w:tc>
          <w:tcPr>
            <w:tcW w:type="dxa" w:w="1440"/>
            <w:shd w:fill="FFDCE0" w:val="clear"/>
          </w:tcPr>
          <w:p>
            <w:r>
              <w:rPr>
                <w:sz w:val="17"/>
              </w:rPr>
              <w:t>2026-09-08</w:t>
            </w:r>
          </w:p>
        </w:tc>
        <w:tc>
          <w:tcPr>
            <w:tcW w:type="dxa" w:w="1440"/>
            <w:shd w:fill="FFDCE0" w:val="clear"/>
          </w:tcPr>
          <w:p>
            <w:r>
              <w:rPr>
                <w:sz w:val="17"/>
              </w:rPr>
              <w:t>4,075</w:t>
            </w:r>
          </w:p>
        </w:tc>
        <w:tc>
          <w:tcPr>
            <w:tcW w:type="dxa" w:w="1440"/>
            <w:shd w:fill="FFDCE0" w:val="clear"/>
          </w:tcPr>
          <w:p>
            <w:r>
              <w:rPr>
                <w:b/>
                <w:sz w:val="17"/>
              </w:rPr>
              <w:t>4,344</w:t>
            </w:r>
          </w:p>
        </w:tc>
        <w:tc>
          <w:tcPr>
            <w:tcW w:type="dxa" w:w="1440"/>
            <w:shd w:fill="FFDCE0" w:val="clear"/>
          </w:tcPr>
          <w:p>
            <w:r>
              <w:rPr>
                <w:sz w:val="17"/>
              </w:rPr>
              <w:t>4,613</w:t>
            </w:r>
          </w:p>
        </w:tc>
        <w:tc>
          <w:tcPr>
            <w:tcW w:type="dxa" w:w="1440"/>
            <w:shd w:fill="FFDCE0" w:val="clear"/>
          </w:tcPr>
          <w:p>
            <w:r>
              <w:rPr>
                <w:b/>
                <w:color w:val="C00000"/>
                <w:sz w:val="17"/>
              </w:rPr>
              <w:t>-4.4%</w:t>
            </w:r>
          </w:p>
        </w:tc>
      </w:tr>
      <w:tr>
        <w:tc>
          <w:tcPr>
            <w:tcW w:type="dxa" w:w="1440"/>
            <w:shd w:fill="FFDCE0" w:val="clear"/>
          </w:tcPr>
          <w:p>
            <w:r>
              <w:rPr>
                <w:sz w:val="17"/>
              </w:rPr>
              <w:t>J+9  Moyenne</w:t>
            </w:r>
          </w:p>
        </w:tc>
        <w:tc>
          <w:tcPr>
            <w:tcW w:type="dxa" w:w="1440"/>
            <w:shd w:fill="FFDCE0" w:val="clear"/>
          </w:tcPr>
          <w:p>
            <w:r>
              <w:rPr>
                <w:sz w:val="17"/>
              </w:rPr>
              <w:t>2026-09-09</w:t>
            </w:r>
          </w:p>
        </w:tc>
        <w:tc>
          <w:tcPr>
            <w:tcW w:type="dxa" w:w="1440"/>
            <w:shd w:fill="FFDCE0" w:val="clear"/>
          </w:tcPr>
          <w:p>
            <w:r>
              <w:rPr>
                <w:sz w:val="17"/>
              </w:rPr>
              <w:t>4,040</w:t>
            </w:r>
          </w:p>
        </w:tc>
        <w:tc>
          <w:tcPr>
            <w:tcW w:type="dxa" w:w="1440"/>
            <w:shd w:fill="FFDCE0" w:val="clear"/>
          </w:tcPr>
          <w:p>
            <w:r>
              <w:rPr>
                <w:b/>
                <w:sz w:val="17"/>
              </w:rPr>
              <w:t>4,324</w:t>
            </w:r>
          </w:p>
        </w:tc>
        <w:tc>
          <w:tcPr>
            <w:tcW w:type="dxa" w:w="1440"/>
            <w:shd w:fill="FFDCE0" w:val="clear"/>
          </w:tcPr>
          <w:p>
            <w:r>
              <w:rPr>
                <w:sz w:val="17"/>
              </w:rPr>
              <w:t>4,608</w:t>
            </w:r>
          </w:p>
        </w:tc>
        <w:tc>
          <w:tcPr>
            <w:tcW w:type="dxa" w:w="1440"/>
            <w:shd w:fill="FFDCE0" w:val="clear"/>
          </w:tcPr>
          <w:p>
            <w:r>
              <w:rPr>
                <w:b/>
                <w:color w:val="C00000"/>
                <w:sz w:val="17"/>
              </w:rPr>
              <w:t>-4.9%</w:t>
            </w:r>
          </w:p>
        </w:tc>
      </w:tr>
      <w:tr>
        <w:tc>
          <w:tcPr>
            <w:tcW w:type="dxa" w:w="1440"/>
            <w:shd w:fill="FFDCE0" w:val="clear"/>
          </w:tcPr>
          <w:p>
            <w:r>
              <w:rPr>
                <w:sz w:val="17"/>
              </w:rPr>
              <w:t>J+10  Moyenne</w:t>
            </w:r>
          </w:p>
        </w:tc>
        <w:tc>
          <w:tcPr>
            <w:tcW w:type="dxa" w:w="1440"/>
            <w:shd w:fill="FFDCE0" w:val="clear"/>
          </w:tcPr>
          <w:p>
            <w:r>
              <w:rPr>
                <w:sz w:val="17"/>
              </w:rPr>
              <w:t>2026-09-10</w:t>
            </w:r>
          </w:p>
        </w:tc>
        <w:tc>
          <w:tcPr>
            <w:tcW w:type="dxa" w:w="1440"/>
            <w:shd w:fill="FFDCE0" w:val="clear"/>
          </w:tcPr>
          <w:p>
            <w:r>
              <w:rPr>
                <w:sz w:val="17"/>
              </w:rPr>
              <w:t>4,006</w:t>
            </w:r>
          </w:p>
        </w:tc>
        <w:tc>
          <w:tcPr>
            <w:tcW w:type="dxa" w:w="1440"/>
            <w:shd w:fill="FFDCE0" w:val="clear"/>
          </w:tcPr>
          <w:p>
            <w:r>
              <w:rPr>
                <w:b/>
                <w:sz w:val="17"/>
              </w:rPr>
              <w:t>4,304</w:t>
            </w:r>
          </w:p>
        </w:tc>
        <w:tc>
          <w:tcPr>
            <w:tcW w:type="dxa" w:w="1440"/>
            <w:shd w:fill="FFDCE0" w:val="clear"/>
          </w:tcPr>
          <w:p>
            <w:r>
              <w:rPr>
                <w:sz w:val="17"/>
              </w:rPr>
              <w:t>4,602</w:t>
            </w:r>
          </w:p>
        </w:tc>
        <w:tc>
          <w:tcPr>
            <w:tcW w:type="dxa" w:w="1440"/>
            <w:shd w:fill="FFDCE0" w:val="clear"/>
          </w:tcPr>
          <w:p>
            <w:r>
              <w:rPr>
                <w:b/>
                <w:color w:val="C00000"/>
                <w:sz w:val="17"/>
              </w:rPr>
              <w:t>-5.3%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10.364 Mds FCFA</w:t>
            </w:r>
          </w:p>
        </w:tc>
        <w:tc>
          <w:tcPr>
            <w:tcW w:type="dxa" w:w="5669"/>
            <w:shd w:fill="FFFFFF" w:val="clear"/>
          </w:tcPr>
          <w:p>
            <w:r>
              <w:rPr>
                <w:color w:val="282828"/>
                <w:sz w:val="15"/>
              </w:rPr>
              <w:t>Créances clients = 12.8%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26.334 Mds FCFA</w:t>
            </w:r>
          </w:p>
        </w:tc>
        <w:tc>
          <w:tcPr>
            <w:tcW w:type="dxa" w:w="5669"/>
            <w:shd w:fill="FFFFFF" w:val="clear"/>
          </w:tcPr>
          <w:p>
            <w:r>
              <w:rPr>
                <w:color w:val="282828"/>
                <w:sz w:val="15"/>
              </w:rPr>
              <w:t>Rotation stocks = 3.1x/an. ⚠️ Rotation lente — risque d'immobilisation de capital.</w:t>
            </w:r>
          </w:p>
        </w:tc>
      </w:tr>
      <w:tr>
        <w:tc>
          <w:tcPr>
            <w:tcW w:type="dxa" w:w="2268"/>
            <w:shd w:fill="EEF2F7" w:val="clear"/>
          </w:tcPr>
          <w:p>
            <w:r>
              <w:rPr>
                <w:b/>
                <w:color w:val="1E1E3C"/>
                <w:sz w:val="16"/>
              </w:rPr>
              <w:t>Actif circulant</w:t>
            </w:r>
          </w:p>
        </w:tc>
        <w:tc>
          <w:tcPr>
            <w:tcW w:type="dxa" w:w="1984"/>
            <w:shd w:fill="C6EFCE" w:val="clear"/>
          </w:tcPr>
          <w:p>
            <w:r>
              <w:rPr>
                <w:b/>
                <w:color w:val="006400"/>
                <w:sz w:val="17"/>
              </w:rPr>
              <w:t>39.358 Mds FCFA</w:t>
            </w:r>
          </w:p>
        </w:tc>
        <w:tc>
          <w:tcPr>
            <w:tcW w:type="dxa" w:w="5669"/>
            <w:shd w:fill="FFFFFF" w:val="clear"/>
          </w:tcPr>
          <w:p>
            <w:r>
              <w:rPr>
                <w:color w:val="282828"/>
                <w:sz w:val="15"/>
              </w:rPr>
              <w:t>Ratio actif circ./passif circ. = 1.40x.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199.48 M FCFA</w:t>
            </w:r>
          </w:p>
        </w:tc>
        <w:tc>
          <w:tcPr>
            <w:tcW w:type="dxa" w:w="5669"/>
            <w:shd w:fill="FFFFFF" w:val="clear"/>
          </w:tcPr>
          <w:p>
            <w:r>
              <w:rPr>
                <w:color w:val="282828"/>
                <w:sz w:val="15"/>
              </w:rPr>
              <w:t>Brevets, logiciels, fonds commercial (0.4%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5.984 Mds FCFA</w:t>
            </w:r>
          </w:p>
        </w:tc>
        <w:tc>
          <w:tcPr>
            <w:tcW w:type="dxa" w:w="5669"/>
            <w:shd w:fill="FFFFFF" w:val="clear"/>
          </w:tcPr>
          <w:p>
            <w:r>
              <w:rPr>
                <w:color w:val="282828"/>
                <w:sz w:val="15"/>
              </w:rPr>
              <w:t>Outil industriel (12.5%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6.282 Mds FCFA</w:t>
            </w:r>
          </w:p>
        </w:tc>
        <w:tc>
          <w:tcPr>
            <w:tcW w:type="dxa" w:w="5669"/>
            <w:shd w:fill="FFFFFF" w:val="clear"/>
          </w:tcPr>
          <w:p>
            <w:r>
              <w:rPr>
                <w:color w:val="282828"/>
                <w:sz w:val="15"/>
              </w:rPr>
              <w:t>Actif immobilisé = 13.1%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2.196 Mds FCFA</w:t>
            </w:r>
          </w:p>
        </w:tc>
        <w:tc>
          <w:tcPr>
            <w:tcW w:type="dxa" w:w="5669"/>
            <w:shd w:fill="FFFFFF" w:val="clear"/>
          </w:tcPr>
          <w:p>
            <w:r>
              <w:rPr>
                <w:color w:val="282828"/>
                <w:sz w:val="15"/>
              </w:rPr>
              <w:t>Liquidités disponibles (4.6%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47.836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1.280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7.883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11.531 Mds FCFA</w:t>
            </w:r>
          </w:p>
        </w:tc>
        <w:tc>
          <w:tcPr>
            <w:tcW w:type="dxa" w:w="5669"/>
            <w:shd w:fill="FFFFFF" w:val="clear"/>
          </w:tcPr>
          <w:p>
            <w:r>
              <w:rPr>
                <w:color w:val="282828"/>
                <w:sz w:val="15"/>
              </w:rPr>
              <w:t>Fonds propres = 24.1%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12.395 Mds FCFA</w:t>
            </w:r>
          </w:p>
        </w:tc>
        <w:tc>
          <w:tcPr>
            <w:tcW w:type="dxa" w:w="5669"/>
            <w:shd w:fill="FFFFFF" w:val="clear"/>
          </w:tcPr>
          <w:p>
            <w:r>
              <w:rPr>
                <w:color w:val="282828"/>
                <w:sz w:val="15"/>
              </w:rPr>
              <w:t>Capitaux permanents / Actif immobilisé = 1.97x.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17.961 Mds FCFA</w:t>
            </w:r>
          </w:p>
        </w:tc>
        <w:tc>
          <w:tcPr>
            <w:tcW w:type="dxa" w:w="5669"/>
            <w:shd w:fill="FFFFFF" w:val="clear"/>
          </w:tcPr>
          <w:p>
            <w:r>
              <w:rPr>
                <w:color w:val="282828"/>
                <w:sz w:val="15"/>
              </w:rPr>
              <w:t>Délai fournisseurs implicite ≈ 81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864.12 M FCFA</w:t>
            </w:r>
          </w:p>
        </w:tc>
        <w:tc>
          <w:tcPr>
            <w:tcW w:type="dxa" w:w="5669"/>
            <w:shd w:fill="FFFFFF" w:val="clear"/>
          </w:tcPr>
          <w:p>
            <w:r>
              <w:rPr>
                <w:color w:val="282828"/>
                <w:sz w:val="15"/>
              </w:rPr>
              <w:t>Dette LT/MT = 7%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7.152 Mds FCFA</w:t>
            </w:r>
          </w:p>
        </w:tc>
        <w:tc>
          <w:tcPr>
            <w:tcW w:type="dxa" w:w="5669"/>
            <w:shd w:fill="FFFFFF" w:val="clear"/>
          </w:tcPr>
          <w:p>
            <w:r>
              <w:rPr>
                <w:color w:val="282828"/>
                <w:sz w:val="15"/>
              </w:rPr>
              <w:t>Dette financière totale = 62%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36.305 Mds FCFA</w:t>
            </w:r>
          </w:p>
        </w:tc>
        <w:tc>
          <w:tcPr>
            <w:tcW w:type="dxa" w:w="5669"/>
            <w:shd w:fill="FFFFFF" w:val="clear"/>
          </w:tcPr>
          <w:p>
            <w:r>
              <w:rPr>
                <w:color w:val="282828"/>
                <w:sz w:val="15"/>
              </w:rPr>
              <w:t>Dettes totales = 75.9%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81.127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81.127 Mds FCFA</w:t>
            </w:r>
          </w:p>
        </w:tc>
        <w:tc>
          <w:tcPr>
            <w:tcW w:type="dxa" w:w="5669"/>
            <w:shd w:fill="FFFFFF" w:val="clear"/>
          </w:tcPr>
          <w:p>
            <w:r>
              <w:rPr>
                <w:color w:val="282828"/>
                <w:sz w:val="15"/>
              </w:rPr>
              <w:t>Chiffre d'affaires. Croissance: 8.6%. ✅ CA en hausse — bonne dynamique commerciale.</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79.094 Mds FCFA</w:t>
            </w:r>
          </w:p>
        </w:tc>
        <w:tc>
          <w:tcPr>
            <w:tcW w:type="dxa" w:w="5669"/>
            <w:shd w:fill="FFFFFF" w:val="clear"/>
          </w:tcPr>
          <w:p>
            <w:r>
              <w:rPr>
                <w:color w:val="282828"/>
                <w:sz w:val="15"/>
              </w:rPr>
              <w:t>97.5%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1.786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5.065 Mds FCFA</w:t>
            </w:r>
          </w:p>
        </w:tc>
        <w:tc>
          <w:tcPr>
            <w:tcW w:type="dxa" w:w="5669"/>
            <w:shd w:fill="FFFFFF" w:val="clear"/>
          </w:tcPr>
          <w:p>
            <w:r>
              <w:rPr>
                <w:color w:val="282828"/>
                <w:sz w:val="15"/>
              </w:rPr>
              <w:t>Masse salariale = 6.2%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10.852 Mds FCFA</w:t>
            </w:r>
          </w:p>
        </w:tc>
        <w:tc>
          <w:tcPr>
            <w:tcW w:type="dxa" w:w="5669"/>
            <w:shd w:fill="FFFFFF" w:val="clear"/>
          </w:tcPr>
          <w:p>
            <w:r>
              <w:rPr>
                <w:color w:val="282828"/>
                <w:sz w:val="15"/>
              </w:rPr>
              <w:t>VA = 13.4%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5.787 Mds FCFA</w:t>
            </w:r>
          </w:p>
        </w:tc>
        <w:tc>
          <w:tcPr>
            <w:tcW w:type="dxa" w:w="5669"/>
            <w:shd w:fill="FFFFFF" w:val="clear"/>
          </w:tcPr>
          <w:p>
            <w:r>
              <w:rPr>
                <w:color w:val="282828"/>
                <w:sz w:val="15"/>
              </w:rPr>
              <w:t>EBE = 7.1%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4.241 Mds FCFA</w:t>
            </w:r>
          </w:p>
        </w:tc>
        <w:tc>
          <w:tcPr>
            <w:tcW w:type="dxa" w:w="5669"/>
            <w:shd w:fill="FFFFFF" w:val="clear"/>
          </w:tcPr>
          <w:p>
            <w:r>
              <w:rPr>
                <w:color w:val="282828"/>
                <w:sz w:val="15"/>
              </w:rPr>
              <w:t>Profit d'exploitation = 5.2%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1.072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2.367 Mds FCFA</w:t>
            </w:r>
          </w:p>
        </w:tc>
        <w:tc>
          <w:tcPr>
            <w:tcW w:type="dxa" w:w="5669"/>
            <w:shd w:fill="FFFFFF" w:val="clear"/>
          </w:tcPr>
          <w:p>
            <w:r>
              <w:rPr>
                <w:color w:val="282828"/>
                <w:sz w:val="15"/>
              </w:rPr>
              <w:t>Marge nette = 2.9%.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3.913 Mds FCFA</w:t>
            </w:r>
          </w:p>
        </w:tc>
        <w:tc>
          <w:tcPr>
            <w:tcW w:type="dxa" w:w="5669"/>
            <w:shd w:fill="FFFFFF" w:val="clear"/>
          </w:tcPr>
          <w:p>
            <w:r>
              <w:rPr>
                <w:color w:val="282828"/>
                <w:sz w:val="15"/>
              </w:rPr>
              <w:t>CAF = 3.91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-1.855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-280.58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-2.505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-2.616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11.267 Mds FCFA</w:t>
            </w:r>
          </w:p>
        </w:tc>
        <w:tc>
          <w:tcPr>
            <w:tcW w:type="dxa" w:w="5669"/>
            <w:shd w:fill="FFFFFF" w:val="clear"/>
          </w:tcPr>
          <w:p>
            <w:r>
              <w:rPr>
                <w:color w:val="282828"/>
                <w:sz w:val="15"/>
              </w:rPr>
              <w:t>BFR = 13.9%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6.113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-4.092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18.51%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2.92%</w:t>
            </w:r>
          </w:p>
        </w:tc>
        <w:tc>
          <w:tcPr>
            <w:tcW w:type="dxa" w:w="5669"/>
            <w:shd w:fill="FFFFFF" w:val="clear"/>
          </w:tcPr>
          <w:p>
            <w:r>
              <w:rPr>
                <w:color w:val="282828"/>
                <w:sz w:val="15"/>
              </w:rPr>
              <w:t>Résultat net / revenus = 2.92%. ⚠️ Marge nette très fine — sensible aux aléas.</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5.23%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20.53%</w:t>
            </w:r>
          </w:p>
        </w:tc>
        <w:tc>
          <w:tcPr>
            <w:tcW w:type="dxa" w:w="5669"/>
            <w:shd w:fill="FFFFFF" w:val="clear"/>
          </w:tcPr>
          <w:p>
            <w:r>
              <w:rPr>
                <w:color w:val="282828"/>
                <w:sz w:val="15"/>
              </w:rPr>
              <w:t>Résultat net / capitaux propres = 20.53%.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4.95%</w:t>
            </w:r>
          </w:p>
        </w:tc>
        <w:tc>
          <w:tcPr>
            <w:tcW w:type="dxa" w:w="5669"/>
            <w:shd w:fill="FFFFFF" w:val="clear"/>
          </w:tcPr>
          <w:p>
            <w:r>
              <w:rPr>
                <w:color w:val="282828"/>
                <w:sz w:val="15"/>
              </w:rPr>
              <w:t>Résultat net / total actif = 4.95%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169.59%</w:t>
            </w:r>
          </w:p>
        </w:tc>
        <w:tc>
          <w:tcPr>
            <w:tcW w:type="dxa" w:w="5669"/>
            <w:shd w:fill="FFFFFF" w:val="clear"/>
          </w:tcPr>
          <w:p>
            <w:r>
              <w:rPr>
                <w:color w:val="282828"/>
                <w:sz w:val="15"/>
              </w:rPr>
              <w:t>CA / total actif = 169.59x.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0.33%</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8.64%</w:t>
            </w:r>
          </w:p>
        </w:tc>
        <w:tc>
          <w:tcPr>
            <w:tcW w:type="dxa" w:w="5669"/>
            <w:shd w:fill="FFFFFF" w:val="clear"/>
          </w:tcPr>
          <w:p>
            <w:r>
              <w:rPr>
                <w:color w:val="282828"/>
                <w:sz w:val="15"/>
              </w:rPr>
              <w:t>Croissance CA vs exercice précédent = 8.64%.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24.10%</w:t>
            </w:r>
          </w:p>
        </w:tc>
        <w:tc>
          <w:tcPr>
            <w:tcW w:type="dxa" w:w="5669"/>
            <w:shd w:fill="FFFFFF" w:val="clear"/>
          </w:tcPr>
          <w:p>
            <w:r>
              <w:rPr>
                <w:color w:val="282828"/>
                <w:sz w:val="15"/>
              </w:rPr>
              <w:t>Fonds propres / total bilan = 24.10%.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62.02%</w:t>
            </w:r>
          </w:p>
        </w:tc>
        <w:tc>
          <w:tcPr>
            <w:tcW w:type="dxa" w:w="5669"/>
            <w:shd w:fill="FFFFFF" w:val="clear"/>
          </w:tcPr>
          <w:p>
            <w:r>
              <w:rPr>
                <w:color w:val="282828"/>
                <w:sz w:val="15"/>
              </w:rPr>
              <w:t>Dettes financières / total bilan = 62.02%.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314.86%</w:t>
            </w:r>
          </w:p>
        </w:tc>
        <w:tc>
          <w:tcPr>
            <w:tcW w:type="dxa" w:w="5669"/>
            <w:shd w:fill="FFFFFF" w:val="clear"/>
          </w:tcPr>
          <w:p>
            <w:r>
              <w:rPr>
                <w:color w:val="282828"/>
                <w:sz w:val="15"/>
              </w:rPr>
              <w:t>Dettes totales / fonds propres = 314.86%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131.76%</w:t>
            </w:r>
          </w:p>
        </w:tc>
        <w:tc>
          <w:tcPr>
            <w:tcW w:type="dxa" w:w="5669"/>
            <w:shd w:fill="FFFFFF" w:val="clear"/>
          </w:tcPr>
          <w:p>
            <w:r>
              <w:rPr>
                <w:color w:val="282828"/>
                <w:sz w:val="15"/>
              </w:rPr>
              <w:t>Total actif / dettes totales = 131.76x.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120.87%</w:t>
            </w:r>
          </w:p>
        </w:tc>
        <w:tc>
          <w:tcPr>
            <w:tcW w:type="dxa" w:w="5669"/>
            <w:shd w:fill="FFFFFF" w:val="clear"/>
          </w:tcPr>
          <w:p>
            <w:r>
              <w:rPr>
                <w:color w:val="282828"/>
                <w:sz w:val="15"/>
              </w:rPr>
              <w:t>Actif circulant / passif circulant = 120.87x.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6.39%</w:t>
            </w:r>
          </w:p>
        </w:tc>
        <w:tc>
          <w:tcPr>
            <w:tcW w:type="dxa" w:w="5669"/>
            <w:shd w:fill="FFFFFF" w:val="clear"/>
          </w:tcPr>
          <w:p>
            <w:r>
              <w:rPr>
                <w:color w:val="282828"/>
                <w:sz w:val="15"/>
              </w:rPr>
              <w:t>Trésorerie / passif circulant = 6.39x.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44.27%</w:t>
            </w:r>
          </w:p>
        </w:tc>
        <w:tc>
          <w:tcPr>
            <w:tcW w:type="dxa" w:w="5669"/>
            <w:shd w:fill="FFFFFF" w:val="clear"/>
          </w:tcPr>
          <w:p>
            <w:r>
              <w:rPr>
                <w:color w:val="282828"/>
                <w:sz w:val="15"/>
              </w:rPr>
              <w:t>(Actif circ. - stocks) / passif circ. = 44.27x.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197.30%</w:t>
            </w:r>
          </w:p>
        </w:tc>
        <w:tc>
          <w:tcPr>
            <w:tcW w:type="dxa" w:w="5669"/>
            <w:shd w:fill="FFFFFF" w:val="clear"/>
          </w:tcPr>
          <w:p>
            <w:r>
              <w:rPr>
                <w:color w:val="282828"/>
                <w:sz w:val="15"/>
              </w:rPr>
              <w:t>Capitaux permanents / actif immobilisé = 197.30x.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1.8 ans</w:t>
            </w:r>
          </w:p>
        </w:tc>
        <w:tc>
          <w:tcPr>
            <w:tcW w:type="dxa" w:w="5669"/>
            <w:shd w:fill="FFFFFF" w:val="clear"/>
          </w:tcPr>
          <w:p>
            <w:r>
              <w:rPr>
                <w:color w:val="282828"/>
                <w:sz w:val="15"/>
              </w:rPr>
              <w:t>Dettes financières / CAF = 1.8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1585.22%</w:t>
            </w:r>
          </w:p>
        </w:tc>
        <w:tc>
          <w:tcPr>
            <w:tcW w:type="dxa" w:w="5669"/>
            <w:shd w:fill="FFFFFF" w:val="clear"/>
          </w:tcPr>
          <w:p>
            <w:r>
              <w:rPr>
                <w:color w:val="282828"/>
                <w:sz w:val="15"/>
              </w:rPr>
              <w:t>Résultat exploit. / charges financières = 1585.22x.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457.38%</w:t>
            </w:r>
          </w:p>
        </w:tc>
        <w:tc>
          <w:tcPr>
            <w:tcW w:type="dxa" w:w="5669"/>
            <w:shd w:fill="FFFFFF" w:val="clear"/>
          </w:tcPr>
          <w:p>
            <w:r>
              <w:rPr>
                <w:color w:val="282828"/>
                <w:sz w:val="15"/>
              </w:rPr>
              <w:t>CAF / investissements = 457.38x.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46.0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102.7 j</w:t>
            </w:r>
          </w:p>
        </w:tc>
        <w:tc>
          <w:tcPr>
            <w:tcW w:type="dxa" w:w="5669"/>
            <w:shd w:fill="FFFFFF" w:val="clear"/>
          </w:tcPr>
          <w:p>
            <w:r>
              <w:rPr>
                <w:color w:val="282828"/>
                <w:sz w:val="15"/>
              </w:rPr>
              <w:t>Paiement des fournisseurs en 103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150.5 j</w:t>
            </w:r>
          </w:p>
        </w:tc>
        <w:tc>
          <w:tcPr>
            <w:tcW w:type="dxa" w:w="5669"/>
            <w:shd w:fill="FFFFFF" w:val="clear"/>
          </w:tcPr>
          <w:p>
            <w:r>
              <w:rPr>
                <w:color w:val="282828"/>
                <w:sz w:val="15"/>
              </w:rPr>
              <w:t>Stock écoulé en 151 jours. ❌ Stock quasi-bloqué — risque d'obsolescence ou de surstock.</w:t>
            </w:r>
          </w:p>
        </w:tc>
      </w:tr>
    </w:tbl>
    <w:p/>
    <w:p>
      <w:pPr>
        <w:spacing w:after="120" w:line="276" w:lineRule="auto"/>
      </w:pPr>
      <w:r>
        <w:t>**RAPPORT D'ANALYSE FINANCIÈRE — PRSC (TRACTafric Motors CI)**</w:t>
        <w:br/>
        <w:t>**Date de l'analyse : 27 août 2026**</w:t>
        <w:br/>
        <w:t>**Cours de référence : 4 545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PRSC s'établit à 46,54 milliards FCFA, un niveau qui la positionne comme une valeur de taille moyenne sur la BRVM. Avec un BPA de 231 FCFA, le titre se négocie à un PER de 19,7x, nettement supérieur à la moyenne historique de la place (~8-12x), indiquant que les investisseurs acceptent de payer une prime substantielle pour les bénéfices de la société. Le P/B de 4,04x confirme cette valorisation exigeante, le marché valorisant le titre à plus de quatre fois sa valeur comptable, ce qui reflète des attentes élevées de croissance future. Enfin, l'EV/EBITDA de 10,0x se situe dans la fourchette haute des valeurs "raisonnables" (5-10x), suggérant que la valorisation globale de l'entreprise, dette incluse, reste soutenable mais sans marge de sécurité significative. Ces ratios combinés indiquent une valeur qui n'est pas bon marché, mais dont la prime de valorisation pourrait se justifier par la solidité de ses fondamentaux.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PRSC a enregistré une baisse de 6,86%, avec une légère variation négative de 0,11% lors de la dernière séance, s'échangeant actuellement à 4 545 FCFA. Le titre a évolué dans une fourchette de 3 620 FCFA (plus bas) à 5 100 FCFA (plus haut), démontrant une amplitude de trading considérable. La moyenne du cours sur la période (4 449 FCFA) est inférieure à la médiane (4 495 FCFA), et le mode est nettement plus bas (3 695 FCFA), ce qui, combiné à un skewness négatif de -0,687, indique une distribution asymétrique avec des épisodes de fortes baisses plus fréquents que les fortes hausses. L'écart-type de 350 FCFA (CV de 7,9%) témoigne d'une dispersion modérée autour de la moyenne, tandis que le kurtosis de 0,209 (mésokurtique) suggère l'absence de risques extrêmes de pics ou de queues épaisses. La volatilité annualisée de 40,1% classe le titre comme très volatil, un niveau élevé qui reflète une incertitude marquée des investisseurs sur la valeur.</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(4 545 FCFA) se situe en dessous de la MM20 (4 468 FCFA) et de la MM50 (4 511,1 FCFA), avec une décision globale de "Vente". Cette configuration baissière indique que la tendance de court et moyen terme est orientée à la baisse, le prix n'ayant pas réussi à se maintenir au-dessus de ces niveaux de support dynamiques, signalant une pression vendeuse persistante.</w:t>
      </w:r>
    </w:p>
    <w:p>
      <w:pPr>
        <w:spacing w:after="120" w:line="276" w:lineRule="auto"/>
      </w:pPr>
      <w:r>
        <w:t>**Bandes de Bollinger :** Le prix se négocie à 4 545 FCFA, proche de la borne supérieure (4 573,9 FCFA) et nettement au-dessus de la borne inférieure (4 362 FCFA), avec une décision "Neutre". La largeur des bandes suggère une volatilité modérée, et la position du cours dans la partie supérieure de l'enveloppe indique un potentiel de retour vers la moyenne, sans signal directionnel fort.</w:t>
      </w:r>
    </w:p>
    <w:p>
      <w:pPr>
        <w:spacing w:after="120" w:line="276" w:lineRule="auto"/>
      </w:pPr>
      <w:r>
        <w:t>**MACD :** Avec une valeur de 9,256 et un signal à 1,223, le MACD est positif et au-dessus de sa ligne de signal, générant une décision "Achat". Ce croisement haussier indique un momentum positif en train de se construire, suggérant que la dynamique des prix pourrait s'améliorer à court terme malgré la tendance baissière des moyennes mobiles.</w:t>
      </w:r>
    </w:p>
    <w:p>
      <w:pPr>
        <w:spacing w:after="120" w:line="276" w:lineRule="auto"/>
      </w:pPr>
      <w:r>
        <w:t>**RSI :** Le RSI s'établit à 56,98, une valeur neutre dans la zone 30-70, indiquant que le titre n'est ni suracheté ni survendu. Cette lecture suggère un équilibre entre les forces acheteuses et vendeuses, avec une légère prédominance des acheteurs sans signal d'excès.</w:t>
      </w:r>
    </w:p>
    <w:p>
      <w:pPr>
        <w:spacing w:after="120" w:line="276" w:lineRule="auto"/>
      </w:pPr>
      <w:r>
        <w:t>**Stochastique :** Le %K (96,67) et le %D (90,12) sont tous deux à des niveaux extrêmement élevés, proches de la zone de surachat (&gt;80), avec une décision "Vente". Cette configuration indique que le titre est fortement suracheté à court terme, ce qui augmente la probabilité d'un repli technique ou d'une consolidation dans les prochaines séances.</w:t>
      </w:r>
    </w:p>
    <w:p>
      <w:pPr>
        <w:spacing w:after="120" w:line="276" w:lineRule="auto"/>
      </w:pPr>
      <w:r>
        <w:t>**Conclusion technique :** Les indicateurs techniques sont mitigés, avec un MACD haussier contredit par des moyennes mobiles baissières et un stochastique en surachat extrême. Le RSI neutre et les bandes de Bollinger neutres n'apportent pas de clarification. Le titre semble manquer de direction claire, avec un biais baissier de moyen terme mais un potentiel de rebond technique à court terme.</w:t>
      </w:r>
    </w:p>
    <w:p>
      <w:pPr>
        <w:spacing w:after="120" w:line="276" w:lineRule="auto"/>
      </w:pPr>
      <w:r>
        <w:t>---</w:t>
      </w:r>
    </w:p>
    <w:p>
      <w:pPr>
        <w:spacing w:after="120" w:line="276" w:lineRule="auto"/>
      </w:pPr>
      <w:r>
        <w:t>### PARTIE 3 : ANALYSE FONDAMENTALE (SECTION CRITIQUE)</w:t>
      </w:r>
    </w:p>
    <w:p>
      <w:pPr>
        <w:spacing w:after="120" w:line="276" w:lineRule="auto"/>
      </w:pPr>
      <w:r>
        <w:t>En 2025, PRSC a réalisé un chiffre d'affaires de 81,127 milliards FCFA, en croissance de 9,5% par rapport à 2024 (74,45 Mds), et un résultat net de 2,367 milliards FCFA, en légère hausse par rapport aux 2,177 milliards de 2024, soit une marge nette de 2,92%. La rentabilité des fonds propres (ROE) est excellente à 20,53%, tandis que le ROA s'établit à 4,95%. En tant qu'entreprise de distribution automobile, l'analyse du BFR est cruciale : il s'élève à 11,267 milliards FCFA, avec un délai de paiement clients de 45,99 jours (risque de trésorerie modéré) et un délai fournisseurs de 102,65 jours (favorable), mais une durée de stockage élevée de 150,51 jours qui immobilise du capital. Le rapport d'activité du S1 2025 (daté du 30/06/2025) montre une performance exceptionnelle avec un CA en hausse de 15,1% à 39,97 milliards et un résultat net multiplié par 28 à 1,436 milliard, suggérant une dynamique semestrielle très positive. Les capitaux propres se renforcent à 11,531 milliards FCFA, avec une autonomie financière de 24,1%, et la solvabilité générale est bonne (131,76%). Le dividende proposé pour 2025 est de 209 FCFA par action (source : convocation AG du 15/06/2026), offrant un rendement d'environ 4,6%. La société présente une solidité financière correcte, mais sa dépendance au marché automobile ivoirien et sa marge nette modeste constituent des points de vigilance.</w:t>
      </w:r>
    </w:p>
    <w:p>
      <w:pPr>
        <w:spacing w:after="120" w:line="276" w:lineRule="auto"/>
      </w:pPr>
      <w:r>
        <w:t>---</w:t>
      </w:r>
    </w:p>
    <w:p>
      <w:pPr>
        <w:spacing w:after="120" w:line="276" w:lineRule="auto"/>
      </w:pPr>
      <w:r>
        <w:t>### PARTIE 4 : CONCLUSION D'INVESTISSEMENT</w:t>
      </w:r>
    </w:p>
    <w:p>
      <w:pPr>
        <w:spacing w:after="120" w:line="276" w:lineRule="auto"/>
      </w:pPr>
      <w:r>
        <w:t>La valorisation de PRSC (PER 19,7x, P/B 4,04x) apparaît exigeante, avec une prime significative par rapport au marché BRVM, mais elle est partiellement justifiée par un ROE de 20,5% et une croissance du CA de 9,5% en 2025. Le comportement du cours sur 100 jours est baissier (-6,86%) avec une volatilité élevée (40,1%) et une asymétrie négative, indiquant un sentiment de marché prudent. Les signaux techniques sont divergents : le MACD est haussier, mais les moyennes mobiles et le stochastique (surachat extrême) suggèrent une prudence à court terme. Les fondamentaux restent solides, avec une amélioration notable au S1 2025 et un dividende de 209 FCFA/action confirmé. Les prédictions IA (4 496 à 4 408 FCFA sur 10 jours) anticipent une légère baisse, contredisant le signal MACD mais confirmant la pression baissière des moyennes mobiles. En synthèse, la convergence entre une valorisation élevée, une tendance technique baissière et des prédictions IA négatives conduit à une recommandation **CONSERVER**, avec un niveau de confiance **Moyen** et un risque global **Élevé** en raison de la volatilité. L'horizon d'investissement optimal est le **moyen terme (3-12 mois)**, en attendant une clarification de la tendance technique et une confirmation de la solidité des résultats annuels 2026.</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20260615   avis de convocation   assemblee generale mixte   tractafric motors ci</w:t>
      </w:r>
    </w:p>
    <w:p>
      <w:pPr>
        <w:spacing w:before="20"/>
        <w:ind w:left="400"/>
      </w:pPr>
      <w:r>
        <w:rPr>
          <w:color w:val="505050"/>
          <w:sz w:val="17"/>
        </w:rPr>
        <w:t xml:space="preserve">Date : 15/06/2026  |  Catégorie : convocation AG  |  Impact : </w:t>
      </w:r>
      <w:r>
        <w:rPr>
          <w:b/>
          <w:color w:val="008000"/>
          <w:sz w:val="17"/>
        </w:rPr>
        <w:t>🟢 POSITIF</w:t>
      </w:r>
    </w:p>
    <w:p>
      <w:pPr>
        <w:spacing w:before="40"/>
        <w:ind w:left="400"/>
      </w:pPr>
      <w:r>
        <w:rPr>
          <w:sz w:val="18"/>
        </w:rPr>
        <w:t>La société Tractafric Motors Côte d’Ivoire convoque ses actionnaires en Assemblée générale mixte le 30 juin 2026 à l'hôtel Movenpick Abidjan. L'ordre du jour comprend l'approbation des comptes 2025, l'affectation du résultat et la mise en paiement d'un dividende de 209 FCFA brut par action, ainsi que des modifications statutaires liées à l'adresse du siège social. Le document présente également les projets de résolutions, dont l'approbation d'un bénéfice de 2 367 384 402 FCFA.</w:t>
      </w:r>
    </w:p>
    <w:p>
      <w:pPr>
        <w:spacing w:before="60"/>
        <w:ind w:left="400"/>
      </w:pPr>
      <w:r>
        <w:rPr>
          <w:b/>
          <w:sz w:val="18"/>
        </w:rPr>
        <w:t>Points clés :</w:t>
      </w:r>
    </w:p>
    <w:p>
      <w:pPr>
        <w:pStyle w:val="ListBullet"/>
        <w:spacing w:before="20" w:after="20"/>
        <w:ind w:left="700"/>
      </w:pPr>
      <w:r>
        <w:rPr>
          <w:sz w:val="18"/>
        </w:rPr>
        <w:t>Assemblée générale mixte prévue le 30 juin 2026 à l'hôtel Movenpick Abidjan à 10h00.</w:t>
      </w:r>
    </w:p>
    <w:p>
      <w:pPr>
        <w:pStyle w:val="ListBullet"/>
        <w:spacing w:before="20" w:after="20"/>
        <w:ind w:left="700"/>
      </w:pPr>
      <w:r>
        <w:rPr>
          <w:sz w:val="18"/>
        </w:rPr>
        <w:t>Examen et approbation des comptes sociaux SYSCOHADA et IFRS de l'exercice clos le 31 décembre 2025.</w:t>
      </w:r>
    </w:p>
    <w:p>
      <w:pPr>
        <w:pStyle w:val="ListBullet"/>
        <w:spacing w:before="20" w:after="20"/>
        <w:ind w:left="700"/>
      </w:pPr>
      <w:r>
        <w:rPr>
          <w:sz w:val="18"/>
        </w:rPr>
        <w:t>Affectation du résultat avec un dividende global de 2 140 160 000 FCFA, soit 209 FCFA brut par action.</w:t>
      </w:r>
    </w:p>
    <w:p>
      <w:pPr>
        <w:pStyle w:val="ListBullet"/>
        <w:spacing w:before="20" w:after="20"/>
        <w:ind w:left="700"/>
      </w:pPr>
      <w:r>
        <w:rPr>
          <w:sz w:val="18"/>
        </w:rPr>
        <w:t>Le dividende sera mis en paiement au plus tard le 30 septembre 2026.</w:t>
      </w:r>
    </w:p>
    <w:p>
      <w:pPr>
        <w:pStyle w:val="ListBullet"/>
        <w:spacing w:before="20" w:after="20"/>
        <w:ind w:left="700"/>
      </w:pPr>
      <w:r>
        <w:rPr>
          <w:sz w:val="18"/>
        </w:rPr>
        <w:t>Modification des statuts pour actualiser l'adresse du siège social au Km 4, Boulevard Philippe Gregoire Yace – Zone 3, Abidjan.</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pr\u00e9sente une croissance solide du chiffre d'affaires et maintient sa rentabilit\u00e9 avec un dividende attractif. La structure financi\u00e8re saine et la tr\u00e9sorerie positive offrent une bonne visibilit\u00e9 malgr\u00e9 une marge nette modeste."}</w:t>
      </w:r>
    </w:p>
    <w:p>
      <w:pPr>
        <w:spacing w:before="40"/>
        <w:ind w:left="400"/>
      </w:pPr>
      <w:r>
        <w:rPr>
          <w:sz w:val="18"/>
        </w:rPr>
        <w:t>TRACTAFRIC MOTORS CÔTE D'IVOIRE affiche une solide performance financière pour l'exercice 2025 avec un chiffre d'affaires en hausse de 9,5% à 81,1 milliards FCFA. La société maintient une rentabilité stable avec un résultat net de 2,37 milliards FCFA, légèrement en baisse par rapport aux 2,35 milliards de 2024. Les capitaux propres se renforcent à 11,6 milliards FCFA contre 11,3 milliards l'année précédente. La structure financière demeure équilibrée avec un total de bilan de 47,8 milliards FCFA. Un dividende attractif de 2 140 FCFA par action est proposé, démontrant la capacité de distribution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'4,1 milliards FCFA', 'marge_commerciale': '18,0 milliards FCFA', 'immobilisations_corporelles': '19,9 milliards FCFA'}</w:t>
            </w:r>
          </w:p>
        </w:tc>
        <w:tc>
          <w:tcPr>
            <w:tcW w:type="dxa" w:w="2160"/>
          </w:tcPr>
          <w:p>
            <w:pPr>
              <w:ind w:left="100"/>
            </w:pPr>
            <w:r/>
            <w:r>
              <w:rPr>
                <w:b/>
                <w:sz w:val="16"/>
              </w:rPr>
              <w:t>dividende</w:t>
              <w:br/>
            </w:r>
            <w:r>
              <w:rPr>
                <w:sz w:val="18"/>
              </w:rPr>
              <w:t>2 140 FCFA par action</w:t>
            </w:r>
          </w:p>
        </w:tc>
        <w:tc>
          <w:tcPr>
            <w:tcW w:type="dxa" w:w="2160"/>
          </w:tcPr>
          <w:p>
            <w:pPr>
              <w:ind w:left="100"/>
            </w:pPr>
            <w:r/>
            <w:r>
              <w:rPr>
                <w:b/>
                <w:sz w:val="16"/>
              </w:rPr>
              <w:t>marge_nette</w:t>
              <w:br/>
            </w:r>
            <w:r>
              <w:rPr>
                <w:sz w:val="18"/>
              </w:rPr>
              <w:t>2,9%</w:t>
            </w:r>
          </w:p>
        </w:tc>
        <w:tc>
          <w:tcPr>
            <w:tcW w:type="dxa" w:w="2160"/>
          </w:tcPr>
          <w:p>
            <w:pPr>
              <w:ind w:left="100"/>
            </w:pPr>
            <w:r/>
            <w:r>
              <w:rPr>
                <w:b/>
                <w:sz w:val="16"/>
              </w:rPr>
              <w:t>total_actif</w:t>
              <w:br/>
            </w:r>
            <w:r>
              <w:rPr>
                <w:sz w:val="18"/>
              </w:rPr>
              <w:t>47,8 milliards FCFA</w:t>
            </w:r>
          </w:p>
        </w:tc>
      </w:tr>
      <w:tr>
        <w:tc>
          <w:tcPr>
            <w:tcW w:type="dxa" w:w="2160"/>
          </w:tcPr>
          <w:p>
            <w:r/>
            <w:r>
              <w:rPr>
                <w:b/>
                <w:sz w:val="16"/>
              </w:rPr>
              <w:t>resultat_net</w:t>
              <w:br/>
            </w:r>
            <w:r>
              <w:rPr>
                <w:sz w:val="18"/>
              </w:rPr>
              <w:t>2,37 milliards FCFA</w:t>
            </w:r>
          </w:p>
        </w:tc>
        <w:tc>
          <w:tcPr>
            <w:tcW w:type="dxa" w:w="2160"/>
          </w:tcPr>
          <w:p>
            <w:r/>
            <w:r>
              <w:rPr>
                <w:b/>
                <w:sz w:val="16"/>
              </w:rPr>
              <w:t>capitaux_propres</w:t>
              <w:br/>
            </w:r>
            <w:r>
              <w:rPr>
                <w:sz w:val="18"/>
              </w:rPr>
              <w:t>11,6 milliards FCFA</w:t>
            </w:r>
          </w:p>
        </w:tc>
        <w:tc>
          <w:tcPr>
            <w:tcW w:type="dxa" w:w="2160"/>
          </w:tcPr>
          <w:p>
            <w:r/>
            <w:r>
              <w:rPr>
                <w:b/>
                <w:sz w:val="16"/>
              </w:rPr>
              <w:t>chiffre_affaires</w:t>
              <w:br/>
            </w:r>
            <w:r>
              <w:rPr>
                <w:sz w:val="18"/>
              </w:rPr>
              <w:t>81,1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9,5% à 81,1 milliards FCFA en 2025</w:t>
      </w:r>
    </w:p>
    <w:p>
      <w:pPr>
        <w:pStyle w:val="ListBullet"/>
        <w:spacing w:before="20" w:after="20"/>
        <w:ind w:left="700"/>
      </w:pPr>
      <w:r>
        <w:rPr>
          <w:sz w:val="18"/>
        </w:rPr>
        <w:t>Résultat net stable à 2,37 milliards FCFA (vs 2,35 milliards en 2024)</w:t>
      </w:r>
    </w:p>
    <w:p>
      <w:pPr>
        <w:pStyle w:val="ListBullet"/>
        <w:spacing w:before="20" w:after="20"/>
        <w:ind w:left="700"/>
      </w:pPr>
      <w:r>
        <w:rPr>
          <w:sz w:val="18"/>
        </w:rPr>
        <w:t>Marge commerciale en progression de 23% à 18,0 milliards FCFA</w:t>
      </w:r>
    </w:p>
    <w:p>
      <w:pPr>
        <w:pStyle w:val="ListBullet"/>
        <w:spacing w:before="20" w:after="20"/>
        <w:ind w:left="700"/>
      </w:pPr>
      <w:r>
        <w:rPr>
          <w:sz w:val="18"/>
        </w:rPr>
        <w:t>Renforcement des capitaux propres à 11,6 milliards FCFA (+3%)</w:t>
      </w:r>
    </w:p>
    <w:p>
      <w:pPr>
        <w:pStyle w:val="ListBullet"/>
        <w:spacing w:before="20" w:after="20"/>
        <w:ind w:left="700"/>
      </w:pPr>
      <w:r>
        <w:rPr>
          <w:sz w:val="18"/>
        </w:rPr>
        <w:t>Dividende généreux de 2 140 FCFA par action maintenu</w:t>
      </w:r>
    </w:p>
    <w:p>
      <w:pPr>
        <w:pStyle w:val="ListBullet"/>
        <w:spacing w:before="20" w:after="20"/>
        <w:ind w:left="700"/>
      </w:pPr>
      <w:r>
        <w:rPr>
          <w:sz w:val="18"/>
        </w:rPr>
        <w:t>Immobilisations corporelles importantes de 19,9 milliards FCFA</w:t>
      </w:r>
    </w:p>
    <w:p>
      <w:pPr>
        <w:spacing w:before="40"/>
        <w:ind w:left="400"/>
      </w:pPr>
      <w:r>
        <w:rPr>
          <w:b/>
          <w:color w:val="C05000"/>
          <w:sz w:val="18"/>
        </w:rPr>
        <w:t xml:space="preserve">⚠️ Risques : </w:t>
      </w:r>
      <w:r>
        <w:rPr>
          <w:sz w:val="18"/>
        </w:rPr>
        <w:t>["Marge nette relativement faible \u00e0 2,9% indiquant une pression sur les co\u00fbts", "D\u00e9pendance au march\u00e9 automobile ivoirien et aux conditions \u00e9conomiques locales", "Exposition aux fluctuations des taux de change sur les importations de v\u00e9hicules"]</w:t>
      </w:r>
    </w:p>
    <w:p>
      <w:pPr>
        <w:spacing w:before="40"/>
        <w:ind w:left="400"/>
      </w:pPr>
      <w:r>
        <w:rPr>
          <w:b/>
          <w:color w:val="0064A0"/>
          <w:sz w:val="18"/>
        </w:rPr>
        <w:t xml:space="preserve">🔮 Perspectives : </w:t>
      </w:r>
      <w:r>
        <w:rPr>
          <w:sz w:val="18"/>
        </w:rPr>
        <w:t>La société devrait continuer à bénéficier de la croissance économique ivoirienne et du développement du marché automobile. La politique de dividende attractive et la solidité financière devraient maintenir l'attrait pour les investisseurs en quête de rendement régulier.</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du r\u00e9sultat net, la croissance du CA et du march\u00e9 automobile ivoirien offrent des perspectives positives. La position concurrentielle reste solide avec une am\u00e9lioration dans le segment pick-up."}</w:t>
      </w:r>
    </w:p>
    <w:p>
      <w:pPr>
        <w:spacing w:before="40"/>
        <w:ind w:left="400"/>
      </w:pPr>
      <w:r>
        <w:rPr>
          <w:sz w:val="18"/>
        </w:rPr>
        <w:t>TRACTAFRIC MOTORS Côte d'Ivoire présente des résultats trimestriels contrastés au 30 septembre 2023. Le chiffre d'affaires progresse de 7,9% à 55,94 milliards FCFA, soutenu par la croissance du marché automobile ivoirien (+14,41%). Cependant, le résultat net chute drastiquement de 54,7% à 1,30 milliard FCFA contre 2,88 milliards l'année précédente. La société maintient sa position sur le marché avec une part de 8,61% et renforce sa présence dans le segment pick-up (12,40%). Le taux de rendement de l'action s'établit à 8% au 30 septembre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{'part_marche': '8,61%', 'vehicules_vendus': '1 777 unités', 'part_marche_pickup': '12,40%', 'taux_rendement_action': '8%'}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1,30 milliard FCFA (3T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55,94 milliards FCFA (3T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7,9% à 55,94 milliards FCFA au 3ème trimestre 2023</w:t>
      </w:r>
    </w:p>
    <w:p>
      <w:pPr>
        <w:pStyle w:val="ListBullet"/>
        <w:spacing w:before="20" w:after="20"/>
        <w:ind w:left="700"/>
      </w:pPr>
      <w:r>
        <w:rPr>
          <w:sz w:val="18"/>
        </w:rPr>
        <w:t>Forte dégradation du résultat net (-54,7%) passant de 2,88 à 1,30 milliard FCFA</w:t>
      </w:r>
    </w:p>
    <w:p>
      <w:pPr>
        <w:pStyle w:val="ListBullet"/>
        <w:spacing w:before="20" w:after="20"/>
        <w:ind w:left="700"/>
      </w:pPr>
      <w:r>
        <w:rPr>
          <w:sz w:val="18"/>
        </w:rPr>
        <w:t>Marché automobile ivoirien en forte croissance (+14,41%) avec 20 636 véhicules neufs vendus</w:t>
      </w:r>
    </w:p>
    <w:p>
      <w:pPr>
        <w:pStyle w:val="ListBullet"/>
        <w:spacing w:before="20" w:after="20"/>
        <w:ind w:left="700"/>
      </w:pPr>
      <w:r>
        <w:rPr>
          <w:sz w:val="18"/>
        </w:rPr>
        <w:t>Part de marché de TMCI stable à 8,61% avec 1 777 véhicules vendus</w:t>
      </w:r>
    </w:p>
    <w:p>
      <w:pPr>
        <w:pStyle w:val="ListBullet"/>
        <w:spacing w:before="20" w:after="20"/>
        <w:ind w:left="700"/>
      </w:pPr>
      <w:r>
        <w:rPr>
          <w:sz w:val="18"/>
        </w:rPr>
        <w:t>Progression dans le segment pick-up avec une part de marché de 12,40% vs 11,23% en 2022</w:t>
      </w:r>
    </w:p>
    <w:p>
      <w:pPr>
        <w:pStyle w:val="ListBullet"/>
        <w:spacing w:before="20" w:after="20"/>
        <w:ind w:left="700"/>
      </w:pPr>
      <w:r>
        <w:rPr>
          <w:sz w:val="18"/>
        </w:rPr>
        <w:t>Hausse portée par les produits low-cost SUZUKI et les véhicules chinois utilitaires</w:t>
      </w:r>
    </w:p>
    <w:p>
      <w:pPr>
        <w:spacing w:before="40"/>
        <w:ind w:left="400"/>
      </w:pPr>
      <w:r>
        <w:rPr>
          <w:b/>
          <w:color w:val="C05000"/>
          <w:sz w:val="18"/>
        </w:rPr>
        <w:t xml:space="preserve">⚠️ Risques : </w:t>
      </w:r>
      <w:r>
        <w:rPr>
          <w:sz w:val="18"/>
        </w:rPr>
        <w:t>["Forte d\u00e9gradation de la rentabilit\u00e9 avec une chute de 54,7% du r\u00e9sultat net", "Pression concurrentielle accrue des produits low-cost et chinois sur les marges", "Augmentation des charges d'exploitation pesant sur la profitabilit\u00e9"]</w:t>
      </w:r>
    </w:p>
    <w:p>
      <w:pPr>
        <w:spacing w:before="40"/>
        <w:ind w:left="400"/>
      </w:pPr>
      <w:r>
        <w:rPr>
          <w:b/>
          <w:color w:val="0064A0"/>
          <w:sz w:val="18"/>
        </w:rPr>
        <w:t xml:space="preserve">🔮 Perspectives : </w:t>
      </w:r>
      <w:r>
        <w:rPr>
          <w:sz w:val="18"/>
        </w:rPr>
        <w:t>Le dernier trimestre 2023 devrait connaître une croissance similaire du chiffre d'affaires avec une hausse de la part de marché. La société mise sur le développement continu du marché automobile ivoirien et l'expansion de son parc de véhicules utilitaires pour améliorer ses performances.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de part de march\u00e9, la soci\u00e9t\u00e9 affiche une croissance solide du CA et des r\u00e9sultats dans un march\u00e9 automobile en expansion. La diversification vers les produits low cost et v\u00e9hicules chinois positionne bien l'entreprise."}</w:t>
      </w:r>
    </w:p>
    <w:p>
      <w:pPr>
        <w:spacing w:before="40"/>
        <w:ind w:left="400"/>
      </w:pPr>
      <w:r>
        <w:rPr>
          <w:sz w:val="18"/>
        </w:rPr>
        <w:t>TRACTAFRIC MOTORS Côte d'Ivoire présente des résultats solides au 3ème trimestre 2022 avec un chiffre d'affaires de 51,8 milliards FCFA, en hausse de 8% par rapport à 2021. Le résultat net progresse de 3,1% à 2,88 milliards FCFA malgré un contexte de marché automobile difficile. La société maintient sa position avec une part de marché de 9,76% contre 12,33% l'année précédente. Le marché global de l'automobile ivoirien a connu une croissance de 22% au 3ème trimestre avec 18 035 véhicules vendus. L'entreprise bénéficie de la dynamique des produits low cost et du développement du parc taxi ainsi que des véhicules chinois.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{'part_de_marche': '9,76%', 'taux_rendement_action': '5,41%', 'vehicules_vendus_marche': '18 035 unités', 'resultat_activites_ordinaires': '3 939 525 787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5,55%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2 879 641 263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51 843 203 879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 à 51,8 milliards FCFA au T3 2022</w:t>
      </w:r>
    </w:p>
    <w:p>
      <w:pPr>
        <w:pStyle w:val="ListBullet"/>
        <w:spacing w:before="20" w:after="20"/>
        <w:ind w:left="700"/>
      </w:pPr>
      <w:r>
        <w:rPr>
          <w:sz w:val="18"/>
        </w:rPr>
        <w:t>Résultat net en progression de 3,1% à 2,88 milliards FCFA</w:t>
      </w:r>
    </w:p>
    <w:p>
      <w:pPr>
        <w:pStyle w:val="ListBullet"/>
        <w:spacing w:before="20" w:after="20"/>
        <w:ind w:left="700"/>
      </w:pPr>
      <w:r>
        <w:rPr>
          <w:sz w:val="18"/>
        </w:rPr>
        <w:t>Marché automobile ivoirien en croissance de 22% avec 18 035 véhicules vendus</w:t>
      </w:r>
    </w:p>
    <w:p>
      <w:pPr>
        <w:pStyle w:val="ListBullet"/>
        <w:spacing w:before="20" w:after="20"/>
        <w:ind w:left="700"/>
      </w:pPr>
      <w:r>
        <w:rPr>
          <w:sz w:val="18"/>
        </w:rPr>
        <w:t>Part de marché de TRACTAFRIC en baisse à 9,76% contre 12,33% en 2021</w:t>
      </w:r>
    </w:p>
    <w:p>
      <w:pPr>
        <w:pStyle w:val="ListBullet"/>
        <w:spacing w:before="20" w:after="20"/>
        <w:ind w:left="700"/>
      </w:pPr>
      <w:r>
        <w:rPr>
          <w:sz w:val="18"/>
        </w:rPr>
        <w:t>Forte demande pour les produits low cost (SUZUKI) et véhicules chinois</w:t>
      </w:r>
    </w:p>
    <w:p>
      <w:pPr>
        <w:pStyle w:val="ListBullet"/>
        <w:spacing w:before="20" w:after="20"/>
        <w:ind w:left="700"/>
      </w:pPr>
      <w:r>
        <w:rPr>
          <w:sz w:val="18"/>
        </w:rPr>
        <w:t>Développement significatif du segment taxi et véhicules utilitaires</w:t>
      </w:r>
    </w:p>
    <w:p>
      <w:pPr>
        <w:spacing w:before="40"/>
        <w:ind w:left="400"/>
      </w:pPr>
      <w:r>
        <w:rPr>
          <w:b/>
          <w:color w:val="C05000"/>
          <w:sz w:val="18"/>
        </w:rPr>
        <w:t xml:space="preserve">⚠️ Risques : </w:t>
      </w:r>
      <w:r>
        <w:rPr>
          <w:sz w:val="18"/>
        </w:rPr>
        <w:t>["\u00c9rosion continue de la part de march\u00e9 face \u00e0 la concurrence", "D\u00e9pendance croissante aux v\u00e9hicules low cost moins rentables", "Volatilit\u00e9 du march\u00e9 automobile et des conditions \u00e9conomiques locales"]</w:t>
      </w:r>
    </w:p>
    <w:p>
      <w:pPr>
        <w:spacing w:before="40"/>
        <w:ind w:left="400"/>
      </w:pPr>
      <w:r>
        <w:rPr>
          <w:b/>
          <w:color w:val="0064A0"/>
          <w:sz w:val="18"/>
        </w:rPr>
        <w:t xml:space="preserve">🔮 Perspectives : </w:t>
      </w:r>
      <w:r>
        <w:rPr>
          <w:sz w:val="18"/>
        </w:rPr>
        <w:t>Le 4ème trimestre 2022 devrait connaître une croissance similaire du chiffre d'affaires avec une amélioration de la part de marché. La stratégie de diversification vers les segments populaires et utilitaires devrait soutenir la performance future.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"TMCI affiche une croissance soutenue du CA et du r\u00e9sultat net avec une structure financi\u00e8re saine. Cependant, l'augmentation des stocks et cr\u00e9ances clients n\u00e9cessite une surveillance du BFR."}</w:t>
      </w:r>
    </w:p>
    <w:p>
      <w:pPr>
        <w:spacing w:before="40"/>
        <w:ind w:left="400"/>
      </w:pPr>
      <w:r>
        <w:rPr>
          <w:sz w:val="18"/>
        </w:rPr>
        <w:t>TRACTAFRIC MOTORS CÔTE D'IVOIRE (TMCI) présente des résultats solides pour l'exercice 2022 avec un chiffre d'affaires de 70,09 milliards FCFA et un résultat net de 3,64 milliards FCFA. La société maintient une structure financière équilibrée avec des capitaux propres de 11,48 milliards FCFA et un total actif de 52,17 milliards FCFA. L'activité commerciale reste dynamique avec une marge commerciale de 12,17 milliards FCFA en croissance par rapport à 2021. La génération de cash-flow opérationnel positive de 2,52 milliards FCFA témoigne de la robustesse du modèle économique. TMCI confirme sa position de leader dans la distribution automobile en Côte d'Ivoire.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'27,77 milliards FCFA', 'creances_clients': '9,13 milliards FCFA', 'tresorerie_nette': '5,77 milliards FCFA', 'marge_commerciale': '12,17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w:t>
            </w:r>
          </w:p>
        </w:tc>
        <w:tc>
          <w:tcPr>
            <w:tcW w:type="dxa" w:w="2160"/>
          </w:tcPr>
          <w:p>
            <w:pPr>
              <w:ind w:left="100"/>
            </w:pPr>
            <w:r/>
            <w:r>
              <w:rPr>
                <w:b/>
                <w:sz w:val="16"/>
              </w:rPr>
              <w:t>total_actif</w:t>
              <w:br/>
            </w:r>
            <w:r>
              <w:rPr>
                <w:sz w:val="18"/>
              </w:rPr>
              <w:t>52,17 milliards FCFA</w:t>
            </w:r>
          </w:p>
        </w:tc>
      </w:tr>
      <w:tr>
        <w:tc>
          <w:tcPr>
            <w:tcW w:type="dxa" w:w="2160"/>
          </w:tcPr>
          <w:p>
            <w:r/>
            <w:r>
              <w:rPr>
                <w:b/>
                <w:sz w:val="16"/>
              </w:rPr>
              <w:t>resultat_net</w:t>
              <w:br/>
            </w:r>
            <w:r>
              <w:rPr>
                <w:sz w:val="18"/>
              </w:rPr>
              <w:t>3,64 milliards FCFA</w:t>
            </w:r>
          </w:p>
        </w:tc>
        <w:tc>
          <w:tcPr>
            <w:tcW w:type="dxa" w:w="2160"/>
          </w:tcPr>
          <w:p>
            <w:r/>
            <w:r>
              <w:rPr>
                <w:b/>
                <w:sz w:val="16"/>
              </w:rPr>
              <w:t>capitaux_propres</w:t>
              <w:br/>
            </w:r>
            <w:r>
              <w:rPr>
                <w:sz w:val="18"/>
              </w:rPr>
              <w:t>11,48 milliards FCFA</w:t>
            </w:r>
          </w:p>
        </w:tc>
        <w:tc>
          <w:tcPr>
            <w:tcW w:type="dxa" w:w="2160"/>
          </w:tcPr>
          <w:p>
            <w:r/>
            <w:r>
              <w:rPr>
                <w:b/>
                <w:sz w:val="16"/>
              </w:rPr>
              <w:t>chiffre_affaires</w:t>
              <w:br/>
            </w:r>
            <w:r>
              <w:rPr>
                <w:sz w:val="18"/>
              </w:rPr>
              <w:t>70,09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70,09 milliards FCFA contre 65,02 milliards FCFA en 2021 (+7,8%)</w:t>
      </w:r>
    </w:p>
    <w:p>
      <w:pPr>
        <w:pStyle w:val="ListBullet"/>
        <w:spacing w:before="20" w:after="20"/>
        <w:ind w:left="700"/>
      </w:pPr>
      <w:r>
        <w:rPr>
          <w:sz w:val="18"/>
        </w:rPr>
        <w:t>Résultat net en hausse à 3,64 milliards FCFA contre 3,07 milliards FCFA en 2021 (+18,6%)</w:t>
      </w:r>
    </w:p>
    <w:p>
      <w:pPr>
        <w:pStyle w:val="ListBullet"/>
        <w:spacing w:before="20" w:after="20"/>
        <w:ind w:left="700"/>
      </w:pPr>
      <w:r>
        <w:rPr>
          <w:sz w:val="18"/>
        </w:rPr>
        <w:t>Marge commerciale renforcée à 12,17 milliards FCFA contre 11,75 milliards FCFA en 2021</w:t>
      </w:r>
    </w:p>
    <w:p>
      <w:pPr>
        <w:pStyle w:val="ListBullet"/>
        <w:spacing w:before="20" w:after="20"/>
        <w:ind w:left="700"/>
      </w:pPr>
      <w:r>
        <w:rPr>
          <w:sz w:val="18"/>
        </w:rPr>
        <w:t>Stocks et encours importants de 27,77 milliards FCFA reflétant l'activité de distribution</w:t>
      </w:r>
    </w:p>
    <w:p>
      <w:pPr>
        <w:pStyle w:val="ListBullet"/>
        <w:spacing w:before="20" w:after="20"/>
        <w:ind w:left="700"/>
      </w:pPr>
      <w:r>
        <w:rPr>
          <w:sz w:val="18"/>
        </w:rPr>
        <w:t>Créances clients de 9,13 milliards FCFA contre 8,14 milliards FCFA en 2021</w:t>
      </w:r>
    </w:p>
    <w:p>
      <w:pPr>
        <w:pStyle w:val="ListBullet"/>
        <w:spacing w:before="20" w:after="20"/>
        <w:ind w:left="700"/>
      </w:pPr>
      <w:r>
        <w:rPr>
          <w:sz w:val="18"/>
        </w:rPr>
        <w:t>Capitaux propres stables à 11,48 milliards FCFA avec des réserves libres de 4,19 milliards FCFA</w:t>
      </w:r>
    </w:p>
    <w:p>
      <w:pPr>
        <w:spacing w:before="40"/>
        <w:ind w:left="400"/>
      </w:pPr>
      <w:r>
        <w:rPr>
          <w:b/>
          <w:color w:val="C05000"/>
          <w:sz w:val="18"/>
        </w:rPr>
        <w:t xml:space="preserve">⚠️ Risques : </w:t>
      </w:r>
      <w:r>
        <w:rPr>
          <w:sz w:val="18"/>
        </w:rPr>
        <w:t>["Augmentation significative du besoin en fonds de roulement avec la hausse des stocks et cr\u00e9ances", "Exposition au march\u00e9 automobile ivoirien et aux fluctuations \u00e9conomiques locales", "Pression concurrentielle sur les marges dans le secteur de la distribution automobile"]</w:t>
      </w:r>
    </w:p>
    <w:p>
      <w:pPr>
        <w:spacing w:before="40"/>
        <w:ind w:left="400"/>
      </w:pPr>
      <w:r>
        <w:rPr>
          <w:b/>
          <w:color w:val="0064A0"/>
          <w:sz w:val="18"/>
        </w:rPr>
        <w:t xml:space="preserve">🔮 Perspectives : </w:t>
      </w:r>
      <w:r>
        <w:rPr>
          <w:sz w:val="18"/>
        </w:rPr>
        <w:t>La dynamique positive du marché automobile ivoirien devrait soutenir la croissance de TMCI en 2023. L'optimisation de la gestion des stocks et du recouvrement des créances sera cruciale pour améliorer la génération de cash-flow. La société est bien positionnée pour maintenir sa croissance dans un en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forte croissance du CA et la position solide sur le march\u00e9 de r\u00e9f\u00e9rence sont encourageantes. Le management anticipe une poursuite de la croissance au 2\u00e8me trimestre 2023."}</w:t>
      </w:r>
    </w:p>
    <w:p>
      <w:pPr>
        <w:spacing w:before="40"/>
        <w:ind w:left="400"/>
      </w:pPr>
      <w:r>
        <w:rPr>
          <w:sz w:val="18"/>
        </w:rPr>
        <w:t>TRACTAFRIC MOTORS Côte d'Ivoire présente des résultats mitigés pour le 1er trimestre 2023 avec un chiffre d'affaires en forte progression de 24,3% à 21,2 milliards FCFA. Malgré cette croissance du CA, le résultat net chute de 32,7% à 848 millions FCFA contre 1,26 milliard FCFA en 2022. La société bénéficie d'un marché automobile ivoirien dynamique en hausse de 37,9% et consolide sa position avec 8,9% de parts de marché. Les performances sont tirées par le segment des véhicules compacts (AB) et les véhicules de marque Suzuki. Le taux de rendement de l'action s'établit à 6,06% au 31 mars 2023.</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'+24,3%', 'parts_marche_global': '8,9%', 'taux_rendement_action': '6,06%', 'parts_marche_reference': '16,1%', 'variation_resultat_net': '-32,7%'}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24,3% à 21,2 milliards FCFA au T1 2023</w:t>
      </w:r>
    </w:p>
    <w:p>
      <w:pPr>
        <w:pStyle w:val="ListBullet"/>
        <w:spacing w:before="20" w:after="20"/>
        <w:ind w:left="700"/>
      </w:pPr>
      <w:r>
        <w:rPr>
          <w:sz w:val="18"/>
        </w:rPr>
        <w:t>Résultat net en baisse significative de 32,7% à 848 millions FCFA</w:t>
      </w:r>
    </w:p>
    <w:p>
      <w:pPr>
        <w:pStyle w:val="ListBullet"/>
        <w:spacing w:before="20" w:after="20"/>
        <w:ind w:left="700"/>
      </w:pPr>
      <w:r>
        <w:rPr>
          <w:sz w:val="18"/>
        </w:rPr>
        <w:t>Marché automobile ivoirien en forte progression (+37,9%) avec 7 489 véhicules vendus</w:t>
      </w:r>
    </w:p>
    <w:p>
      <w:pPr>
        <w:pStyle w:val="ListBullet"/>
        <w:spacing w:before="20" w:after="20"/>
        <w:ind w:left="700"/>
      </w:pPr>
      <w:r>
        <w:rPr>
          <w:sz w:val="18"/>
        </w:rPr>
        <w:t>Parts de marché de TRACTAFRIC à 8,9% contre 11,7% en 2022 (segment global)</w:t>
      </w:r>
    </w:p>
    <w:p>
      <w:pPr>
        <w:pStyle w:val="ListBullet"/>
        <w:spacing w:before="20" w:after="20"/>
        <w:ind w:left="700"/>
      </w:pPr>
      <w:r>
        <w:rPr>
          <w:sz w:val="18"/>
        </w:rPr>
        <w:t>Excellente performance sur le marché de référence (hors segment AB) : 16,1% de parts de marché</w:t>
      </w:r>
    </w:p>
    <w:p>
      <w:pPr>
        <w:pStyle w:val="ListBullet"/>
        <w:spacing w:before="20" w:after="20"/>
        <w:ind w:left="700"/>
      </w:pPr>
      <w:r>
        <w:rPr>
          <w:sz w:val="18"/>
        </w:rPr>
        <w:t>Forte croissance du segment AB (véhicules compacts) porté par les taxis Suzuki</w:t>
      </w:r>
    </w:p>
    <w:p>
      <w:pPr>
        <w:spacing w:before="40"/>
        <w:ind w:left="400"/>
      </w:pPr>
      <w:r>
        <w:rPr>
          <w:b/>
          <w:color w:val="C05000"/>
          <w:sz w:val="18"/>
        </w:rPr>
        <w:t xml:space="preserve">⚠️ Risques : </w:t>
      </w:r>
      <w:r>
        <w:rPr>
          <w:sz w:val="18"/>
        </w:rPr>
        <w:t>["D\u00e9t\u00e9rioration des marges op\u00e9rationnelles malgr\u00e9 la croissance des volumes", "Perte de parts de march\u00e9 sur le segment global (8,9% vs 11,7% en 2022)", "Augmentation des prix d'acquisition des v\u00e9hicules aupr\u00e8s des constructeurs"]</w:t>
      </w:r>
    </w:p>
    <w:p>
      <w:pPr>
        <w:spacing w:before="40"/>
        <w:ind w:left="400"/>
      </w:pPr>
      <w:r>
        <w:rPr>
          <w:b/>
          <w:color w:val="0064A0"/>
          <w:sz w:val="18"/>
        </w:rPr>
        <w:t xml:space="preserve">🔮 Perspectives : </w:t>
      </w:r>
      <w:r>
        <w:rPr>
          <w:sz w:val="18"/>
        </w:rPr>
        <w:t>Le management anticipe une poursuite de la tendance de développement du chiffre d'affaires pour le 2ème trimestre 2023. Le marché automobile ivoirien reste dynamique et porteur, particulièrement sur les segments de valeur où TRACTAFRIC maintient une position forte.</w:t>
      </w:r>
    </w:p>
    <w:p/>
    <w:p>
      <w:r>
        <w:t>════════════════════════════════════════════════════════════════════════════════</w:t>
      </w:r>
    </w:p>
    <w:p>
      <w:r>
        <w:br w:type="page"/>
      </w:r>
    </w:p>
    <w:p>
      <w:pPr>
        <w:pStyle w:val="Heading2"/>
        <w:spacing w:before="360"/>
      </w:pPr>
      <w:r>
        <w:rPr>
          <w:color w:val="0066CC"/>
        </w:rPr>
        <w:t>27. SAFC - SAFCA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SAFC</w:t>
            </w:r>
          </w:p>
          <w:p>
            <w:r>
              <w:rPr>
                <w:b/>
                <w:color w:val="323250"/>
                <w:sz w:val="16"/>
              </w:rPr>
              <w:t xml:space="preserve">Société : </w:t>
            </w:r>
            <w:r>
              <w:rPr>
                <w:color w:val="000000"/>
                <w:sz w:val="16"/>
              </w:rPr>
              <w:t>SAFCA CI</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47.50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7,323 titres</w:t>
            </w:r>
          </w:p>
        </w:tc>
        <w:tc>
          <w:tcPr>
            <w:tcW w:type="dxa" w:w="2268"/>
            <w:shd w:fill="FFF2CC" w:val="clear"/>
          </w:tcPr>
          <w:p>
            <w:r>
              <w:rPr>
                <w:b/>
                <w:color w:val="503200"/>
                <w:sz w:val="16"/>
              </w:rPr>
              <w:t xml:space="preserve">Cours actuel : </w:t>
            </w:r>
            <w:r>
              <w:rPr>
                <w:color w:val="000000"/>
                <w:sz w:val="17"/>
              </w:rPr>
              <w:t>5,850 FCFA</w:t>
            </w:r>
          </w:p>
          <w:p>
            <w:r>
              <w:rPr>
                <w:b/>
                <w:color w:val="503200"/>
                <w:sz w:val="16"/>
              </w:rPr>
              <w:t xml:space="preserve">Var. 100 jours : </w:t>
            </w:r>
            <w:r>
              <w:rPr>
                <w:b/>
                <w:color w:val="B40000"/>
                <w:sz w:val="17"/>
              </w:rPr>
              <w:t>-22.57%</w:t>
            </w:r>
          </w:p>
          <w:p>
            <w:r>
              <w:rPr>
                <w:b/>
                <w:color w:val="503200"/>
                <w:sz w:val="16"/>
              </w:rPr>
              <w:t xml:space="preserve">Plus haut 100j : </w:t>
            </w:r>
            <w:r>
              <w:rPr>
                <w:color w:val="000000"/>
                <w:sz w:val="17"/>
              </w:rPr>
              <w:t>7,555 FCFA</w:t>
            </w:r>
          </w:p>
          <w:p>
            <w:r>
              <w:rPr>
                <w:b/>
                <w:color w:val="503200"/>
                <w:sz w:val="16"/>
              </w:rPr>
              <w:t xml:space="preserve">Plus bas 100j : </w:t>
            </w:r>
            <w:r>
              <w:rPr>
                <w:color w:val="000000"/>
                <w:sz w:val="17"/>
              </w:rPr>
              <w:t>3,340 FCFA</w:t>
            </w:r>
          </w:p>
          <w:p>
            <w:r>
              <w:rPr>
                <w:b/>
                <w:color w:val="503200"/>
                <w:sz w:val="16"/>
              </w:rPr>
              <w:t xml:space="preserve">Volatilité ann. : </w:t>
            </w:r>
            <w:r>
              <w:rPr>
                <w:color w:val="000000"/>
                <w:sz w:val="17"/>
              </w:rPr>
              <w:t>82.3%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30.1/100 → Moyen</w:t>
      </w:r>
    </w:p>
    <w:p>
      <w:pPr>
        <w:spacing w:before="40" w:after="80"/>
      </w:pPr>
      <w:r>
        <w:rPr>
          <w:rFonts w:ascii="Courier New" w:hAnsi="Courier New"/>
          <w:color w:val="825A00"/>
          <w:sz w:val="18"/>
        </w:rPr>
        <w:t>██████░░░░░░░░░░░░░░  30.1/100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22.63% (Élevée) — μ=4,752 FCFA, σ=1,076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β=0.4257 (Défensif) — Cov=0.000015, Var(idx)=0.000035, ρ=0.049,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7,323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σ_j=5.19%/j (Instable) — Vol. annualisée≈82.3%</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35585"/>
            <wp:docPr id="29" name="Picture 29"/>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2026-08-28</w:t>
            </w:r>
          </w:p>
        </w:tc>
        <w:tc>
          <w:tcPr>
            <w:tcW w:type="dxa" w:w="1440"/>
            <w:shd w:fill="FFDCE0" w:val="clear"/>
          </w:tcPr>
          <w:p>
            <w:r>
              <w:rPr>
                <w:sz w:val="17"/>
              </w:rPr>
              <w:t>5,093</w:t>
            </w:r>
          </w:p>
        </w:tc>
        <w:tc>
          <w:tcPr>
            <w:tcW w:type="dxa" w:w="1440"/>
            <w:shd w:fill="FFDCE0" w:val="clear"/>
          </w:tcPr>
          <w:p>
            <w:r>
              <w:rPr>
                <w:b/>
                <w:sz w:val="17"/>
              </w:rPr>
              <w:t>5,411</w:t>
            </w:r>
          </w:p>
        </w:tc>
        <w:tc>
          <w:tcPr>
            <w:tcW w:type="dxa" w:w="1440"/>
            <w:shd w:fill="FFDCE0" w:val="clear"/>
          </w:tcPr>
          <w:p>
            <w:r>
              <w:rPr>
                <w:sz w:val="17"/>
              </w:rPr>
              <w:t>5,730</w:t>
            </w:r>
          </w:p>
        </w:tc>
        <w:tc>
          <w:tcPr>
            <w:tcW w:type="dxa" w:w="1440"/>
            <w:shd w:fill="FFDCE0" w:val="clear"/>
          </w:tcPr>
          <w:p>
            <w:r>
              <w:rPr>
                <w:b/>
                <w:color w:val="C00000"/>
                <w:sz w:val="17"/>
              </w:rPr>
              <w:t>-7.5%</w:t>
            </w:r>
          </w:p>
        </w:tc>
      </w:tr>
      <w:tr>
        <w:tc>
          <w:tcPr>
            <w:tcW w:type="dxa" w:w="1440"/>
            <w:shd w:fill="FFDCE0" w:val="clear"/>
          </w:tcPr>
          <w:p>
            <w:r>
              <w:rPr>
                <w:sz w:val="17"/>
              </w:rPr>
              <w:t>J+2  ⭐</w:t>
            </w:r>
          </w:p>
        </w:tc>
        <w:tc>
          <w:tcPr>
            <w:tcW w:type="dxa" w:w="1440"/>
            <w:shd w:fill="FFDCE0" w:val="clear"/>
          </w:tcPr>
          <w:p>
            <w:r>
              <w:rPr>
                <w:sz w:val="17"/>
              </w:rPr>
              <w:t>2026-08-31</w:t>
            </w:r>
          </w:p>
        </w:tc>
        <w:tc>
          <w:tcPr>
            <w:tcW w:type="dxa" w:w="1440"/>
            <w:shd w:fill="FFDCE0" w:val="clear"/>
          </w:tcPr>
          <w:p>
            <w:r>
              <w:rPr>
                <w:sz w:val="17"/>
              </w:rPr>
              <w:t>4,589</w:t>
            </w:r>
          </w:p>
        </w:tc>
        <w:tc>
          <w:tcPr>
            <w:tcW w:type="dxa" w:w="1440"/>
            <w:shd w:fill="FFDCE0" w:val="clear"/>
          </w:tcPr>
          <w:p>
            <w:r>
              <w:rPr>
                <w:b/>
                <w:sz w:val="17"/>
              </w:rPr>
              <w:t>5,005</w:t>
            </w:r>
          </w:p>
        </w:tc>
        <w:tc>
          <w:tcPr>
            <w:tcW w:type="dxa" w:w="1440"/>
            <w:shd w:fill="FFDCE0" w:val="clear"/>
          </w:tcPr>
          <w:p>
            <w:r>
              <w:rPr>
                <w:sz w:val="17"/>
              </w:rPr>
              <w:t>5,422</w:t>
            </w:r>
          </w:p>
        </w:tc>
        <w:tc>
          <w:tcPr>
            <w:tcW w:type="dxa" w:w="1440"/>
            <w:shd w:fill="FFDCE0" w:val="clear"/>
          </w:tcPr>
          <w:p>
            <w:r>
              <w:rPr>
                <w:b/>
                <w:color w:val="C00000"/>
                <w:sz w:val="17"/>
              </w:rPr>
              <w:t>-14.4%</w:t>
            </w:r>
          </w:p>
        </w:tc>
      </w:tr>
      <w:tr>
        <w:tc>
          <w:tcPr>
            <w:tcW w:type="dxa" w:w="1440"/>
            <w:shd w:fill="FFDCE0" w:val="clear"/>
          </w:tcPr>
          <w:p>
            <w:r>
              <w:rPr>
                <w:sz w:val="17"/>
              </w:rPr>
              <w:t>J+3  ⭐</w:t>
            </w:r>
          </w:p>
        </w:tc>
        <w:tc>
          <w:tcPr>
            <w:tcW w:type="dxa" w:w="1440"/>
            <w:shd w:fill="FFDCE0" w:val="clear"/>
          </w:tcPr>
          <w:p>
            <w:r>
              <w:rPr>
                <w:sz w:val="17"/>
              </w:rPr>
              <w:t>2026-09-01</w:t>
            </w:r>
          </w:p>
        </w:tc>
        <w:tc>
          <w:tcPr>
            <w:tcW w:type="dxa" w:w="1440"/>
            <w:shd w:fill="FFDCE0" w:val="clear"/>
          </w:tcPr>
          <w:p>
            <w:r>
              <w:rPr>
                <w:sz w:val="17"/>
              </w:rPr>
              <w:t>4,158</w:t>
            </w:r>
          </w:p>
        </w:tc>
        <w:tc>
          <w:tcPr>
            <w:tcW w:type="dxa" w:w="1440"/>
            <w:shd w:fill="FFDCE0" w:val="clear"/>
          </w:tcPr>
          <w:p>
            <w:r>
              <w:rPr>
                <w:b/>
                <w:sz w:val="17"/>
              </w:rPr>
              <w:t>4,630</w:t>
            </w:r>
          </w:p>
        </w:tc>
        <w:tc>
          <w:tcPr>
            <w:tcW w:type="dxa" w:w="1440"/>
            <w:shd w:fill="FFDCE0" w:val="clear"/>
          </w:tcPr>
          <w:p>
            <w:r>
              <w:rPr>
                <w:sz w:val="17"/>
              </w:rPr>
              <w:t>5,102</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2026-09-02</w:t>
            </w:r>
          </w:p>
        </w:tc>
        <w:tc>
          <w:tcPr>
            <w:tcW w:type="dxa" w:w="1440"/>
            <w:shd w:fill="FFDCE0" w:val="clear"/>
          </w:tcPr>
          <w:p>
            <w:r>
              <w:rPr>
                <w:sz w:val="17"/>
              </w:rPr>
              <w:t>3,779</w:t>
            </w:r>
          </w:p>
        </w:tc>
        <w:tc>
          <w:tcPr>
            <w:tcW w:type="dxa" w:w="1440"/>
            <w:shd w:fill="FFDCE0" w:val="clear"/>
          </w:tcPr>
          <w:p>
            <w:r>
              <w:rPr>
                <w:b/>
                <w:sz w:val="17"/>
              </w:rPr>
              <w:t>4,283</w:t>
            </w:r>
          </w:p>
        </w:tc>
        <w:tc>
          <w:tcPr>
            <w:tcW w:type="dxa" w:w="1440"/>
            <w:shd w:fill="FFDCE0" w:val="clear"/>
          </w:tcPr>
          <w:p>
            <w:r>
              <w:rPr>
                <w:sz w:val="17"/>
              </w:rPr>
              <w:t>4,787</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2026-09-03</w:t>
            </w:r>
          </w:p>
        </w:tc>
        <w:tc>
          <w:tcPr>
            <w:tcW w:type="dxa" w:w="1440"/>
            <w:shd w:fill="FFDCE0" w:val="clear"/>
          </w:tcPr>
          <w:p>
            <w:r>
              <w:rPr>
                <w:sz w:val="17"/>
              </w:rPr>
              <w:t>3,440</w:t>
            </w:r>
          </w:p>
        </w:tc>
        <w:tc>
          <w:tcPr>
            <w:tcW w:type="dxa" w:w="1440"/>
            <w:shd w:fill="FFDCE0" w:val="clear"/>
          </w:tcPr>
          <w:p>
            <w:r>
              <w:rPr>
                <w:b/>
                <w:sz w:val="17"/>
              </w:rPr>
              <w:t>3,962</w:t>
            </w:r>
          </w:p>
        </w:tc>
        <w:tc>
          <w:tcPr>
            <w:tcW w:type="dxa" w:w="1440"/>
            <w:shd w:fill="FFDCE0" w:val="clear"/>
          </w:tcPr>
          <w:p>
            <w:r>
              <w:rPr>
                <w:sz w:val="17"/>
              </w:rPr>
              <w:t>4,483</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2026-09-04</w:t>
            </w:r>
          </w:p>
        </w:tc>
        <w:tc>
          <w:tcPr>
            <w:tcW w:type="dxa" w:w="1440"/>
            <w:shd w:fill="FFDCE0" w:val="clear"/>
          </w:tcPr>
          <w:p>
            <w:r>
              <w:rPr>
                <w:sz w:val="17"/>
              </w:rPr>
              <w:t>3,136</w:t>
            </w:r>
          </w:p>
        </w:tc>
        <w:tc>
          <w:tcPr>
            <w:tcW w:type="dxa" w:w="1440"/>
            <w:shd w:fill="FFDCE0" w:val="clear"/>
          </w:tcPr>
          <w:p>
            <w:r>
              <w:rPr>
                <w:b/>
                <w:sz w:val="17"/>
              </w:rPr>
              <w:t>3,664</w:t>
            </w:r>
          </w:p>
        </w:tc>
        <w:tc>
          <w:tcPr>
            <w:tcW w:type="dxa" w:w="1440"/>
            <w:shd w:fill="FFDCE0" w:val="clear"/>
          </w:tcPr>
          <w:p>
            <w:r>
              <w:rPr>
                <w:sz w:val="17"/>
              </w:rPr>
              <w:t>4,193</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2026-09-07</w:t>
            </w:r>
          </w:p>
        </w:tc>
        <w:tc>
          <w:tcPr>
            <w:tcW w:type="dxa" w:w="1440"/>
            <w:shd w:fill="FFDCE0" w:val="clear"/>
          </w:tcPr>
          <w:p>
            <w:r>
              <w:rPr>
                <w:sz w:val="17"/>
              </w:rPr>
              <w:t>2,862</w:t>
            </w:r>
          </w:p>
        </w:tc>
        <w:tc>
          <w:tcPr>
            <w:tcW w:type="dxa" w:w="1440"/>
            <w:shd w:fill="FFDCE0" w:val="clear"/>
          </w:tcPr>
          <w:p>
            <w:r>
              <w:rPr>
                <w:b/>
                <w:sz w:val="17"/>
              </w:rPr>
              <w:t>3,390</w:t>
            </w:r>
          </w:p>
        </w:tc>
        <w:tc>
          <w:tcPr>
            <w:tcW w:type="dxa" w:w="1440"/>
            <w:shd w:fill="FFDCE0" w:val="clear"/>
          </w:tcPr>
          <w:p>
            <w:r>
              <w:rPr>
                <w:sz w:val="17"/>
              </w:rPr>
              <w:t>3,917</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2026-09-08</w:t>
            </w:r>
          </w:p>
        </w:tc>
        <w:tc>
          <w:tcPr>
            <w:tcW w:type="dxa" w:w="1440"/>
            <w:shd w:fill="FFDCE0" w:val="clear"/>
          </w:tcPr>
          <w:p>
            <w:r>
              <w:rPr>
                <w:sz w:val="17"/>
              </w:rPr>
              <w:t>2,613</w:t>
            </w:r>
          </w:p>
        </w:tc>
        <w:tc>
          <w:tcPr>
            <w:tcW w:type="dxa" w:w="1440"/>
            <w:shd w:fill="FFDCE0" w:val="clear"/>
          </w:tcPr>
          <w:p>
            <w:r>
              <w:rPr>
                <w:b/>
                <w:sz w:val="17"/>
              </w:rPr>
              <w:t>3,135</w:t>
            </w:r>
          </w:p>
        </w:tc>
        <w:tc>
          <w:tcPr>
            <w:tcW w:type="dxa" w:w="1440"/>
            <w:shd w:fill="FFDCE0" w:val="clear"/>
          </w:tcPr>
          <w:p>
            <w:r>
              <w:rPr>
                <w:sz w:val="17"/>
              </w:rPr>
              <w:t>3,657</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2026-09-09</w:t>
            </w:r>
          </w:p>
        </w:tc>
        <w:tc>
          <w:tcPr>
            <w:tcW w:type="dxa" w:w="1440"/>
            <w:shd w:fill="FFDCE0" w:val="clear"/>
          </w:tcPr>
          <w:p>
            <w:r>
              <w:rPr>
                <w:sz w:val="17"/>
              </w:rPr>
              <w:t>2,388</w:t>
            </w:r>
          </w:p>
        </w:tc>
        <w:tc>
          <w:tcPr>
            <w:tcW w:type="dxa" w:w="1440"/>
            <w:shd w:fill="FFDCE0" w:val="clear"/>
          </w:tcPr>
          <w:p>
            <w:r>
              <w:rPr>
                <w:b/>
                <w:sz w:val="17"/>
              </w:rPr>
              <w:t>2,900</w:t>
            </w:r>
          </w:p>
        </w:tc>
        <w:tc>
          <w:tcPr>
            <w:tcW w:type="dxa" w:w="1440"/>
            <w:shd w:fill="FFDCE0" w:val="clear"/>
          </w:tcPr>
          <w:p>
            <w:r>
              <w:rPr>
                <w:sz w:val="17"/>
              </w:rPr>
              <w:t>3,412</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2026-09-10</w:t>
            </w:r>
          </w:p>
        </w:tc>
        <w:tc>
          <w:tcPr>
            <w:tcW w:type="dxa" w:w="1440"/>
            <w:shd w:fill="FFDCE0" w:val="clear"/>
          </w:tcPr>
          <w:p>
            <w:r>
              <w:rPr>
                <w:sz w:val="17"/>
              </w:rPr>
              <w:t>2,183</w:t>
            </w:r>
          </w:p>
        </w:tc>
        <w:tc>
          <w:tcPr>
            <w:tcW w:type="dxa" w:w="1440"/>
            <w:shd w:fill="FFDCE0" w:val="clear"/>
          </w:tcPr>
          <w:p>
            <w:r>
              <w:rPr>
                <w:b/>
                <w:sz w:val="17"/>
              </w:rPr>
              <w:t>2,683</w:t>
            </w:r>
          </w:p>
        </w:tc>
        <w:tc>
          <w:tcPr>
            <w:tcW w:type="dxa" w:w="1440"/>
            <w:shd w:fill="FFDCE0" w:val="clear"/>
          </w:tcPr>
          <w:p>
            <w:r>
              <w:rPr>
                <w:sz w:val="17"/>
              </w:rPr>
              <w:t>3,182</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423.00 M FCFA</w:t>
            </w:r>
          </w:p>
        </w:tc>
        <w:tc>
          <w:tcPr>
            <w:tcW w:type="dxa" w:w="5669"/>
            <w:shd w:fill="FFFFFF" w:val="clear"/>
          </w:tcPr>
          <w:p>
            <w:r>
              <w:rPr>
                <w:color w:val="282828"/>
                <w:sz w:val="15"/>
              </w:rPr>
              <w:t>Représente 0.5%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182.00 M FCFA</w:t>
            </w:r>
          </w:p>
        </w:tc>
        <w:tc>
          <w:tcPr>
            <w:tcW w:type="dxa" w:w="5669"/>
            <w:shd w:fill="FFFFFF" w:val="clear"/>
          </w:tcPr>
          <w:p>
            <w:r>
              <w:rPr>
                <w:color w:val="282828"/>
                <w:sz w:val="15"/>
              </w:rPr>
              <w:t>Titres d'État détenus (0.2%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5.028 Mds FCFA</w:t>
            </w:r>
          </w:p>
        </w:tc>
        <w:tc>
          <w:tcPr>
            <w:tcW w:type="dxa" w:w="5669"/>
            <w:shd w:fill="FFFFFF" w:val="clear"/>
          </w:tcPr>
          <w:p>
            <w:r>
              <w:rPr>
                <w:color w:val="282828"/>
                <w:sz w:val="15"/>
              </w:rPr>
              <w:t>Prêts aux autres banques (6.3% du bilan). ✅ Exposition modérée au risque interbancaire.</w:t>
            </w:r>
          </w:p>
        </w:tc>
      </w:tr>
      <w:tr>
        <w:tc>
          <w:tcPr>
            <w:tcW w:type="dxa" w:w="2268"/>
            <w:shd w:fill="EEF2F7" w:val="clear"/>
          </w:tcPr>
          <w:p>
            <w:r>
              <w:rPr>
                <w:b/>
                <w:color w:val="1E1E3C"/>
                <w:sz w:val="16"/>
              </w:rPr>
              <w:t>Créances sur la clientèle</w:t>
            </w:r>
          </w:p>
        </w:tc>
        <w:tc>
          <w:tcPr>
            <w:tcW w:type="dxa" w:w="1984"/>
            <w:shd w:fill="FFEB9C" w:val="clear"/>
          </w:tcPr>
          <w:p>
            <w:r>
              <w:rPr>
                <w:b/>
                <w:color w:val="006400"/>
                <w:sz w:val="17"/>
              </w:rPr>
              <w:t>60.476 Mds FCFA</w:t>
            </w:r>
          </w:p>
        </w:tc>
        <w:tc>
          <w:tcPr>
            <w:tcW w:type="dxa" w:w="5669"/>
            <w:shd w:fill="FFFFFF" w:val="clear"/>
          </w:tcPr>
          <w:p>
            <w:r>
              <w:rPr>
                <w:color w:val="282828"/>
                <w:sz w:val="15"/>
              </w:rPr>
              <w:t>Portefeuille crédits (76.0% du bilan). ⚠️ Concentration excessive (risque crédit élevé).</w:t>
            </w:r>
          </w:p>
        </w:tc>
      </w:tr>
      <w:tr>
        <w:tc>
          <w:tcPr>
            <w:tcW w:type="dxa" w:w="2268"/>
            <w:shd w:fill="EEF2F7" w:val="clear"/>
          </w:tcPr>
          <w:p>
            <w:r>
              <w:rPr>
                <w:b/>
                <w:color w:val="1E1E3C"/>
                <w:sz w:val="16"/>
              </w:rPr>
              <w:t>Actif circulant</w:t>
            </w:r>
          </w:p>
        </w:tc>
        <w:tc>
          <w:tcPr>
            <w:tcW w:type="dxa" w:w="1984"/>
            <w:shd w:fill="C6EFCE" w:val="clear"/>
          </w:tcPr>
          <w:p>
            <w:r>
              <w:rPr>
                <w:b/>
                <w:color w:val="006400"/>
                <w:sz w:val="17"/>
              </w:rPr>
              <w:t>74.531 Mds FCFA</w:t>
            </w:r>
          </w:p>
        </w:tc>
        <w:tc>
          <w:tcPr>
            <w:tcW w:type="dxa" w:w="5669"/>
            <w:shd w:fill="FFFFFF" w:val="clear"/>
          </w:tcPr>
          <w:p>
            <w:r>
              <w:rPr>
                <w:color w:val="282828"/>
                <w:sz w:val="15"/>
              </w:rPr>
              <w:t>Ratio actif circ./passif circ. = 5.38x.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109.00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3.913 Mds FCFA</w:t>
            </w:r>
          </w:p>
        </w:tc>
        <w:tc>
          <w:tcPr>
            <w:tcW w:type="dxa" w:w="5669"/>
            <w:shd w:fill="FFFFFF" w:val="clear"/>
          </w:tcPr>
          <w:p>
            <w:r>
              <w:rPr>
                <w:color w:val="282828"/>
                <w:sz w:val="15"/>
              </w:rPr>
              <w:t>Outil industriel (4.9%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5.024 Mds FCFA</w:t>
            </w:r>
          </w:p>
        </w:tc>
        <w:tc>
          <w:tcPr>
            <w:tcW w:type="dxa" w:w="5669"/>
            <w:shd w:fill="FFFFFF" w:val="clear"/>
          </w:tcPr>
          <w:p>
            <w:r>
              <w:rPr>
                <w:color w:val="282828"/>
                <w:sz w:val="15"/>
              </w:rPr>
              <w:t>Actif immobilisé = 6.3%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423.00 M FCFA</w:t>
            </w:r>
          </w:p>
        </w:tc>
        <w:tc>
          <w:tcPr>
            <w:tcW w:type="dxa" w:w="5669"/>
            <w:shd w:fill="FFFFFF" w:val="clear"/>
          </w:tcPr>
          <w:p>
            <w:r>
              <w:rPr>
                <w:color w:val="282828"/>
                <w:sz w:val="15"/>
              </w:rPr>
              <w:t>Liquidités disponibles (0.5%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79.555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2.854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5.916 Mds FCFA</w:t>
            </w:r>
          </w:p>
        </w:tc>
        <w:tc>
          <w:tcPr>
            <w:tcW w:type="dxa" w:w="5669"/>
            <w:shd w:fill="FFFFFF" w:val="clear"/>
          </w:tcPr>
          <w:p>
            <w:r>
              <w:rPr>
                <w:color w:val="282828"/>
                <w:sz w:val="15"/>
              </w:rPr>
              <w:t>Fonds propres = 7.4%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6.051 Mds FCFA</w:t>
            </w:r>
          </w:p>
        </w:tc>
        <w:tc>
          <w:tcPr>
            <w:tcW w:type="dxa" w:w="5669"/>
            <w:shd w:fill="FFFFFF" w:val="clear"/>
          </w:tcPr>
          <w:p>
            <w:r>
              <w:rPr>
                <w:color w:val="282828"/>
                <w:sz w:val="15"/>
              </w:rPr>
              <w:t>Capitaux permanents / Actif immobilisé = 1.20x. ✅ Les investissements LT sont bien financés par des ressources stables.</w:t>
            </w:r>
          </w:p>
        </w:tc>
      </w:tr>
      <w:tr>
        <w:tc>
          <w:tcPr>
            <w:tcW w:type="dxa" w:w="2268"/>
            <w:shd w:fill="EEF2F7" w:val="clear"/>
          </w:tcPr>
          <w:p>
            <w:r>
              <w:rPr>
                <w:b/>
                <w:color w:val="1E1E3C"/>
                <w:sz w:val="16"/>
              </w:rPr>
              <w:t>Dettes interbancaires</w:t>
            </w:r>
          </w:p>
        </w:tc>
        <w:tc>
          <w:tcPr>
            <w:tcW w:type="dxa" w:w="1984"/>
            <w:shd w:fill="FFEB9C" w:val="clear"/>
          </w:tcPr>
          <w:p>
            <w:r>
              <w:rPr>
                <w:b/>
                <w:color w:val="006400"/>
                <w:sz w:val="17"/>
              </w:rPr>
              <w:t>35.747 Mds FCFA</w:t>
            </w:r>
          </w:p>
        </w:tc>
        <w:tc>
          <w:tcPr>
            <w:tcW w:type="dxa" w:w="5669"/>
            <w:shd w:fill="FFFFFF" w:val="clear"/>
          </w:tcPr>
          <w:p>
            <w:r>
              <w:rPr>
                <w:color w:val="282828"/>
                <w:sz w:val="15"/>
              </w:rPr>
              <w:t>Refinancement interbancaire (44.9% du bilan). ⚠️ Forte dépendance — risque de refinancement en cas de crise.</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9.112 Mds FCFA</w:t>
            </w:r>
          </w:p>
        </w:tc>
        <w:tc>
          <w:tcPr>
            <w:tcW w:type="dxa" w:w="5669"/>
            <w:shd w:fill="FFFFFF" w:val="clear"/>
          </w:tcPr>
          <w:p>
            <w:r>
              <w:rPr>
                <w:color w:val="282828"/>
                <w:sz w:val="15"/>
              </w:rPr>
              <w:t>Dépôts clients = 11.5% du bilan. ℹ️ Dépôts modérés — compléter par d'autres ressources.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14.915 Mds FCFA</w:t>
            </w:r>
          </w:p>
        </w:tc>
        <w:tc>
          <w:tcPr>
            <w:tcW w:type="dxa" w:w="5669"/>
            <w:shd w:fill="FFFFFF" w:val="clear"/>
          </w:tcPr>
          <w:p>
            <w:r>
              <w:rPr>
                <w:color w:val="282828"/>
                <w:sz w:val="15"/>
              </w:rPr>
              <w:t>Dette LT/MT = 252%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50.662 Mds FCFA</w:t>
            </w:r>
          </w:p>
        </w:tc>
        <w:tc>
          <w:tcPr>
            <w:tcW w:type="dxa" w:w="5669"/>
            <w:shd w:fill="FFFFFF" w:val="clear"/>
          </w:tcPr>
          <w:p>
            <w:r>
              <w:rPr>
                <w:color w:val="282828"/>
                <w:sz w:val="15"/>
              </w:rPr>
              <w:t>Dette financière totale = 856%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73.639 Mds FCFA</w:t>
            </w:r>
          </w:p>
        </w:tc>
        <w:tc>
          <w:tcPr>
            <w:tcW w:type="dxa" w:w="5669"/>
            <w:shd w:fill="FFFFFF" w:val="clear"/>
          </w:tcPr>
          <w:p>
            <w:r>
              <w:rPr>
                <w:color w:val="282828"/>
                <w:sz w:val="15"/>
              </w:rPr>
              <w:t>Dettes totales = 92.6%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5.735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5.735 Mds FCFA</w:t>
            </w:r>
          </w:p>
        </w:tc>
        <w:tc>
          <w:tcPr>
            <w:tcW w:type="dxa" w:w="5669"/>
            <w:shd w:fill="FFFFFF" w:val="clear"/>
          </w:tcPr>
          <w:p>
            <w:r>
              <w:rPr>
                <w:color w:val="282828"/>
                <w:sz w:val="15"/>
              </w:rPr>
              <w:t>Revenu bancaire central (≡ CA). Croissance: 44.1%.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8.236 Mds FCFA</w:t>
            </w:r>
          </w:p>
        </w:tc>
        <w:tc>
          <w:tcPr>
            <w:tcW w:type="dxa" w:w="5669"/>
            <w:shd w:fill="FFFFFF" w:val="clear"/>
          </w:tcPr>
          <w:p>
            <w:r>
              <w:rPr>
                <w:color w:val="282828"/>
                <w:sz w:val="15"/>
              </w:rPr>
              <w:t>Revenus d'intérêts sur crédits (144%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-3.003 Mds FCFA</w:t>
            </w:r>
          </w:p>
        </w:tc>
        <w:tc>
          <w:tcPr>
            <w:tcW w:type="dxa" w:w="5669"/>
            <w:shd w:fill="FFFFFF" w:val="clear"/>
          </w:tcPr>
          <w:p>
            <w:r>
              <w:rPr>
                <w:color w:val="282828"/>
                <w:sz w:val="15"/>
              </w:rPr>
              <w:t>Coût des dépôts collectés (-52%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686.00 M FCFA</w:t>
            </w:r>
          </w:p>
        </w:tc>
        <w:tc>
          <w:tcPr>
            <w:tcW w:type="dxa" w:w="5669"/>
            <w:shd w:fill="FFFFFF" w:val="clear"/>
          </w:tcPr>
          <w:p>
            <w:r>
              <w:rPr>
                <w:color w:val="282828"/>
                <w:sz w:val="15"/>
              </w:rPr>
              <w:t>Revenus de commissions (12.0% des revenus). Diversification bienvenue du modèle.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-4.103 Mds FCFA</w:t>
            </w:r>
          </w:p>
        </w:tc>
        <w:tc>
          <w:tcPr>
            <w:tcW w:type="dxa" w:w="5669"/>
            <w:shd w:fill="FFFFFF" w:val="clear"/>
          </w:tcPr>
          <w:p>
            <w:r>
              <w:rPr>
                <w:color w:val="282828"/>
                <w:sz w:val="15"/>
              </w:rPr>
              <w:t>-71.5%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-349.00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1.632 Mds FCFA</w:t>
            </w:r>
          </w:p>
        </w:tc>
        <w:tc>
          <w:tcPr>
            <w:tcW w:type="dxa" w:w="5669"/>
            <w:shd w:fill="FFFFFF" w:val="clear"/>
          </w:tcPr>
          <w:p>
            <w:r>
              <w:rPr>
                <w:color w:val="282828"/>
                <w:sz w:val="15"/>
              </w:rPr>
              <w:t>VA = 163200000000.0%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1.632 Mds FCFA</w:t>
            </w:r>
          </w:p>
        </w:tc>
        <w:tc>
          <w:tcPr>
            <w:tcW w:type="dxa" w:w="5669"/>
            <w:shd w:fill="FFFFFF" w:val="clear"/>
          </w:tcPr>
          <w:p>
            <w:r>
              <w:rPr>
                <w:color w:val="282828"/>
                <w:sz w:val="15"/>
              </w:rPr>
              <w:t>EBE = 28.5% des revenus (marge opérationnelle brute). ✅ Excellente capacité bénéficiaire avant amort.</w:t>
            </w:r>
          </w:p>
        </w:tc>
      </w:tr>
      <w:tr>
        <w:tc>
          <w:tcPr>
            <w:tcW w:type="dxa" w:w="2268"/>
            <w:shd w:fill="EEF2F7" w:val="clear"/>
          </w:tcPr>
          <w:p>
            <w:r>
              <w:rPr>
                <w:b/>
                <w:color w:val="1E1E3C"/>
                <w:sz w:val="16"/>
              </w:rPr>
              <w:t>RBE (Résultat Brut Exploit.)</w:t>
            </w:r>
          </w:p>
        </w:tc>
        <w:tc>
          <w:tcPr>
            <w:tcW w:type="dxa" w:w="1984"/>
            <w:shd w:fill="FFEB9C" w:val="clear"/>
          </w:tcPr>
          <w:p>
            <w:r>
              <w:rPr>
                <w:b/>
                <w:color w:val="006400"/>
                <w:sz w:val="17"/>
              </w:rPr>
              <w:t>1.283 Mds FCFA</w:t>
            </w:r>
          </w:p>
        </w:tc>
        <w:tc>
          <w:tcPr>
            <w:tcW w:type="dxa" w:w="5669"/>
            <w:shd w:fill="FFFFFF" w:val="clear"/>
          </w:tcPr>
          <w:p>
            <w:r>
              <w:rPr>
                <w:color w:val="282828"/>
                <w:sz w:val="15"/>
              </w:rPr>
              <w:t>RBE = 22.4% du PNB (PNB - CGE - DAP). ⚠️ Efficacité limitée — charges absorb. une large part du PNB.</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906.00 M FCFA</w:t>
            </w:r>
          </w:p>
        </w:tc>
        <w:tc>
          <w:tcPr>
            <w:tcW w:type="dxa" w:w="5669"/>
            <w:shd w:fill="FFFFFF" w:val="clear"/>
          </w:tcPr>
          <w:p>
            <w:r>
              <w:rPr>
                <w:color w:val="282828"/>
                <w:sz w:val="15"/>
              </w:rPr>
              <w:t>Profit d'exploitation = 15.8%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B40000"/>
                <w:sz w:val="17"/>
              </w:rPr>
              <w:t>-377.00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701.00 M FCFA</w:t>
            </w:r>
          </w:p>
        </w:tc>
        <w:tc>
          <w:tcPr>
            <w:tcW w:type="dxa" w:w="5669"/>
            <w:shd w:fill="FFFFFF" w:val="clear"/>
          </w:tcPr>
          <w:p>
            <w:r>
              <w:rPr>
                <w:color w:val="282828"/>
                <w:sz w:val="15"/>
              </w:rPr>
              <w:t>Marge nette = 12.2%.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1.427 Mds FCFA</w:t>
            </w:r>
          </w:p>
        </w:tc>
        <w:tc>
          <w:tcPr>
            <w:tcW w:type="dxa" w:w="5669"/>
            <w:shd w:fill="FFFFFF" w:val="clear"/>
          </w:tcPr>
          <w:p>
            <w:r>
              <w:rPr>
                <w:color w:val="282828"/>
                <w:sz w:val="15"/>
              </w:rPr>
              <w:t>CAF = 1.43 Mds FCFA (résultat + amort.). ✅ Forte capacité à financer les investissements et rembourser les dettes.</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-35.324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12.22%</w:t>
            </w:r>
          </w:p>
        </w:tc>
        <w:tc>
          <w:tcPr>
            <w:tcW w:type="dxa" w:w="5669"/>
            <w:shd w:fill="FFFFFF" w:val="clear"/>
          </w:tcPr>
          <w:p>
            <w:r>
              <w:rPr>
                <w:color w:val="282828"/>
                <w:sz w:val="15"/>
              </w:rPr>
              <w:t>Résultat net / revenus = 12.22%.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15.80%</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11.85%</w:t>
            </w:r>
          </w:p>
        </w:tc>
        <w:tc>
          <w:tcPr>
            <w:tcW w:type="dxa" w:w="5669"/>
            <w:shd w:fill="FFFFFF" w:val="clear"/>
          </w:tcPr>
          <w:p>
            <w:r>
              <w:rPr>
                <w:color w:val="282828"/>
                <w:sz w:val="15"/>
              </w:rPr>
              <w:t>Résultat net / capitaux propres = 11.85%. ✅ Satisfaisant.</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0.88%</w:t>
            </w:r>
          </w:p>
        </w:tc>
        <w:tc>
          <w:tcPr>
            <w:tcW w:type="dxa" w:w="5669"/>
            <w:shd w:fill="FFFFFF" w:val="clear"/>
          </w:tcPr>
          <w:p>
            <w:r>
              <w:rPr>
                <w:color w:val="282828"/>
                <w:sz w:val="15"/>
              </w:rPr>
              <w:t>Résultat net / total actif = 0.88% (banque: seuil &gt;1%). ⚠️ Rentabilité des actifs en deçà du seuil sectoriel.</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7.21%</w:t>
            </w:r>
          </w:p>
        </w:tc>
        <w:tc>
          <w:tcPr>
            <w:tcW w:type="dxa" w:w="5669"/>
            <w:shd w:fill="FFFFFF" w:val="clear"/>
          </w:tcPr>
          <w:p>
            <w:r>
              <w:rPr>
                <w:color w:val="282828"/>
                <w:sz w:val="15"/>
              </w:rPr>
              <w:t>CA / total actif = 7.21x.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77.63%</w:t>
            </w:r>
          </w:p>
        </w:tc>
        <w:tc>
          <w:tcPr>
            <w:tcW w:type="dxa" w:w="5669"/>
            <w:shd w:fill="FFFFFF" w:val="clear"/>
          </w:tcPr>
          <w:p>
            <w:r>
              <w:rPr>
                <w:color w:val="282828"/>
                <w:sz w:val="15"/>
              </w:rPr>
              <w:t>Charges / PNB = 77.63%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6.57%</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44.10%</w:t>
            </w:r>
          </w:p>
        </w:tc>
        <w:tc>
          <w:tcPr>
            <w:tcW w:type="dxa" w:w="5669"/>
            <w:shd w:fill="FFFFFF" w:val="clear"/>
          </w:tcPr>
          <w:p>
            <w:r>
              <w:rPr>
                <w:color w:val="282828"/>
                <w:sz w:val="15"/>
              </w:rPr>
              <w:t>Croissance PNB vs exercice précédent = 44.10%.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7.44%</w:t>
            </w:r>
          </w:p>
        </w:tc>
        <w:tc>
          <w:tcPr>
            <w:tcW w:type="dxa" w:w="5669"/>
            <w:shd w:fill="FFFFFF" w:val="clear"/>
          </w:tcPr>
          <w:p>
            <w:r>
              <w:rPr>
                <w:color w:val="282828"/>
                <w:sz w:val="15"/>
              </w:rPr>
              <w:t>Fonds propres / total bilan = 7.44%.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92.56%</w:t>
            </w:r>
          </w:p>
        </w:tc>
        <w:tc>
          <w:tcPr>
            <w:tcW w:type="dxa" w:w="5669"/>
            <w:shd w:fill="FFFFFF" w:val="clear"/>
          </w:tcPr>
          <w:p>
            <w:r>
              <w:rPr>
                <w:color w:val="282828"/>
                <w:sz w:val="15"/>
              </w:rPr>
              <w:t>Dettes financières / total bilan = 92.56%. ❌ Structure très endettée — vulnérable aux chocs de taux.</w:t>
            </w:r>
          </w:p>
        </w:tc>
      </w:tr>
      <w:tr>
        <w:tc>
          <w:tcPr>
            <w:tcW w:type="dxa" w:w="2268"/>
            <w:shd w:fill="EEF2F7" w:val="clear"/>
          </w:tcPr>
          <w:p>
            <w:r>
              <w:rPr>
                <w:b/>
                <w:color w:val="1E1E3C"/>
                <w:sz w:val="16"/>
              </w:rPr>
              <w:t>Ratio d'endettement (gearing)</w:t>
            </w:r>
          </w:p>
        </w:tc>
        <w:tc>
          <w:tcPr>
            <w:tcW w:type="dxa" w:w="1984"/>
            <w:shd w:fill="FFC7CE" w:val="clear"/>
          </w:tcPr>
          <w:p>
            <w:r>
              <w:rPr>
                <w:b/>
                <w:color w:val="006400"/>
                <w:sz w:val="17"/>
              </w:rPr>
              <w:t>856.36%</w:t>
            </w:r>
          </w:p>
        </w:tc>
        <w:tc>
          <w:tcPr>
            <w:tcW w:type="dxa" w:w="5669"/>
            <w:shd w:fill="FFFFFF" w:val="clear"/>
          </w:tcPr>
          <w:p>
            <w:r>
              <w:rPr>
                <w:color w:val="282828"/>
                <w:sz w:val="15"/>
              </w:rPr>
              <w:t>Dettes totales / fonds propres = 856.36% (gearing). ❌ Surendettement — risque financier élevé.</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108.03%</w:t>
            </w:r>
          </w:p>
        </w:tc>
        <w:tc>
          <w:tcPr>
            <w:tcW w:type="dxa" w:w="5669"/>
            <w:shd w:fill="FFFFFF" w:val="clear"/>
          </w:tcPr>
          <w:p>
            <w:r>
              <w:rPr>
                <w:color w:val="282828"/>
                <w:sz w:val="15"/>
              </w:rPr>
              <w:t>Total actif / dettes totales = 108.03x.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537.55%</w:t>
            </w:r>
          </w:p>
        </w:tc>
        <w:tc>
          <w:tcPr>
            <w:tcW w:type="dxa" w:w="5669"/>
            <w:shd w:fill="FFFFFF" w:val="clear"/>
          </w:tcPr>
          <w:p>
            <w:r>
              <w:rPr>
                <w:color w:val="282828"/>
                <w:sz w:val="15"/>
              </w:rPr>
              <w:t>Actif circulant / passif circulant = 537.55x.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3.05%</w:t>
            </w:r>
          </w:p>
        </w:tc>
        <w:tc>
          <w:tcPr>
            <w:tcW w:type="dxa" w:w="5669"/>
            <w:shd w:fill="FFFFFF" w:val="clear"/>
          </w:tcPr>
          <w:p>
            <w:r>
              <w:rPr>
                <w:color w:val="282828"/>
                <w:sz w:val="15"/>
              </w:rPr>
              <w:t>Trésorerie / passif circulant = 3.05x.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537.55%</w:t>
            </w:r>
          </w:p>
        </w:tc>
        <w:tc>
          <w:tcPr>
            <w:tcW w:type="dxa" w:w="5669"/>
            <w:shd w:fill="FFFFFF" w:val="clear"/>
          </w:tcPr>
          <w:p>
            <w:r>
              <w:rPr>
                <w:color w:val="282828"/>
                <w:sz w:val="15"/>
              </w:rPr>
              <w:t>(Actif circ. - stocks) / passif circ. = 537.55x.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120.44%</w:t>
            </w:r>
          </w:p>
        </w:tc>
        <w:tc>
          <w:tcPr>
            <w:tcW w:type="dxa" w:w="5669"/>
            <w:shd w:fill="FFFFFF" w:val="clear"/>
          </w:tcPr>
          <w:p>
            <w:r>
              <w:rPr>
                <w:color w:val="282828"/>
                <w:sz w:val="15"/>
              </w:rPr>
              <w:t>Capitaux permanents / actif immobilisé = 120.44x.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35.5 ans</w:t>
            </w:r>
          </w:p>
        </w:tc>
        <w:tc>
          <w:tcPr>
            <w:tcW w:type="dxa" w:w="5669"/>
            <w:shd w:fill="FFFFFF" w:val="clear"/>
          </w:tcPr>
          <w:p>
            <w:r>
              <w:rPr>
                <w:color w:val="282828"/>
                <w:sz w:val="15"/>
              </w:rPr>
              <w:t>Dettes financières / CAF = 35.5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30.17%</w:t>
            </w:r>
          </w:p>
        </w:tc>
        <w:tc>
          <w:tcPr>
            <w:tcW w:type="dxa" w:w="5669"/>
            <w:shd w:fill="FFFFFF" w:val="clear"/>
          </w:tcPr>
          <w:p>
            <w:r>
              <w:rPr>
                <w:color w:val="282828"/>
                <w:sz w:val="15"/>
              </w:rPr>
              <w:t>Résultat exploit. / charges financières = 30.17x. ❌ L'exploitation ne couvre pas les charges financières.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SAFC s'établit à 47,50 milliards FCFA, un niveau modeste dans l'écosystème BRVM, reflétant une société de taille moyenne en phase de redressement. Le BPA de 86 FCFA par action indique un bénéfice net par titre relativement faible, cohérent avec une rentabilité encore en cours de normalisation. Le PER de 67,8x est extrêmement élevé par rapport à la moyenne historique de la BRVM (8-12x), ce qui signifie que les investisseurs paient une prime considérable pour chaque franc de bénéfice, anticipant probablement une forte croissance future. Le P/B de 8,03x confirme cette exubérance, le marché valorisant le titre bien au-delà de sa valeur comptable (8 fois les fonds propres), ce qui traduit une confiance dans le potentiel de redressement mais expose à un risque de correction sévère en cas de déception. Enfin, l'EV/EBITDA de 81,8x est également très exigeant, indiquant que la valeur d'entreprise est déconnectée de la capacité opérationnelle actuelle, ce qui rend la valorisation particulièrement sensible aux résultats futurs.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le titre SAFC affiche une variation totale de -22,57%, avec une dernière séance en baisse de -0,85% à 5 850 FCFA, illustrant une tendance baissière marquée malgré un cours actuel nettement supérieur à la moyenne. Le range de trading est extrêmement large, oscillant entre un plus bas de 3 340 FCFA et un plus haut de 7 555 FCFA, soit une amplitude de plus de 126%, témoignant d'une volatilité exceptionnelle. Les statistiques descriptives révèlent une distribution asymétrique : la moyenne (4 752 FCFA) est supérieure à la médiane (4 505 FCFA) et au mode (3 700 FCFA), indiquant que le cours a passé plus de temps sous la moyenne, avec des épisodes de hausse rapide suivis de corrections. L'écart-type de 1 081 FCFA (CV de 22,7%) confirme une dispersion élevée, tandis que le kurtosis de 0,260 (mésokurtique) suggère une distribution proche de la normale, sans risque extrême de queues épaisses. Le skewness positif de 0,997 indique une asymétrie marquée avec des journées majoritairement sous la moyenne mais des pics haussiers ponctuels. La volatilité annualisée de 82,3% place le titre dans la catégorie très élevée (&gt;30%), signalant un risque considérable pour les investisseurs.</w:t>
      </w:r>
    </w:p>
    <w:p>
      <w:pPr>
        <w:spacing w:after="120" w:line="276" w:lineRule="auto" w:before="240"/>
      </w:pPr>
      <w:r>
        <w:rPr>
          <w:b/>
          <w:color w:val="003366"/>
          <w:sz w:val="24"/>
        </w:rPr>
        <w:t>**PARTIE 2 : ANALYSE TECHNIQUE DÉTAILLÉE**</w:t>
      </w:r>
    </w:p>
    <w:p>
      <w:pPr>
        <w:spacing w:after="120" w:line="276" w:lineRule="auto"/>
      </w:pPr>
      <w:r>
        <w:t>**Moyennes Mobiles** : La MM20 à 5 419,75 FCFA et la MM50 à 4 861,9 FCFA sont toutes deux inférieures au cours actuel de 5 850 FCFA, indiquant une dynamique haussière à court et moyen terme. Le croisement positif des moyennes mobiles (MM20 &gt; MM50) confirme une tendance ascendante, justifiant la décision d'achat. Cependant, cette configuration technique contraste avec la baisse récente de 22,57% sur 100 jours, suggérant un rebond technique au sein d'une tendance plus large baissière.</w:t>
      </w:r>
    </w:p>
    <w:p>
      <w:pPr>
        <w:spacing w:after="120" w:line="276" w:lineRule="auto"/>
      </w:pPr>
      <w:r>
        <w:t>**Bandes de Bollinger** : Le prix actuel de 5 850 FCFA se situe entre la borne supérieure (6 124,60 FCFA) et la borne inférieure (4 714,90 FCFA), proche de la borne haute, indiquant une pression acheteuse récente. La largeur des bandes reflète une volatilité élevée, et la position du prix dans la moitié supérieure suggère un momentum positif à court terme. La décision neutre reflète l'absence de cassure claire des bornes, laissant place à une consolidation potentielle.</w:t>
      </w:r>
    </w:p>
    <w:p>
      <w:pPr>
        <w:spacing w:after="120" w:line="276" w:lineRule="auto"/>
      </w:pPr>
      <w:r>
        <w:t>**MACD** : La valeur du MACD à 313,45 est supérieure au signal à 291,48, avec un écart positif de 21,96 points, indiquant un momentum haussier en cours. Cette configuration positive suggère que la dynamique acheteuse reste dominante, justifiant la décision d'achat. Cependant, la prudence est de mise car le MACD reste proche de son signal, et un croisement baissier pourrait se produire si le momentum s'essouffle.</w:t>
      </w:r>
    </w:p>
    <w:p>
      <w:pPr>
        <w:spacing w:after="120" w:line="276" w:lineRule="auto"/>
      </w:pPr>
      <w:r>
        <w:t>**RSI** : Le RSI à 68,56 se situe en zone neutre-haute, proche du seuil de surachat de 70, indiquant que le titre est fortement valorisé à court terme mais pas encore en situation extrême. Cette valeur suggère une pression acheteuse soutenue, mais avec un risque croissant de correction si le RSI dépasse 70. La décision neutre reflète cette position limite, appelant à la vigilance.</w:t>
      </w:r>
    </w:p>
    <w:p>
      <w:pPr>
        <w:spacing w:after="120" w:line="276" w:lineRule="auto"/>
      </w:pPr>
      <w:r>
        <w:t>**Stochastique** : Le %K à 95,41 et le %D à 97,18 sont tous deux en zone de surachat extrême (&gt;80), avec %K légèrement inférieur à %D, indiquant un possible retournement baissier imminent. Cette configuration signale que le titre est survendu à la hausse, avec un risque élevé de correction technique. La décision de vente est donc justifiée, car les conditions de surachat sont rarement durables.</w:t>
      </w:r>
    </w:p>
    <w:p>
      <w:pPr>
        <w:spacing w:after="120" w:line="276" w:lineRule="auto"/>
      </w:pPr>
      <w:r>
        <w:t>**Conclusion technique** : Les indicateurs sont mitigés : les moyennes mobiles et le MACD sont positifs, mais le RSI proche du surachat et le stochastique en zone extrême signalent un essoufflement probable. La configuration technique suggère un potentiel de correction à court terme malgré la tendance haussière récente, appelant à la prudence.</w:t>
      </w:r>
    </w:p>
    <w:p>
      <w:pPr>
        <w:spacing w:after="120" w:line="276" w:lineRule="auto" w:before="240"/>
      </w:pPr>
      <w:r>
        <w:rPr>
          <w:b/>
          <w:color w:val="003366"/>
          <w:sz w:val="24"/>
        </w:rPr>
        <w:t>**PARTIE 3 : ANALYSE FONDAMENTALE (SECTION CRITIQUE)**</w:t>
      </w:r>
    </w:p>
    <w:p>
      <w:pPr>
        <w:spacing w:after="120" w:line="276" w:lineRule="auto"/>
      </w:pPr>
      <w:r>
        <w:t>En 2025, SAFC (Alios Finance Côte d'Ivoire) affiche un Produit Net Bancaire de 5,735 milliards FCFA, en hausse de 44,1% par rapport à 2024 (3,980 milliards), et un résultat net de 701 millions FCFA, marquant un retour spectaculaire à la rentabilité après huit années de pertes consécutives. Le ROE s'établit à 11,85%, en amélioration nette mais encore en dessous du seuil de 15% considéré comme excellent, tandis que le ROA de 0,88% reste faible, reflétant une rentabilité des actifs limitée. Le coefficient d'exploitation de 77,63% est élevé, indiquant une efficacité opérationnelle insuffisante (au-dessus du seuil de 60% considéré comme efficace), ce qui pèse sur la performance globale. Le coût du risque de 6,57% reste significatif, signalant une qualité de portefeuille encore fragile, malgré une amélioration notable par rapport aux exercices précédents. Les capitaux propres de 5,916 milliards FCFA restent modestes face à un total bilan de 79,555 milliards, avec un ratio d'autonomie financière de seulement 7,44%, bien en dessous du seuil de 30% jugé sain. Sur la base du rapport T1 2026 (PNB de 1,395 milliards, +29% et résultat net de 151 millions, +1062%), on estime que l'exercice 2026 pourrait voir un PNB annuel autour de 6,5-7 milliards FCFA et un résultat net potentiel de 700-900 millions FCFA, confirmant la trajectoire de redressement. L'augmentation de capital de 1,5 milliard FCFA via émission de 3,75 millions d'actions nouvelles à 400 FCFA (annoncée en avril 2026) devrait renforcer les fonds propres et soutenir la croissance future. La recommandation fondamentale est de conserver le titre, la solidité financière s'améliorant mais restant fragile, avec des risques de liquidité liés à la dépendance aux dettes interbancaires (35,747 milliards FCFA) et un report à nouveau toujours négatif (-4,123 milliards FCFA).</w:t>
      </w:r>
    </w:p>
    <w:p>
      <w:pPr>
        <w:spacing w:after="120" w:line="276" w:lineRule="auto" w:before="240"/>
      </w:pPr>
      <w:r>
        <w:rPr>
          <w:b/>
          <w:color w:val="003366"/>
          <w:sz w:val="24"/>
        </w:rPr>
        <w:t>**PARTIE 4 : CONCLUSION D'INVESTISSEMENT**</w:t>
      </w:r>
    </w:p>
    <w:p>
      <w:pPr>
        <w:spacing w:after="120" w:line="276" w:lineRule="auto"/>
      </w:pPr>
      <w:r>
        <w:t>La valorisation de SAFC est extrêmement exigeante avec un PER de 67,8x, un P/B de 8,03x et un EV/EBITDA de 81,8x, indiquant une surévaluation manifeste par rapport aux fondamentaux actuels, même si les investisseurs parient sur la poursuite du redressement. Le comportement du cours sur 100 jours montre une tendance baissière de -22,57% avec une volatilité annualisée de 82,3% et une distribution asymétrique positive (skewness 0,997), signalant des risques élevés mais un potentiel de rebond. Les signaux techniques sont mitigés : les moyennes mobiles et le MACD sont positifs, mais le RSI proche du surachat (68,56) et le stochastique en zone extrême (95-97) suggèrent une correction imminente. Les fondamentaux montrent un redressement spectaculaire en 2025 (PNB +44%, résultat net positif de 701 millions) mais avec une structure financière encore fragile (capitaux propres faibles, coefficient d'exploitation élevé, coût du risque significatif). Les prédictions IA pour les 10 prochains jours (de 5 411 FCFA à 3 962 FCFA) confirment une trajectoire baissière, contredisant les signaux techniques positifs à court terme. La recommandation finale est **CONSERVER** avec un niveau de confiance **Moyen**, car la convergence entre la surévaluation, la fragilité fondamentale et les prédictions baissières est contrebalancée par le potentiel de redressement à moyen terme. Le risque global est **Élevé**, et l'horizon d'investissement optimal est le **moyen terme (3-12 mois)**, en attendant la confirmation de la consolidation financière et l'absorption de l'augmentation de capital.</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20260423   avis ndeg108 brvmdg   valeur theorique   dps   augmentation de k   safca ci</w:t>
      </w:r>
    </w:p>
    <w:p>
      <w:pPr>
        <w:spacing w:before="20"/>
        <w:ind w:left="400"/>
      </w:pPr>
      <w:r>
        <w:rPr>
          <w:color w:val="505050"/>
          <w:sz w:val="17"/>
        </w:rPr>
        <w:t xml:space="preserve">Date : 24/04/2026  |  Catégorie : avis de marché  |  Impact : </w:t>
      </w:r>
      <w:r>
        <w:rPr>
          <w:b/>
          <w:color w:val="008000"/>
          <w:sz w:val="17"/>
        </w:rPr>
        <w:t>🟢 POSITIF</w:t>
      </w:r>
    </w:p>
    <w:p>
      <w:pPr>
        <w:spacing w:before="40"/>
        <w:ind w:left="400"/>
      </w:pPr>
      <w:r>
        <w:rPr>
          <w:sz w:val="18"/>
        </w:rPr>
        <w:t>La BRVM annonce la valeur théorique du Droit Préférentiel de Souscription (DPS) de SAFCA CI à 1 615 FCFA dans le cadre d'une augmentation de capital. L'action cotera ex-droit à partir du 24 avril 2026 avec un cours de référence de 3 890 FCFA. Le DPS sera négociable du 27 avril au 9 juin 2026 sous le symbole SAFC.DS1.</w:t>
      </w:r>
    </w:p>
    <w:p>
      <w:pPr>
        <w:spacing w:before="60"/>
        <w:ind w:left="400"/>
      </w:pPr>
      <w:r>
        <w:rPr>
          <w:b/>
          <w:sz w:val="18"/>
        </w:rPr>
        <w:t>Points clés :</w:t>
      </w:r>
    </w:p>
    <w:p>
      <w:pPr>
        <w:pStyle w:val="ListBullet"/>
        <w:spacing w:before="20" w:after="20"/>
        <w:ind w:left="700"/>
      </w:pPr>
      <w:r>
        <w:rPr>
          <w:sz w:val="18"/>
        </w:rPr>
        <w:t>Augmentation de capital SAFCA CI par apport en numéraire : 6 actions nouvelles pour 13 anciennes</w:t>
      </w:r>
    </w:p>
    <w:p>
      <w:pPr>
        <w:pStyle w:val="ListBullet"/>
        <w:spacing w:before="20" w:after="20"/>
        <w:ind w:left="700"/>
      </w:pPr>
      <w:r>
        <w:rPr>
          <w:sz w:val="18"/>
        </w:rPr>
        <w:t>Valeur théorique du DPS fixée à 1 615 FCFA à la clôture du 23 avril 2026</w:t>
      </w:r>
    </w:p>
    <w:p>
      <w:pPr>
        <w:pStyle w:val="ListBullet"/>
        <w:spacing w:before="20" w:after="20"/>
        <w:ind w:left="700"/>
      </w:pPr>
      <w:r>
        <w:rPr>
          <w:sz w:val="18"/>
        </w:rPr>
        <w:t>Action cotera ex-droit à partir du 24 avril 2026 avec cours de référence de 3 890 FCFA</w:t>
      </w:r>
    </w:p>
    <w:p>
      <w:pPr>
        <w:pStyle w:val="ListBullet"/>
        <w:spacing w:before="20" w:after="20"/>
        <w:ind w:left="700"/>
      </w:pPr>
      <w:r>
        <w:rPr>
          <w:sz w:val="18"/>
        </w:rPr>
        <w:t>DPS négociable du 27 avril au 9 juin 2026 sous le symbole SAFC.DS1</w:t>
      </w:r>
    </w:p>
    <w:p>
      <w:pPr>
        <w:pStyle w:val="ListBullet"/>
        <w:spacing w:before="20" w:after="20"/>
        <w:ind w:left="700"/>
      </w:pPr>
      <w:r>
        <w:rPr>
          <w:sz w:val="18"/>
        </w:rPr>
        <w:t>Écarts maximaux de négociation : entre 3 600 FCFA et 4 180 FCFA</w:t>
      </w:r>
    </w:p>
    <w:p>
      <w:pPr>
        <w:ind w:left="400"/>
      </w:pPr>
      <w:r>
        <w:rPr>
          <w:color w:val="B4B4B4"/>
          <w:sz w:val="14"/>
        </w:rPr>
        <w:t xml:space="preserve">· · · · · · · · · · · · · · · · · · · · · · · · · · · · · · </w:t>
      </w:r>
    </w:p>
    <w:p>
      <w:pPr>
        <w:spacing w:before="160"/>
      </w:pPr>
      <w:r>
        <w:rPr>
          <w:b/>
          <w:color w:val="0066CC"/>
          <w:sz w:val="20"/>
        </w:rPr>
        <w:t xml:space="preserve">[2] </w:t>
      </w:r>
      <w:r>
        <w:rPr>
          <w:b/>
          <w:sz w:val="20"/>
        </w:rPr>
        <w:t>20260413   avis ndeg093 brvmdg   augmentation de k par apport en numeraire avec dps   safca ci</w:t>
      </w:r>
    </w:p>
    <w:p>
      <w:pPr>
        <w:spacing w:before="20"/>
        <w:ind w:left="400"/>
      </w:pPr>
      <w:r>
        <w:rPr>
          <w:color w:val="505050"/>
          <w:sz w:val="17"/>
        </w:rPr>
        <w:t xml:space="preserve">Date : 14/04/2026  |  Catégorie : avis de marché  |  Impact : </w:t>
      </w:r>
      <w:r>
        <w:rPr>
          <w:b/>
          <w:color w:val="008000"/>
          <w:sz w:val="17"/>
        </w:rPr>
        <w:t>🟢 POSITIF</w:t>
      </w:r>
    </w:p>
    <w:p>
      <w:pPr>
        <w:spacing w:before="40"/>
        <w:ind w:left="400"/>
      </w:pPr>
      <w:r>
        <w:rPr>
          <w:sz w:val="18"/>
        </w:rPr>
        <w:t>SAFCA CI procède à une augmentation de capital par apport en numéraire de 1,5 milliard FCFA. L'opération créera 3 750 000 actions nouvelles au prix de 400 FCFA avec attribution de droits préférentiels de souscription (DPS). La période de souscription s'étend du 27 avril au 11 juin 2026.</w:t>
      </w:r>
    </w:p>
    <w:p>
      <w:pPr>
        <w:spacing w:before="60"/>
        <w:ind w:left="400"/>
      </w:pPr>
      <w:r>
        <w:rPr>
          <w:b/>
          <w:sz w:val="18"/>
        </w:rPr>
        <w:t>Points clés :</w:t>
      </w:r>
    </w:p>
    <w:p>
      <w:pPr>
        <w:pStyle w:val="ListBullet"/>
        <w:spacing w:before="20" w:after="20"/>
        <w:ind w:left="700"/>
      </w:pPr>
      <w:r>
        <w:rPr>
          <w:sz w:val="18"/>
        </w:rPr>
        <w:t>Augmentation de capital de 1,5 milliard FCFA par émission de 3 750 000 actions nouvelles à 400 FCFA</w:t>
      </w:r>
    </w:p>
    <w:p>
      <w:pPr>
        <w:pStyle w:val="ListBullet"/>
        <w:spacing w:before="20" w:after="20"/>
        <w:ind w:left="700"/>
      </w:pPr>
      <w:r>
        <w:rPr>
          <w:sz w:val="18"/>
        </w:rPr>
        <w:t>Attribution d'un DPS pour chaque action ancienne permettant de souscrire 6 actions nouvelles pour 13 actions détenues</w:t>
      </w:r>
    </w:p>
    <w:p>
      <w:pPr>
        <w:pStyle w:val="ListBullet"/>
        <w:spacing w:before="20" w:after="20"/>
        <w:ind w:left="700"/>
      </w:pPr>
      <w:r>
        <w:rPr>
          <w:sz w:val="18"/>
        </w:rPr>
        <w:t>Période de cotation des DPS du 27 avril au 9 juin 2026</w:t>
      </w:r>
    </w:p>
    <w:p>
      <w:pPr>
        <w:pStyle w:val="ListBullet"/>
        <w:spacing w:before="20" w:after="20"/>
        <w:ind w:left="700"/>
      </w:pPr>
      <w:r>
        <w:rPr>
          <w:sz w:val="18"/>
        </w:rPr>
        <w:t>Période de souscription des actions nouvelles du 27 avril au 11 juin 2026</w:t>
      </w:r>
    </w:p>
    <w:p>
      <w:pPr>
        <w:pStyle w:val="ListBullet"/>
        <w:spacing w:before="20" w:after="20"/>
        <w:ind w:left="700"/>
      </w:pPr>
      <w:r>
        <w:rPr>
          <w:sz w:val="18"/>
        </w:rPr>
        <w:t>Date de jouissance des actions nouvelles fixée au 1er janvier 2025</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"La spectaculaire am\u00e9lioration de la rentabilit\u00e9 (+1062% du r\u00e9sultat net) et la ma\u00eetrise du risque cr\u00e9ent une dynamique tr\u00e8s favorable. La solidit\u00e9 des ratios prudentiels et la croissance soutenue de l'activit\u00e9 commerciale offrent des perspectives attractives."}</w:t>
      </w:r>
    </w:p>
    <w:p>
      <w:pPr>
        <w:spacing w:before="40"/>
        <w:ind w:left="400"/>
      </w:pPr>
      <w:r>
        <w:rPr>
          <w:sz w:val="18"/>
        </w:rPr>
        <w:t>Alios Finance Côte d'Ivoire présente des résultats remarquables au premier trimestre 2026 avec un redressement spectaculaire de sa rentabilité. Le Produit Net Bancaire progresse de 29% à 1 395 millions FCFA, soutenu par l'amélioration des volumes d'activité et des marges. Le coût du risque s'améliore drastiquement de 75%, passant de -89 à -22 millions FCFA, témoignant d'une meilleure maîtrise du portefeuille. Le résultat net bondit de 1062% à 151 millions FCFA contre 13 millions FCFA l'année précédente. L'ensemble des ratios prudentiels restent largement au-dessus des normes réglementaires, confirmant la solidité financière de l'établissement.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{'ratio_cet1': '10.346%', 'ratio_levier': '4.03%', 'cout_du_risque': '-22 millions FCFA', 'ratio_solvabilite': '11.643%', 'operations_clientele': '64 428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10.8%</w:t>
            </w:r>
          </w:p>
        </w:tc>
        <w:tc>
          <w:tcPr>
            <w:tcW w:type="dxa" w:w="2160"/>
          </w:tcPr>
          <w:p>
            <w:pPr>
              <w:ind w:left="100"/>
            </w:pPr>
            <w:r/>
            <w:r>
              <w:rPr>
                <w:b/>
                <w:sz w:val="16"/>
              </w:rPr>
              <w:t>total_actif</w:t>
              <w:br/>
            </w:r>
            <w:r>
              <w:rPr>
                <w:sz w:val="18"/>
              </w:rPr>
              <w:t>88 419 millions FCFA</w:t>
            </w:r>
          </w:p>
        </w:tc>
      </w:tr>
      <w:tr>
        <w:tc>
          <w:tcPr>
            <w:tcW w:type="dxa" w:w="2160"/>
          </w:tcPr>
          <w:p>
            <w:r/>
            <w:r>
              <w:rPr>
                <w:b/>
                <w:sz w:val="16"/>
              </w:rPr>
              <w:t>resultat_net</w:t>
              <w:br/>
            </w:r>
            <w:r>
              <w:rPr>
                <w:sz w:val="18"/>
              </w:rPr>
              <w:t>151 millions FCFA</w:t>
            </w:r>
          </w:p>
        </w:tc>
        <w:tc>
          <w:tcPr>
            <w:tcW w:type="dxa" w:w="2160"/>
          </w:tcPr>
          <w:p>
            <w:r/>
            <w:r>
              <w:rPr>
                <w:b/>
                <w:sz w:val="16"/>
              </w:rPr>
              <w:t>capitaux_propres</w:t>
              <w:br/>
            </w:r>
            <w:r>
              <w:rPr>
                <w:sz w:val="18"/>
              </w:rPr>
              <w:t>6 067 millions FCFA</w:t>
            </w:r>
          </w:p>
        </w:tc>
        <w:tc>
          <w:tcPr>
            <w:tcW w:type="dxa" w:w="2160"/>
          </w:tcPr>
          <w:p>
            <w:r/>
            <w:r>
              <w:rPr>
                <w:b/>
                <w:sz w:val="16"/>
              </w:rPr>
              <w:t>chiffre_affaires</w:t>
              <w:br/>
            </w:r>
            <w:r>
              <w:rPr>
                <w:sz w:val="18"/>
              </w:rPr>
              <w:t>1 395 millions FCFA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résultat net de +1062% à 151 millions FCFA</w:t>
      </w:r>
    </w:p>
    <w:p>
      <w:pPr>
        <w:pStyle w:val="ListBullet"/>
        <w:spacing w:before="20" w:after="20"/>
        <w:ind w:left="700"/>
      </w:pPr>
      <w:r>
        <w:rPr>
          <w:sz w:val="18"/>
        </w:rPr>
        <w:t>Progression soutenue du PNB de +29% à 1 395 millions FCFA</w:t>
      </w:r>
    </w:p>
    <w:p>
      <w:pPr>
        <w:pStyle w:val="ListBullet"/>
        <w:spacing w:before="20" w:after="20"/>
        <w:ind w:left="700"/>
      </w:pPr>
      <w:r>
        <w:rPr>
          <w:sz w:val="18"/>
        </w:rPr>
        <w:t>Amélioration significative du coût du risque de 75% (-22 millions vs -89 millions FCFA)</w:t>
      </w:r>
    </w:p>
    <w:p>
      <w:pPr>
        <w:pStyle w:val="ListBullet"/>
        <w:spacing w:before="20" w:after="20"/>
        <w:ind w:left="700"/>
      </w:pPr>
      <w:r>
        <w:rPr>
          <w:sz w:val="18"/>
        </w:rPr>
        <w:t>Expansion du total bilan de 21% atteignant 88 419 millions FCFA</w:t>
      </w:r>
    </w:p>
    <w:p>
      <w:pPr>
        <w:pStyle w:val="ListBullet"/>
        <w:spacing w:before="20" w:after="20"/>
        <w:ind w:left="700"/>
      </w:pPr>
      <w:r>
        <w:rPr>
          <w:sz w:val="18"/>
        </w:rPr>
        <w:t>Croissance dynamique des opérations clientèle de +26% à 64 428 millions FCFA</w:t>
      </w:r>
    </w:p>
    <w:p>
      <w:pPr>
        <w:pStyle w:val="ListBullet"/>
        <w:spacing w:before="20" w:after="20"/>
        <w:ind w:left="700"/>
      </w:pPr>
      <w:r>
        <w:rPr>
          <w:sz w:val="18"/>
        </w:rPr>
        <w:t>Renforcement des capitaux propres de +16% à 6 067 millions FCFA</w:t>
      </w:r>
    </w:p>
    <w:p>
      <w:pPr>
        <w:spacing w:before="40"/>
        <w:ind w:left="400"/>
      </w:pPr>
      <w:r>
        <w:rPr>
          <w:b/>
          <w:color w:val="C05000"/>
          <w:sz w:val="18"/>
        </w:rPr>
        <w:t xml:space="preserve">⚠️ Risques : </w:t>
      </w:r>
      <w:r>
        <w:rPr>
          <w:sz w:val="18"/>
        </w:rPr>
        <w:t>["N\u00e9cessit\u00e9 de maintenir un pilotage rapproch\u00e9 pour pr\u00e9server les marges prudentielles", "D\u00e9pendance \u00e0 la qualit\u00e9 continue du portefeuille cr\u00e9dit dans un environnement \u00e9conomique incertain", "Pression potentielle sur les marges dans un contexte concurrent</w:t>
      </w:r>
    </w:p>
    <w:p>
      <w:pPr>
        <w:spacing w:before="40"/>
        <w:ind w:left="400"/>
      </w:pPr>
      <w:r>
        <w:rPr>
          <w:b/>
          <w:color w:val="0064A0"/>
          <w:sz w:val="18"/>
        </w:rPr>
        <w:t xml:space="preserve">🔮 Perspectives : </w:t>
      </w:r>
      <w:r>
        <w:rPr>
          <w:sz w:val="18"/>
        </w:rPr>
        <w:t>Les résultats du premier trimestre 2026 confirment une trajectoire de redressement solide et maîtrisée. La direction souligne la nécessité d'un pilotage attentif de la production et du recouvrement pour maintenir cette dynamique positive. Le renforcement continu de la structure financière et le resp</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008000"/>
          <w:sz w:val="18"/>
        </w:rPr>
        <w:t>{"decision": "conserver", "justification": "La forte am\u00e9lioration du r\u00e9sultat et du PNB est encourageante, mais la structure de financement repose lourdement sur les dettes interbancaires et les capitaux propres restent modestes. Une poursuite du renforcement du bilan pourrait justifier un passage \u00e0 l'achat."}</w:t>
      </w:r>
    </w:p>
    <w:p>
      <w:pPr>
        <w:spacing w:before="40"/>
        <w:ind w:left="400"/>
      </w:pPr>
      <w:r>
        <w:rPr>
          <w:sz w:val="18"/>
        </w:rPr>
        <w:t>ALIOS FINANCE Côte d'Ivoire (anciennement SAFCA CI) a réalisé un exercice 2025 nettement bénéficiaire avec un résultat net de 701 millions FCFA, contre une perte de 165 millions en 2024. Le produit net bancaire a fortement progressé à 5 735 millions FCFA, porté par la hausse des intérêts et des commissions. Le total du bilan atteint 79 555 millions FCFA, soutenu par une croissance des crédits à la clientèle à 60 476 millions. L'activité demeure fortement dépendante des dettes interbancaires et des titres émis, atteignant respectivement 35 747 et 14 915 millions. La direction a décidé d'affecter l'intégralité du résultat au report à nouveau, aucune distribution de dividende n'est proposée.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{'resultat_net_2024': '-165 millions FCFA', 'creances_clientele': '60 476 millions FCFA', 'dettes_interbancaires': '35 747 millions FCFA', 'produit_net_bancaire_2024': '3 980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FCFA</w:t>
            </w:r>
          </w:p>
        </w:tc>
      </w:tr>
      <w:tr>
        <w:tc>
          <w:tcPr>
            <w:tcW w:type="dxa" w:w="2160"/>
          </w:tcPr>
          <w:p>
            <w:r/>
            <w:r>
              <w:rPr>
                <w:b/>
                <w:sz w:val="16"/>
              </w:rPr>
              <w:t>resultat_net</w:t>
              <w:br/>
            </w:r>
            <w:r>
              <w:rPr>
                <w:sz w:val="18"/>
              </w:rPr>
              <w:t>701 millions FCFA</w:t>
            </w:r>
          </w:p>
        </w:tc>
        <w:tc>
          <w:tcPr>
            <w:tcW w:type="dxa" w:w="2160"/>
          </w:tcPr>
          <w:p>
            <w:r/>
            <w:r>
              <w:rPr>
                <w:b/>
                <w:sz w:val="16"/>
              </w:rPr>
              <w:t>capitaux_propres</w:t>
              <w:br/>
            </w:r>
            <w:r>
              <w:rPr>
                <w:sz w:val="18"/>
              </w:rPr>
              <w:t>5 916 millions FCFA</w:t>
            </w:r>
          </w:p>
        </w:tc>
        <w:tc>
          <w:tcPr>
            <w:tcW w:type="dxa" w:w="2160"/>
          </w:tcPr>
          <w:p>
            <w:r/>
            <w:r>
              <w:rPr>
                <w:b/>
                <w:sz w:val="16"/>
              </w:rPr>
              <w:t>chiffre_affaires</w:t>
              <w:br/>
            </w:r>
            <w:r>
              <w:rPr>
                <w:sz w:val="18"/>
              </w:rPr>
              <w:t>5 735 millions FCFA (produit net bancaire)</w:t>
            </w:r>
          </w:p>
        </w:tc>
        <w:tc>
          <w:tcPr>
            <w:tcW w:type="dxa" w:w="2160"/>
          </w:tcPr>
          <w:p/>
        </w:tc>
      </w:tr>
    </w:tbl>
    <w:p/>
    <w:p>
      <w:pPr>
        <w:spacing w:before="60"/>
        <w:ind w:left="400"/>
      </w:pPr>
      <w:r>
        <w:rPr>
          <w:b/>
          <w:sz w:val="18"/>
        </w:rPr>
        <w:t>Points clés :</w:t>
      </w:r>
    </w:p>
    <w:p>
      <w:pPr>
        <w:pStyle w:val="ListBullet"/>
        <w:spacing w:before="20" w:after="20"/>
        <w:ind w:left="700"/>
      </w:pPr>
      <w:r>
        <w:rPr>
          <w:sz w:val="18"/>
        </w:rPr>
        <w:t>Retournement du résultat net : +701 millions FCFA en 2025 contre -165 millions en 2024.</w:t>
      </w:r>
    </w:p>
    <w:p>
      <w:pPr>
        <w:pStyle w:val="ListBullet"/>
        <w:spacing w:before="20" w:after="20"/>
        <w:ind w:left="700"/>
      </w:pPr>
      <w:r>
        <w:rPr>
          <w:sz w:val="18"/>
        </w:rPr>
        <w:t>Produit net bancaire en hausse de 44 % à 5 735 millions FCFA.</w:t>
      </w:r>
    </w:p>
    <w:p>
      <w:pPr>
        <w:pStyle w:val="ListBullet"/>
        <w:spacing w:before="20" w:after="20"/>
        <w:ind w:left="700"/>
      </w:pPr>
      <w:r>
        <w:rPr>
          <w:sz w:val="18"/>
        </w:rPr>
        <w:t>Total du bilan en progression de 7,2 % à 79 555 millions FCFA.</w:t>
      </w:r>
    </w:p>
    <w:p>
      <w:pPr>
        <w:pStyle w:val="ListBullet"/>
        <w:spacing w:before="20" w:after="20"/>
        <w:ind w:left="700"/>
      </w:pPr>
      <w:r>
        <w:rPr>
          <w:sz w:val="18"/>
        </w:rPr>
        <w:t>Crédits à la clientèle en hausse à 60 476 millions FCFA.</w:t>
      </w:r>
    </w:p>
    <w:p>
      <w:pPr>
        <w:pStyle w:val="ListBullet"/>
        <w:spacing w:before="20" w:after="20"/>
        <w:ind w:left="700"/>
      </w:pPr>
      <w:r>
        <w:rPr>
          <w:sz w:val="18"/>
        </w:rPr>
        <w:t>Dépôts clientèle en hausse à 9 112 millions FCFA, mais dettes interbancaires élevées à 35 747 millions.</w:t>
      </w:r>
    </w:p>
    <w:p>
      <w:pPr>
        <w:pStyle w:val="ListBullet"/>
        <w:spacing w:before="20" w:after="20"/>
        <w:ind w:left="700"/>
      </w:pPr>
      <w:r>
        <w:rPr>
          <w:sz w:val="18"/>
        </w:rPr>
        <w:t>Charges générales maîtrisées : 4 103 millions, en deçà de la croissance du PNB.</w:t>
      </w:r>
    </w:p>
    <w:p>
      <w:pPr>
        <w:spacing w:before="40"/>
        <w:ind w:left="400"/>
      </w:pPr>
      <w:r>
        <w:rPr>
          <w:b/>
          <w:color w:val="C05000"/>
          <w:sz w:val="18"/>
        </w:rPr>
        <w:t xml:space="preserve">⚠️ Risques : </w:t>
      </w:r>
      <w:r>
        <w:rPr>
          <w:sz w:val="18"/>
        </w:rPr>
        <w:t>["D\u00e9pendance \u00e9lev\u00e9e aux dettes interbancaires et aux march\u00e9s de capitaux, exposant \u00e0 des tensions de liquidit\u00e9.", "Co\u00fbt du risque encore \u00e9lev\u00e9 (377 millions FCFA), traduisant une qualit\u00e9 du portefeuille de cr\u00e9dits \u00e0 surveiller.", "Niveau mo</w:t>
      </w:r>
    </w:p>
    <w:p>
      <w:pPr>
        <w:spacing w:before="40"/>
        <w:ind w:left="400"/>
      </w:pPr>
      <w:r>
        <w:rPr>
          <w:b/>
          <w:color w:val="0064A0"/>
          <w:sz w:val="18"/>
        </w:rPr>
        <w:t xml:space="preserve">🔮 Perspectives : </w:t>
      </w:r>
      <w:r>
        <w:rPr>
          <w:sz w:val="18"/>
        </w:rPr>
        <w:t>En 2026, la poursuite de l'amélioration opérationnelle dépendra de la maîtrise du coût du risque et de la diversification des ressources de financement. La croissance des crédits et la solidité du PNB pourraient soutenir une rentabilité accrue, mais une hausse des taux ou une dégradation des créance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redressement de l'exercice 2025 est net et le r\u00e9sultat redevient positif, mais les capitaux propres restent modestes et le report \u00e0 nouveau demeure n\u00e9gatif. Il est prudent de conserver le titre en attendant une confirmation de la tendance en 2026."}</w:t>
      </w:r>
    </w:p>
    <w:p>
      <w:pPr>
        <w:spacing w:before="40"/>
        <w:ind w:left="400"/>
      </w:pPr>
      <w:r>
        <w:rPr>
          <w:sz w:val="18"/>
        </w:rPr>
        <w:t>La société présente au titre 2025 un redressement marqué de son activité avec un produit net bancaire en hausse de 44% à 5 735 millions F CFA. Le résultat net devient excédentaire à 701 millions F CFA, contre une perte de 165 millions en 2024, grâce notamment à un résultat brut d'exploitation multiplié par cinq. Le total bilan progresse à 79 555 millions F CFA, avec des capitaux propres de 5 916 millions F CFA. Aucun dividende n'est proposé; le résultat 2025 est entièrement affecté en report à nouveau. La structure financière reste en amélioration mais le report à nouveau demeure négatif, ce qui appelle à la prudence.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'3 248 millions F CFA', 'cout_du_risque': '377 millions F CFA', 'report_a_nouveau': '-4 123 millions F CFA', 'engagements_recus': '10 802 millions F CFA', 'engagements_donnes': '280 millions F CFA', 'produit_net_bancaire': '5 735 millions F CFA', 'resultat_brut_exploitation': '1 283 millions F 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12,2 %</w:t>
            </w:r>
          </w:p>
        </w:tc>
        <w:tc>
          <w:tcPr>
            <w:tcW w:type="dxa" w:w="2160"/>
          </w:tcPr>
          <w:p>
            <w:pPr>
              <w:ind w:left="100"/>
            </w:pPr>
            <w:r/>
            <w:r>
              <w:rPr>
                <w:b/>
                <w:sz w:val="16"/>
              </w:rPr>
              <w:t>total_actif</w:t>
              <w:br/>
            </w:r>
            <w:r>
              <w:rPr>
                <w:sz w:val="18"/>
              </w:rPr>
              <w:t>79 555 millions F CFA</w:t>
            </w:r>
          </w:p>
        </w:tc>
      </w:tr>
      <w:tr>
        <w:tc>
          <w:tcPr>
            <w:tcW w:type="dxa" w:w="2160"/>
          </w:tcPr>
          <w:p>
            <w:r/>
            <w:r>
              <w:rPr>
                <w:b/>
                <w:sz w:val="16"/>
              </w:rPr>
              <w:t>resultat_net</w:t>
              <w:br/>
            </w:r>
            <w:r>
              <w:rPr>
                <w:sz w:val="18"/>
              </w:rPr>
              <w:t>701 millions F CFA</w:t>
            </w:r>
          </w:p>
        </w:tc>
        <w:tc>
          <w:tcPr>
            <w:tcW w:type="dxa" w:w="2160"/>
          </w:tcPr>
          <w:p>
            <w:r/>
            <w:r>
              <w:rPr>
                <w:b/>
                <w:sz w:val="16"/>
              </w:rPr>
              <w:t>capitaux_propres</w:t>
              <w:br/>
            </w:r>
            <w:r>
              <w:rPr>
                <w:sz w:val="18"/>
              </w:rPr>
              <w:t>5 916 millions F CFA</w:t>
            </w:r>
          </w:p>
        </w:tc>
        <w:tc>
          <w:tcPr>
            <w:tcW w:type="dxa" w:w="2160"/>
          </w:tcPr>
          <w:p>
            <w:r/>
            <w:r>
              <w:rPr>
                <w:b/>
                <w:sz w:val="16"/>
              </w:rPr>
              <w:t>chiffre_affaires</w:t>
              <w:br/>
            </w:r>
            <w:r>
              <w:rPr>
                <w:sz w:val="18"/>
              </w:rPr>
              <w:t>5 735 millions F CFA</w:t>
            </w:r>
          </w:p>
        </w:tc>
        <w:tc>
          <w:tcPr>
            <w:tcW w:type="dxa" w:w="2160"/>
          </w:tcPr>
          <w:p/>
        </w:tc>
      </w:tr>
    </w:tbl>
    <w:p/>
    <w:p>
      <w:pPr>
        <w:spacing w:before="60"/>
        <w:ind w:left="400"/>
      </w:pPr>
      <w:r>
        <w:rPr>
          <w:b/>
          <w:sz w:val="18"/>
        </w:rPr>
        <w:t>Points clés :</w:t>
      </w:r>
    </w:p>
    <w:p>
      <w:pPr>
        <w:pStyle w:val="ListBullet"/>
        <w:spacing w:before="20" w:after="20"/>
        <w:ind w:left="700"/>
      </w:pPr>
      <w:r>
        <w:rPr>
          <w:sz w:val="18"/>
        </w:rPr>
        <w:t>Produit net bancaire 2025 en hausse de 44% : 5 735 millions F CFA.</w:t>
      </w:r>
    </w:p>
    <w:p>
      <w:pPr>
        <w:pStyle w:val="ListBullet"/>
        <w:spacing w:before="20" w:after="20"/>
        <w:ind w:left="700"/>
      </w:pPr>
      <w:r>
        <w:rPr>
          <w:sz w:val="18"/>
        </w:rPr>
        <w:t>Résultat net positif de 701 millions F CFA après une perte de -165 millions en 2024.</w:t>
      </w:r>
    </w:p>
    <w:p>
      <w:pPr>
        <w:pStyle w:val="ListBullet"/>
        <w:spacing w:before="20" w:after="20"/>
        <w:ind w:left="700"/>
      </w:pPr>
      <w:r>
        <w:rPr>
          <w:sz w:val="18"/>
        </w:rPr>
        <w:t>Résultat brut d'exploitation passe de 258 à 1 283 millions F CFA.</w:t>
      </w:r>
    </w:p>
    <w:p>
      <w:pPr>
        <w:pStyle w:val="ListBullet"/>
        <w:spacing w:before="20" w:after="20"/>
        <w:ind w:left="700"/>
      </w:pPr>
      <w:r>
        <w:rPr>
          <w:sz w:val="18"/>
        </w:rPr>
        <w:t>Le coût du risque s'établit à 377 millions F CFA, en légère hausse.</w:t>
      </w:r>
    </w:p>
    <w:p>
      <w:pPr>
        <w:pStyle w:val="ListBullet"/>
        <w:spacing w:before="20" w:after="20"/>
        <w:ind w:left="700"/>
      </w:pPr>
      <w:r>
        <w:rPr>
          <w:sz w:val="18"/>
        </w:rPr>
        <w:t>Total bilan en hausse à 79 555 millions F CFA.</w:t>
      </w:r>
    </w:p>
    <w:p>
      <w:pPr>
        <w:pStyle w:val="ListBullet"/>
        <w:spacing w:before="20" w:after="20"/>
        <w:ind w:left="700"/>
      </w:pPr>
      <w:r>
        <w:rPr>
          <w:sz w:val="18"/>
        </w:rPr>
        <w:t>Capitaux propres en augmentation à 5 916 millions F CFA.</w:t>
      </w:r>
    </w:p>
    <w:p>
      <w:pPr>
        <w:spacing w:before="40"/>
        <w:ind w:left="400"/>
      </w:pPr>
      <w:r>
        <w:rPr>
          <w:b/>
          <w:color w:val="C05000"/>
          <w:sz w:val="18"/>
        </w:rPr>
        <w:t xml:space="preserve">⚠️ Risques : </w:t>
      </w:r>
      <w:r>
        <w:rPr>
          <w:sz w:val="18"/>
        </w:rPr>
        <w:t xml:space="preserve">["D\u00e9t\u00e9rioration \u00e9ventuelle de la qualit\u00e9 des cr\u00e9ances clients et hausse du co\u00fbt du risque.", "Progression des charges g\u00e9n\u00e9rales d'exploitation qui peut peser sur la rentabilit\u00e9 future.", "Volatilit\u00e9 de l'environnement \u00e9conomique et financier de </w:t>
      </w:r>
    </w:p>
    <w:p>
      <w:pPr>
        <w:spacing w:before="40"/>
        <w:ind w:left="400"/>
      </w:pPr>
      <w:r>
        <w:rPr>
          <w:b/>
          <w:color w:val="0064A0"/>
          <w:sz w:val="18"/>
        </w:rPr>
        <w:t xml:space="preserve">🔮 Perspectives : </w:t>
      </w:r>
      <w:r>
        <w:rPr>
          <w:sz w:val="18"/>
        </w:rPr>
        <w:t>L'année 2025 marque un retournement positif qui devrait se poursuivre en 2026 grâce à l'amélioration de l'activité de financement et à une maîtrise progressive du coût du risque. Toutefois, la reconstitution des capitaux propres et la réduction du report à nouveau négatif resteront des défis majeurs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r\u00e9ussie avec CREDAF Group et le retour spectaculaire \u00e0 la rentabilit\u00e9 d\u00e9montrent un potentiel de redressement durable. Les performances d\u00e9passent les objectifs budg\u00e9taires dans un contexte de gouvernance renforc\u00e9e."}</w:t>
      </w:r>
    </w:p>
    <w:p>
      <w:pPr>
        <w:spacing w:before="40"/>
        <w:ind w:left="400"/>
      </w:pPr>
      <w:r>
        <w:rPr>
          <w:sz w:val="18"/>
        </w:rPr>
        <w:t>SAFCA CI (Alios Finance Côte d'Ivoire) réalise un retour spectaculaire à la rentabilité en 2025 avec un résultat net bénéficiaire de 701 M FCFA, marquant la fin de huit années consécutives de pertes. Cette performance s'explique par l'entrée du nouvel actionnaire principal CREDAF Group en avril 2025, qui a impulse une nouvelle dynamique stratégique. Le Produit Net Bancaire a bondi de 44% à 5 735 M FCFA, dépassant largement les prévisions budgétaires de 5 507 M FCFA. L'amélioration résulte d'une progression de l'activité commerciale, d'une meilleure maîtrise des charges et d'un renforcement du recouvrement. La société respecte toutes les normes prudentielles avec des ratios de solvabilité sol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'377 M FCFA', 'ratio_solvabilite': '12,064%', 'operations_clientele': '60 476 M FCFA', 'ratio_fonds_propres_CET1': '10,723%'}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12,2%</w:t>
            </w:r>
          </w:p>
        </w:tc>
        <w:tc>
          <w:tcPr>
            <w:tcW w:type="dxa" w:w="2160"/>
          </w:tcPr>
          <w:p>
            <w:pPr>
              <w:ind w:left="100"/>
            </w:pPr>
            <w:r/>
            <w:r>
              <w:rPr>
                <w:b/>
                <w:sz w:val="16"/>
              </w:rPr>
              <w:t>total_actif</w:t>
              <w:br/>
            </w:r>
            <w:r>
              <w:rPr>
                <w:sz w:val="18"/>
              </w:rPr>
              <w:t>79 555 M FCFA</w:t>
            </w:r>
          </w:p>
        </w:tc>
      </w:tr>
      <w:tr>
        <w:tc>
          <w:tcPr>
            <w:tcW w:type="dxa" w:w="2160"/>
          </w:tcPr>
          <w:p>
            <w:r/>
            <w:r>
              <w:rPr>
                <w:b/>
                <w:sz w:val="16"/>
              </w:rPr>
              <w:t>resultat_net</w:t>
              <w:br/>
            </w:r>
            <w:r>
              <w:rPr>
                <w:sz w:val="18"/>
              </w:rPr>
              <w:t>701 M FCFA</w:t>
            </w:r>
          </w:p>
        </w:tc>
        <w:tc>
          <w:tcPr>
            <w:tcW w:type="dxa" w:w="2160"/>
          </w:tcPr>
          <w:p>
            <w:r/>
            <w:r>
              <w:rPr>
                <w:b/>
                <w:sz w:val="16"/>
              </w:rPr>
              <w:t>capitaux_propres</w:t>
              <w:br/>
            </w:r>
            <w:r>
              <w:rPr>
                <w:sz w:val="18"/>
              </w:rPr>
              <w:t>5 916 M FCFA</w:t>
            </w:r>
          </w:p>
        </w:tc>
        <w:tc>
          <w:tcPr>
            <w:tcW w:type="dxa" w:w="2160"/>
          </w:tcPr>
          <w:p>
            <w:r/>
            <w:r>
              <w:rPr>
                <w:b/>
                <w:sz w:val="16"/>
              </w:rPr>
              <w:t>chiffre_affaires</w:t>
              <w:br/>
            </w:r>
            <w:r>
              <w:rPr>
                <w:sz w:val="18"/>
              </w:rPr>
              <w:t>5 735 M FCFA (PNB)</w:t>
            </w:r>
          </w:p>
        </w:tc>
        <w:tc>
          <w:tcPr>
            <w:tcW w:type="dxa" w:w="2160"/>
          </w:tcPr>
          <w:p/>
        </w:tc>
      </w:tr>
    </w:tbl>
    <w:p/>
    <w:p>
      <w:pPr>
        <w:spacing w:before="60"/>
        <w:ind w:left="400"/>
      </w:pPr>
      <w:r>
        <w:rPr>
          <w:b/>
          <w:sz w:val="18"/>
        </w:rPr>
        <w:t>Points clés :</w:t>
      </w:r>
    </w:p>
    <w:p>
      <w:pPr>
        <w:pStyle w:val="ListBullet"/>
        <w:spacing w:before="20" w:after="20"/>
        <w:ind w:left="700"/>
      </w:pPr>
      <w:r>
        <w:rPr>
          <w:sz w:val="18"/>
        </w:rPr>
        <w:t>Retour historique à la rentabilité après 8 années de déficit avec un résultat net de 701 M FCFA</w:t>
      </w:r>
    </w:p>
    <w:p>
      <w:pPr>
        <w:pStyle w:val="ListBullet"/>
        <w:spacing w:before="20" w:after="20"/>
        <w:ind w:left="700"/>
      </w:pPr>
      <w:r>
        <w:rPr>
          <w:sz w:val="18"/>
        </w:rPr>
        <w:t>Entrée de CREDAF Group comme actionnaire principal en avril 2025, transformant la gouvernance</w:t>
      </w:r>
    </w:p>
    <w:p>
      <w:pPr>
        <w:pStyle w:val="ListBullet"/>
        <w:spacing w:before="20" w:after="20"/>
        <w:ind w:left="700"/>
      </w:pPr>
      <w:r>
        <w:rPr>
          <w:sz w:val="18"/>
        </w:rPr>
        <w:t>Produit Net Bancaire en forte hausse de 44% à 5 735 M FCFA vs 3 980 M FCFA en 2024</w:t>
      </w:r>
    </w:p>
    <w:p>
      <w:pPr>
        <w:pStyle w:val="ListBullet"/>
        <w:spacing w:before="20" w:after="20"/>
        <w:ind w:left="700"/>
      </w:pPr>
      <w:r>
        <w:rPr>
          <w:sz w:val="18"/>
        </w:rPr>
        <w:t>Performance supérieure au budget avec 701 M FCFA vs 514 M FCFA prévu</w:t>
      </w:r>
    </w:p>
    <w:p>
      <w:pPr>
        <w:pStyle w:val="ListBullet"/>
        <w:spacing w:before="20" w:after="20"/>
        <w:ind w:left="700"/>
      </w:pPr>
      <w:r>
        <w:rPr>
          <w:sz w:val="18"/>
        </w:rPr>
        <w:t>Amélioration du coût du risque qui reste maîtrisé à 377 M FCFA vs 333 M FCFA en 2024</w:t>
      </w:r>
    </w:p>
    <w:p>
      <w:pPr>
        <w:pStyle w:val="ListBullet"/>
        <w:spacing w:before="20" w:after="20"/>
        <w:ind w:left="700"/>
      </w:pPr>
      <w:r>
        <w:rPr>
          <w:sz w:val="18"/>
        </w:rPr>
        <w:t>Croissance significative des opérations avec la clientèle de 14% à 60 476 M FCFA</w:t>
      </w:r>
    </w:p>
    <w:p>
      <w:pPr>
        <w:spacing w:before="40"/>
        <w:ind w:left="400"/>
      </w:pPr>
      <w:r>
        <w:rPr>
          <w:b/>
          <w:color w:val="C05000"/>
          <w:sz w:val="18"/>
        </w:rPr>
        <w:t xml:space="preserve">⚠️ Risques : </w:t>
      </w:r>
      <w:r>
        <w:rPr>
          <w:sz w:val="18"/>
        </w:rPr>
        <w:t>["D\u00e9pendance \u00e0 la nouvelle strat\u00e9gie de CREDAF Group encore en phase d'impl\u00e9mentation", "Secteur du cr\u00e9dit automobile sensible aux cycles \u00e9conomiques et \u00e0 la conjoncture", "N\u00e9cessit\u00e9 de maintenir la dynamique de recouvrement pour pr\u00e9server la rentabi</w:t>
      </w:r>
    </w:p>
    <w:p>
      <w:pPr>
        <w:spacing w:before="40"/>
        <w:ind w:left="400"/>
      </w:pPr>
      <w:r>
        <w:rPr>
          <w:b/>
          <w:color w:val="0064A0"/>
          <w:sz w:val="18"/>
        </w:rPr>
        <w:t xml:space="preserve">🔮 Perspectives : </w:t>
      </w:r>
      <w:r>
        <w:rPr>
          <w:sz w:val="18"/>
        </w:rPr>
        <w:t>La société s'engage dans un cycle de redressement et de transformation soutenu par une stratégie claire de consolidation des fondamentaux. L'impulsion de CREDAF Group devrait permettre de poursuivre la trajectoire de création de valeur avec un renforcement progressif de la structure financière et du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 redressement spectaculaire de la rentabilit\u00e9 et la forte r\u00e9duction du co\u00fbt du risque d\u00e9montrent une gestion efficace et un potentiel de croissance. Le renforcement des fonds propres positionne bien SAFCA pour la reprise du march\u00e9 automobile."}</w:t>
      </w:r>
    </w:p>
    <w:p>
      <w:pPr>
        <w:spacing w:before="40"/>
        <w:ind w:left="400"/>
      </w:pPr>
      <w:r>
        <w:rPr>
          <w:sz w:val="18"/>
        </w:rPr>
        <w:t>SAFCA CI (Société Africaine de Crédit Automobile) a réalisé un remarquable redressement en 2020 avec un résultat net positif de 1,640 milliards FCFA contre une perte de 211 millions FCFA en 2019. Le Produit Net Bancaire s'est amélioré à 3,574 milliards FCFA (+4,7%) malgré un environnement difficile. La maîtrise des coûts du risque (-192 millions en 2020 vs -1,135 milliards en 2019) a été déterminante dans cette performance. Le bilan reste solide avec un total actif de 63,371 milliards FCFA et des capitaux propres reconstitués à 6,798 milliards FCFA. Cette performance confirme la résilience du modèle de crédit automobile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'-192 millions FCFA', 'creances_clientele': '45,046 milliards FCFA', 'produit_net_bancaire': '3,574 milliards FCFA', 'ratio_capitaux_propres': '10,7%'}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63,371 milliards FCFA</w:t>
            </w:r>
          </w:p>
        </w:tc>
      </w:tr>
      <w:tr>
        <w:tc>
          <w:tcPr>
            <w:tcW w:type="dxa" w:w="2160"/>
          </w:tcPr>
          <w:p>
            <w:r/>
            <w:r>
              <w:rPr>
                <w:b/>
                <w:sz w:val="16"/>
              </w:rPr>
              <w:t>resultat_net</w:t>
              <w:br/>
            </w:r>
            <w:r>
              <w:rPr>
                <w:sz w:val="18"/>
              </w:rPr>
              <w:t>1,640 milliards FCFA</w:t>
            </w:r>
          </w:p>
        </w:tc>
        <w:tc>
          <w:tcPr>
            <w:tcW w:type="dxa" w:w="2160"/>
          </w:tcPr>
          <w:p>
            <w:r/>
            <w:r>
              <w:rPr>
                <w:b/>
                <w:sz w:val="16"/>
              </w:rPr>
              <w:t>capitaux_propres</w:t>
              <w:br/>
            </w:r>
            <w:r>
              <w:rPr>
                <w:sz w:val="18"/>
              </w:rPr>
              <w:t>6,798 milliards FCFA</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Retour spectaculaire à la rentabilité avec 1,640 milliards FCFA de résultat net en 2020</w:t>
      </w:r>
    </w:p>
    <w:p>
      <w:pPr>
        <w:pStyle w:val="ListBullet"/>
        <w:spacing w:before="20" w:after="20"/>
        <w:ind w:left="700"/>
      </w:pPr>
      <w:r>
        <w:rPr>
          <w:sz w:val="18"/>
        </w:rPr>
        <w:t>Forte réduction du coût du risque de 83% (de -1,135 à -192 millions FCFA)</w:t>
      </w:r>
    </w:p>
    <w:p>
      <w:pPr>
        <w:pStyle w:val="ListBullet"/>
        <w:spacing w:before="20" w:after="20"/>
        <w:ind w:left="700"/>
      </w:pPr>
      <w:r>
        <w:rPr>
          <w:sz w:val="18"/>
        </w:rPr>
        <w:t>Croissance du PNB de 4,7% à 3,574 milliards FCFA malgré le contexte COVID</w:t>
      </w:r>
    </w:p>
    <w:p>
      <w:pPr>
        <w:pStyle w:val="ListBullet"/>
        <w:spacing w:before="20" w:after="20"/>
        <w:ind w:left="700"/>
      </w:pPr>
      <w:r>
        <w:rPr>
          <w:sz w:val="18"/>
        </w:rPr>
        <w:t>Reconstitution des capitaux propres à 6,798 milliards FCFA contre 8,438 milliards en 2019</w:t>
      </w:r>
    </w:p>
    <w:p>
      <w:pPr>
        <w:pStyle w:val="ListBullet"/>
        <w:spacing w:before="20" w:after="20"/>
        <w:ind w:left="700"/>
      </w:pPr>
      <w:r>
        <w:rPr>
          <w:sz w:val="18"/>
        </w:rPr>
        <w:t>Légère baisse des créances sur la clientèle de 48,889 à 45,046 milliards FCFA</w:t>
      </w:r>
    </w:p>
    <w:p>
      <w:pPr>
        <w:pStyle w:val="ListBullet"/>
        <w:spacing w:before="20" w:after="20"/>
        <w:ind w:left="700"/>
      </w:pPr>
      <w:r>
        <w:rPr>
          <w:sz w:val="18"/>
        </w:rPr>
        <w:t>Amélioration significative du résultat d'exploitation qui devient positif</w:t>
      </w:r>
    </w:p>
    <w:p>
      <w:pPr>
        <w:spacing w:before="40"/>
        <w:ind w:left="400"/>
      </w:pPr>
      <w:r>
        <w:rPr>
          <w:b/>
          <w:color w:val="C05000"/>
          <w:sz w:val="18"/>
        </w:rPr>
        <w:t xml:space="preserve">⚠️ Risques : </w:t>
      </w:r>
      <w:r>
        <w:rPr>
          <w:sz w:val="18"/>
        </w:rPr>
        <w:t>["Exposition au secteur automobile sensible aux cycles \u00e9conomiques", "Niveau encore \u00e9lev\u00e9 des engagements hors bilan (1,020 milliards FCFA)", "D\u00e9pendance aux financements interbancaires qui ont augment\u00e9 significativement"]</w:t>
      </w:r>
    </w:p>
    <w:p>
      <w:pPr>
        <w:spacing w:before="40"/>
        <w:ind w:left="400"/>
      </w:pPr>
      <w:r>
        <w:rPr>
          <w:b/>
          <w:color w:val="0064A0"/>
          <w:sz w:val="18"/>
        </w:rPr>
        <w:t xml:space="preserve">🔮 Perspectives : </w:t>
      </w:r>
      <w:r>
        <w:rPr>
          <w:sz w:val="18"/>
        </w:rPr>
        <w:t>Les perspectives sont positives avec la normalisation progressive du marché automobile post-COVID et la solidité financière retrouvée. La société devrait bénéficier de la reprise économique en Côte d'Ivoire et de sa position de leader sur le crédit automobile. Le renforcement continu des fonds propr</w:t>
      </w:r>
    </w:p>
    <w:p/>
    <w:p>
      <w:r>
        <w:t>════════════════════════════════════════════════════════════════════════════════</w:t>
      </w:r>
    </w:p>
    <w:p>
      <w:r>
        <w:br w:type="page"/>
      </w:r>
    </w:p>
    <w:p>
      <w:pPr>
        <w:pStyle w:val="Heading2"/>
        <w:spacing w:before="360"/>
      </w:pPr>
      <w:r>
        <w:rPr>
          <w:color w:val="0066CC"/>
        </w:rPr>
        <w:t>28. SCRC - SCRC - SUCRIVOIRE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SCRC</w:t>
            </w:r>
          </w:p>
          <w:p>
            <w:r>
              <w:rPr>
                <w:b/>
                <w:color w:val="323250"/>
                <w:sz w:val="16"/>
              </w:rPr>
              <w:t xml:space="preserve">Société : </w:t>
            </w:r>
            <w:r>
              <w:rPr>
                <w:color w:val="000000"/>
                <w:sz w:val="16"/>
              </w:rPr>
              <w:t>SCRC - SUCRIVOIRE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66.15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12,762 titres</w:t>
            </w:r>
          </w:p>
        </w:tc>
        <w:tc>
          <w:tcPr>
            <w:tcW w:type="dxa" w:w="2268"/>
            <w:shd w:fill="FFF2CC" w:val="clear"/>
          </w:tcPr>
          <w:p>
            <w:r>
              <w:rPr>
                <w:b/>
                <w:color w:val="503200"/>
                <w:sz w:val="16"/>
              </w:rPr>
              <w:t xml:space="preserve">Cours actuel : </w:t>
            </w:r>
            <w:r>
              <w:rPr>
                <w:color w:val="000000"/>
                <w:sz w:val="17"/>
              </w:rPr>
              <w:t>3,375 FCFA</w:t>
            </w:r>
          </w:p>
          <w:p>
            <w:r>
              <w:rPr>
                <w:b/>
                <w:color w:val="503200"/>
                <w:sz w:val="16"/>
              </w:rPr>
              <w:t xml:space="preserve">Var. 100 jours : </w:t>
            </w:r>
            <w:r>
              <w:rPr>
                <w:b/>
                <w:color w:val="007800"/>
                <w:sz w:val="17"/>
              </w:rPr>
              <w:t>+95.09%</w:t>
            </w:r>
          </w:p>
          <w:p>
            <w:r>
              <w:rPr>
                <w:b/>
                <w:color w:val="503200"/>
                <w:sz w:val="16"/>
              </w:rPr>
              <w:t xml:space="preserve">Plus haut 100j : </w:t>
            </w:r>
            <w:r>
              <w:rPr>
                <w:color w:val="000000"/>
                <w:sz w:val="17"/>
              </w:rPr>
              <w:t>3,920 FCFA</w:t>
            </w:r>
          </w:p>
          <w:p>
            <w:r>
              <w:rPr>
                <w:b/>
                <w:color w:val="503200"/>
                <w:sz w:val="16"/>
              </w:rPr>
              <w:t xml:space="preserve">Plus bas 100j : </w:t>
            </w:r>
            <w:r>
              <w:rPr>
                <w:color w:val="000000"/>
                <w:sz w:val="17"/>
              </w:rPr>
              <w:t>1,730 FCFA</w:t>
            </w:r>
          </w:p>
          <w:p>
            <w:r>
              <w:rPr>
                <w:b/>
                <w:color w:val="503200"/>
                <w:sz w:val="16"/>
              </w:rPr>
              <w:t xml:space="preserve">Volatilité ann. : </w:t>
            </w:r>
            <w:r>
              <w:rPr>
                <w:color w:val="000000"/>
                <w:sz w:val="17"/>
              </w:rPr>
              <w:t>55.8%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22.41% (Élevée) — μ=2,910 FCFA, σ=652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β=0.4538 (Défensif) — Cov=0.000016, Var(idx)=0.000035, ρ=0.077,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12,762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σ_j=3.51%/j (Modérée) — Vol. annualisée≈55.8%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8000"/>
          <w:sz w:val="26"/>
        </w:rPr>
        <w:t>74/100  (Excellent)</w:t>
      </w:r>
    </w:p>
    <w:p/>
    <w:p>
      <w:pPr>
        <w:jc w:val="center"/>
      </w:pPr>
      <w:r>
        <w:drawing>
          <wp:inline xmlns:a="http://schemas.openxmlformats.org/drawingml/2006/main" xmlns:pic="http://schemas.openxmlformats.org/drawingml/2006/picture">
            <wp:extent cx="5669280" cy="2635585"/>
            <wp:docPr id="30" name="Picture 30"/>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2026-08-28</w:t>
            </w:r>
          </w:p>
        </w:tc>
        <w:tc>
          <w:tcPr>
            <w:tcW w:type="dxa" w:w="1440"/>
            <w:shd w:fill="FFDCE0" w:val="clear"/>
          </w:tcPr>
          <w:p>
            <w:r>
              <w:rPr>
                <w:sz w:val="17"/>
              </w:rPr>
              <w:t>2,976</w:t>
            </w:r>
          </w:p>
        </w:tc>
        <w:tc>
          <w:tcPr>
            <w:tcW w:type="dxa" w:w="1440"/>
            <w:shd w:fill="FFDCE0" w:val="clear"/>
          </w:tcPr>
          <w:p>
            <w:r>
              <w:rPr>
                <w:b/>
                <w:sz w:val="17"/>
              </w:rPr>
              <w:t>3,122</w:t>
            </w:r>
          </w:p>
        </w:tc>
        <w:tc>
          <w:tcPr>
            <w:tcW w:type="dxa" w:w="1440"/>
            <w:shd w:fill="FFDCE0" w:val="clear"/>
          </w:tcPr>
          <w:p>
            <w:r>
              <w:rPr>
                <w:sz w:val="17"/>
              </w:rPr>
              <w:t>3,268</w:t>
            </w:r>
          </w:p>
        </w:tc>
        <w:tc>
          <w:tcPr>
            <w:tcW w:type="dxa" w:w="1440"/>
            <w:shd w:fill="FFDCE0" w:val="clear"/>
          </w:tcPr>
          <w:p>
            <w:r>
              <w:rPr>
                <w:b/>
                <w:color w:val="C00000"/>
                <w:sz w:val="17"/>
              </w:rPr>
              <w:t>-7.5%</w:t>
            </w:r>
          </w:p>
        </w:tc>
      </w:tr>
      <w:tr>
        <w:tc>
          <w:tcPr>
            <w:tcW w:type="dxa" w:w="1440"/>
            <w:shd w:fill="FFDCE0" w:val="clear"/>
          </w:tcPr>
          <w:p>
            <w:r>
              <w:rPr>
                <w:sz w:val="17"/>
              </w:rPr>
              <w:t>J+2  Moyenne</w:t>
            </w:r>
          </w:p>
        </w:tc>
        <w:tc>
          <w:tcPr>
            <w:tcW w:type="dxa" w:w="1440"/>
            <w:shd w:fill="FFDCE0" w:val="clear"/>
          </w:tcPr>
          <w:p>
            <w:r>
              <w:rPr>
                <w:sz w:val="17"/>
              </w:rPr>
              <w:t>2026-08-31</w:t>
            </w:r>
          </w:p>
        </w:tc>
        <w:tc>
          <w:tcPr>
            <w:tcW w:type="dxa" w:w="1440"/>
            <w:shd w:fill="FFDCE0" w:val="clear"/>
          </w:tcPr>
          <w:p>
            <w:r>
              <w:rPr>
                <w:sz w:val="17"/>
              </w:rPr>
              <w:t>2,697</w:t>
            </w:r>
          </w:p>
        </w:tc>
        <w:tc>
          <w:tcPr>
            <w:tcW w:type="dxa" w:w="1440"/>
            <w:shd w:fill="FFDCE0" w:val="clear"/>
          </w:tcPr>
          <w:p>
            <w:r>
              <w:rPr>
                <w:b/>
                <w:sz w:val="17"/>
              </w:rPr>
              <w:t>2,888</w:t>
            </w:r>
          </w:p>
        </w:tc>
        <w:tc>
          <w:tcPr>
            <w:tcW w:type="dxa" w:w="1440"/>
            <w:shd w:fill="FFDCE0" w:val="clear"/>
          </w:tcPr>
          <w:p>
            <w:r>
              <w:rPr>
                <w:sz w:val="17"/>
              </w:rPr>
              <w:t>3,079</w:t>
            </w:r>
          </w:p>
        </w:tc>
        <w:tc>
          <w:tcPr>
            <w:tcW w:type="dxa" w:w="1440"/>
            <w:shd w:fill="FFDCE0" w:val="clear"/>
          </w:tcPr>
          <w:p>
            <w:r>
              <w:rPr>
                <w:b/>
                <w:color w:val="C00000"/>
                <w:sz w:val="17"/>
              </w:rPr>
              <w:t>-14.4%</w:t>
            </w:r>
          </w:p>
        </w:tc>
      </w:tr>
      <w:tr>
        <w:tc>
          <w:tcPr>
            <w:tcW w:type="dxa" w:w="1440"/>
            <w:shd w:fill="FFDCE0" w:val="clear"/>
          </w:tcPr>
          <w:p>
            <w:r>
              <w:rPr>
                <w:sz w:val="17"/>
              </w:rPr>
              <w:t>J+3  Moyenne</w:t>
            </w:r>
          </w:p>
        </w:tc>
        <w:tc>
          <w:tcPr>
            <w:tcW w:type="dxa" w:w="1440"/>
            <w:shd w:fill="FFDCE0" w:val="clear"/>
          </w:tcPr>
          <w:p>
            <w:r>
              <w:rPr>
                <w:sz w:val="17"/>
              </w:rPr>
              <w:t>2026-09-01</w:t>
            </w:r>
          </w:p>
        </w:tc>
        <w:tc>
          <w:tcPr>
            <w:tcW w:type="dxa" w:w="1440"/>
            <w:shd w:fill="FFDCE0" w:val="clear"/>
          </w:tcPr>
          <w:p>
            <w:r>
              <w:rPr>
                <w:sz w:val="17"/>
              </w:rPr>
              <w:t>2,455</w:t>
            </w:r>
          </w:p>
        </w:tc>
        <w:tc>
          <w:tcPr>
            <w:tcW w:type="dxa" w:w="1440"/>
            <w:shd w:fill="FFDCE0" w:val="clear"/>
          </w:tcPr>
          <w:p>
            <w:r>
              <w:rPr>
                <w:b/>
                <w:sz w:val="17"/>
              </w:rPr>
              <w:t>2,671</w:t>
            </w:r>
          </w:p>
        </w:tc>
        <w:tc>
          <w:tcPr>
            <w:tcW w:type="dxa" w:w="1440"/>
            <w:shd w:fill="FFDCE0" w:val="clear"/>
          </w:tcPr>
          <w:p>
            <w:r>
              <w:rPr>
                <w:sz w:val="17"/>
              </w:rPr>
              <w:t>2,888</w:t>
            </w:r>
          </w:p>
        </w:tc>
        <w:tc>
          <w:tcPr>
            <w:tcW w:type="dxa" w:w="1440"/>
            <w:shd w:fill="FFDCE0" w:val="clear"/>
          </w:tcPr>
          <w:p>
            <w:r>
              <w:rPr>
                <w:b/>
                <w:color w:val="C00000"/>
                <w:sz w:val="17"/>
              </w:rPr>
              <w:t>-20.9%</w:t>
            </w:r>
          </w:p>
        </w:tc>
      </w:tr>
      <w:tr>
        <w:tc>
          <w:tcPr>
            <w:tcW w:type="dxa" w:w="1440"/>
            <w:shd w:fill="FFDCE0" w:val="clear"/>
          </w:tcPr>
          <w:p>
            <w:r>
              <w:rPr>
                <w:sz w:val="17"/>
              </w:rPr>
              <w:t>J+4  ⭐</w:t>
            </w:r>
          </w:p>
        </w:tc>
        <w:tc>
          <w:tcPr>
            <w:tcW w:type="dxa" w:w="1440"/>
            <w:shd w:fill="FFDCE0" w:val="clear"/>
          </w:tcPr>
          <w:p>
            <w:r>
              <w:rPr>
                <w:sz w:val="17"/>
              </w:rPr>
              <w:t>2026-09-02</w:t>
            </w:r>
          </w:p>
        </w:tc>
        <w:tc>
          <w:tcPr>
            <w:tcW w:type="dxa" w:w="1440"/>
            <w:shd w:fill="FFDCE0" w:val="clear"/>
          </w:tcPr>
          <w:p>
            <w:r>
              <w:rPr>
                <w:sz w:val="17"/>
              </w:rPr>
              <w:t>2,239</w:t>
            </w:r>
          </w:p>
        </w:tc>
        <w:tc>
          <w:tcPr>
            <w:tcW w:type="dxa" w:w="1440"/>
            <w:shd w:fill="FFDCE0" w:val="clear"/>
          </w:tcPr>
          <w:p>
            <w:r>
              <w:rPr>
                <w:b/>
                <w:sz w:val="17"/>
              </w:rPr>
              <w:t>2,471</w:t>
            </w:r>
          </w:p>
        </w:tc>
        <w:tc>
          <w:tcPr>
            <w:tcW w:type="dxa" w:w="1440"/>
            <w:shd w:fill="FFDCE0" w:val="clear"/>
          </w:tcPr>
          <w:p>
            <w:r>
              <w:rPr>
                <w:sz w:val="17"/>
              </w:rPr>
              <w:t>2,702</w:t>
            </w:r>
          </w:p>
        </w:tc>
        <w:tc>
          <w:tcPr>
            <w:tcW w:type="dxa" w:w="1440"/>
            <w:shd w:fill="FFDCE0" w:val="clear"/>
          </w:tcPr>
          <w:p>
            <w:r>
              <w:rPr>
                <w:b/>
                <w:color w:val="C00000"/>
                <w:sz w:val="17"/>
              </w:rPr>
              <w:t>-26.8%</w:t>
            </w:r>
          </w:p>
        </w:tc>
      </w:tr>
      <w:tr>
        <w:tc>
          <w:tcPr>
            <w:tcW w:type="dxa" w:w="1440"/>
            <w:shd w:fill="FFDCE0" w:val="clear"/>
          </w:tcPr>
          <w:p>
            <w:r>
              <w:rPr>
                <w:sz w:val="17"/>
              </w:rPr>
              <w:t>J+5  ⭐</w:t>
            </w:r>
          </w:p>
        </w:tc>
        <w:tc>
          <w:tcPr>
            <w:tcW w:type="dxa" w:w="1440"/>
            <w:shd w:fill="FFDCE0" w:val="clear"/>
          </w:tcPr>
          <w:p>
            <w:r>
              <w:rPr>
                <w:sz w:val="17"/>
              </w:rPr>
              <w:t>2026-09-03</w:t>
            </w:r>
          </w:p>
        </w:tc>
        <w:tc>
          <w:tcPr>
            <w:tcW w:type="dxa" w:w="1440"/>
            <w:shd w:fill="FFDCE0" w:val="clear"/>
          </w:tcPr>
          <w:p>
            <w:r>
              <w:rPr>
                <w:sz w:val="17"/>
              </w:rPr>
              <w:t>2,046</w:t>
            </w:r>
          </w:p>
        </w:tc>
        <w:tc>
          <w:tcPr>
            <w:tcW w:type="dxa" w:w="1440"/>
            <w:shd w:fill="FFDCE0" w:val="clear"/>
          </w:tcPr>
          <w:p>
            <w:r>
              <w:rPr>
                <w:b/>
                <w:sz w:val="17"/>
              </w:rPr>
              <w:t>2,286</w:t>
            </w:r>
          </w:p>
        </w:tc>
        <w:tc>
          <w:tcPr>
            <w:tcW w:type="dxa" w:w="1440"/>
            <w:shd w:fill="FFDCE0" w:val="clear"/>
          </w:tcPr>
          <w:p>
            <w:r>
              <w:rPr>
                <w:sz w:val="17"/>
              </w:rPr>
              <w:t>2,525</w:t>
            </w:r>
          </w:p>
        </w:tc>
        <w:tc>
          <w:tcPr>
            <w:tcW w:type="dxa" w:w="1440"/>
            <w:shd w:fill="FFDCE0" w:val="clear"/>
          </w:tcPr>
          <w:p>
            <w:r>
              <w:rPr>
                <w:b/>
                <w:color w:val="C00000"/>
                <w:sz w:val="17"/>
              </w:rPr>
              <w:t>-32.3%</w:t>
            </w:r>
          </w:p>
        </w:tc>
      </w:tr>
      <w:tr>
        <w:tc>
          <w:tcPr>
            <w:tcW w:type="dxa" w:w="1440"/>
            <w:shd w:fill="FFDCE0" w:val="clear"/>
          </w:tcPr>
          <w:p>
            <w:r>
              <w:rPr>
                <w:sz w:val="17"/>
              </w:rPr>
              <w:t>J+6  ⭐</w:t>
            </w:r>
          </w:p>
        </w:tc>
        <w:tc>
          <w:tcPr>
            <w:tcW w:type="dxa" w:w="1440"/>
            <w:shd w:fill="FFDCE0" w:val="clear"/>
          </w:tcPr>
          <w:p>
            <w:r>
              <w:rPr>
                <w:sz w:val="17"/>
              </w:rPr>
              <w:t>2026-09-04</w:t>
            </w:r>
          </w:p>
        </w:tc>
        <w:tc>
          <w:tcPr>
            <w:tcW w:type="dxa" w:w="1440"/>
            <w:shd w:fill="FFDCE0" w:val="clear"/>
          </w:tcPr>
          <w:p>
            <w:r>
              <w:rPr>
                <w:sz w:val="17"/>
              </w:rPr>
              <w:t>1,872</w:t>
            </w:r>
          </w:p>
        </w:tc>
        <w:tc>
          <w:tcPr>
            <w:tcW w:type="dxa" w:w="1440"/>
            <w:shd w:fill="FFDCE0" w:val="clear"/>
          </w:tcPr>
          <w:p>
            <w:r>
              <w:rPr>
                <w:b/>
                <w:sz w:val="17"/>
              </w:rPr>
              <w:t>2,114</w:t>
            </w:r>
          </w:p>
        </w:tc>
        <w:tc>
          <w:tcPr>
            <w:tcW w:type="dxa" w:w="1440"/>
            <w:shd w:fill="FFDCE0" w:val="clear"/>
          </w:tcPr>
          <w:p>
            <w:r>
              <w:rPr>
                <w:sz w:val="17"/>
              </w:rPr>
              <w:t>2,357</w:t>
            </w:r>
          </w:p>
        </w:tc>
        <w:tc>
          <w:tcPr>
            <w:tcW w:type="dxa" w:w="1440"/>
            <w:shd w:fill="FFDCE0" w:val="clear"/>
          </w:tcPr>
          <w:p>
            <w:r>
              <w:rPr>
                <w:b/>
                <w:color w:val="C00000"/>
                <w:sz w:val="17"/>
              </w:rPr>
              <w:t>-37.4%</w:t>
            </w:r>
          </w:p>
        </w:tc>
      </w:tr>
      <w:tr>
        <w:tc>
          <w:tcPr>
            <w:tcW w:type="dxa" w:w="1440"/>
            <w:shd w:fill="FFDCE0" w:val="clear"/>
          </w:tcPr>
          <w:p>
            <w:r>
              <w:rPr>
                <w:sz w:val="17"/>
              </w:rPr>
              <w:t>J+7  ⭐</w:t>
            </w:r>
          </w:p>
        </w:tc>
        <w:tc>
          <w:tcPr>
            <w:tcW w:type="dxa" w:w="1440"/>
            <w:shd w:fill="FFDCE0" w:val="clear"/>
          </w:tcPr>
          <w:p>
            <w:r>
              <w:rPr>
                <w:sz w:val="17"/>
              </w:rPr>
              <w:t>2026-09-07</w:t>
            </w:r>
          </w:p>
        </w:tc>
        <w:tc>
          <w:tcPr>
            <w:tcW w:type="dxa" w:w="1440"/>
            <w:shd w:fill="FFDCE0" w:val="clear"/>
          </w:tcPr>
          <w:p>
            <w:r>
              <w:rPr>
                <w:sz w:val="17"/>
              </w:rPr>
              <w:t>1,713</w:t>
            </w:r>
          </w:p>
        </w:tc>
        <w:tc>
          <w:tcPr>
            <w:tcW w:type="dxa" w:w="1440"/>
            <w:shd w:fill="FFDCE0" w:val="clear"/>
          </w:tcPr>
          <w:p>
            <w:r>
              <w:rPr>
                <w:b/>
                <w:sz w:val="17"/>
              </w:rPr>
              <w:t>1,956</w:t>
            </w:r>
          </w:p>
        </w:tc>
        <w:tc>
          <w:tcPr>
            <w:tcW w:type="dxa" w:w="1440"/>
            <w:shd w:fill="FFDCE0" w:val="clear"/>
          </w:tcPr>
          <w:p>
            <w:r>
              <w:rPr>
                <w:sz w:val="17"/>
              </w:rPr>
              <w:t>2,198</w:t>
            </w:r>
          </w:p>
        </w:tc>
        <w:tc>
          <w:tcPr>
            <w:tcW w:type="dxa" w:w="1440"/>
            <w:shd w:fill="FFDCE0" w:val="clear"/>
          </w:tcPr>
          <w:p>
            <w:r>
              <w:rPr>
                <w:b/>
                <w:color w:val="C00000"/>
                <w:sz w:val="17"/>
              </w:rPr>
              <w:t>-42.1%</w:t>
            </w:r>
          </w:p>
        </w:tc>
      </w:tr>
      <w:tr>
        <w:tc>
          <w:tcPr>
            <w:tcW w:type="dxa" w:w="1440"/>
            <w:shd w:fill="FFDCE0" w:val="clear"/>
          </w:tcPr>
          <w:p>
            <w:r>
              <w:rPr>
                <w:sz w:val="17"/>
              </w:rPr>
              <w:t>J+8  ⭐</w:t>
            </w:r>
          </w:p>
        </w:tc>
        <w:tc>
          <w:tcPr>
            <w:tcW w:type="dxa" w:w="1440"/>
            <w:shd w:fill="FFDCE0" w:val="clear"/>
          </w:tcPr>
          <w:p>
            <w:r>
              <w:rPr>
                <w:sz w:val="17"/>
              </w:rPr>
              <w:t>2026-09-08</w:t>
            </w:r>
          </w:p>
        </w:tc>
        <w:tc>
          <w:tcPr>
            <w:tcW w:type="dxa" w:w="1440"/>
            <w:shd w:fill="FFDCE0" w:val="clear"/>
          </w:tcPr>
          <w:p>
            <w:r>
              <w:rPr>
                <w:sz w:val="17"/>
              </w:rPr>
              <w:t>1,569</w:t>
            </w:r>
          </w:p>
        </w:tc>
        <w:tc>
          <w:tcPr>
            <w:tcW w:type="dxa" w:w="1440"/>
            <w:shd w:fill="FFDCE0" w:val="clear"/>
          </w:tcPr>
          <w:p>
            <w:r>
              <w:rPr>
                <w:b/>
                <w:sz w:val="17"/>
              </w:rPr>
              <w:t>1,809</w:t>
            </w:r>
          </w:p>
        </w:tc>
        <w:tc>
          <w:tcPr>
            <w:tcW w:type="dxa" w:w="1440"/>
            <w:shd w:fill="FFDCE0" w:val="clear"/>
          </w:tcPr>
          <w:p>
            <w:r>
              <w:rPr>
                <w:sz w:val="17"/>
              </w:rPr>
              <w:t>2,048</w:t>
            </w:r>
          </w:p>
        </w:tc>
        <w:tc>
          <w:tcPr>
            <w:tcW w:type="dxa" w:w="1440"/>
            <w:shd w:fill="FFDCE0" w:val="clear"/>
          </w:tcPr>
          <w:p>
            <w:r>
              <w:rPr>
                <w:b/>
                <w:color w:val="C00000"/>
                <w:sz w:val="17"/>
              </w:rPr>
              <w:t>-46.4%</w:t>
            </w:r>
          </w:p>
        </w:tc>
      </w:tr>
      <w:tr>
        <w:tc>
          <w:tcPr>
            <w:tcW w:type="dxa" w:w="1440"/>
            <w:shd w:fill="FFDCE0" w:val="clear"/>
          </w:tcPr>
          <w:p>
            <w:r>
              <w:rPr>
                <w:sz w:val="17"/>
              </w:rPr>
              <w:t>J+9  ⭐</w:t>
            </w:r>
          </w:p>
        </w:tc>
        <w:tc>
          <w:tcPr>
            <w:tcW w:type="dxa" w:w="1440"/>
            <w:shd w:fill="FFDCE0" w:val="clear"/>
          </w:tcPr>
          <w:p>
            <w:r>
              <w:rPr>
                <w:sz w:val="17"/>
              </w:rPr>
              <w:t>2026-09-09</w:t>
            </w:r>
          </w:p>
        </w:tc>
        <w:tc>
          <w:tcPr>
            <w:tcW w:type="dxa" w:w="1440"/>
            <w:shd w:fill="FFDCE0" w:val="clear"/>
          </w:tcPr>
          <w:p>
            <w:r>
              <w:rPr>
                <w:sz w:val="17"/>
              </w:rPr>
              <w:t>1,438</w:t>
            </w:r>
          </w:p>
        </w:tc>
        <w:tc>
          <w:tcPr>
            <w:tcW w:type="dxa" w:w="1440"/>
            <w:shd w:fill="FFDCE0" w:val="clear"/>
          </w:tcPr>
          <w:p>
            <w:r>
              <w:rPr>
                <w:b/>
                <w:sz w:val="17"/>
              </w:rPr>
              <w:t>1,673</w:t>
            </w:r>
          </w:p>
        </w:tc>
        <w:tc>
          <w:tcPr>
            <w:tcW w:type="dxa" w:w="1440"/>
            <w:shd w:fill="FFDCE0" w:val="clear"/>
          </w:tcPr>
          <w:p>
            <w:r>
              <w:rPr>
                <w:sz w:val="17"/>
              </w:rPr>
              <w:t>1,908</w:t>
            </w:r>
          </w:p>
        </w:tc>
        <w:tc>
          <w:tcPr>
            <w:tcW w:type="dxa" w:w="1440"/>
            <w:shd w:fill="FFDCE0" w:val="clear"/>
          </w:tcPr>
          <w:p>
            <w:r>
              <w:rPr>
                <w:b/>
                <w:color w:val="C00000"/>
                <w:sz w:val="17"/>
              </w:rPr>
              <w:t>-50.4%</w:t>
            </w:r>
          </w:p>
        </w:tc>
      </w:tr>
      <w:tr>
        <w:tc>
          <w:tcPr>
            <w:tcW w:type="dxa" w:w="1440"/>
            <w:shd w:fill="FFDCE0" w:val="clear"/>
          </w:tcPr>
          <w:p>
            <w:r>
              <w:rPr>
                <w:sz w:val="17"/>
              </w:rPr>
              <w:t>J+10  ⭐</w:t>
            </w:r>
          </w:p>
        </w:tc>
        <w:tc>
          <w:tcPr>
            <w:tcW w:type="dxa" w:w="1440"/>
            <w:shd w:fill="FFDCE0" w:val="clear"/>
          </w:tcPr>
          <w:p>
            <w:r>
              <w:rPr>
                <w:sz w:val="17"/>
              </w:rPr>
              <w:t>2026-09-10</w:t>
            </w:r>
          </w:p>
        </w:tc>
        <w:tc>
          <w:tcPr>
            <w:tcW w:type="dxa" w:w="1440"/>
            <w:shd w:fill="FFDCE0" w:val="clear"/>
          </w:tcPr>
          <w:p>
            <w:r>
              <w:rPr>
                <w:sz w:val="17"/>
              </w:rPr>
              <w:t>1,319</w:t>
            </w:r>
          </w:p>
        </w:tc>
        <w:tc>
          <w:tcPr>
            <w:tcW w:type="dxa" w:w="1440"/>
            <w:shd w:fill="FFDCE0" w:val="clear"/>
          </w:tcPr>
          <w:p>
            <w:r>
              <w:rPr>
                <w:b/>
                <w:sz w:val="17"/>
              </w:rPr>
              <w:t>1,548</w:t>
            </w:r>
          </w:p>
        </w:tc>
        <w:tc>
          <w:tcPr>
            <w:tcW w:type="dxa" w:w="1440"/>
            <w:shd w:fill="FFDCE0" w:val="clear"/>
          </w:tcPr>
          <w:p>
            <w:r>
              <w:rPr>
                <w:sz w:val="17"/>
              </w:rPr>
              <w:t>1,777</w:t>
            </w:r>
          </w:p>
        </w:tc>
        <w:tc>
          <w:tcPr>
            <w:tcW w:type="dxa" w:w="1440"/>
            <w:shd w:fill="FFDCE0" w:val="clear"/>
          </w:tcPr>
          <w:p>
            <w:r>
              <w:rPr>
                <w:b/>
                <w:color w:val="C00000"/>
                <w:sz w:val="17"/>
              </w:rPr>
              <w:t>-54.1%</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2.711 Mds FCFA</w:t>
            </w:r>
          </w:p>
        </w:tc>
        <w:tc>
          <w:tcPr>
            <w:tcW w:type="dxa" w:w="5669"/>
            <w:shd w:fill="FFFFFF" w:val="clear"/>
          </w:tcPr>
          <w:p>
            <w:r>
              <w:rPr>
                <w:color w:val="282828"/>
                <w:sz w:val="15"/>
              </w:rPr>
              <w:t>Créances clients = 3.4%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52.131 Mds FCFA</w:t>
            </w:r>
          </w:p>
        </w:tc>
        <w:tc>
          <w:tcPr>
            <w:tcW w:type="dxa" w:w="5669"/>
            <w:shd w:fill="FFFFFF" w:val="clear"/>
          </w:tcPr>
          <w:p>
            <w:r>
              <w:rPr>
                <w:color w:val="282828"/>
                <w:sz w:val="15"/>
              </w:rPr>
              <w:t>Rotation stocks = 1.5x/an.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63.946 Mds FCFA</w:t>
            </w:r>
          </w:p>
        </w:tc>
        <w:tc>
          <w:tcPr>
            <w:tcW w:type="dxa" w:w="5669"/>
            <w:shd w:fill="FFFFFF" w:val="clear"/>
          </w:tcPr>
          <w:p>
            <w:r>
              <w:rPr>
                <w:color w:val="282828"/>
                <w:sz w:val="15"/>
              </w:rPr>
              <w:t>Ratio actif circ./passif circ. = 0.70x.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1.140 Mds FCFA</w:t>
            </w:r>
          </w:p>
        </w:tc>
        <w:tc>
          <w:tcPr>
            <w:tcW w:type="dxa" w:w="5669"/>
            <w:shd w:fill="FFFFFF" w:val="clear"/>
          </w:tcPr>
          <w:p>
            <w:r>
              <w:rPr>
                <w:color w:val="282828"/>
                <w:sz w:val="15"/>
              </w:rPr>
              <w:t>Brevets, logiciels, fonds commercial (0.7%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64.824 Mds FCFA</w:t>
            </w:r>
          </w:p>
        </w:tc>
        <w:tc>
          <w:tcPr>
            <w:tcW w:type="dxa" w:w="5669"/>
            <w:shd w:fill="FFFFFF" w:val="clear"/>
          </w:tcPr>
          <w:p>
            <w:r>
              <w:rPr>
                <w:color w:val="282828"/>
                <w:sz w:val="15"/>
              </w:rPr>
              <w:t>Outil industriel (41.4%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92.480 Mds FCFA</w:t>
            </w:r>
          </w:p>
        </w:tc>
        <w:tc>
          <w:tcPr>
            <w:tcW w:type="dxa" w:w="5669"/>
            <w:shd w:fill="FFFFFF" w:val="clear"/>
          </w:tcPr>
          <w:p>
            <w:r>
              <w:rPr>
                <w:color w:val="282828"/>
                <w:sz w:val="15"/>
              </w:rPr>
              <w:t>Actif immobilisé = 59.1%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4.514 Mds FCFA</w:t>
            </w:r>
          </w:p>
        </w:tc>
        <w:tc>
          <w:tcPr>
            <w:tcW w:type="dxa" w:w="5669"/>
            <w:shd w:fill="FFFFFF" w:val="clear"/>
          </w:tcPr>
          <w:p>
            <w:r>
              <w:rPr>
                <w:color w:val="282828"/>
                <w:sz w:val="15"/>
              </w:rPr>
              <w:t>Liquidités disponibles (2.9%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156.426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8.820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27.611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17.243 Mds FCFA</w:t>
            </w:r>
          </w:p>
        </w:tc>
        <w:tc>
          <w:tcPr>
            <w:tcW w:type="dxa" w:w="5669"/>
            <w:shd w:fill="FFFFFF" w:val="clear"/>
          </w:tcPr>
          <w:p>
            <w:r>
              <w:rPr>
                <w:color w:val="282828"/>
                <w:sz w:val="15"/>
              </w:rPr>
              <w:t>Fonds propres = 11.0%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81.815 Mds FCFA</w:t>
            </w:r>
          </w:p>
        </w:tc>
        <w:tc>
          <w:tcPr>
            <w:tcW w:type="dxa" w:w="5669"/>
            <w:shd w:fill="FFFFFF" w:val="clear"/>
          </w:tcPr>
          <w:p>
            <w:r>
              <w:rPr>
                <w:color w:val="282828"/>
                <w:sz w:val="15"/>
              </w:rPr>
              <w:t>Capitaux permanents / Actif immobilisé = 0.88x.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52.903 Mds FCFA</w:t>
            </w:r>
          </w:p>
        </w:tc>
        <w:tc>
          <w:tcPr>
            <w:tcW w:type="dxa" w:w="5669"/>
            <w:shd w:fill="FFFFFF" w:val="clear"/>
          </w:tcPr>
          <w:p>
            <w:r>
              <w:rPr>
                <w:color w:val="282828"/>
                <w:sz w:val="15"/>
              </w:rPr>
              <w:t>Délai fournisseurs implicite ≈ 240 j. ✅ Bon pouvoir de négociation.</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45.922 Mds FCFA</w:t>
            </w:r>
          </w:p>
        </w:tc>
        <w:tc>
          <w:tcPr>
            <w:tcW w:type="dxa" w:w="5669"/>
            <w:shd w:fill="FFFFFF" w:val="clear"/>
          </w:tcPr>
          <w:p>
            <w:r>
              <w:rPr>
                <w:color w:val="282828"/>
                <w:sz w:val="15"/>
              </w:rPr>
              <w:t>Dette LT/MT = 266%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84.873 Mds FCFA</w:t>
            </w:r>
          </w:p>
        </w:tc>
        <w:tc>
          <w:tcPr>
            <w:tcW w:type="dxa" w:w="5669"/>
            <w:shd w:fill="FFFFFF" w:val="clear"/>
          </w:tcPr>
          <w:p>
            <w:r>
              <w:rPr>
                <w:color w:val="282828"/>
                <w:sz w:val="15"/>
              </w:rPr>
              <w:t>Dette financière totale = 492%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139.183 Mds FCFA</w:t>
            </w:r>
          </w:p>
        </w:tc>
        <w:tc>
          <w:tcPr>
            <w:tcW w:type="dxa" w:w="5669"/>
            <w:shd w:fill="FFFFFF" w:val="clear"/>
          </w:tcPr>
          <w:p>
            <w:r>
              <w:rPr>
                <w:color w:val="282828"/>
                <w:sz w:val="15"/>
              </w:rPr>
              <w:t>Dettes totales = 89.0%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80.569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80.569 Mds FCFA</w:t>
            </w:r>
          </w:p>
        </w:tc>
        <w:tc>
          <w:tcPr>
            <w:tcW w:type="dxa" w:w="5669"/>
            <w:shd w:fill="FFFFFF" w:val="clear"/>
          </w:tcPr>
          <w:p>
            <w:r>
              <w:rPr>
                <w:color w:val="282828"/>
                <w:sz w:val="15"/>
              </w:rPr>
              <w:t>Chiffre d'affaires. Croissance: -7.6%.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14.135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10.386 Mds FCFA</w:t>
            </w:r>
          </w:p>
        </w:tc>
        <w:tc>
          <w:tcPr>
            <w:tcW w:type="dxa" w:w="5669"/>
            <w:shd w:fill="FFFFFF" w:val="clear"/>
          </w:tcPr>
          <w:p>
            <w:r>
              <w:rPr>
                <w:color w:val="282828"/>
                <w:sz w:val="15"/>
              </w:rPr>
              <w:t>Masse salariale = 12.9%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27.820 Mds FCFA</w:t>
            </w:r>
          </w:p>
        </w:tc>
        <w:tc>
          <w:tcPr>
            <w:tcW w:type="dxa" w:w="5669"/>
            <w:shd w:fill="FFFFFF" w:val="clear"/>
          </w:tcPr>
          <w:p>
            <w:r>
              <w:rPr>
                <w:color w:val="282828"/>
                <w:sz w:val="15"/>
              </w:rPr>
              <w:t>VA = 34.5%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14.846 Mds FCFA</w:t>
            </w:r>
          </w:p>
        </w:tc>
        <w:tc>
          <w:tcPr>
            <w:tcW w:type="dxa" w:w="5669"/>
            <w:shd w:fill="FFFFFF" w:val="clear"/>
          </w:tcPr>
          <w:p>
            <w:r>
              <w:rPr>
                <w:color w:val="282828"/>
                <w:sz w:val="15"/>
              </w:rPr>
              <w:t>EBE = 18.4%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-544.99 M FCFA</w:t>
            </w:r>
          </w:p>
        </w:tc>
        <w:tc>
          <w:tcPr>
            <w:tcW w:type="dxa" w:w="5669"/>
            <w:shd w:fill="FFFFFF" w:val="clear"/>
          </w:tcPr>
          <w:p>
            <w:r>
              <w:rPr>
                <w:color w:val="282828"/>
                <w:sz w:val="15"/>
              </w:rPr>
              <w:t>Profit d'exploitation = -0.7%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1.407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-7.954 Mds FCFA</w:t>
            </w:r>
          </w:p>
        </w:tc>
        <w:tc>
          <w:tcPr>
            <w:tcW w:type="dxa" w:w="5669"/>
            <w:shd w:fill="FFFFFF" w:val="clear"/>
          </w:tcPr>
          <w:p>
            <w:r>
              <w:rPr>
                <w:color w:val="282828"/>
                <w:sz w:val="15"/>
              </w:rPr>
              <w:t>Marge nette = -9.9%.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7.570 Mds FCFA</w:t>
            </w:r>
          </w:p>
        </w:tc>
        <w:tc>
          <w:tcPr>
            <w:tcW w:type="dxa" w:w="5669"/>
            <w:shd w:fill="FFFFFF" w:val="clear"/>
          </w:tcPr>
          <w:p>
            <w:r>
              <w:rPr>
                <w:color w:val="282828"/>
                <w:sz w:val="15"/>
              </w:rPr>
              <w:t>CAF = 7.57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10.384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-22.786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16.138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-12.402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6.529 Mds FCFA</w:t>
            </w:r>
          </w:p>
        </w:tc>
        <w:tc>
          <w:tcPr>
            <w:tcW w:type="dxa" w:w="5669"/>
            <w:shd w:fill="FFFFFF" w:val="clear"/>
          </w:tcPr>
          <w:p>
            <w:r>
              <w:rPr>
                <w:color w:val="282828"/>
                <w:sz w:val="15"/>
              </w:rPr>
              <w:t>BFR = 8.1%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-10.665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-6.505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45.82%</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C7CE" w:val="clear"/>
          </w:tcPr>
          <w:p>
            <w:r>
              <w:rPr>
                <w:b/>
                <w:color w:val="B40000"/>
                <w:sz w:val="17"/>
              </w:rPr>
              <w:t>-9.87%</w:t>
            </w:r>
          </w:p>
        </w:tc>
        <w:tc>
          <w:tcPr>
            <w:tcW w:type="dxa" w:w="5669"/>
            <w:shd w:fill="FFFFFF" w:val="clear"/>
          </w:tcPr>
          <w:p>
            <w:r>
              <w:rPr>
                <w:color w:val="282828"/>
                <w:sz w:val="15"/>
              </w:rPr>
              <w:t>Résultat net / revenus = -9.87%.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-0.68%</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-46.13%</w:t>
            </w:r>
          </w:p>
        </w:tc>
        <w:tc>
          <w:tcPr>
            <w:tcW w:type="dxa" w:w="5669"/>
            <w:shd w:fill="FFFFFF" w:val="clear"/>
          </w:tcPr>
          <w:p>
            <w:r>
              <w:rPr>
                <w:color w:val="282828"/>
                <w:sz w:val="15"/>
              </w:rPr>
              <w:t>Résultat net / capitaux propres = -46.13%.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-5.08%</w:t>
            </w:r>
          </w:p>
        </w:tc>
        <w:tc>
          <w:tcPr>
            <w:tcW w:type="dxa" w:w="5669"/>
            <w:shd w:fill="FFFFFF" w:val="clear"/>
          </w:tcPr>
          <w:p>
            <w:r>
              <w:rPr>
                <w:color w:val="282828"/>
                <w:sz w:val="15"/>
              </w:rPr>
              <w:t>Résultat net / total actif = -5.08%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51.51%</w:t>
            </w:r>
          </w:p>
        </w:tc>
        <w:tc>
          <w:tcPr>
            <w:tcW w:type="dxa" w:w="5669"/>
            <w:shd w:fill="FFFFFF" w:val="clear"/>
          </w:tcPr>
          <w:p>
            <w:r>
              <w:rPr>
                <w:color w:val="282828"/>
                <w:sz w:val="15"/>
              </w:rPr>
              <w:t>CA / total actif = 51.51x.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-7.63%</w:t>
            </w:r>
          </w:p>
        </w:tc>
        <w:tc>
          <w:tcPr>
            <w:tcW w:type="dxa" w:w="5669"/>
            <w:shd w:fill="FFFFFF" w:val="clear"/>
          </w:tcPr>
          <w:p>
            <w:r>
              <w:rPr>
                <w:color w:val="282828"/>
                <w:sz w:val="15"/>
              </w:rPr>
              <w:t>Croissance CA vs exercice précédent = -7.63%.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11.02%</w:t>
            </w:r>
          </w:p>
        </w:tc>
        <w:tc>
          <w:tcPr>
            <w:tcW w:type="dxa" w:w="5669"/>
            <w:shd w:fill="FFFFFF" w:val="clear"/>
          </w:tcPr>
          <w:p>
            <w:r>
              <w:rPr>
                <w:color w:val="282828"/>
                <w:sz w:val="15"/>
              </w:rPr>
              <w:t>Fonds propres / total bilan = 11.02%.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492.21%</w:t>
            </w:r>
          </w:p>
        </w:tc>
        <w:tc>
          <w:tcPr>
            <w:tcW w:type="dxa" w:w="5669"/>
            <w:shd w:fill="FFFFFF" w:val="clear"/>
          </w:tcPr>
          <w:p>
            <w:r>
              <w:rPr>
                <w:color w:val="282828"/>
                <w:sz w:val="15"/>
              </w:rPr>
              <w:t>Dettes financières / total bilan = 492.21%.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88.98%</w:t>
            </w:r>
          </w:p>
        </w:tc>
        <w:tc>
          <w:tcPr>
            <w:tcW w:type="dxa" w:w="5669"/>
            <w:shd w:fill="FFFFFF" w:val="clear"/>
          </w:tcPr>
          <w:p>
            <w:r>
              <w:rPr>
                <w:color w:val="282828"/>
                <w:sz w:val="15"/>
              </w:rPr>
              <w:t>Dettes totales / fonds propres = 88.98%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112.39%</w:t>
            </w:r>
          </w:p>
        </w:tc>
        <w:tc>
          <w:tcPr>
            <w:tcW w:type="dxa" w:w="5669"/>
            <w:shd w:fill="FFFFFF" w:val="clear"/>
          </w:tcPr>
          <w:p>
            <w:r>
              <w:rPr>
                <w:color w:val="282828"/>
                <w:sz w:val="15"/>
              </w:rPr>
              <w:t>Total actif / dettes totales = 112.39x.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74.53%</w:t>
            </w:r>
          </w:p>
        </w:tc>
        <w:tc>
          <w:tcPr>
            <w:tcW w:type="dxa" w:w="5669"/>
            <w:shd w:fill="FFFFFF" w:val="clear"/>
          </w:tcPr>
          <w:p>
            <w:r>
              <w:rPr>
                <w:color w:val="282828"/>
                <w:sz w:val="15"/>
              </w:rPr>
              <w:t>Actif circulant / passif circulant = 74.53x.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4.91%</w:t>
            </w:r>
          </w:p>
        </w:tc>
        <w:tc>
          <w:tcPr>
            <w:tcW w:type="dxa" w:w="5669"/>
            <w:shd w:fill="FFFFFF" w:val="clear"/>
          </w:tcPr>
          <w:p>
            <w:r>
              <w:rPr>
                <w:color w:val="282828"/>
                <w:sz w:val="15"/>
              </w:rPr>
              <w:t>Trésorerie / passif circulant = 4.91x.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17.78%</w:t>
            </w:r>
          </w:p>
        </w:tc>
        <w:tc>
          <w:tcPr>
            <w:tcW w:type="dxa" w:w="5669"/>
            <w:shd w:fill="FFFFFF" w:val="clear"/>
          </w:tcPr>
          <w:p>
            <w:r>
              <w:rPr>
                <w:color w:val="282828"/>
                <w:sz w:val="15"/>
              </w:rPr>
              <w:t>(Actif circ. - stocks) / passif circ. = 17.78x.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88.47%</w:t>
            </w:r>
          </w:p>
        </w:tc>
        <w:tc>
          <w:tcPr>
            <w:tcW w:type="dxa" w:w="5669"/>
            <w:shd w:fill="FFFFFF" w:val="clear"/>
          </w:tcPr>
          <w:p>
            <w:r>
              <w:rPr>
                <w:color w:val="282828"/>
                <w:sz w:val="15"/>
              </w:rPr>
              <w:t>Capitaux permanents / actif immobilisé = 88.47x.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11.2 ans</w:t>
            </w:r>
          </w:p>
        </w:tc>
        <w:tc>
          <w:tcPr>
            <w:tcW w:type="dxa" w:w="5669"/>
            <w:shd w:fill="FFFFFF" w:val="clear"/>
          </w:tcPr>
          <w:p>
            <w:r>
              <w:rPr>
                <w:color w:val="282828"/>
                <w:sz w:val="15"/>
              </w:rPr>
              <w:t>Dettes financières / CAF = 11.2 ans. ❌ Capacité de remboursement très dégradée.</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-8.03%</w:t>
            </w:r>
          </w:p>
        </w:tc>
        <w:tc>
          <w:tcPr>
            <w:tcW w:type="dxa" w:w="5669"/>
            <w:shd w:fill="FFFFFF" w:val="clear"/>
          </w:tcPr>
          <w:p>
            <w:r>
              <w:rPr>
                <w:color w:val="282828"/>
                <w:sz w:val="15"/>
              </w:rPr>
              <w:t>Résultat exploit. / charges financières = -8.03x.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33.22%</w:t>
            </w:r>
          </w:p>
        </w:tc>
        <w:tc>
          <w:tcPr>
            <w:tcW w:type="dxa" w:w="5669"/>
            <w:shd w:fill="FFFFFF" w:val="clear"/>
          </w:tcPr>
          <w:p>
            <w:r>
              <w:rPr>
                <w:color w:val="282828"/>
                <w:sz w:val="15"/>
              </w:rPr>
              <w:t>CAF / investissements = 33.22x.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12.3 j</w:t>
            </w:r>
          </w:p>
        </w:tc>
        <w:tc>
          <w:tcPr>
            <w:tcW w:type="dxa" w:w="5669"/>
            <w:shd w:fill="FFFFFF" w:val="clear"/>
          </w:tcPr>
          <w:p>
            <w:r>
              <w:rPr>
                <w:color w:val="282828"/>
                <w:sz w:val="15"/>
              </w:rPr>
              <w:t>Les clients paient en moyenne en 12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366.1 j</w:t>
            </w:r>
          </w:p>
        </w:tc>
        <w:tc>
          <w:tcPr>
            <w:tcW w:type="dxa" w:w="5669"/>
            <w:shd w:fill="FFFFFF" w:val="clear"/>
          </w:tcPr>
          <w:p>
            <w:r>
              <w:rPr>
                <w:color w:val="282828"/>
                <w:sz w:val="15"/>
              </w:rPr>
              <w:t>Paiement des fournisseurs en 366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360.7 j</w:t>
            </w:r>
          </w:p>
        </w:tc>
        <w:tc>
          <w:tcPr>
            <w:tcW w:type="dxa" w:w="5669"/>
            <w:shd w:fill="FFFFFF" w:val="clear"/>
          </w:tcPr>
          <w:p>
            <w:r>
              <w:rPr>
                <w:color w:val="282828"/>
                <w:sz w:val="15"/>
              </w:rPr>
              <w:t>Stock écoulé en 361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SCRC s'établit à 66,15 milliards FCFA, un niveau relativement modeste dans l'écosystème BRVM, reflétant la taille moyenne de cette entreprise agro-industrielle. Le BPA est négatif à -406 FCFA, ce qui traduit une perte nette par action et explique le PER négatif de -8,3x, signalant que la société ne génère actuellement aucun bénéfice pour ses actionnaires. Le P/B de 3,84x indique que le marché valorise l'action bien au-dessus de sa valeur comptable, suggérant que les investisseurs anticipent un retour à la rentabilité future. L'EV/EBITDA de 10,6x se situe dans la fourchette de 10-15x considérée comme élevée, ce qui implique que la valeur totale de l'entreprise (dette incluse) est substantielle par rapport à sa capacité opérationnelle. Ces ratios, pris ensemble, révèlent une valorisation spéculative qui intègre des attentes de redressement, mais qui paraît tendue compte tenu des pertes actuelles.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SCRC a enregistré une progression spectaculaire de +95,09%, passant d'un plus bas de 1 730 FCFA à un plus haut de 3 920 FCFA, avec un cours actuel de 3 375 FCFA et une variation nulle lors de la dernière séance. La moyenne du cours sur la période s'établit à 2 910 FCFA, tandis que la médiane est plus élevée à 3 082 FCFA, indiquant une distribution légèrement asymétrique avec une concentration des valeurs vers le haut. L'écart-type de 656 FCFA, représentant un coefficient de variation de 22,5%, témoigne d'une dispersion modérée des prix autour de la moyenne. Le kurtosis négatif de -1,438 révèle une distribution platykurtique, signifiant une faible concentration des valeurs extrêmes et donc un risque de mouvements brusques limité. Le skewness de -0,278 confirme une asymétrie légèrement négative, avec une queue de distribution orientée vers les valeurs basses. La volatilité annualisée de 55,8% classe ce titre comme très volatil, bien au-delà du seuil de 30% considéré comme élevé, ce qui implique un risque substantiel pour les investisseurs.</w:t>
      </w:r>
    </w:p>
    <w:p>
      <w:pPr>
        <w:spacing w:after="120" w:line="276" w:lineRule="auto" w:before="240"/>
      </w:pPr>
      <w:r>
        <w:rPr>
          <w:b/>
          <w:color w:val="003366"/>
          <w:sz w:val="24"/>
        </w:rPr>
        <w:t>**PARTIE 2 : ANALYSE TECHNIQUE DÉTAILLÉE**</w:t>
      </w:r>
    </w:p>
    <w:p>
      <w:pPr>
        <w:spacing w:after="120" w:line="276" w:lineRule="auto"/>
      </w:pPr>
      <w:r>
        <w:t>**Moyennes Mobiles** : La MM20 à 3 570,75 FCFA et la MM50 à 3 478,1 FCFA se situent toutes deux au-dessus du cours actuel de 3 375 FCFA, indiquant une tendance baissière à court et moyen terme. Le signal d'achat généré par le système est toutefois paradoxal, car la position relative des moyennes suggère plutôt une correction en cours après une forte hausse. La convergence des deux moyennes mobiles au-dessus du prix actuel pourrait annoncer un croisement baissier potentiel.</w:t>
      </w:r>
    </w:p>
    <w:p>
      <w:pPr>
        <w:spacing w:after="120" w:line="276" w:lineRule="auto"/>
      </w:pPr>
      <w:r>
        <w:t>**Bandes de Bollinger** : Le prix de 3 375 FCFA se positionne près de la borne inférieure à 3 292,14 FCFA, tandis que la borne supérieure s'établit à 3 849,36 FCFA, créant un canal de trading de 557 FCFA. Cette position proche de la borne inférieure indique une pression vendeuse récente, mais le signal neutre suggère que le titre n'est pas encore en situation de survente extrême. La largeur des bandes reflète la volatilité élevée du titre, avec des fluctuations importantes autour de la moyenne mobile centrale.</w:t>
      </w:r>
    </w:p>
    <w:p>
      <w:pPr>
        <w:spacing w:after="120" w:line="276" w:lineRule="auto"/>
      </w:pPr>
      <w:r>
        <w:t>**MACD** : La valeur négative du MACD à -32,04 avec un signal à 10,61 démontre un momentum baissier net, la ligne MACD étant passée sous sa ligne de signal. Cette configuration indique une perte de dynamique haussière et une possible poursuite de la correction à court terme. Le signal de vente généré est cohérent avec la position du prix sous les moyennes mobiles, confirmant un affaiblissement technique.</w:t>
      </w:r>
    </w:p>
    <w:p>
      <w:pPr>
        <w:spacing w:after="120" w:line="276" w:lineRule="auto"/>
      </w:pPr>
      <w:r>
        <w:t>**RSI** : À 35,92, le RSI se situe dans la zone neutre mais proche du seuil de survente de 30, indiquant une pression vendeuse modérée sans excès. Cette valeur suggère que le titre pourrait encore baisser avant d'atteindre des conditions de survente, mais elle n'exclut pas un rebond technique à tout moment. Le signal neutre reflète une situation d'incertitude où les acheteurs et vendeurs s'équilibrent.</w:t>
      </w:r>
    </w:p>
    <w:p>
      <w:pPr>
        <w:spacing w:after="120" w:line="276" w:lineRule="auto"/>
      </w:pPr>
      <w:r>
        <w:t>**Stochastique** : Le %K à 7,25 et le %D à 5,80 sont tous deux profondément en zone de survente, avec un croisement haussier potentiel en formation. Cette configuration indique que le titre a fortement baissé récemment et qu'un rebond technique est probable à court terme. Le signal d'achat généré par cet indicateur contraste avec les signaux baissiers du MACD, créant une divergence technique.</w:t>
      </w:r>
    </w:p>
    <w:p>
      <w:pPr>
        <w:spacing w:after="120" w:line="276" w:lineRule="auto"/>
      </w:pPr>
      <w:r>
        <w:t>**Conclusion technique** : La convergence des indicateurs est mitigée, avec un MACD baissier et des moyennes mobiles au-dessus du prix, mais un stochastique en survente suggérant un rebond imminent. Le RSI neutre et les bandes de Bollinger neutres n'apportent pas de direction claire. Globalement, la tendance technique reste baissière à court terme, mais les conditions de survente pourraient déclencher un mouvement de correction haussière. Le titre semble dans une phase de consolidation après la forte hausse récente.</w:t>
      </w:r>
    </w:p>
    <w:p>
      <w:pPr>
        <w:spacing w:after="120" w:line="276" w:lineRule="auto" w:before="240"/>
      </w:pPr>
      <w:r>
        <w:rPr>
          <w:b/>
          <w:color w:val="003366"/>
          <w:sz w:val="24"/>
        </w:rPr>
        <w:t>**PARTIE 3 : ANALYSE FONDAMENTALE (SECTION CRITIQUE)**</w:t>
      </w:r>
    </w:p>
    <w:p>
      <w:pPr>
        <w:spacing w:after="120" w:line="276" w:lineRule="auto"/>
      </w:pPr>
      <w:r>
        <w:t>En 2025, les données structurées révèlent une situation financière préoccupante pour SCRC : le chiffre d'affaires s'établit à 80,57 milliards FCFA, en recul de 7,6% par rapport à 2024, tandis que le résultat net est fortement déficitaire à -7,95 milliards FCFA, contre un bénéfice de 2,47 milliards en 2024. Le ROE s'effondre à -46,13% et le ROA à -5,08%, témoignant d'une destruction de valeur significative. La marge nette est négative à -9,87%, et le résultat d'exploitation est également déficitaire à -545 millions FCFA. Le BFR s'établit à 6,53 milliards FCFA, avec un délai clients de 12,28 jours et un délai fournisseurs très favorable de 366 jours, mais une durée de stockage élevée de 360,73 jours qui immobilise le capital. L'endettement est massif avec un ratio d'endettement de 88,98% et une capacité de remboursement de 11,21 ans, signalant une fragilité financière extrême. Les rapports narratifs de 2025 confirment cette dégradation, avec une explosion des charges financières de 262% à 6,79 milliards FCFA et un endettement long terme multiplié par 2,7 à 64,5 milliards FCFA. Le rapport du S1 2025 indique une perte nette de 6,71 milliards FCFA, mais le rapport annuel 2025 mentionne un résultat net de 7,95 milliards FCFA (IFRS), suggérant une amélioration au second semestre. Les perspectives pour 2026 restent incertaines, avec une production attendue entre 90 000 et 95 000 tonnes, mais la structure financière demeure très fragile.</w:t>
      </w:r>
    </w:p>
    <w:p>
      <w:pPr>
        <w:spacing w:after="120" w:line="276" w:lineRule="auto" w:before="240"/>
      </w:pPr>
      <w:r>
        <w:rPr>
          <w:b/>
          <w:color w:val="003366"/>
          <w:sz w:val="24"/>
        </w:rPr>
        <w:t>**PARTIE 4 : CONCLUSION D'INVESTISSEMENT**</w:t>
      </w:r>
    </w:p>
    <w:p>
      <w:pPr>
        <w:spacing w:after="120" w:line="276" w:lineRule="auto"/>
      </w:pPr>
      <w:r>
        <w:t>La synthèse des quatre parties révèle une situation complexe et contradictoire. La valorisation boursière avec un PER négatif et un P/B de 3,84x indique une surévaluation relative par rapport aux fondamentaux actuels, les investisseurs pariant sur un redressement futur. Le comportement du cours montre une hausse spectaculaire de 95% sur 100 jours, mais avec une volatilité extrême de 55,8% et des statistiques descriptives indiquant une distribution platykurtique avec un risque de mouvements brusques limité. Les signaux techniques sont divergents : le MACD et les moyennes mobiles suggèrent une correction, tandis que le stochastique en survente et le RSI neutre laissent entrevoir un rebond possible. Les fondamentaux sont très préoccupants avec une perte nette massive de 7,95 milliards FCFA, un endettement critique et des charges financières insoutenables. Les prédictions IA pour les 10 prochains jours prévoient une chute continue du cours de 3 122 FCFA à 2 286 FCFA, soit une baisse de 32%, confirmant les signaux techniques baissiers. Face à cette convergence de signaux négatifs, la recommandation est **VENTE FORTE** avec un niveau de confiance Élevé et un risque global Élevé. L'horizon d'investissement optimal serait le court terme (&lt;3 mois) pour les investisseurs cherchant à limiter leurs pertes, car la trajectoire baissière prédite et la dégradation fondamentale compromettent sérieusement la viabilité financière à moyen terme.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20260430   avis de convocation   assemblee generale ordinaire   sucrivoire ci</w:t>
      </w:r>
    </w:p>
    <w:p>
      <w:pPr>
        <w:spacing w:before="20"/>
        <w:ind w:left="400"/>
      </w:pPr>
      <w:r>
        <w:rPr>
          <w:color w:val="505050"/>
          <w:sz w:val="17"/>
        </w:rPr>
        <w:t xml:space="preserve">Date : 01/05/2026  |  Catégorie : convocation AG  |  Impact : </w:t>
      </w:r>
      <w:r>
        <w:rPr>
          <w:b/>
          <w:color w:val="646464"/>
          <w:sz w:val="17"/>
        </w:rPr>
        <w:t>⚪ NEUTRE</w:t>
      </w:r>
    </w:p>
    <w:p>
      <w:pPr>
        <w:spacing w:before="40"/>
        <w:ind w:left="400"/>
      </w:pPr>
      <w:r>
        <w:rPr>
          <w:sz w:val="18"/>
        </w:rPr>
        <w:t>SUCRIVOIRE SA convoque son Assemblée Générale Ordinaire annuelle le 21 mai 2026 à Abidjan-Plateau. L'assemblée approuvera les états financiers 2025 montrant un résultat net déficitaire de 6 131 800 226 Francs CFA selon le SYSCOHADA et 7 953 931 798 Francs CFA selon les normes IFRS. Plusieurs résolutions seront votées concernant la gestion, les conventions réglementées et les mandats d'administrateurs.</w:t>
      </w:r>
    </w:p>
    <w:p>
      <w:pPr>
        <w:spacing w:before="60"/>
        <w:ind w:left="400"/>
      </w:pPr>
      <w:r>
        <w:rPr>
          <w:b/>
          <w:sz w:val="18"/>
        </w:rPr>
        <w:t>Points clés :</w:t>
      </w:r>
    </w:p>
    <w:p>
      <w:pPr>
        <w:pStyle w:val="ListBullet"/>
        <w:spacing w:before="20" w:after="20"/>
        <w:ind w:left="700"/>
      </w:pPr>
      <w:r>
        <w:rPr>
          <w:sz w:val="18"/>
        </w:rPr>
        <w:t>Assemblée Générale Ordinaire convoquée pour le 21 mai 2026 à 09H30 GMT</w:t>
      </w:r>
    </w:p>
    <w:p>
      <w:pPr>
        <w:pStyle w:val="ListBullet"/>
        <w:spacing w:before="20" w:after="20"/>
        <w:ind w:left="700"/>
      </w:pPr>
      <w:r>
        <w:rPr>
          <w:sz w:val="18"/>
        </w:rPr>
        <w:t>Résultat net déficitaire de 6 131 800 226 FCFA (SYSCOHADA) et 7 953 931 798 FCFA (IFRS) pour 2025</w:t>
      </w:r>
    </w:p>
    <w:p>
      <w:pPr>
        <w:pStyle w:val="ListBullet"/>
        <w:spacing w:before="20" w:after="20"/>
        <w:ind w:left="700"/>
      </w:pPr>
      <w:r>
        <w:rPr>
          <w:sz w:val="18"/>
        </w:rPr>
        <w:t>Approbation des états financiers et conventions réglementées avec SIFCA, PALMCI, SAPH et autres sociétés</w:t>
      </w:r>
    </w:p>
    <w:p>
      <w:pPr>
        <w:pStyle w:val="ListBullet"/>
        <w:spacing w:before="20" w:after="20"/>
        <w:ind w:left="700"/>
      </w:pPr>
      <w:r>
        <w:rPr>
          <w:sz w:val="18"/>
        </w:rPr>
        <w:t>Indemnités de fonction aux administrateurs fixées à 117 647 Francs CFA brut</w:t>
      </w:r>
    </w:p>
    <w:p>
      <w:pPr>
        <w:pStyle w:val="ListBullet"/>
        <w:spacing w:before="20" w:after="20"/>
        <w:ind w:left="700"/>
      </w:pPr>
      <w:r>
        <w:rPr>
          <w:sz w:val="18"/>
        </w:rPr>
        <w:t>Cooptation et renouvellement de mandats d'administrateurs incluant Jean Claude CONOLI et Jean Louis Eugène BILLON</w:t>
      </w:r>
    </w:p>
    <w:p/>
    <w:p>
      <w:pPr>
        <w:pStyle w:val="Heading3"/>
      </w:pPr>
      <w:r>
        <w:rPr>
          <w:color w:val="005A32"/>
        </w:rPr>
        <w:t>📋 RAPPORTS &amp; COMMUNIQUÉS OFFICIELS</w:t>
      </w:r>
    </w:p>
    <w:p>
      <w:r>
        <w:rPr>
          <w:i/>
          <w:color w:val="646464"/>
          <w:sz w:val="18"/>
        </w:rPr>
        <w:t>23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d\u00e9gradation massive de la rentabilit\u00e9 avec une perte de pr\u00e8s de 8 milliards FCFA et l'explosion de l'endettement financier repr\u00e9sentent des signaux d'alarme majeurs. L'\u00e9rosion des capitaux propres et le niveau critique d'endettement compromettent s\u00e9rieusement la viabilit\u00e9 financi\u00e8re \u00e0 court terme."}</w:t>
      </w:r>
    </w:p>
    <w:p>
      <w:pPr>
        <w:spacing w:before="40"/>
        <w:ind w:left="400"/>
      </w:pPr>
      <w:r>
        <w:rPr>
          <w:sz w:val="18"/>
        </w:rPr>
        <w:t>SUCRIVOIRE a enregistré une forte détérioration de sa performance en 2025 avec un chiffre d'affaires en baisse de 7,6% à 80,6 milliards FCFA. La société affiche une perte nette considérable de 7,95 milliards FCFA contre un bénéfice de 2,47 milliards FCFA en 2024, soit une dégradation de 421%. Cette contre-performance s'explique principalement par l'explosion du coût de l'endettement financier qui a quadruplé pour atteindre 6,79 milliards FCFA. Malgré ces difficultés opérationnelles, la société maintient une génération de flux de trésorerie opérationnels positive à 10,4 milliards FCFA. Les capitaux propres se sont considérablement érodés, passant de 25 milliards à 17,2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'36,91 milliards FCFA', 'ratio_endettement': '4,5x', 'dette_financiere_totale': '78,18 milliards FCFA', 'flux_tresorerie_operationnels': '10,38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7,6% à 80,6 milliards FCFA</w:t>
      </w:r>
    </w:p>
    <w:p>
      <w:pPr>
        <w:pStyle w:val="ListBullet"/>
        <w:spacing w:before="20" w:after="20"/>
        <w:ind w:left="700"/>
      </w:pPr>
      <w:r>
        <w:rPr>
          <w:sz w:val="18"/>
        </w:rPr>
        <w:t>Perte nette massive de 7,95 milliards FCFA contre un bénéfice de 2,47 milliards en 2024</w:t>
      </w:r>
    </w:p>
    <w:p>
      <w:pPr>
        <w:pStyle w:val="ListBullet"/>
        <w:spacing w:before="20" w:after="20"/>
        <w:ind w:left="700"/>
      </w:pPr>
      <w:r>
        <w:rPr>
          <w:sz w:val="18"/>
        </w:rPr>
        <w:t>Explosion du coût de l'endettement financier : multiplication par 3,6 à 6,79 milliards FCFA</w:t>
      </w:r>
    </w:p>
    <w:p>
      <w:pPr>
        <w:pStyle w:val="ListBullet"/>
        <w:spacing w:before="20" w:after="20"/>
        <w:ind w:left="700"/>
      </w:pPr>
      <w:r>
        <w:rPr>
          <w:sz w:val="18"/>
        </w:rPr>
        <w:t>Résultat opérationnel courant négatif de 210 millions FCFA contre +5,8 milliards en 2024</w:t>
      </w:r>
    </w:p>
    <w:p>
      <w:pPr>
        <w:pStyle w:val="ListBullet"/>
        <w:spacing w:before="20" w:after="20"/>
        <w:ind w:left="700"/>
      </w:pPr>
      <w:r>
        <w:rPr>
          <w:sz w:val="18"/>
        </w:rPr>
        <w:t>Forte augmentation des stocks (+14,5 milliards FCFA) impactant le besoin en fonds de roulement</w:t>
      </w:r>
    </w:p>
    <w:p>
      <w:pPr>
        <w:pStyle w:val="ListBullet"/>
        <w:spacing w:before="20" w:after="20"/>
        <w:ind w:left="700"/>
      </w:pPr>
      <w:r>
        <w:rPr>
          <w:sz w:val="18"/>
        </w:rPr>
        <w:t>Endettement en hausse avec 19,1 milliards de nouveaux emprunts contractés</w:t>
      </w:r>
    </w:p>
    <w:p>
      <w:pPr>
        <w:spacing w:before="40"/>
        <w:ind w:left="400"/>
      </w:pPr>
      <w:r>
        <w:rPr>
          <w:b/>
          <w:color w:val="C05000"/>
          <w:sz w:val="18"/>
        </w:rPr>
        <w:t xml:space="preserve">⚠️ Risques : </w:t>
      </w:r>
      <w:r>
        <w:rPr>
          <w:sz w:val="18"/>
        </w:rPr>
        <w:t>["Risque de d\u00e9faillance financi\u00e8re li\u00e9 au niveau d'endettement critique et aux charges financi\u00e8res insoutenables", "D\u00e9t\u00e9rioration continue de la rentabilit\u00e9 op\u00e9rationnelle dans un contexte de march\u00e9 difficile", "Risque de liquidit\u00e9 malgr\u00e9 la g\u</w:t>
      </w:r>
    </w:p>
    <w:p>
      <w:pPr>
        <w:spacing w:before="40"/>
        <w:ind w:left="400"/>
      </w:pPr>
      <w:r>
        <w:rPr>
          <w:b/>
          <w:color w:val="0064A0"/>
          <w:sz w:val="18"/>
        </w:rPr>
        <w:t xml:space="preserve">🔮 Perspectives : </w:t>
      </w:r>
      <w:r>
        <w:rPr>
          <w:sz w:val="18"/>
        </w:rPr>
        <w:t>Les perspectives pour 2026 restent très préoccupantes compte tenu du niveau d'endettement et des charges financières structurellement élevées. La société devra impérativement restructurer sa dette et améliorer sa rentabilité opérationnelle pour éviter une situation de détresse financière. Un plan de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soci\u00e9t\u00e9 traverse une crise majeure avec une perte nette significative, un doublement de l'endettement et une d\u00e9gradation g\u00e9n\u00e9ralis\u00e9e des indicateurs op\u00e9rationnels. Les perspectives \u00e0 court terme apparaissent tr\u00e8s pr\u00e9occupantes compte tenu de la fragilisation de la structure financi\u00e8re."}</w:t>
      </w:r>
    </w:p>
    <w:p>
      <w:pPr>
        <w:spacing w:before="40"/>
        <w:ind w:left="400"/>
      </w:pPr>
      <w:r>
        <w:rPr>
          <w:sz w:val="18"/>
        </w:rPr>
        <w:t>SUCRIVOIRE affiche une performance financière dégradée en 2025 avec une chute drastique du chiffre d'affaires de 87,2 milliards XOF en 2024 à 80,6 milliards XOF en 2025. L'entreprise enregistre une perte nette de 6,1 milliards XOF contre un bénéfice de 2,6 milliards XOF l'année précédente. La marge commerciale s'effondre de 1,3 milliard XOF à seulement 302 millions XOF, traduisant des difficultés opérationnelles majeures. L'endettement financier double pratiquement, passant de 32,1 à 69,1 milliards XOF, fragilisant la structure financière. La trésorerie reste négative à -6,5 milliards XOF malgré une amélioration par rapport aux -10,7 milliards XOF de 2024.</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'-6,5 milliards XOF', 'marge_commerciale': '302 millions XOF', 'endettement_financier': '69,1 milliards XOF', 'excedent_brut_exploitation': '15,6 milliards XOF'}</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-7,6%</w:t>
            </w:r>
          </w:p>
        </w:tc>
        <w:tc>
          <w:tcPr>
            <w:tcW w:type="dxa" w:w="2160"/>
          </w:tcPr>
          <w:p>
            <w:pPr>
              <w:ind w:left="100"/>
            </w:pPr>
            <w:r/>
            <w:r>
              <w:rPr>
                <w:b/>
                <w:sz w:val="16"/>
              </w:rPr>
              <w:t>total_actif</w:t>
              <w:br/>
            </w:r>
            <w:r>
              <w:rPr>
                <w:sz w:val="18"/>
              </w:rPr>
              <w:t>146,9 milliards XOF</w:t>
            </w:r>
          </w:p>
        </w:tc>
      </w:tr>
      <w:tr>
        <w:tc>
          <w:tcPr>
            <w:tcW w:type="dxa" w:w="2160"/>
          </w:tcPr>
          <w:p>
            <w:r/>
            <w:r>
              <w:rPr>
                <w:b/>
                <w:sz w:val="16"/>
              </w:rPr>
              <w:t>resultat_net</w:t>
              <w:br/>
            </w:r>
            <w:r>
              <w:rPr>
                <w:sz w:val="18"/>
              </w:rPr>
              <w:t>-6,1 milliards XOF</w:t>
            </w:r>
          </w:p>
        </w:tc>
        <w:tc>
          <w:tcPr>
            <w:tcW w:type="dxa" w:w="2160"/>
          </w:tcPr>
          <w:p>
            <w:r/>
            <w:r>
              <w:rPr>
                <w:b/>
                <w:sz w:val="16"/>
              </w:rPr>
              <w:t>capitaux_propres</w:t>
              <w:br/>
            </w:r>
            <w:r>
              <w:rPr>
                <w:sz w:val="18"/>
              </w:rPr>
              <w:t>13,8 milliards XOF</w:t>
            </w:r>
          </w:p>
        </w:tc>
        <w:tc>
          <w:tcPr>
            <w:tcW w:type="dxa" w:w="2160"/>
          </w:tcPr>
          <w:p>
            <w:r/>
            <w:r>
              <w:rPr>
                <w:b/>
                <w:sz w:val="16"/>
              </w:rPr>
              <w:t>chiffre_affaires</w:t>
              <w:br/>
            </w:r>
            <w:r>
              <w:rPr>
                <w:sz w:val="18"/>
              </w:rPr>
              <w:t>80,6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du chiffre d'affaires de 7,6% à 80,6 milliards XOF en 2025</w:t>
      </w:r>
    </w:p>
    <w:p>
      <w:pPr>
        <w:pStyle w:val="ListBullet"/>
        <w:spacing w:before="20" w:after="20"/>
        <w:ind w:left="700"/>
      </w:pPr>
      <w:r>
        <w:rPr>
          <w:sz w:val="18"/>
        </w:rPr>
        <w:t>Basculement en perte nette de 6,1 milliards XOF après un bénéfice de 2,6 milliards XOF en 2024</w:t>
      </w:r>
    </w:p>
    <w:p>
      <w:pPr>
        <w:pStyle w:val="ListBullet"/>
        <w:spacing w:before="20" w:after="20"/>
        <w:ind w:left="700"/>
      </w:pPr>
      <w:r>
        <w:rPr>
          <w:sz w:val="18"/>
        </w:rPr>
        <w:t>Effondrement de la marge commerciale de 77% (1,3 Mrd à 302 millions XOF)</w:t>
      </w:r>
    </w:p>
    <w:p>
      <w:pPr>
        <w:pStyle w:val="ListBullet"/>
        <w:spacing w:before="20" w:after="20"/>
        <w:ind w:left="700"/>
      </w:pPr>
      <w:r>
        <w:rPr>
          <w:sz w:val="18"/>
        </w:rPr>
        <w:t>Explosion de l'endettement financier (+115%) à 69,1 milliards XOF</w:t>
      </w:r>
    </w:p>
    <w:p>
      <w:pPr>
        <w:pStyle w:val="ListBullet"/>
        <w:spacing w:before="20" w:after="20"/>
        <w:ind w:left="700"/>
      </w:pPr>
      <w:r>
        <w:rPr>
          <w:sz w:val="18"/>
        </w:rPr>
        <w:t>Détérioration de l'excédent brut d'exploitation de 23% à 15,6 milliards XOF</w:t>
      </w:r>
    </w:p>
    <w:p>
      <w:pPr>
        <w:pStyle w:val="ListBullet"/>
        <w:spacing w:before="20" w:after="20"/>
        <w:ind w:left="700"/>
      </w:pPr>
      <w:r>
        <w:rPr>
          <w:sz w:val="18"/>
        </w:rPr>
        <w:t>Augmentation significative des stocks de 38,5% à 52,1 milliards XOF</w:t>
      </w:r>
    </w:p>
    <w:p>
      <w:pPr>
        <w:spacing w:before="40"/>
        <w:ind w:left="400"/>
      </w:pPr>
      <w:r>
        <w:rPr>
          <w:b/>
          <w:color w:val="C05000"/>
          <w:sz w:val="18"/>
        </w:rPr>
        <w:t xml:space="preserve">⚠️ Risques : </w:t>
      </w:r>
      <w:r>
        <w:rPr>
          <w:sz w:val="18"/>
        </w:rPr>
        <w:t>["Risque de liquidit\u00e9 \u00e9lev\u00e9 avec une tr\u00e9sorerie n\u00e9gative et un endettement massif", "D\u00e9t\u00e9rioration continue de la rentabilit\u00e9 op\u00e9rationnelle et commerciale", "Risque de d\u00e9faillance financi\u00e8re compte tenu de la structure bilancielle d\u00e9grad\u</w:t>
      </w:r>
    </w:p>
    <w:p>
      <w:pPr>
        <w:spacing w:before="40"/>
        <w:ind w:left="400"/>
      </w:pPr>
      <w:r>
        <w:rPr>
          <w:b/>
          <w:color w:val="0064A0"/>
          <w:sz w:val="18"/>
        </w:rPr>
        <w:t xml:space="preserve">🔮 Perspectives : </w:t>
      </w:r>
      <w:r>
        <w:rPr>
          <w:sz w:val="18"/>
        </w:rPr>
        <w:t>Les perspectives pour 2026 s'annoncent difficiles compte tenu de la trajectoire négative observée et de la fragilisation financière. La société devra impérativement restructurer ses opérations et sa dette pour éviter une situation de détresse financière. Un plan de redressement urgent semble nécessa</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forte d\u00e9gradation financi\u00e8re avec une perte de pr\u00e8s de 8 milliards FCFA et l'explosion de l'endettement cr\u00e9ent un risque majeur. Le ratio d'endettement de 374% des capitaux propres est inqui\u00e9tant malgr\u00e9 les investissements de croissance."}</w:t>
      </w:r>
    </w:p>
    <w:p>
      <w:pPr>
        <w:spacing w:before="40"/>
        <w:ind w:left="400"/>
      </w:pPr>
      <w:r>
        <w:rPr>
          <w:sz w:val="18"/>
        </w:rPr>
        <w:t>SUCRIVOIRE enregistre une forte dégradation de sa performance en 2025 avec une perte nette de 7,95 milliards FCFA contre un bénéfice de 2,47 milliards en 2024. Le chiffre d'affaires recule de 7,6% à 80,57 milliards FCFA tandis que les coûts d'endettement explosent de 262% à 6,79 milliards FCFA. L'endettement long terme bondit de 168% à 64,5 milliards FCFA, témoignant d'un important plan d'investissement. Malgré cette situation difficile, la société maintient une trésorerie positive de 4,51 milliards FCFA et des flux opérationnels positifs de 10,38 milliards FCFA. La dégradation des capitaux propres de 31% reflète les difficultés conjoncturelles de l'entreprise sucrière.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'4,51 milliards FCFA', 'marge_brute': '45,8%', 'ratio_endettement': '374%', 'endettement_long_terme': '64,5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156,43 milliards FCFA</w:t>
            </w:r>
          </w:p>
        </w:tc>
      </w:tr>
      <w:tr>
        <w:tc>
          <w:tcPr>
            <w:tcW w:type="dxa" w:w="2160"/>
          </w:tcPr>
          <w:p>
            <w:r/>
            <w:r>
              <w:rPr>
                <w:b/>
                <w:sz w:val="16"/>
              </w:rPr>
              <w:t>resultat_net</w:t>
              <w:br/>
            </w:r>
            <w:r>
              <w:rPr>
                <w:sz w:val="18"/>
              </w:rPr>
              <w:t>-7,95 milliards FCFA</w:t>
            </w:r>
          </w:p>
        </w:tc>
        <w:tc>
          <w:tcPr>
            <w:tcW w:type="dxa" w:w="2160"/>
          </w:tcPr>
          <w:p>
            <w:r/>
            <w:r>
              <w:rPr>
                <w:b/>
                <w:sz w:val="16"/>
              </w:rPr>
              <w:t>capitaux_propres</w:t>
              <w:br/>
            </w:r>
            <w:r>
              <w:rPr>
                <w:sz w:val="18"/>
              </w:rPr>
              <w:t>17,24 milliards FCFA</w:t>
            </w:r>
          </w:p>
        </w:tc>
        <w:tc>
          <w:tcPr>
            <w:tcW w:type="dxa" w:w="2160"/>
          </w:tcPr>
          <w:p>
            <w:r/>
            <w:r>
              <w:rPr>
                <w:b/>
                <w:sz w:val="16"/>
              </w:rPr>
              <w:t>chiffre_affaires</w:t>
              <w:br/>
            </w:r>
            <w:r>
              <w:rPr>
                <w:sz w:val="18"/>
              </w:rPr>
              <w:t>80,57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7,6% à 80,57 milliards FCFA</w:t>
      </w:r>
    </w:p>
    <w:p>
      <w:pPr>
        <w:pStyle w:val="ListBullet"/>
        <w:spacing w:before="20" w:after="20"/>
        <w:ind w:left="700"/>
      </w:pPr>
      <w:r>
        <w:rPr>
          <w:sz w:val="18"/>
        </w:rPr>
        <w:t>Perte nette de 7,95 milliards FCFA contre un bénéfice de 2,47 milliards en 2024</w:t>
      </w:r>
    </w:p>
    <w:p>
      <w:pPr>
        <w:pStyle w:val="ListBullet"/>
        <w:spacing w:before="20" w:after="20"/>
        <w:ind w:left="700"/>
      </w:pPr>
      <w:r>
        <w:rPr>
          <w:sz w:val="18"/>
        </w:rPr>
        <w:t>Explosion des coûts d'endettement (+262%) à 6,79 milliards FCFA</w:t>
      </w:r>
    </w:p>
    <w:p>
      <w:pPr>
        <w:pStyle w:val="ListBullet"/>
        <w:spacing w:before="20" w:after="20"/>
        <w:ind w:left="700"/>
      </w:pPr>
      <w:r>
        <w:rPr>
          <w:sz w:val="18"/>
        </w:rPr>
        <w:t>Endettement long terme multiplié par 2,7 à 64,5 milliards FCFA</w:t>
      </w:r>
    </w:p>
    <w:p>
      <w:pPr>
        <w:pStyle w:val="ListBullet"/>
        <w:spacing w:before="20" w:after="20"/>
        <w:ind w:left="700"/>
      </w:pPr>
      <w:r>
        <w:rPr>
          <w:sz w:val="18"/>
        </w:rPr>
        <w:t>Forte augmentation des stocks (+38,5%) à 52,13 milliards FCFA</w:t>
      </w:r>
    </w:p>
    <w:p>
      <w:pPr>
        <w:pStyle w:val="ListBullet"/>
        <w:spacing w:before="20" w:after="20"/>
        <w:ind w:left="700"/>
      </w:pPr>
      <w:r>
        <w:rPr>
          <w:sz w:val="18"/>
        </w:rPr>
        <w:t>Flux de trésorerie opérationnels positifs à 10,38 milliards FCFA</w:t>
      </w:r>
    </w:p>
    <w:p>
      <w:pPr>
        <w:spacing w:before="40"/>
        <w:ind w:left="400"/>
      </w:pPr>
      <w:r>
        <w:rPr>
          <w:b/>
          <w:color w:val="C05000"/>
          <w:sz w:val="18"/>
        </w:rPr>
        <w:t xml:space="preserve">⚠️ Risques : </w:t>
      </w:r>
      <w:r>
        <w:rPr>
          <w:sz w:val="18"/>
        </w:rPr>
        <w:t>["Niveau d'endettement critique avec un ratio dette/capitaux propres de 374%", "Forte exposition aux taux d'int\u00e9r\u00eat avec 6,79 milliards FCFA de charges financi\u00e8res", "Volatilit\u00e9 du secteur sucrier d\u00e9pendant des cours des mati\u00e8res premi\u00e8res et conditions climatiques</w:t>
      </w:r>
    </w:p>
    <w:p>
      <w:pPr>
        <w:spacing w:before="40"/>
        <w:ind w:left="400"/>
      </w:pPr>
      <w:r>
        <w:rPr>
          <w:b/>
          <w:color w:val="0064A0"/>
          <w:sz w:val="18"/>
        </w:rPr>
        <w:t xml:space="preserve">🔮 Perspectives : </w:t>
      </w:r>
      <w:r>
        <w:rPr>
          <w:sz w:val="18"/>
        </w:rPr>
        <w:t>Les perspectives dépendront de la capacité de l'entreprise à rentabiliser ses investissements massifs et à améliorer ses marges opérationnelles. La société devra impérativement réduire ses coûts d'endettement et améliorer sa génération de cash-flow pour retrouver la rentabilité. Le secteur sucrier 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spectaculaire am\u00e9lioration de 16 milliards FCFA du r\u00e9sultat net d\u00e9montre une capacit\u00e9 de redressement remarquable et une meilleure ma\u00eetrise op\u00e9rationnelle. Bien que la soci\u00e9t\u00e9 reste d\u00e9ficitaire, la trajectoire positive et l'am\u00e9lioration des marges sugg\u00e8rent un retour \u00e0 la profitabilit\u00e9 \u00e0 court terme."}</w:t>
      </w:r>
    </w:p>
    <w:p>
      <w:pPr>
        <w:spacing w:before="40"/>
        <w:ind w:left="400"/>
      </w:pPr>
      <w:r>
        <w:rPr>
          <w:sz w:val="18"/>
        </w:rPr>
        <w:t>SUCRIVOIRE affiche une performance remarquable en 2023 avec un retour à la profitabilité significatif après une lourde perte en 2022. Le chiffre d'affaires reste stable à 68,1 milliards FCFA tandis que le résultat net s'améliore drastiquement de -7,0 milliards FCFA à -9,0 milliards FCFA, soit un redressement de 16 milliards FCFA. La marge brute progresse fortement de 17,8 à 24,0 milliards FCFA grâce à une meilleure maîtrise des coûts d'achat. La société maintient une structure financière solide avec 124,2 milliards FCFA d'actifs et améliore sa trésorerie. Les capitaux propres se renforcent malgré les pertes antérieures, témoignant d'une gestion financière rigoureuse.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'35,3%', 'endettement_lt': '30,127 milliards FCFA', 'ratio_endettement': '135,0%', 'flux_tresorerie_exploitation': '16,453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-13,2%</w:t>
            </w:r>
          </w:p>
        </w:tc>
        <w:tc>
          <w:tcPr>
            <w:tcW w:type="dxa" w:w="2160"/>
          </w:tcPr>
          <w:p>
            <w:pPr>
              <w:ind w:left="100"/>
            </w:pPr>
            <w:r/>
            <w:r>
              <w:rPr>
                <w:b/>
                <w:sz w:val="16"/>
              </w:rPr>
              <w:t>total_actif</w:t>
              <w:br/>
            </w:r>
            <w:r>
              <w:rPr>
                <w:sz w:val="18"/>
              </w:rPr>
              <w:t>124,183 milliards FCFA</w:t>
            </w:r>
          </w:p>
        </w:tc>
      </w:tr>
      <w:tr>
        <w:tc>
          <w:tcPr>
            <w:tcW w:type="dxa" w:w="2160"/>
          </w:tcPr>
          <w:p>
            <w:r/>
            <w:r>
              <w:rPr>
                <w:b/>
                <w:sz w:val="16"/>
              </w:rPr>
              <w:t>resultat_net</w:t>
              <w:br/>
            </w:r>
            <w:r>
              <w:rPr>
                <w:sz w:val="18"/>
              </w:rPr>
              <w:t>-9,010 milliards FCFA</w:t>
            </w:r>
          </w:p>
        </w:tc>
        <w:tc>
          <w:tcPr>
            <w:tcW w:type="dxa" w:w="2160"/>
          </w:tcPr>
          <w:p>
            <w:r/>
            <w:r>
              <w:rPr>
                <w:b/>
                <w:sz w:val="16"/>
              </w:rPr>
              <w:t>capitaux_propres</w:t>
              <w:br/>
            </w:r>
            <w:r>
              <w:rPr>
                <w:sz w:val="18"/>
              </w:rPr>
              <w:t>22,310 milliards FCFA</w:t>
            </w:r>
          </w:p>
        </w:tc>
        <w:tc>
          <w:tcPr>
            <w:tcW w:type="dxa" w:w="2160"/>
          </w:tcPr>
          <w:p>
            <w:r/>
            <w:r>
              <w:rPr>
                <w:b/>
                <w:sz w:val="16"/>
              </w:rPr>
              <w:t>chiffre_affaires</w:t>
              <w:br/>
            </w:r>
            <w:r>
              <w:rPr>
                <w:sz w:val="18"/>
              </w:rPr>
              <w:t>68,135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Redressement spectaculaire du résultat net de 16 milliards FCFA entre 2022 et 2023</w:t>
      </w:r>
    </w:p>
    <w:p>
      <w:pPr>
        <w:pStyle w:val="ListBullet"/>
        <w:spacing w:before="20" w:after="20"/>
        <w:ind w:left="700"/>
      </w:pPr>
      <w:r>
        <w:rPr>
          <w:sz w:val="18"/>
        </w:rPr>
        <w:t>Amélioration significative de la marge brute de 35% passant de 17,8 à 24,0 milliards FCFA</w:t>
      </w:r>
    </w:p>
    <w:p>
      <w:pPr>
        <w:pStyle w:val="ListBullet"/>
        <w:spacing w:before="20" w:after="20"/>
        <w:ind w:left="700"/>
      </w:pPr>
      <w:r>
        <w:rPr>
          <w:sz w:val="18"/>
        </w:rPr>
        <w:t>Stabilité du chiffre d'affaires à 68,1 milliards FCFA (-0,7%) démontrant la résilience commerciale</w:t>
      </w:r>
    </w:p>
    <w:p>
      <w:pPr>
        <w:pStyle w:val="ListBullet"/>
        <w:spacing w:before="20" w:after="20"/>
        <w:ind w:left="700"/>
      </w:pPr>
      <w:r>
        <w:rPr>
          <w:sz w:val="18"/>
        </w:rPr>
        <w:t>Optimisation des achats consommés qui diminuent de 50,8 à 44,1 milliards FCFA</w:t>
      </w:r>
    </w:p>
    <w:p>
      <w:pPr>
        <w:pStyle w:val="ListBullet"/>
        <w:spacing w:before="20" w:after="20"/>
        <w:ind w:left="700"/>
      </w:pPr>
      <w:r>
        <w:rPr>
          <w:sz w:val="18"/>
        </w:rPr>
        <w:t>Réduction des charges de personnel de 10,1 à 9,5 milliards FCFA (-6%)</w:t>
      </w:r>
    </w:p>
    <w:p>
      <w:pPr>
        <w:pStyle w:val="ListBullet"/>
        <w:spacing w:before="20" w:after="20"/>
        <w:ind w:left="700"/>
      </w:pPr>
      <w:r>
        <w:rPr>
          <w:sz w:val="18"/>
        </w:rPr>
        <w:t>Amélioration de la trésorerie nette avec des flux d'exploitation positifs de 16,5 milliards FCFA</w:t>
      </w:r>
    </w:p>
    <w:p>
      <w:pPr>
        <w:spacing w:before="40"/>
        <w:ind w:left="400"/>
      </w:pPr>
      <w:r>
        <w:rPr>
          <w:b/>
          <w:color w:val="C05000"/>
          <w:sz w:val="18"/>
        </w:rPr>
        <w:t xml:space="preserve">⚠️ Risques : </w:t>
      </w:r>
      <w:r>
        <w:rPr>
          <w:sz w:val="18"/>
        </w:rPr>
        <w:t>["Persistance des pertes nettes malgr\u00e9 l'am\u00e9lioration, fragilisant la structure financi\u00e8re \u00e0 long terme", "Niveau d'endettement \u00e9lev\u00e9 (135% des capitaux propres) pouvant limiter la flexibilit\u00e9 financi\u00e8re", "D\u00e9pendance aux conditions du march\u00e9 du sucr</w:t>
      </w:r>
    </w:p>
    <w:p>
      <w:pPr>
        <w:spacing w:before="40"/>
        <w:ind w:left="400"/>
      </w:pPr>
      <w:r>
        <w:rPr>
          <w:b/>
          <w:color w:val="0064A0"/>
          <w:sz w:val="18"/>
        </w:rPr>
        <w:t xml:space="preserve">🔮 Perspectives : </w:t>
      </w:r>
      <w:r>
        <w:rPr>
          <w:sz w:val="18"/>
        </w:rPr>
        <w:t xml:space="preserve">L'année 2024 devrait confirmer la tendance de redressement avec une possible atteinte de l'équilibre financier si la dynamique d'amélioration des marges se poursuit. La société dispose des fondamentaux nécessaires pour retrouver la profitabilité, sous réserve du maintien de la discipline de gestion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forte croissance du chiffre d'affaires et du r\u00e9sultat net est positive mais la baisse des capitaux propres suscite des interrogations. La g\u00e9n\u00e9ration de tr\u00e9sorerie op\u00e9rationnelle reste solide, justifiant une position d'attente."}</w:t>
      </w:r>
    </w:p>
    <w:p>
      <w:pPr>
        <w:spacing w:before="40"/>
        <w:ind w:left="400"/>
      </w:pPr>
      <w:r>
        <w:rPr>
          <w:sz w:val="18"/>
        </w:rPr>
        <w:t>Sucrivoire affiche des états financiers de synthèse contrastés au 31 décembre 2021 avec un chiffre d'affaires de 62,6 milliards FCFA et un résultat net bénéficiaire de 6,2 milliards FCFA. Le total actif s'établit à 107,2 milliards FCFA contre 84,6 milliards en 2020, marquant une croissance significative du bilan. Les capitaux propres se renforcent à 36,4 milliards FCFA contre 43,9 milliards l'année précédente, indiquant une diminution préoccupante. La trésorerie nette au 1er janvier 2021 s'élève à 8,6 milliards FCFA avec des flux opérationnels positifs de 3,9 milliards. La société maintient une position financière globalement stable malgré quelques signaux mitigés sur la structure capitalist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{'tresorerie_nette_initiale': '8 948 800 512 FCFA', 'immobilisations_corporelles': '47 745 012 763 FCFA', 'flux_tresorerie_operationnels': '3 919 912 364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w:t>
            </w:r>
          </w:p>
        </w:tc>
        <w:tc>
          <w:tcPr>
            <w:tcW w:type="dxa" w:w="2160"/>
          </w:tcPr>
          <w:p>
            <w:pPr>
              <w:ind w:left="100"/>
            </w:pPr>
            <w:r/>
            <w:r>
              <w:rPr>
                <w:b/>
                <w:sz w:val="16"/>
              </w:rPr>
              <w:t>total_actif</w:t>
              <w:br/>
            </w:r>
            <w:r>
              <w:rPr>
                <w:sz w:val="18"/>
              </w:rPr>
              <w:t>107 246 929 978 FCFA</w:t>
            </w:r>
          </w:p>
        </w:tc>
      </w:tr>
      <w:tr>
        <w:tc>
          <w:tcPr>
            <w:tcW w:type="dxa" w:w="2160"/>
          </w:tcPr>
          <w:p>
            <w:r/>
            <w:r>
              <w:rPr>
                <w:b/>
                <w:sz w:val="16"/>
              </w:rPr>
              <w:t>resultat_net</w:t>
              <w:br/>
            </w:r>
            <w:r>
              <w:rPr>
                <w:sz w:val="18"/>
              </w:rPr>
              <w:t>6 217 860 803 FCFA</w:t>
            </w:r>
          </w:p>
        </w:tc>
        <w:tc>
          <w:tcPr>
            <w:tcW w:type="dxa" w:w="2160"/>
          </w:tcPr>
          <w:p>
            <w:r/>
            <w:r>
              <w:rPr>
                <w:b/>
                <w:sz w:val="16"/>
              </w:rPr>
              <w:t>capitaux_propres</w:t>
              <w:br/>
            </w:r>
            <w:r>
              <w:rPr>
                <w:sz w:val="18"/>
              </w:rPr>
              <w:t>36 443 055 349 FCFA</w:t>
            </w:r>
          </w:p>
        </w:tc>
        <w:tc>
          <w:tcPr>
            <w:tcW w:type="dxa" w:w="2160"/>
          </w:tcPr>
          <w:p>
            <w:r/>
            <w:r>
              <w:rPr>
                <w:b/>
                <w:sz w:val="16"/>
              </w:rPr>
              <w:t>chiffre_affaires</w:t>
              <w:br/>
            </w:r>
            <w:r>
              <w:rPr>
                <w:sz w:val="18"/>
              </w:rPr>
              <w:t>62 607 361 117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progression à 62,6 milliards FCFA contre 49,3 milliards en 2020</w:t>
      </w:r>
    </w:p>
    <w:p>
      <w:pPr>
        <w:pStyle w:val="ListBullet"/>
        <w:spacing w:before="20" w:after="20"/>
        <w:ind w:left="700"/>
      </w:pPr>
      <w:r>
        <w:rPr>
          <w:sz w:val="18"/>
        </w:rPr>
        <w:t>Résultat net positif de 6,2 milliards FCFA contre 1,8 milliard en 2020</w:t>
      </w:r>
    </w:p>
    <w:p>
      <w:pPr>
        <w:pStyle w:val="ListBullet"/>
        <w:spacing w:before="20" w:after="20"/>
        <w:ind w:left="700"/>
      </w:pPr>
      <w:r>
        <w:rPr>
          <w:sz w:val="18"/>
        </w:rPr>
        <w:t>Total actif en forte hausse à 107,2 milliards FCFA (+26,7% vs 2020)</w:t>
      </w:r>
    </w:p>
    <w:p>
      <w:pPr>
        <w:pStyle w:val="ListBullet"/>
        <w:spacing w:before="20" w:after="20"/>
        <w:ind w:left="700"/>
      </w:pPr>
      <w:r>
        <w:rPr>
          <w:sz w:val="18"/>
        </w:rPr>
        <w:t>Diminution des capitaux propres de 43,9 à 36,4 milliards FCFA (-17%)</w:t>
      </w:r>
    </w:p>
    <w:p>
      <w:pPr>
        <w:pStyle w:val="ListBullet"/>
        <w:spacing w:before="20" w:after="20"/>
        <w:ind w:left="700"/>
      </w:pPr>
      <w:r>
        <w:rPr>
          <w:sz w:val="18"/>
        </w:rPr>
        <w:t>Trésorerie opérationnelle positive avec 8,6 milliards FCFA de trésorerie nette initiale</w:t>
      </w:r>
    </w:p>
    <w:p>
      <w:pPr>
        <w:pStyle w:val="ListBullet"/>
        <w:spacing w:before="20" w:after="20"/>
        <w:ind w:left="700"/>
      </w:pPr>
      <w:r>
        <w:rPr>
          <w:sz w:val="18"/>
        </w:rPr>
        <w:t>Flux de trésorerie opérationnels solides à 3,9 milliards FCFA</w:t>
      </w:r>
    </w:p>
    <w:p>
      <w:pPr>
        <w:spacing w:before="40"/>
        <w:ind w:left="400"/>
      </w:pPr>
      <w:r>
        <w:rPr>
          <w:b/>
          <w:color w:val="C05000"/>
          <w:sz w:val="18"/>
        </w:rPr>
        <w:t xml:space="preserve">⚠️ Risques : </w:t>
      </w:r>
      <w:r>
        <w:rPr>
          <w:sz w:val="18"/>
        </w:rPr>
        <w:t>["Diminution significative des capitaux propres de 17% fragilisant la structure financi\u00e8re", "Forte croissance du total actif n\u00e9cessitant un financement accru et impactant l'endettement", "D\u00e9pendance au secteur sucrier expos\u00e9 aux fluctuations des cours des mati\u00e8res premi\u00</w:t>
      </w:r>
    </w:p>
    <w:p>
      <w:pPr>
        <w:spacing w:before="40"/>
        <w:ind w:left="400"/>
      </w:pPr>
      <w:r>
        <w:rPr>
          <w:b/>
          <w:color w:val="0064A0"/>
          <w:sz w:val="18"/>
        </w:rPr>
        <w:t xml:space="preserve">🔮 Perspectives : </w:t>
      </w:r>
      <w:r>
        <w:rPr>
          <w:sz w:val="18"/>
        </w:rPr>
        <w:t>Les perspectives restent modérément optimistes compte tenu de la forte croissance opérationnelle observée en 2021. La capacité de la société à reconstituer ses capitaux propres et à maintenir sa rentabilité sera déterminante pour confirmer cette tendance positive.</w:t>
      </w:r>
    </w:p>
    <w:p/>
    <w:p>
      <w:r>
        <w:t>════════════════════════════════════════════════════════════════════════════════</w:t>
      </w:r>
    </w:p>
    <w:p>
      <w:r>
        <w:br w:type="page"/>
      </w:r>
    </w:p>
    <w:p>
      <w:pPr>
        <w:pStyle w:val="Heading2"/>
        <w:spacing w:before="360"/>
      </w:pPr>
      <w:r>
        <w:rPr>
          <w:color w:val="0066CC"/>
        </w:rPr>
        <w:t>29. SDCC - SDCC - Société de Distribution d'Eau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SDCC</w:t>
            </w:r>
          </w:p>
          <w:p>
            <w:r>
              <w:rPr>
                <w:b/>
                <w:color w:val="323250"/>
                <w:sz w:val="16"/>
              </w:rPr>
              <w:t xml:space="preserve">Société : </w:t>
            </w:r>
            <w:r>
              <w:rPr>
                <w:color w:val="000000"/>
                <w:sz w:val="16"/>
              </w:rPr>
              <w:t>SDCC - Société de Distribution d'Eau de ...</w:t>
            </w:r>
          </w:p>
          <w:p>
            <w:r>
              <w:rPr>
                <w:b/>
                <w:color w:val="323250"/>
                <w:sz w:val="16"/>
              </w:rPr>
              <w:t xml:space="preserve">Secteur : </w:t>
            </w:r>
            <w:r>
              <w:rPr>
                <w:color w:val="000000"/>
                <w:sz w:val="16"/>
              </w:rPr>
              <w:t>SERVICES PUBLICS</w:t>
            </w:r>
          </w:p>
        </w:tc>
        <w:tc>
          <w:tcPr>
            <w:tcW w:type="dxa" w:w="2268"/>
            <w:shd w:fill="E2EFDA" w:val="clear"/>
          </w:tcPr>
          <w:p>
            <w:r>
              <w:rPr>
                <w:b/>
                <w:color w:val="1E461E"/>
                <w:sz w:val="16"/>
              </w:rPr>
              <w:t xml:space="preserve">Capitalisation : </w:t>
            </w:r>
            <w:r>
              <w:rPr>
                <w:b/>
                <w:color w:val="006400"/>
                <w:sz w:val="17"/>
              </w:rPr>
              <w:t>114.30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1,025 titres</w:t>
            </w:r>
          </w:p>
        </w:tc>
        <w:tc>
          <w:tcPr>
            <w:tcW w:type="dxa" w:w="2268"/>
            <w:shd w:fill="FFF2CC" w:val="clear"/>
          </w:tcPr>
          <w:p>
            <w:r>
              <w:rPr>
                <w:b/>
                <w:color w:val="503200"/>
                <w:sz w:val="16"/>
              </w:rPr>
              <w:t xml:space="preserve">Cours actuel : </w:t>
            </w:r>
            <w:r>
              <w:rPr>
                <w:color w:val="000000"/>
                <w:sz w:val="17"/>
              </w:rPr>
              <w:t>12,700 FCFA</w:t>
            </w:r>
          </w:p>
          <w:p>
            <w:r>
              <w:rPr>
                <w:b/>
                <w:color w:val="503200"/>
                <w:sz w:val="16"/>
              </w:rPr>
              <w:t xml:space="preserve">Var. 100 jours : </w:t>
            </w:r>
            <w:r>
              <w:rPr>
                <w:b/>
                <w:color w:val="007800"/>
                <w:sz w:val="17"/>
              </w:rPr>
              <w:t>+71.62%</w:t>
            </w:r>
          </w:p>
          <w:p>
            <w:r>
              <w:rPr>
                <w:b/>
                <w:color w:val="503200"/>
                <w:sz w:val="16"/>
              </w:rPr>
              <w:t xml:space="preserve">Plus haut 100j : </w:t>
            </w:r>
            <w:r>
              <w:rPr>
                <w:color w:val="000000"/>
                <w:sz w:val="17"/>
              </w:rPr>
              <w:t>12,700 FCFA</w:t>
            </w:r>
          </w:p>
          <w:p>
            <w:r>
              <w:rPr>
                <w:b/>
                <w:color w:val="503200"/>
                <w:sz w:val="16"/>
              </w:rPr>
              <w:t xml:space="preserve">Plus bas 100j : </w:t>
            </w:r>
            <w:r>
              <w:rPr>
                <w:color w:val="000000"/>
                <w:sz w:val="17"/>
              </w:rPr>
              <w:t>7,140 FCFA</w:t>
            </w:r>
          </w:p>
          <w:p>
            <w:r>
              <w:rPr>
                <w:b/>
                <w:color w:val="503200"/>
                <w:sz w:val="16"/>
              </w:rPr>
              <w:t xml:space="preserve">Volatilité ann. : </w:t>
            </w:r>
            <w:r>
              <w:rPr>
                <w:color w:val="000000"/>
                <w:sz w:val="17"/>
              </w:rPr>
              <w:t>36.1%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28.1/100 → Moyen</w:t>
      </w:r>
    </w:p>
    <w:p>
      <w:pPr>
        <w:spacing w:before="40" w:after="80"/>
      </w:pPr>
      <w:r>
        <w:rPr>
          <w:rFonts w:ascii="Courier New" w:hAnsi="Courier New"/>
          <w:color w:val="825A00"/>
          <w:sz w:val="18"/>
        </w:rPr>
        <w:t>█████░░░░░░░░░░░░░░░  28.1/100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17.23% (Élevée) — μ=10,614 FCFA, σ=1,829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β=0.1140 (Défensif) — Cov=0.000004, Var(idx)=0.000035, ρ=0.030,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1,025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Vente=3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σ_j=2.27%/j (Stable) — Vol. annualisée≈36.1%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C000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70/100  (Excellent)</w:t>
      </w:r>
    </w:p>
    <w:p/>
    <w:p>
      <w:pPr>
        <w:jc w:val="center"/>
      </w:pPr>
      <w:r>
        <w:drawing>
          <wp:inline xmlns:a="http://schemas.openxmlformats.org/drawingml/2006/main" xmlns:pic="http://schemas.openxmlformats.org/drawingml/2006/picture">
            <wp:extent cx="5669280" cy="2603190"/>
            <wp:docPr id="31" name="Picture 31"/>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2026-08-28</w:t>
            </w:r>
          </w:p>
        </w:tc>
        <w:tc>
          <w:tcPr>
            <w:tcW w:type="dxa" w:w="1440"/>
            <w:shd w:fill="FFDCE0" w:val="clear"/>
          </w:tcPr>
          <w:p>
            <w:r>
              <w:rPr>
                <w:sz w:val="17"/>
              </w:rPr>
              <w:t>11,703</w:t>
            </w:r>
          </w:p>
        </w:tc>
        <w:tc>
          <w:tcPr>
            <w:tcW w:type="dxa" w:w="1440"/>
            <w:shd w:fill="FFDCE0" w:val="clear"/>
          </w:tcPr>
          <w:p>
            <w:r>
              <w:rPr>
                <w:b/>
                <w:sz w:val="17"/>
              </w:rPr>
              <w:t>12,074</w:t>
            </w:r>
          </w:p>
        </w:tc>
        <w:tc>
          <w:tcPr>
            <w:tcW w:type="dxa" w:w="1440"/>
            <w:shd w:fill="FFDCE0" w:val="clear"/>
          </w:tcPr>
          <w:p>
            <w:r>
              <w:rPr>
                <w:sz w:val="17"/>
              </w:rPr>
              <w:t>12,445</w:t>
            </w:r>
          </w:p>
        </w:tc>
        <w:tc>
          <w:tcPr>
            <w:tcW w:type="dxa" w:w="1440"/>
            <w:shd w:fill="FFDCE0" w:val="clear"/>
          </w:tcPr>
          <w:p>
            <w:r>
              <w:rPr>
                <w:b/>
                <w:color w:val="C00000"/>
                <w:sz w:val="17"/>
              </w:rPr>
              <w:t>-4.9%</w:t>
            </w:r>
          </w:p>
        </w:tc>
      </w:tr>
      <w:tr>
        <w:tc>
          <w:tcPr>
            <w:tcW w:type="dxa" w:w="1440"/>
            <w:shd w:fill="FFDCE0" w:val="clear"/>
          </w:tcPr>
          <w:p>
            <w:r>
              <w:rPr>
                <w:sz w:val="17"/>
              </w:rPr>
              <w:t>J+2  Moyenne</w:t>
            </w:r>
          </w:p>
        </w:tc>
        <w:tc>
          <w:tcPr>
            <w:tcW w:type="dxa" w:w="1440"/>
            <w:shd w:fill="FFDCE0" w:val="clear"/>
          </w:tcPr>
          <w:p>
            <w:r>
              <w:rPr>
                <w:sz w:val="17"/>
              </w:rPr>
              <w:t>2026-08-31</w:t>
            </w:r>
          </w:p>
        </w:tc>
        <w:tc>
          <w:tcPr>
            <w:tcW w:type="dxa" w:w="1440"/>
            <w:shd w:fill="FFDCE0" w:val="clear"/>
          </w:tcPr>
          <w:p>
            <w:r>
              <w:rPr>
                <w:sz w:val="17"/>
              </w:rPr>
              <w:t>11,405</w:t>
            </w:r>
          </w:p>
        </w:tc>
        <w:tc>
          <w:tcPr>
            <w:tcW w:type="dxa" w:w="1440"/>
            <w:shd w:fill="FFDCE0" w:val="clear"/>
          </w:tcPr>
          <w:p>
            <w:r>
              <w:rPr>
                <w:b/>
                <w:sz w:val="17"/>
              </w:rPr>
              <w:t>11,922</w:t>
            </w:r>
          </w:p>
        </w:tc>
        <w:tc>
          <w:tcPr>
            <w:tcW w:type="dxa" w:w="1440"/>
            <w:shd w:fill="FFDCE0" w:val="clear"/>
          </w:tcPr>
          <w:p>
            <w:r>
              <w:rPr>
                <w:sz w:val="17"/>
              </w:rPr>
              <w:t>12,440</w:t>
            </w:r>
          </w:p>
        </w:tc>
        <w:tc>
          <w:tcPr>
            <w:tcW w:type="dxa" w:w="1440"/>
            <w:shd w:fill="FFDCE0" w:val="clear"/>
          </w:tcPr>
          <w:p>
            <w:r>
              <w:rPr>
                <w:b/>
                <w:color w:val="C00000"/>
                <w:sz w:val="17"/>
              </w:rPr>
              <w:t>-6.1%</w:t>
            </w:r>
          </w:p>
        </w:tc>
      </w:tr>
      <w:tr>
        <w:tc>
          <w:tcPr>
            <w:tcW w:type="dxa" w:w="1440"/>
            <w:shd w:fill="FFDCE0" w:val="clear"/>
          </w:tcPr>
          <w:p>
            <w:r>
              <w:rPr>
                <w:sz w:val="17"/>
              </w:rPr>
              <w:t>J+3  ⭐</w:t>
            </w:r>
          </w:p>
        </w:tc>
        <w:tc>
          <w:tcPr>
            <w:tcW w:type="dxa" w:w="1440"/>
            <w:shd w:fill="FFDCE0" w:val="clear"/>
          </w:tcPr>
          <w:p>
            <w:r>
              <w:rPr>
                <w:sz w:val="17"/>
              </w:rPr>
              <w:t>2026-09-01</w:t>
            </w:r>
          </w:p>
        </w:tc>
        <w:tc>
          <w:tcPr>
            <w:tcW w:type="dxa" w:w="1440"/>
            <w:shd w:fill="FFDCE0" w:val="clear"/>
          </w:tcPr>
          <w:p>
            <w:r>
              <w:rPr>
                <w:sz w:val="17"/>
              </w:rPr>
              <w:t>11,154</w:t>
            </w:r>
          </w:p>
        </w:tc>
        <w:tc>
          <w:tcPr>
            <w:tcW w:type="dxa" w:w="1440"/>
            <w:shd w:fill="FFDCE0" w:val="clear"/>
          </w:tcPr>
          <w:p>
            <w:r>
              <w:rPr>
                <w:b/>
                <w:sz w:val="17"/>
              </w:rPr>
              <w:t>11,781</w:t>
            </w:r>
          </w:p>
        </w:tc>
        <w:tc>
          <w:tcPr>
            <w:tcW w:type="dxa" w:w="1440"/>
            <w:shd w:fill="FFDCE0" w:val="clear"/>
          </w:tcPr>
          <w:p>
            <w:r>
              <w:rPr>
                <w:sz w:val="17"/>
              </w:rPr>
              <w:t>12,408</w:t>
            </w:r>
          </w:p>
        </w:tc>
        <w:tc>
          <w:tcPr>
            <w:tcW w:type="dxa" w:w="1440"/>
            <w:shd w:fill="FFDCE0" w:val="clear"/>
          </w:tcPr>
          <w:p>
            <w:r>
              <w:rPr>
                <w:b/>
                <w:color w:val="C00000"/>
                <w:sz w:val="17"/>
              </w:rPr>
              <w:t>-7.2%</w:t>
            </w:r>
          </w:p>
        </w:tc>
      </w:tr>
      <w:tr>
        <w:tc>
          <w:tcPr>
            <w:tcW w:type="dxa" w:w="1440"/>
            <w:shd w:fill="FFDCE0" w:val="clear"/>
          </w:tcPr>
          <w:p>
            <w:r>
              <w:rPr>
                <w:sz w:val="17"/>
              </w:rPr>
              <w:t>J+4  ⭐</w:t>
            </w:r>
          </w:p>
        </w:tc>
        <w:tc>
          <w:tcPr>
            <w:tcW w:type="dxa" w:w="1440"/>
            <w:shd w:fill="FFDCE0" w:val="clear"/>
          </w:tcPr>
          <w:p>
            <w:r>
              <w:rPr>
                <w:sz w:val="17"/>
              </w:rPr>
              <w:t>2026-09-02</w:t>
            </w:r>
          </w:p>
        </w:tc>
        <w:tc>
          <w:tcPr>
            <w:tcW w:type="dxa" w:w="1440"/>
            <w:shd w:fill="FFDCE0" w:val="clear"/>
          </w:tcPr>
          <w:p>
            <w:r>
              <w:rPr>
                <w:sz w:val="17"/>
              </w:rPr>
              <w:t>10,940</w:t>
            </w:r>
          </w:p>
        </w:tc>
        <w:tc>
          <w:tcPr>
            <w:tcW w:type="dxa" w:w="1440"/>
            <w:shd w:fill="FFDCE0" w:val="clear"/>
          </w:tcPr>
          <w:p>
            <w:r>
              <w:rPr>
                <w:b/>
                <w:sz w:val="17"/>
              </w:rPr>
              <w:t>11,656</w:t>
            </w:r>
          </w:p>
        </w:tc>
        <w:tc>
          <w:tcPr>
            <w:tcW w:type="dxa" w:w="1440"/>
            <w:shd w:fill="FFDCE0" w:val="clear"/>
          </w:tcPr>
          <w:p>
            <w:r>
              <w:rPr>
                <w:sz w:val="17"/>
              </w:rPr>
              <w:t>12,372</w:t>
            </w:r>
          </w:p>
        </w:tc>
        <w:tc>
          <w:tcPr>
            <w:tcW w:type="dxa" w:w="1440"/>
            <w:shd w:fill="FFDCE0" w:val="clear"/>
          </w:tcPr>
          <w:p>
            <w:r>
              <w:rPr>
                <w:b/>
                <w:color w:val="C00000"/>
                <w:sz w:val="17"/>
              </w:rPr>
              <w:t>-8.2%</w:t>
            </w:r>
          </w:p>
        </w:tc>
      </w:tr>
      <w:tr>
        <w:tc>
          <w:tcPr>
            <w:tcW w:type="dxa" w:w="1440"/>
            <w:shd w:fill="FFDCE0" w:val="clear"/>
          </w:tcPr>
          <w:p>
            <w:r>
              <w:rPr>
                <w:sz w:val="17"/>
              </w:rPr>
              <w:t>J+5  ⭐</w:t>
            </w:r>
          </w:p>
        </w:tc>
        <w:tc>
          <w:tcPr>
            <w:tcW w:type="dxa" w:w="1440"/>
            <w:shd w:fill="FFDCE0" w:val="clear"/>
          </w:tcPr>
          <w:p>
            <w:r>
              <w:rPr>
                <w:sz w:val="17"/>
              </w:rPr>
              <w:t>2026-09-03</w:t>
            </w:r>
          </w:p>
        </w:tc>
        <w:tc>
          <w:tcPr>
            <w:tcW w:type="dxa" w:w="1440"/>
            <w:shd w:fill="FFDCE0" w:val="clear"/>
          </w:tcPr>
          <w:p>
            <w:r>
              <w:rPr>
                <w:sz w:val="17"/>
              </w:rPr>
              <w:t>10,749</w:t>
            </w:r>
          </w:p>
        </w:tc>
        <w:tc>
          <w:tcPr>
            <w:tcW w:type="dxa" w:w="1440"/>
            <w:shd w:fill="FFDCE0" w:val="clear"/>
          </w:tcPr>
          <w:p>
            <w:r>
              <w:rPr>
                <w:b/>
                <w:sz w:val="17"/>
              </w:rPr>
              <w:t>11,542</w:t>
            </w:r>
          </w:p>
        </w:tc>
        <w:tc>
          <w:tcPr>
            <w:tcW w:type="dxa" w:w="1440"/>
            <w:shd w:fill="FFDCE0" w:val="clear"/>
          </w:tcPr>
          <w:p>
            <w:r>
              <w:rPr>
                <w:sz w:val="17"/>
              </w:rPr>
              <w:t>12,334</w:t>
            </w:r>
          </w:p>
        </w:tc>
        <w:tc>
          <w:tcPr>
            <w:tcW w:type="dxa" w:w="1440"/>
            <w:shd w:fill="FFDCE0" w:val="clear"/>
          </w:tcPr>
          <w:p>
            <w:r>
              <w:rPr>
                <w:b/>
                <w:color w:val="C00000"/>
                <w:sz w:val="17"/>
              </w:rPr>
              <w:t>-9.1%</w:t>
            </w:r>
          </w:p>
        </w:tc>
      </w:tr>
      <w:tr>
        <w:tc>
          <w:tcPr>
            <w:tcW w:type="dxa" w:w="1440"/>
            <w:shd w:fill="FFDCE0" w:val="clear"/>
          </w:tcPr>
          <w:p>
            <w:r>
              <w:rPr>
                <w:sz w:val="17"/>
              </w:rPr>
              <w:t>J+6  ⭐</w:t>
            </w:r>
          </w:p>
        </w:tc>
        <w:tc>
          <w:tcPr>
            <w:tcW w:type="dxa" w:w="1440"/>
            <w:shd w:fill="FFDCE0" w:val="clear"/>
          </w:tcPr>
          <w:p>
            <w:r>
              <w:rPr>
                <w:sz w:val="17"/>
              </w:rPr>
              <w:t>2026-09-04</w:t>
            </w:r>
          </w:p>
        </w:tc>
        <w:tc>
          <w:tcPr>
            <w:tcW w:type="dxa" w:w="1440"/>
            <w:shd w:fill="FFDCE0" w:val="clear"/>
          </w:tcPr>
          <w:p>
            <w:r>
              <w:rPr>
                <w:sz w:val="17"/>
              </w:rPr>
              <w:t>10,575</w:t>
            </w:r>
          </w:p>
        </w:tc>
        <w:tc>
          <w:tcPr>
            <w:tcW w:type="dxa" w:w="1440"/>
            <w:shd w:fill="FFDCE0" w:val="clear"/>
          </w:tcPr>
          <w:p>
            <w:r>
              <w:rPr>
                <w:b/>
                <w:sz w:val="17"/>
              </w:rPr>
              <w:t>11,435</w:t>
            </w:r>
          </w:p>
        </w:tc>
        <w:tc>
          <w:tcPr>
            <w:tcW w:type="dxa" w:w="1440"/>
            <w:shd w:fill="FFDCE0" w:val="clear"/>
          </w:tcPr>
          <w:p>
            <w:r>
              <w:rPr>
                <w:sz w:val="17"/>
              </w:rPr>
              <w:t>12,295</w:t>
            </w:r>
          </w:p>
        </w:tc>
        <w:tc>
          <w:tcPr>
            <w:tcW w:type="dxa" w:w="1440"/>
            <w:shd w:fill="FFDCE0" w:val="clear"/>
          </w:tcPr>
          <w:p>
            <w:r>
              <w:rPr>
                <w:b/>
                <w:color w:val="C00000"/>
                <w:sz w:val="17"/>
              </w:rPr>
              <w:t>-10.0%</w:t>
            </w:r>
          </w:p>
        </w:tc>
      </w:tr>
      <w:tr>
        <w:tc>
          <w:tcPr>
            <w:tcW w:type="dxa" w:w="1440"/>
            <w:shd w:fill="FFDCE0" w:val="clear"/>
          </w:tcPr>
          <w:p>
            <w:r>
              <w:rPr>
                <w:sz w:val="17"/>
              </w:rPr>
              <w:t>J+7  ⭐</w:t>
            </w:r>
          </w:p>
        </w:tc>
        <w:tc>
          <w:tcPr>
            <w:tcW w:type="dxa" w:w="1440"/>
            <w:shd w:fill="FFDCE0" w:val="clear"/>
          </w:tcPr>
          <w:p>
            <w:r>
              <w:rPr>
                <w:sz w:val="17"/>
              </w:rPr>
              <w:t>2026-09-07</w:t>
            </w:r>
          </w:p>
        </w:tc>
        <w:tc>
          <w:tcPr>
            <w:tcW w:type="dxa" w:w="1440"/>
            <w:shd w:fill="FFDCE0" w:val="clear"/>
          </w:tcPr>
          <w:p>
            <w:r>
              <w:rPr>
                <w:sz w:val="17"/>
              </w:rPr>
              <w:t>10,417</w:t>
            </w:r>
          </w:p>
        </w:tc>
        <w:tc>
          <w:tcPr>
            <w:tcW w:type="dxa" w:w="1440"/>
            <w:shd w:fill="FFDCE0" w:val="clear"/>
          </w:tcPr>
          <w:p>
            <w:r>
              <w:rPr>
                <w:b/>
                <w:sz w:val="17"/>
              </w:rPr>
              <w:t>11,338</w:t>
            </w:r>
          </w:p>
        </w:tc>
        <w:tc>
          <w:tcPr>
            <w:tcW w:type="dxa" w:w="1440"/>
            <w:shd w:fill="FFDCE0" w:val="clear"/>
          </w:tcPr>
          <w:p>
            <w:r>
              <w:rPr>
                <w:sz w:val="17"/>
              </w:rPr>
              <w:t>12,260</w:t>
            </w:r>
          </w:p>
        </w:tc>
        <w:tc>
          <w:tcPr>
            <w:tcW w:type="dxa" w:w="1440"/>
            <w:shd w:fill="FFDCE0" w:val="clear"/>
          </w:tcPr>
          <w:p>
            <w:r>
              <w:rPr>
                <w:b/>
                <w:color w:val="C00000"/>
                <w:sz w:val="17"/>
              </w:rPr>
              <w:t>-10.7%</w:t>
            </w:r>
          </w:p>
        </w:tc>
      </w:tr>
      <w:tr>
        <w:tc>
          <w:tcPr>
            <w:tcW w:type="dxa" w:w="1440"/>
            <w:shd w:fill="FFDCE0" w:val="clear"/>
          </w:tcPr>
          <w:p>
            <w:r>
              <w:rPr>
                <w:sz w:val="17"/>
              </w:rPr>
              <w:t>J+8  ⭐</w:t>
            </w:r>
          </w:p>
        </w:tc>
        <w:tc>
          <w:tcPr>
            <w:tcW w:type="dxa" w:w="1440"/>
            <w:shd w:fill="FFDCE0" w:val="clear"/>
          </w:tcPr>
          <w:p>
            <w:r>
              <w:rPr>
                <w:sz w:val="17"/>
              </w:rPr>
              <w:t>2026-09-08</w:t>
            </w:r>
          </w:p>
        </w:tc>
        <w:tc>
          <w:tcPr>
            <w:tcW w:type="dxa" w:w="1440"/>
            <w:shd w:fill="FFDCE0" w:val="clear"/>
          </w:tcPr>
          <w:p>
            <w:r>
              <w:rPr>
                <w:sz w:val="17"/>
              </w:rPr>
              <w:t>10,271</w:t>
            </w:r>
          </w:p>
        </w:tc>
        <w:tc>
          <w:tcPr>
            <w:tcW w:type="dxa" w:w="1440"/>
            <w:shd w:fill="FFDCE0" w:val="clear"/>
          </w:tcPr>
          <w:p>
            <w:r>
              <w:rPr>
                <w:b/>
                <w:sz w:val="17"/>
              </w:rPr>
              <w:t>11,248</w:t>
            </w:r>
          </w:p>
        </w:tc>
        <w:tc>
          <w:tcPr>
            <w:tcW w:type="dxa" w:w="1440"/>
            <w:shd w:fill="FFDCE0" w:val="clear"/>
          </w:tcPr>
          <w:p>
            <w:r>
              <w:rPr>
                <w:sz w:val="17"/>
              </w:rPr>
              <w:t>12,225</w:t>
            </w:r>
          </w:p>
        </w:tc>
        <w:tc>
          <w:tcPr>
            <w:tcW w:type="dxa" w:w="1440"/>
            <w:shd w:fill="FFDCE0" w:val="clear"/>
          </w:tcPr>
          <w:p>
            <w:r>
              <w:rPr>
                <w:b/>
                <w:color w:val="C00000"/>
                <w:sz w:val="17"/>
              </w:rPr>
              <w:t>-11.4%</w:t>
            </w:r>
          </w:p>
        </w:tc>
      </w:tr>
      <w:tr>
        <w:tc>
          <w:tcPr>
            <w:tcW w:type="dxa" w:w="1440"/>
            <w:shd w:fill="FFDCE0" w:val="clear"/>
          </w:tcPr>
          <w:p>
            <w:r>
              <w:rPr>
                <w:sz w:val="17"/>
              </w:rPr>
              <w:t>J+9  ⭐</w:t>
            </w:r>
          </w:p>
        </w:tc>
        <w:tc>
          <w:tcPr>
            <w:tcW w:type="dxa" w:w="1440"/>
            <w:shd w:fill="FFDCE0" w:val="clear"/>
          </w:tcPr>
          <w:p>
            <w:r>
              <w:rPr>
                <w:sz w:val="17"/>
              </w:rPr>
              <w:t>2026-09-09</w:t>
            </w:r>
          </w:p>
        </w:tc>
        <w:tc>
          <w:tcPr>
            <w:tcW w:type="dxa" w:w="1440"/>
            <w:shd w:fill="FFDCE0" w:val="clear"/>
          </w:tcPr>
          <w:p>
            <w:r>
              <w:rPr>
                <w:sz w:val="17"/>
              </w:rPr>
              <w:t>10,134</w:t>
            </w:r>
          </w:p>
        </w:tc>
        <w:tc>
          <w:tcPr>
            <w:tcW w:type="dxa" w:w="1440"/>
            <w:shd w:fill="FFDCE0" w:val="clear"/>
          </w:tcPr>
          <w:p>
            <w:r>
              <w:rPr>
                <w:b/>
                <w:sz w:val="17"/>
              </w:rPr>
              <w:t>11,163</w:t>
            </w:r>
          </w:p>
        </w:tc>
        <w:tc>
          <w:tcPr>
            <w:tcW w:type="dxa" w:w="1440"/>
            <w:shd w:fill="FFDCE0" w:val="clear"/>
          </w:tcPr>
          <w:p>
            <w:r>
              <w:rPr>
                <w:sz w:val="17"/>
              </w:rPr>
              <w:t>12,191</w:t>
            </w:r>
          </w:p>
        </w:tc>
        <w:tc>
          <w:tcPr>
            <w:tcW w:type="dxa" w:w="1440"/>
            <w:shd w:fill="FFDCE0" w:val="clear"/>
          </w:tcPr>
          <w:p>
            <w:r>
              <w:rPr>
                <w:b/>
                <w:color w:val="C00000"/>
                <w:sz w:val="17"/>
              </w:rPr>
              <w:t>-12.1%</w:t>
            </w:r>
          </w:p>
        </w:tc>
      </w:tr>
      <w:tr>
        <w:tc>
          <w:tcPr>
            <w:tcW w:type="dxa" w:w="1440"/>
            <w:shd w:fill="FFDCE0" w:val="clear"/>
          </w:tcPr>
          <w:p>
            <w:r>
              <w:rPr>
                <w:sz w:val="17"/>
              </w:rPr>
              <w:t>J+10  ⭐</w:t>
            </w:r>
          </w:p>
        </w:tc>
        <w:tc>
          <w:tcPr>
            <w:tcW w:type="dxa" w:w="1440"/>
            <w:shd w:fill="FFDCE0" w:val="clear"/>
          </w:tcPr>
          <w:p>
            <w:r>
              <w:rPr>
                <w:sz w:val="17"/>
              </w:rPr>
              <w:t>2026-09-10</w:t>
            </w:r>
          </w:p>
        </w:tc>
        <w:tc>
          <w:tcPr>
            <w:tcW w:type="dxa" w:w="1440"/>
            <w:shd w:fill="FFDCE0" w:val="clear"/>
          </w:tcPr>
          <w:p>
            <w:r>
              <w:rPr>
                <w:sz w:val="17"/>
              </w:rPr>
              <w:t>10,007</w:t>
            </w:r>
          </w:p>
        </w:tc>
        <w:tc>
          <w:tcPr>
            <w:tcW w:type="dxa" w:w="1440"/>
            <w:shd w:fill="FFDCE0" w:val="clear"/>
          </w:tcPr>
          <w:p>
            <w:r>
              <w:rPr>
                <w:b/>
                <w:sz w:val="17"/>
              </w:rPr>
              <w:t>11,083</w:t>
            </w:r>
          </w:p>
        </w:tc>
        <w:tc>
          <w:tcPr>
            <w:tcW w:type="dxa" w:w="1440"/>
            <w:shd w:fill="FFDCE0" w:val="clear"/>
          </w:tcPr>
          <w:p>
            <w:r>
              <w:rPr>
                <w:sz w:val="17"/>
              </w:rPr>
              <w:t>12,159</w:t>
            </w:r>
          </w:p>
        </w:tc>
        <w:tc>
          <w:tcPr>
            <w:tcW w:type="dxa" w:w="1440"/>
            <w:shd w:fill="FFDCE0" w:val="clear"/>
          </w:tcPr>
          <w:p>
            <w:r>
              <w:rPr>
                <w:b/>
                <w:color w:val="C00000"/>
                <w:sz w:val="17"/>
              </w:rPr>
              <w:t>-12.7%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388.852 Mds FCFA</w:t>
            </w:r>
          </w:p>
        </w:tc>
        <w:tc>
          <w:tcPr>
            <w:tcW w:type="dxa" w:w="5669"/>
            <w:shd w:fill="FFFFFF" w:val="clear"/>
          </w:tcPr>
          <w:p>
            <w:r>
              <w:rPr>
                <w:color w:val="282828"/>
                <w:sz w:val="15"/>
              </w:rPr>
              <w:t>Créances clients = 205.3%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22.913 Mds FCFA</w:t>
            </w:r>
          </w:p>
        </w:tc>
        <w:tc>
          <w:tcPr>
            <w:tcW w:type="dxa" w:w="5669"/>
            <w:shd w:fill="FFFFFF" w:val="clear"/>
          </w:tcPr>
          <w:p>
            <w:r>
              <w:rPr>
                <w:color w:val="282828"/>
                <w:sz w:val="15"/>
              </w:rPr>
              <w:t>Rotation stocks = 8.3x/an.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411.765 Mds FCFA</w:t>
            </w:r>
          </w:p>
        </w:tc>
        <w:tc>
          <w:tcPr>
            <w:tcW w:type="dxa" w:w="5669"/>
            <w:shd w:fill="FFFFFF" w:val="clear"/>
          </w:tcPr>
          <w:p>
            <w:r>
              <w:rPr>
                <w:color w:val="282828"/>
                <w:sz w:val="15"/>
              </w:rPr>
              <w:t>Ratio actif circ./passif circ. = 1.34x.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1.474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44.801 Mds FCFA</w:t>
            </w:r>
          </w:p>
        </w:tc>
        <w:tc>
          <w:tcPr>
            <w:tcW w:type="dxa" w:w="5669"/>
            <w:shd w:fill="FFFFFF" w:val="clear"/>
          </w:tcPr>
          <w:p>
            <w:r>
              <w:rPr>
                <w:color w:val="282828"/>
                <w:sz w:val="15"/>
              </w:rPr>
              <w:t>Outil industriel (9.5%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49.441 Mds FCFA</w:t>
            </w:r>
          </w:p>
        </w:tc>
        <w:tc>
          <w:tcPr>
            <w:tcW w:type="dxa" w:w="5669"/>
            <w:shd w:fill="FFFFFF" w:val="clear"/>
          </w:tcPr>
          <w:p>
            <w:r>
              <w:rPr>
                <w:color w:val="282828"/>
                <w:sz w:val="15"/>
              </w:rPr>
              <w:t>Actif immobilisé = 10.5%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11.465 Mds FCFA</w:t>
            </w:r>
          </w:p>
        </w:tc>
        <w:tc>
          <w:tcPr>
            <w:tcW w:type="dxa" w:w="5669"/>
            <w:shd w:fill="FFFFFF" w:val="clear"/>
          </w:tcPr>
          <w:p>
            <w:r>
              <w:rPr>
                <w:color w:val="282828"/>
                <w:sz w:val="15"/>
              </w:rPr>
              <w:t>Liquidités disponibles (2.4%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472.672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4.500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7.419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C7CE" w:val="clear"/>
          </w:tcPr>
          <w:p>
            <w:r>
              <w:rPr>
                <w:b/>
                <w:color w:val="006400"/>
                <w:sz w:val="17"/>
              </w:rPr>
              <w:t>19.716 Mds FCFA</w:t>
            </w:r>
          </w:p>
        </w:tc>
        <w:tc>
          <w:tcPr>
            <w:tcW w:type="dxa" w:w="5669"/>
            <w:shd w:fill="FFFFFF" w:val="clear"/>
          </w:tcPr>
          <w:p>
            <w:r>
              <w:rPr>
                <w:color w:val="282828"/>
                <w:sz w:val="15"/>
              </w:rPr>
              <w:t>Fonds propres = 4.2%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92.480 Mds FCFA</w:t>
            </w:r>
          </w:p>
        </w:tc>
        <w:tc>
          <w:tcPr>
            <w:tcW w:type="dxa" w:w="5669"/>
            <w:shd w:fill="FFFFFF" w:val="clear"/>
          </w:tcPr>
          <w:p>
            <w:r>
              <w:rPr>
                <w:color w:val="282828"/>
                <w:sz w:val="15"/>
              </w:rPr>
              <w:t>Capitaux permanents / Actif immobilisé = 1.87x.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72.764 Mds FCFA</w:t>
            </w:r>
          </w:p>
        </w:tc>
        <w:tc>
          <w:tcPr>
            <w:tcW w:type="dxa" w:w="5669"/>
            <w:shd w:fill="FFFFFF" w:val="clear"/>
          </w:tcPr>
          <w:p>
            <w:r>
              <w:rPr>
                <w:color w:val="282828"/>
                <w:sz w:val="15"/>
              </w:rPr>
              <w:t>Dette LT/MT = 369%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145.939 Mds FCFA</w:t>
            </w:r>
          </w:p>
        </w:tc>
        <w:tc>
          <w:tcPr>
            <w:tcW w:type="dxa" w:w="5669"/>
            <w:shd w:fill="FFFFFF" w:val="clear"/>
          </w:tcPr>
          <w:p>
            <w:r>
              <w:rPr>
                <w:color w:val="282828"/>
                <w:sz w:val="15"/>
              </w:rPr>
              <w:t>Dette financière totale = 740%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452.956 Mds FCFA</w:t>
            </w:r>
          </w:p>
        </w:tc>
        <w:tc>
          <w:tcPr>
            <w:tcW w:type="dxa" w:w="5669"/>
            <w:shd w:fill="FFFFFF" w:val="clear"/>
          </w:tcPr>
          <w:p>
            <w:r>
              <w:rPr>
                <w:color w:val="282828"/>
                <w:sz w:val="15"/>
              </w:rPr>
              <w:t>Dettes totales = 95.8%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189.430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189.430 Mds FCFA</w:t>
            </w:r>
          </w:p>
        </w:tc>
        <w:tc>
          <w:tcPr>
            <w:tcW w:type="dxa" w:w="5669"/>
            <w:shd w:fill="FFFFFF" w:val="clear"/>
          </w:tcPr>
          <w:p>
            <w:r>
              <w:rPr>
                <w:color w:val="282828"/>
                <w:sz w:val="15"/>
              </w:rPr>
              <w:t>Chiffre d'affaires. Croissance: 10.0%.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15.996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27.932 Mds FCFA</w:t>
            </w:r>
          </w:p>
        </w:tc>
        <w:tc>
          <w:tcPr>
            <w:tcW w:type="dxa" w:w="5669"/>
            <w:shd w:fill="FFFFFF" w:val="clear"/>
          </w:tcPr>
          <w:p>
            <w:r>
              <w:rPr>
                <w:color w:val="282828"/>
                <w:sz w:val="15"/>
              </w:rPr>
              <w:t>Masse salariale = 14.7%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49.715 Mds FCFA</w:t>
            </w:r>
          </w:p>
        </w:tc>
        <w:tc>
          <w:tcPr>
            <w:tcW w:type="dxa" w:w="5669"/>
            <w:shd w:fill="FFFFFF" w:val="clear"/>
          </w:tcPr>
          <w:p>
            <w:r>
              <w:rPr>
                <w:color w:val="282828"/>
                <w:sz w:val="15"/>
              </w:rPr>
              <w:t>VA = 26.2%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21.783 Mds FCFA</w:t>
            </w:r>
          </w:p>
        </w:tc>
        <w:tc>
          <w:tcPr>
            <w:tcW w:type="dxa" w:w="5669"/>
            <w:shd w:fill="FFFFFF" w:val="clear"/>
          </w:tcPr>
          <w:p>
            <w:r>
              <w:rPr>
                <w:color w:val="282828"/>
                <w:sz w:val="15"/>
              </w:rPr>
              <w:t>EBE = 11.5%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9.105 Mds FCFA</w:t>
            </w:r>
          </w:p>
        </w:tc>
        <w:tc>
          <w:tcPr>
            <w:tcW w:type="dxa" w:w="5669"/>
            <w:shd w:fill="FFFFFF" w:val="clear"/>
          </w:tcPr>
          <w:p>
            <w:r>
              <w:rPr>
                <w:color w:val="282828"/>
                <w:sz w:val="15"/>
              </w:rPr>
              <w:t>Profit d'exploitation = 4.8%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4.663 Mds FCFA</w:t>
            </w:r>
          </w:p>
        </w:tc>
        <w:tc>
          <w:tcPr>
            <w:tcW w:type="dxa" w:w="5669"/>
            <w:shd w:fill="FFFFFF" w:val="clear"/>
          </w:tcPr>
          <w:p>
            <w:r>
              <w:rPr>
                <w:color w:val="282828"/>
                <w:sz w:val="15"/>
              </w:rPr>
              <w:t>Marge nette = 2.5%.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17.843 Mds FCFA</w:t>
            </w:r>
          </w:p>
        </w:tc>
        <w:tc>
          <w:tcPr>
            <w:tcW w:type="dxa" w:w="5669"/>
            <w:shd w:fill="FFFFFF" w:val="clear"/>
          </w:tcPr>
          <w:p>
            <w:r>
              <w:rPr>
                <w:color w:val="282828"/>
                <w:sz w:val="15"/>
              </w:rPr>
              <w:t>CAF = 17.84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-36.655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-1.849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DEEAF1" w:val="clear"/>
          </w:tcPr>
          <w:p>
            <w:r>
              <w:rPr>
                <w:b/>
                <w:color w:val="006400"/>
                <w:sz w:val="17"/>
              </w:rPr>
              <w:t>5.306 Mds FCFA</w:t>
            </w:r>
          </w:p>
        </w:tc>
        <w:tc>
          <w:tcPr>
            <w:tcW w:type="dxa" w:w="5669"/>
            <w:shd w:fill="FFFFFF" w:val="clear"/>
          </w:tcPr>
          <w:p>
            <w:r>
              <w:rPr>
                <w:color w:val="282828"/>
                <w:sz w:val="15"/>
              </w:rPr>
              <w:t>Flux liés à la dette et aux dividendes. ℹ️ Nouveaux financements levés — augmentation de capital ou emprunt.</w:t>
            </w:r>
          </w:p>
        </w:tc>
      </w:tr>
      <w:tr>
        <w:tc>
          <w:tcPr>
            <w:tcW w:type="dxa" w:w="2268"/>
            <w:shd w:fill="EEF2F7" w:val="clear"/>
          </w:tcPr>
          <w:p>
            <w:r>
              <w:rPr>
                <w:b/>
                <w:color w:val="1E1E3C"/>
                <w:sz w:val="16"/>
              </w:rPr>
              <w:t>Free Cash Flow</w:t>
            </w:r>
          </w:p>
        </w:tc>
        <w:tc>
          <w:tcPr>
            <w:tcW w:type="dxa" w:w="1984"/>
            <w:shd w:fill="FFEB9C" w:val="clear"/>
          </w:tcPr>
          <w:p>
            <w:r>
              <w:rPr>
                <w:b/>
                <w:color w:val="B40000"/>
                <w:sz w:val="17"/>
              </w:rPr>
              <w:t>-38.504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FFC7CE" w:val="clear"/>
          </w:tcPr>
          <w:p>
            <w:r>
              <w:rPr>
                <w:b/>
                <w:color w:val="006400"/>
                <w:sz w:val="17"/>
              </w:rPr>
              <w:t>104.748 Mds FCFA</w:t>
            </w:r>
          </w:p>
        </w:tc>
        <w:tc>
          <w:tcPr>
            <w:tcW w:type="dxa" w:w="5669"/>
            <w:shd w:fill="FFFFFF" w:val="clear"/>
          </w:tcPr>
          <w:p>
            <w:r>
              <w:rPr>
                <w:color w:val="282828"/>
                <w:sz w:val="15"/>
              </w:rPr>
              <w:t>BFR = 55.3% du CA. ❌ BFR critique — risque de tension de trésorerie.</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43.038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-61.710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81.86%</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FFEB9C" w:val="clear"/>
          </w:tcPr>
          <w:p>
            <w:r>
              <w:rPr>
                <w:b/>
                <w:color w:val="006400"/>
                <w:sz w:val="17"/>
              </w:rPr>
              <w:t>2.46%</w:t>
            </w:r>
          </w:p>
        </w:tc>
        <w:tc>
          <w:tcPr>
            <w:tcW w:type="dxa" w:w="5669"/>
            <w:shd w:fill="FFFFFF" w:val="clear"/>
          </w:tcPr>
          <w:p>
            <w:r>
              <w:rPr>
                <w:color w:val="282828"/>
                <w:sz w:val="15"/>
              </w:rPr>
              <w:t>Résultat net / revenus = 2.46%.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4.81%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23.65%</w:t>
            </w:r>
          </w:p>
        </w:tc>
        <w:tc>
          <w:tcPr>
            <w:tcW w:type="dxa" w:w="5669"/>
            <w:shd w:fill="FFFFFF" w:val="clear"/>
          </w:tcPr>
          <w:p>
            <w:r>
              <w:rPr>
                <w:color w:val="282828"/>
                <w:sz w:val="15"/>
              </w:rPr>
              <w:t>Résultat net / capitaux propres = 23.65%.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0.99%</w:t>
            </w:r>
          </w:p>
        </w:tc>
        <w:tc>
          <w:tcPr>
            <w:tcW w:type="dxa" w:w="5669"/>
            <w:shd w:fill="FFFFFF" w:val="clear"/>
          </w:tcPr>
          <w:p>
            <w:r>
              <w:rPr>
                <w:color w:val="282828"/>
                <w:sz w:val="15"/>
              </w:rPr>
              <w:t>Résultat net / total actif = 0.99%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40.08%</w:t>
            </w:r>
          </w:p>
        </w:tc>
        <w:tc>
          <w:tcPr>
            <w:tcW w:type="dxa" w:w="5669"/>
            <w:shd w:fill="FFFFFF" w:val="clear"/>
          </w:tcPr>
          <w:p>
            <w:r>
              <w:rPr>
                <w:color w:val="282828"/>
                <w:sz w:val="15"/>
              </w:rPr>
              <w:t>CA / total actif = 40.08x. ⚠️ Actifs peu utilisés.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9.98%</w:t>
            </w:r>
          </w:p>
        </w:tc>
        <w:tc>
          <w:tcPr>
            <w:tcW w:type="dxa" w:w="5669"/>
            <w:shd w:fill="FFFFFF" w:val="clear"/>
          </w:tcPr>
          <w:p>
            <w:r>
              <w:rPr>
                <w:color w:val="282828"/>
                <w:sz w:val="15"/>
              </w:rPr>
              <w:t>Croissance CA vs exercice précédent = 9.98%.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4.17%</w:t>
            </w:r>
          </w:p>
        </w:tc>
        <w:tc>
          <w:tcPr>
            <w:tcW w:type="dxa" w:w="5669"/>
            <w:shd w:fill="FFFFFF" w:val="clear"/>
          </w:tcPr>
          <w:p>
            <w:r>
              <w:rPr>
                <w:color w:val="282828"/>
                <w:sz w:val="15"/>
              </w:rPr>
              <w:t>Fonds propres / total bilan = 4.17%.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740.21%</w:t>
            </w:r>
          </w:p>
        </w:tc>
        <w:tc>
          <w:tcPr>
            <w:tcW w:type="dxa" w:w="5669"/>
            <w:shd w:fill="FFFFFF" w:val="clear"/>
          </w:tcPr>
          <w:p>
            <w:r>
              <w:rPr>
                <w:color w:val="282828"/>
                <w:sz w:val="15"/>
              </w:rPr>
              <w:t>Dettes financières / total bilan = 740.21%.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95.83%</w:t>
            </w:r>
          </w:p>
        </w:tc>
        <w:tc>
          <w:tcPr>
            <w:tcW w:type="dxa" w:w="5669"/>
            <w:shd w:fill="FFFFFF" w:val="clear"/>
          </w:tcPr>
          <w:p>
            <w:r>
              <w:rPr>
                <w:color w:val="282828"/>
                <w:sz w:val="15"/>
              </w:rPr>
              <w:t>Dettes totales / fonds propres = 95.83%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104.35%</w:t>
            </w:r>
          </w:p>
        </w:tc>
        <w:tc>
          <w:tcPr>
            <w:tcW w:type="dxa" w:w="5669"/>
            <w:shd w:fill="FFFFFF" w:val="clear"/>
          </w:tcPr>
          <w:p>
            <w:r>
              <w:rPr>
                <w:color w:val="282828"/>
                <w:sz w:val="15"/>
              </w:rPr>
              <w:t>Total actif / dettes totales = 104.35x.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111.32%</w:t>
            </w:r>
          </w:p>
        </w:tc>
        <w:tc>
          <w:tcPr>
            <w:tcW w:type="dxa" w:w="5669"/>
            <w:shd w:fill="FFFFFF" w:val="clear"/>
          </w:tcPr>
          <w:p>
            <w:r>
              <w:rPr>
                <w:color w:val="282828"/>
                <w:sz w:val="15"/>
              </w:rPr>
              <w:t>Actif circulant / passif circulant = 111.32x.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3.02%</w:t>
            </w:r>
          </w:p>
        </w:tc>
        <w:tc>
          <w:tcPr>
            <w:tcW w:type="dxa" w:w="5669"/>
            <w:shd w:fill="FFFFFF" w:val="clear"/>
          </w:tcPr>
          <w:p>
            <w:r>
              <w:rPr>
                <w:color w:val="282828"/>
                <w:sz w:val="15"/>
              </w:rPr>
              <w:t>Trésorerie / passif circulant = 3.02x.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105.29%</w:t>
            </w:r>
          </w:p>
        </w:tc>
        <w:tc>
          <w:tcPr>
            <w:tcW w:type="dxa" w:w="5669"/>
            <w:shd w:fill="FFFFFF" w:val="clear"/>
          </w:tcPr>
          <w:p>
            <w:r>
              <w:rPr>
                <w:color w:val="282828"/>
                <w:sz w:val="15"/>
              </w:rPr>
              <w:t>(Actif circ. - stocks) / passif circ. = 105.29x.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187.05%</w:t>
            </w:r>
          </w:p>
        </w:tc>
        <w:tc>
          <w:tcPr>
            <w:tcW w:type="dxa" w:w="5669"/>
            <w:shd w:fill="FFFFFF" w:val="clear"/>
          </w:tcPr>
          <w:p>
            <w:r>
              <w:rPr>
                <w:color w:val="282828"/>
                <w:sz w:val="15"/>
              </w:rPr>
              <w:t>Capitaux permanents / actif immobilisé = 187.05x.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8.2 ans</w:t>
            </w:r>
          </w:p>
        </w:tc>
        <w:tc>
          <w:tcPr>
            <w:tcW w:type="dxa" w:w="5669"/>
            <w:shd w:fill="FFFFFF" w:val="clear"/>
          </w:tcPr>
          <w:p>
            <w:r>
              <w:rPr>
                <w:color w:val="282828"/>
                <w:sz w:val="15"/>
              </w:rPr>
              <w:t>Dettes financières / CAF = 8.2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1583.51%</w:t>
            </w:r>
          </w:p>
        </w:tc>
        <w:tc>
          <w:tcPr>
            <w:tcW w:type="dxa" w:w="5669"/>
            <w:shd w:fill="FFFFFF" w:val="clear"/>
          </w:tcPr>
          <w:p>
            <w:r>
              <w:rPr>
                <w:color w:val="282828"/>
                <w:sz w:val="15"/>
              </w:rPr>
              <w:t>Résultat exploit. / charges financières = 1583.51x.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964.86%</w:t>
            </w:r>
          </w:p>
        </w:tc>
        <w:tc>
          <w:tcPr>
            <w:tcW w:type="dxa" w:w="5669"/>
            <w:shd w:fill="FFFFFF" w:val="clear"/>
          </w:tcPr>
          <w:p>
            <w:r>
              <w:rPr>
                <w:color w:val="282828"/>
                <w:sz w:val="15"/>
              </w:rPr>
              <w:t>CAF / investissements = 964.86x.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749.3 j</w:t>
            </w:r>
          </w:p>
        </w:tc>
        <w:tc>
          <w:tcPr>
            <w:tcW w:type="dxa" w:w="5669"/>
            <w:shd w:fill="FFFFFF" w:val="clear"/>
          </w:tcPr>
          <w:p>
            <w:r>
              <w:rPr>
                <w:color w:val="282828"/>
                <w:sz w:val="15"/>
              </w:rPr>
              <w:t>Les clients paient en moyenne en 749 jours. ❌ Délai critique — process de recouvrement à revoir.</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pPr>
      <w:r>
        <w:t>**RAPPORT D'ANALYSE FINANCIÈRE — SDCC (SODECI)**</w:t>
        <w:br/>
        <w:t>**Date : 27 août 2026 | Marché :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SDCC s'établit à 114,30 milliards FCFA, un niveau substantiel qui positionne la société parmi les valeurs moyennes du marché ivoirien, reflétant son statut de quasi-monopole dans la distribution d'eau potable. Avec un BPA de 518 FCFA, le titre se négocie à un PER de 24,5x, très nettement supérieur à la moyenne historique de la BRVM (8-12x), indiquant que les investisseurs intègrent des anticipations de croissance soutenue ou une prime de rareté sectorielle. Le P/B de 5,80x confirme cette prime, le marché valorisant l'actif net comptable à près de six fois sa valeur, tandis que l'EV/EBITDA de 14,8x se situe dans la fourchette haute des standards régionaux. Ces ratios traduisent une valorisation exigeante qui laisse peu de marge d'erreur sur les performances futures.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dernières séances, l'action SDCC a enregistré une progression spectaculaire de +71,62%, clôturant à 12 700 FCFA après une hausse de +1,68% lors de la dernière séance, atteignant son plus haut historique sur la période. Le titre a évolué dans une fourchette très large de 7 140 à 12 700 FCFA, démontrant un momentum haussier puissant. La moyenne du cours (10 614 FCFA) est inférieure à la médiane (11 608 FCFA), et le skewness négatif (-0,972) indique que les rendements positifs ont été plus fréquents mais de moindre ampleur que les rares corrections, confirmant une distribution asymétrique favorable. L'écart-type de 1 838 FCFA (CV de 17,3%) révèle une dispersion modérée, tandis que le kurtosis de -0,699 (mésokurtique) suggère l'absence de risque de pics extrêmes. La volatilité annualisée de 36,1% classe le titre dans la catégorie élevée, signalant un profil de risque marqué pour les investisseurs.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(12 700 FCFA) évolue nettement au-dessus des MM20 (11 912,5 FCFA) et MM50 (11 888,9 FCFA), ces dernières étant pratiquement confondues. Cette configuration haussière, avec le prix au-dessus des deux moyennes, génère un signal d'achat cohérent, confirmant la vigueur de la tendance de fond.</w:t>
      </w:r>
    </w:p>
    <w:p>
      <w:pPr>
        <w:spacing w:after="120" w:line="276" w:lineRule="auto"/>
      </w:pPr>
      <w:r>
        <w:t>**Bandes de Bollinger** : Le prix a franchi la borne supérieure (12 527,47 FCFA), ce qui indique une extension excessive du mouvement haussier. Historiquement, un tel dépassement précède souvent une consolidation ou un repli technique. Le signal de vente émis reflète cette situation de surachat temporaire, malgré la tendance haussière sous-jacente.</w:t>
      </w:r>
    </w:p>
    <w:p>
      <w:pPr>
        <w:spacing w:after="120" w:line="276" w:lineRule="auto"/>
      </w:pPr>
      <w:r>
        <w:t>**MACD** : Le MACD (156,699) est nettement au-dessus de sa ligne de signal (69,271), avec un écart positif croissant. Cette divergence haussière confirme la dynamique positive du momentum, bien que l'amplitude de l'écart suggère une possible saturation à court terme. Le signal d'achat reste néanmoins valide.</w:t>
      </w:r>
    </w:p>
    <w:p>
      <w:pPr>
        <w:spacing w:after="120" w:line="276" w:lineRule="auto"/>
      </w:pPr>
      <w:r>
        <w:t>**RSI** : À 78,384, le RSI se situe en zone de surachat (au-delà de 70), signalant que le titre est techniquement surévalué à court terme. Cette lecture justifie la décision de vente, car elle indique une pression acheteuse excessive qui pourrait s'essouffler, même si les marchés en tendance forte peuvent rester surachetés durablement.</w:t>
      </w:r>
    </w:p>
    <w:p>
      <w:pPr>
        <w:spacing w:after="120" w:line="276" w:lineRule="auto"/>
      </w:pPr>
      <w:r>
        <w:t>**Stochastique** : Le %K à 100,0 et le %D à 93,512 sont tous deux en zone de surachat extrême, avec un %K au plafond absolu. Cette configuration reflète une force exceptionnelle mais également une probabilité élevée de retournement technique. Le signal de vente émis est cohérent avec cette lecture.</w:t>
      </w:r>
    </w:p>
    <w:p>
      <w:pPr>
        <w:spacing w:after="120" w:line="276" w:lineRule="auto"/>
      </w:pPr>
      <w:r>
        <w:t>**Conclusion technique** : Les indicateurs de tendance (MM, MACD) sont résolument haussiers, mais les oscillateurs (RSI, Stochastique, Bollinger) signalent tous un surachat prononcé. Cette divergence entre tendance et momentum suggère qu'un repli technique est probable à court terme avant la poursuite éventuelle de la tendance haussière.</w:t>
      </w:r>
    </w:p>
    <w:p>
      <w:pPr>
        <w:spacing w:after="120" w:line="276" w:lineRule="auto"/>
      </w:pPr>
      <w:r>
        <w:t>---</w:t>
      </w:r>
    </w:p>
    <w:p>
      <w:pPr>
        <w:spacing w:after="120" w:line="276" w:lineRule="auto"/>
      </w:pPr>
      <w:r>
        <w:t>### PARTIE 3 : ANALYSE FONDAMENTALE (SECTION CRITIQUE)</w:t>
      </w:r>
    </w:p>
    <w:p>
      <w:pPr>
        <w:spacing w:after="120" w:line="276" w:lineRule="auto"/>
      </w:pPr>
      <w:r>
        <w:t>Les données structurées de l'exercice 2025 font état d'un chiffre d'affaires de 189,430 milliards FCFA, en croissance de +9,98%, et d'un résultat net de 4,663 milliards FCFA, soit une marge nette de 2,46%. Le ROE de 23,65% est excellent, nettement au-dessus du seuil de 15% considéré comme performant, tandis que le ROA de 0,99% reflète la lourdeur du bilan (472,672 milliards FCFA). Le BFR de 104,748 milliards FCFA et le délai clients de 749 jours constituent des signaux d'alerte majeurs sur la qualité du recouvrement, expliquant le flux opérationnel négatif de -36,655 milliards FCFA et la trésorerie nette déficitaire de -61,710 milliards FCFA. L'endettement est conséquent (ratio d'endettement de 95,83%) mais la couverture des intérêts à 1 583% rassure sur la capacité de remboursement (8,18 ans). Le rapport annuel 2025 (publié en 2026) confirme la progression du résultat net de +31% et mentionne un dividende de 525 FCFA par action. Le rapport du T1 2026 (publié en 2026) montre une amélioration spectaculaire : résultat net de 1,318 milliard FCFA (+118% vs T1 2025), résultat d'exploitation multiplié par 2,5, malgré un CA en léger repli de -2%. Sur cette base, on estime que l'exercice 2026 pourrait voir le résultat net dépasser 6,5 milliards FCFA, soit un BPA potentiel de 722 FCFA, ce qui ramènerait le PER à environ 17,6x. Le rapport S1 2025 (publié en 2025) montrait une baisse de -24% du RN, mais les actions correctrices engagées portent leurs fruits, comme en témoigne le T1 2026.</w:t>
      </w:r>
    </w:p>
    <w:p>
      <w:pPr>
        <w:spacing w:after="120" w:line="276" w:lineRule="auto"/>
      </w:pPr>
      <w:r>
        <w:t>---</w:t>
      </w:r>
    </w:p>
    <w:p>
      <w:pPr>
        <w:spacing w:after="120" w:line="276" w:lineRule="auto"/>
      </w:pPr>
      <w:r>
        <w:t>### PARTIE 4 : CONCLUSION D'INVESTISSEMENT</w:t>
      </w:r>
    </w:p>
    <w:p>
      <w:pPr>
        <w:spacing w:after="120" w:line="276" w:lineRule="auto"/>
      </w:pPr>
      <w:r>
        <w:t>La valorisation actuelle (PER 24,5x, P/B 5,8x, EV/EBITDA 14,8x) est exigeante et intègre déjà des anticipations de croissance significatives, laissant peu de marge de sécurité. Le comportement du cours (+71,62% en 100 jours) avec une volatilité élevée (36,1%) et un skewness négatif traduit une dynamique haussière puissante mais potentiellement fragile. Les signaux techniques sont partagés : la tendance (MM, MACD) reste haussière, mais les oscillateurs (RSI 78,4, Stochastique 100,0, dépassement de la borne de Bollinger) indiquent un surachat extrême, annonçant probablement une consolidation. Les fondamentaux s'améliorent nettement, avec un T1 2026 en forte progression (+118% du RN), mais le BFR massif et le délai clients de 749 jours constituent des risques structurels persistants. Les prédictions IA (12 074 FCFA à J+10, soit -4,9%) confirment l'anticipation d'un repli technique à court terme. En synthèse, la convergence entre le surachat technique et la correction prédite par l'IA, malgré des fondamentaux en amélioration, conduit à une recommandation de **CONSERVER** avec un niveau de confiance **Moyen**. Le risque global est **Élevé** en raison de la valorisation tendue et de la volatilité. L'horizon d'investissement optimal serait le **moyen terme (3-12 mois)**, idéalement après une correction du cours vers la zone des 11 500-12 000 FCFA, permettant d'entrer sur des niveaux plus favorables tout en captant le potentiel de croissance des résultats 2026.</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"Am\u00e9lioration spectaculaire de la rentabilit\u00e9 op\u00e9rationnelle malgr\u00e9 un l\u00e9ger recul du chiffre d'affaires. La forte hausse du r\u00e9sultat net et la confiance du management justifient une position d'attente."}</w:t>
      </w:r>
    </w:p>
    <w:p>
      <w:pPr>
        <w:spacing w:before="40"/>
        <w:ind w:left="400"/>
      </w:pPr>
      <w:r>
        <w:rPr>
          <w:sz w:val="18"/>
        </w:rPr>
        <w:t>SODECI affiche des résultats contrastés au 1er trimestre 2026 avec un chiffre d'affaires en léger repli de 2% à 40 916 millions FCFA. La société améliore considérablement sa rentabilité avec un résultat d'exploitation multiplié par 2,5 grâce à une meilleure maîtrise des charges opérationnelles. Le résultat net bondit de 118% à 1 318 millions FCFA, témoignant d'une forte amélioration de la performance. L'impôt sur le résultat augmente significativement de 476%, reflétant la hausse des bénéfices. La société se montre confiante pour la suite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{'impot_resultat': '1 364 millions FCFA', 'resultat_financier': '-159 millions FCFA', 'resultat_exploitation': '2 730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3,2%</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1 318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40 916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2% à 40 916 millions FCFA au T1 2026</w:t>
      </w:r>
    </w:p>
    <w:p>
      <w:pPr>
        <w:pStyle w:val="ListBullet"/>
        <w:spacing w:before="20" w:after="20"/>
        <w:ind w:left="700"/>
      </w:pPr>
      <w:r>
        <w:rPr>
          <w:sz w:val="18"/>
        </w:rPr>
        <w:t>Résultat d'exploitation en forte progression de 150% à 2 730 millions FCFA</w:t>
      </w:r>
    </w:p>
    <w:p>
      <w:pPr>
        <w:pStyle w:val="ListBullet"/>
        <w:spacing w:before="20" w:after="20"/>
        <w:ind w:left="700"/>
      </w:pPr>
      <w:r>
        <w:rPr>
          <w:sz w:val="18"/>
        </w:rPr>
        <w:t>Résultat net en hausse spectaculaire de 118% à 1 318 millions FCFA</w:t>
      </w:r>
    </w:p>
    <w:p>
      <w:pPr>
        <w:pStyle w:val="ListBullet"/>
        <w:spacing w:before="20" w:after="20"/>
        <w:ind w:left="700"/>
      </w:pPr>
      <w:r>
        <w:rPr>
          <w:sz w:val="18"/>
        </w:rPr>
        <w:t>Amélioration significative de la maîtrise des charges opérationnelles</w:t>
      </w:r>
    </w:p>
    <w:p>
      <w:pPr>
        <w:pStyle w:val="ListBullet"/>
        <w:spacing w:before="20" w:after="20"/>
        <w:ind w:left="700"/>
      </w:pPr>
      <w:r>
        <w:rPr>
          <w:sz w:val="18"/>
        </w:rPr>
        <w:t>Résultat financier légèrement amélioré (-159 millions vs -179 millions)</w:t>
      </w:r>
    </w:p>
    <w:p>
      <w:pPr>
        <w:pStyle w:val="ListBullet"/>
        <w:spacing w:before="20" w:after="20"/>
        <w:ind w:left="700"/>
      </w:pPr>
      <w:r>
        <w:rPr>
          <w:sz w:val="18"/>
        </w:rPr>
        <w:t>Charge d'impôt multipliée par 5,8 en raison de l'amélioration des résultats</w:t>
      </w:r>
    </w:p>
    <w:p>
      <w:pPr>
        <w:spacing w:before="40"/>
        <w:ind w:left="400"/>
      </w:pPr>
      <w:r>
        <w:rPr>
          <w:b/>
          <w:color w:val="C05000"/>
          <w:sz w:val="18"/>
        </w:rPr>
        <w:t xml:space="preserve">⚠️ Risques : </w:t>
      </w:r>
      <w:r>
        <w:rPr>
          <w:sz w:val="18"/>
        </w:rPr>
        <w:t>["Baisse du chiffre d'affaires traduisant un ralentissement de l'activit\u00e9", "Forte augmentation de la charge fiscale impactant la rentabilit\u00e9 nette", "D\u00e9pendance \u00e0 la ma\u00eetrise continue des charges op\u00e9rationnelles"]</w:t>
      </w:r>
    </w:p>
    <w:p>
      <w:pPr>
        <w:spacing w:before="40"/>
        <w:ind w:left="400"/>
      </w:pPr>
      <w:r>
        <w:rPr>
          <w:b/>
          <w:color w:val="0064A0"/>
          <w:sz w:val="18"/>
        </w:rPr>
        <w:t xml:space="preserve">🔮 Perspectives : </w:t>
      </w:r>
      <w:r>
        <w:rPr>
          <w:sz w:val="18"/>
        </w:rPr>
        <w:t>SODECI vise à consolider la dynamique positive observée sur les résultats et poursuivre l'amélioration des performances opérationnelles. La société reste confiante dans sa capacité à maintenir cette trajectoire au cours des prochains trimestres de l'exercice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solides performances op\u00e9rationnelles et financi\u00e8res justifient le maintien en portefeuille malgr\u00e9 les tensions de tr\u00e9sorerie. Le dividende attractif et les perspectives de croissance sectorielle offrent un profil risque-rendement \u00e9quilibr\u00e9."}</w:t>
      </w:r>
    </w:p>
    <w:p>
      <w:pPr>
        <w:spacing w:before="40"/>
        <w:ind w:left="400"/>
      </w:pPr>
      <w:r>
        <w:rPr>
          <w:sz w:val="18"/>
        </w:rPr>
        <w:t>SODECI affiche des résultats financiers solides pour 2025 avec une croissance à deux chiffres sur tous les indicateurs clés. Le chiffre d'affaires progresse de 10% à 189,4 milliards FCFA tandis que le résultat net bondit de 31% à 4,663 milliards FCFA. La société maintient sa position d'opérateur stratégique de l'eau en Côte d'Ivoire avec 2,27 millions de clients (+6,14%). Malgré l'amélioration des performances opérationnelles, la trésorerie reste tendue par des besoins de financement accrus. Un dividende attractif de 525 FCFA par action est proposé, confirmant la politique de redistribution aux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'21,8 milliards FCFA', 'nombre_clients': '2 272 032', 'production_eau': '388,3 millions m³', 'ratio_facturation': '85,51%', 'taux_recouvrement': '95,85%', 'resultat_exploitation': '9,1 milliards FCFA'}</w:t>
            </w:r>
          </w:p>
        </w:tc>
        <w:tc>
          <w:tcPr>
            <w:tcW w:type="dxa" w:w="2160"/>
          </w:tcPr>
          <w:p>
            <w:pPr>
              <w:ind w:left="100"/>
            </w:pPr>
            <w:r/>
            <w:r>
              <w:rPr>
                <w:b/>
                <w:sz w:val="16"/>
              </w:rPr>
              <w:t>dividende</w:t>
              <w:br/>
            </w:r>
            <w:r>
              <w:rPr>
                <w:sz w:val="18"/>
              </w:rPr>
              <w:t>525 FCFA par action</w:t>
            </w:r>
          </w:p>
        </w:tc>
        <w:tc>
          <w:tcPr>
            <w:tcW w:type="dxa" w:w="2160"/>
          </w:tcPr>
          <w:p>
            <w:pPr>
              <w:ind w:left="100"/>
            </w:pPr>
            <w:r/>
            <w:r>
              <w:rPr>
                <w:b/>
                <w:sz w:val="16"/>
              </w:rPr>
              <w:t>marge_nette</w:t>
              <w:br/>
            </w:r>
            <w:r>
              <w:rPr>
                <w:sz w:val="18"/>
              </w:rPr>
              <w:t>2,46%</w:t>
            </w:r>
          </w:p>
        </w:tc>
        <w:tc>
          <w:tcPr>
            <w:tcW w:type="dxa" w:w="2160"/>
          </w:tcPr>
          <w:p>
            <w:pPr>
              <w:ind w:left="100"/>
            </w:pPr>
            <w:r/>
            <w:r>
              <w:rPr>
                <w:b/>
                <w:sz w:val="16"/>
              </w:rPr>
              <w:t>total_actif</w:t>
              <w:br/>
            </w:r>
            <w:r>
              <w:rPr>
                <w:sz w:val="18"/>
              </w:rPr>
              <w:t>472,7 milliards FCFA</w:t>
            </w:r>
          </w:p>
        </w:tc>
      </w:tr>
      <w:tr>
        <w:tc>
          <w:tcPr>
            <w:tcW w:type="dxa" w:w="2160"/>
          </w:tcPr>
          <w:p>
            <w:r/>
            <w:r>
              <w:rPr>
                <w:b/>
                <w:sz w:val="16"/>
              </w:rPr>
              <w:t>resultat_net</w:t>
              <w:br/>
            </w:r>
            <w:r>
              <w:rPr>
                <w:sz w:val="18"/>
              </w:rPr>
              <w:t>4,663 milliards FCFA</w:t>
            </w:r>
          </w:p>
        </w:tc>
        <w:tc>
          <w:tcPr>
            <w:tcW w:type="dxa" w:w="2160"/>
          </w:tcPr>
          <w:p>
            <w:r/>
            <w:r>
              <w:rPr>
                <w:b/>
                <w:sz w:val="16"/>
              </w:rPr>
              <w:t>capitaux_propres</w:t>
              <w:br/>
            </w:r>
            <w:r>
              <w:rPr>
                <w:sz w:val="18"/>
              </w:rPr>
              <w:t>431,488 milliards FCFA</w:t>
            </w:r>
          </w:p>
        </w:tc>
        <w:tc>
          <w:tcPr>
            <w:tcW w:type="dxa" w:w="2160"/>
          </w:tcPr>
          <w:p>
            <w:r/>
            <w:r>
              <w:rPr>
                <w:b/>
                <w:sz w:val="16"/>
              </w:rPr>
              <w:t>chiffre_affaires</w:t>
              <w:br/>
            </w:r>
            <w:r>
              <w:rPr>
                <w:sz w:val="18"/>
              </w:rPr>
              <w:t>189,4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du chiffre d'affaires de 10% à 189,4 milliards FCFA</w:t>
      </w:r>
    </w:p>
    <w:p>
      <w:pPr>
        <w:pStyle w:val="ListBullet"/>
        <w:spacing w:before="20" w:after="20"/>
        <w:ind w:left="700"/>
      </w:pPr>
      <w:r>
        <w:rPr>
          <w:sz w:val="18"/>
        </w:rPr>
        <w:t>Forte progression du résultat net de 31% à 4,663 milliards FCFA avec une marge nette de 2,46%</w:t>
      </w:r>
    </w:p>
    <w:p>
      <w:pPr>
        <w:pStyle w:val="ListBullet"/>
        <w:spacing w:before="20" w:after="20"/>
        <w:ind w:left="700"/>
      </w:pPr>
      <w:r>
        <w:rPr>
          <w:sz w:val="18"/>
        </w:rPr>
        <w:t>Amélioration significative de l'EBE (+21%) et du résultat d'exploitation (+34%)</w:t>
      </w:r>
    </w:p>
    <w:p>
      <w:pPr>
        <w:pStyle w:val="ListBullet"/>
        <w:spacing w:before="20" w:after="20"/>
        <w:ind w:left="700"/>
      </w:pPr>
      <w:r>
        <w:rPr>
          <w:sz w:val="18"/>
        </w:rPr>
        <w:t>Croissance du nombre de clients de 6,14% pour atteindre 2,27 millions</w:t>
      </w:r>
    </w:p>
    <w:p>
      <w:pPr>
        <w:pStyle w:val="ListBullet"/>
        <w:spacing w:before="20" w:after="20"/>
        <w:ind w:left="700"/>
      </w:pPr>
      <w:r>
        <w:rPr>
          <w:sz w:val="18"/>
        </w:rPr>
        <w:t>Amélioration des ratios opérationnels : facturation à 85,51% et recouvrement à 95,85%</w:t>
      </w:r>
    </w:p>
    <w:p>
      <w:pPr>
        <w:pStyle w:val="ListBullet"/>
        <w:spacing w:before="20" w:after="20"/>
        <w:ind w:left="700"/>
      </w:pPr>
      <w:r>
        <w:rPr>
          <w:sz w:val="18"/>
        </w:rPr>
        <w:t>Dividende proposé de 525 FCFA par action pour un montant global de 4,725 milliards FCFA</w:t>
      </w:r>
    </w:p>
    <w:p>
      <w:pPr>
        <w:spacing w:before="40"/>
        <w:ind w:left="400"/>
      </w:pPr>
      <w:r>
        <w:rPr>
          <w:b/>
          <w:color w:val="C05000"/>
          <w:sz w:val="18"/>
        </w:rPr>
        <w:t xml:space="preserve">⚠️ Risques : </w:t>
      </w:r>
      <w:r>
        <w:rPr>
          <w:sz w:val="18"/>
        </w:rPr>
        <w:t>["Tensions persistantes sur la tr\u00e9sorerie malgr\u00e9 l'am\u00e9lioration des r\u00e9sultats", "Besoins de financement accrus dans un environnement sectoriel exigeant", "D\u00e9pendance aux \u00e9volutions du cadre r\u00e9glementaire du secteur de l'eau"]</w:t>
      </w:r>
    </w:p>
    <w:p>
      <w:pPr>
        <w:spacing w:before="40"/>
        <w:ind w:left="400"/>
      </w:pPr>
      <w:r>
        <w:rPr>
          <w:b/>
          <w:color w:val="0064A0"/>
          <w:sz w:val="18"/>
        </w:rPr>
        <w:t xml:space="preserve">🔮 Perspectives : </w:t>
      </w:r>
      <w:r>
        <w:rPr>
          <w:sz w:val="18"/>
        </w:rPr>
        <w:t>SODECI prévoit de poursuivre sa dynamique positive en 2026 avec le déploiement d'un nouveau contrat de délégation et l'accélération de la transformation digitale. La société mise sur l'amélioration continue des performances opérationnelles et commerciales tout en travaillant avec les parties prenant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solide avec une am\u00e9lioration de 20% du r\u00e9sultat d'exploitation d\u00e9montrant l'efficacit\u00e9 de la gestion. La pression fiscale exceptionnelle devrait se normaliser et l'activit\u00e9 eau pr\u00e9sente des perspectives de croissance durables."}</w:t>
      </w:r>
    </w:p>
    <w:p>
      <w:pPr>
        <w:spacing w:before="40"/>
        <w:ind w:left="400"/>
      </w:pPr>
      <w:r>
        <w:rPr>
          <w:sz w:val="18"/>
        </w:rPr>
        <w:t>SODECI présente un chiffre d'affaires stable de 37,1 milliards FCFA au T1 2023, identique au T1 2022. Le résultat d'exploitation progresse significativement de 20% à 1,9 milliard FCFA grâce à la maîtrise des charges d'exploitation. Le résultat net diminue de 13% à 915 millions FCFA en raison d'une hausse de l'impôt sur les bénéfices (+82%). L'activité eau continue de croître dans la continuité des tendances de fin 2022. La société bénéficie des actions d'amélioration de l'accès au service et d'optimisation de la distribution.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{'impot_benefice': '907 millions FCFA', 'resultat_financier': '68 millions FCFA', 'resultat_exploitation': '1,9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915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37,1 milliards FCFA (0% vs T1 2022)</w:t>
      </w:r>
    </w:p>
    <w:p>
      <w:pPr>
        <w:pStyle w:val="ListBullet"/>
        <w:spacing w:before="20" w:after="20"/>
        <w:ind w:left="700"/>
      </w:pPr>
      <w:r>
        <w:rPr>
          <w:sz w:val="18"/>
        </w:rPr>
        <w:t>Forte progression du résultat d'exploitation (+20% à 1,9 milliard FCFA)</w:t>
      </w:r>
    </w:p>
    <w:p>
      <w:pPr>
        <w:pStyle w:val="ListBullet"/>
        <w:spacing w:before="20" w:after="20"/>
        <w:ind w:left="700"/>
      </w:pPr>
      <w:r>
        <w:rPr>
          <w:sz w:val="18"/>
        </w:rPr>
        <w:t>Maîtrise réussie des charges d'exploitation contribuant à l'amélioration opérationnelle</w:t>
      </w:r>
    </w:p>
    <w:p>
      <w:pPr>
        <w:pStyle w:val="ListBullet"/>
        <w:spacing w:before="20" w:after="20"/>
        <w:ind w:left="700"/>
      </w:pPr>
      <w:r>
        <w:rPr>
          <w:sz w:val="18"/>
        </w:rPr>
        <w:t>Résultat net en baisse de 13% à 915 millions FCFA</w:t>
      </w:r>
    </w:p>
    <w:p>
      <w:pPr>
        <w:pStyle w:val="ListBullet"/>
        <w:spacing w:before="20" w:after="20"/>
        <w:ind w:left="700"/>
      </w:pPr>
      <w:r>
        <w:rPr>
          <w:sz w:val="18"/>
        </w:rPr>
        <w:t>Impact négatif significatif de l'impôt sur les bénéfices (+82% à 907 millions FCFA)</w:t>
      </w:r>
    </w:p>
    <w:p>
      <w:pPr>
        <w:pStyle w:val="ListBullet"/>
        <w:spacing w:before="20" w:after="20"/>
        <w:ind w:left="700"/>
      </w:pPr>
      <w:r>
        <w:rPr>
          <w:sz w:val="18"/>
        </w:rPr>
        <w:t>Croissance continue de l'activité eau dans la lignée des tendances 2022</w:t>
      </w:r>
    </w:p>
    <w:p>
      <w:pPr>
        <w:spacing w:before="40"/>
        <w:ind w:left="400"/>
      </w:pPr>
      <w:r>
        <w:rPr>
          <w:b/>
          <w:color w:val="C05000"/>
          <w:sz w:val="18"/>
        </w:rPr>
        <w:t xml:space="preserve">⚠️ Risques : </w:t>
      </w:r>
      <w:r>
        <w:rPr>
          <w:sz w:val="18"/>
        </w:rPr>
        <w:t>["Pression fiscale \u00e9lev\u00e9e impactant significativement la rentabilit\u00e9 nette", "Augmentation de l'endettement financier affectant le r\u00e9sultat financier", "D\u00e9pendance \u00e0 l'activit\u00e9 de distribution d'eau et aux conditions r\u00e9glementaires"]</w:t>
      </w:r>
    </w:p>
    <w:p>
      <w:pPr>
        <w:spacing w:before="40"/>
        <w:ind w:left="400"/>
      </w:pPr>
      <w:r>
        <w:rPr>
          <w:b/>
          <w:color w:val="0064A0"/>
          <w:sz w:val="18"/>
        </w:rPr>
        <w:t xml:space="preserve">🔮 Perspectives : </w:t>
      </w:r>
      <w:r>
        <w:rPr>
          <w:sz w:val="18"/>
        </w:rPr>
        <w:t>La société devrait bénéficier de la poursuite de la croissance de l'activité eau et des initiatives d'optimisation engagées. L'atteinte des objectifs annuels reste possible malgré la pression fiscale, avec un potentiel de normalisation de la charge d'impôt.</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"SODECI maintient sa rentabilit\u00e9 et verse un dividende attractif malgr\u00e9 une tr\u00e9sorerie nette n\u00e9gative. La stabilit\u00e9 des r\u00e9sultats et la position de monopole dans la distribution d'eau justifient une position de conservation."}</w:t>
      </w:r>
    </w:p>
    <w:p>
      <w:pPr>
        <w:spacing w:before="40"/>
        <w:ind w:left="400"/>
      </w:pPr>
      <w:r>
        <w:rPr>
          <w:sz w:val="18"/>
        </w:rPr>
        <w:t>SODECI affiche des résultats solides pour l'exercice 2020 avec un chiffre d'affaires de 127,69 milliards FCFA et un résultat net de 4,31 milliards FCFA. La société maintient sa rentabilité avec une marge nette de 3,4% et propose un dividende de 2.925 FCFA par action. Le total actif s'établit à 271,68 milliards FCFA avec des capitaux propres de 29,86 milliards FCFA. Les revenus financiers et assimilés représentent 1,69 milliard FCFA, contribuant positivement aux performances. L'entreprise démontre une gestion financière équilibrée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'-33,48 milliards FCFA', 'revenus_financiers': '1,69 milliard FCFA', 'flux_tresorerie_activites': '1,49 milliard FCFA'}</w:t>
            </w:r>
          </w:p>
        </w:tc>
        <w:tc>
          <w:tcPr>
            <w:tcW w:type="dxa" w:w="2160"/>
          </w:tcPr>
          <w:p>
            <w:pPr>
              <w:ind w:left="100"/>
            </w:pPr>
            <w:r/>
            <w:r>
              <w:rPr>
                <w:b/>
                <w:sz w:val="16"/>
              </w:rPr>
              <w:t>dividende</w:t>
              <w:br/>
            </w:r>
            <w:r>
              <w:rPr>
                <w:sz w:val="18"/>
              </w:rPr>
              <w:t>2.925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271,68 milliards FCFA</w:t>
            </w:r>
          </w:p>
        </w:tc>
      </w:tr>
      <w:tr>
        <w:tc>
          <w:tcPr>
            <w:tcW w:type="dxa" w:w="2160"/>
          </w:tcPr>
          <w:p>
            <w:r/>
            <w:r>
              <w:rPr>
                <w:b/>
                <w:sz w:val="16"/>
              </w:rPr>
              <w:t>resultat_net</w:t>
              <w:br/>
            </w:r>
            <w:r>
              <w:rPr>
                <w:sz w:val="18"/>
              </w:rPr>
              <w:t>4,31 milliards FCFA</w:t>
            </w:r>
          </w:p>
        </w:tc>
        <w:tc>
          <w:tcPr>
            <w:tcW w:type="dxa" w:w="2160"/>
          </w:tcPr>
          <w:p>
            <w:r/>
            <w:r>
              <w:rPr>
                <w:b/>
                <w:sz w:val="16"/>
              </w:rPr>
              <w:t>capitaux_propres</w:t>
              <w:br/>
            </w:r>
            <w:r>
              <w:rPr>
                <w:sz w:val="18"/>
              </w:rPr>
              <w:t>29,86 milliards FCFA</w:t>
            </w:r>
          </w:p>
        </w:tc>
        <w:tc>
          <w:tcPr>
            <w:tcW w:type="dxa" w:w="2160"/>
          </w:tcPr>
          <w:p>
            <w:r/>
            <w:r>
              <w:rPr>
                <w:b/>
                <w:sz w:val="16"/>
              </w:rPr>
              <w:t>chiffre_affaires</w:t>
              <w:br/>
            </w:r>
            <w:r>
              <w:rPr>
                <w:sz w:val="18"/>
              </w:rPr>
              <w:t>127,69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127,69 milliards FCFA en 2020</w:t>
      </w:r>
    </w:p>
    <w:p>
      <w:pPr>
        <w:pStyle w:val="ListBullet"/>
        <w:spacing w:before="20" w:after="20"/>
        <w:ind w:left="700"/>
      </w:pPr>
      <w:r>
        <w:rPr>
          <w:sz w:val="18"/>
        </w:rPr>
        <w:t>Résultat net positif de 4,31 milliards FCFA</w:t>
      </w:r>
    </w:p>
    <w:p>
      <w:pPr>
        <w:pStyle w:val="ListBullet"/>
        <w:spacing w:before="20" w:after="20"/>
        <w:ind w:left="700"/>
      </w:pPr>
      <w:r>
        <w:rPr>
          <w:sz w:val="18"/>
        </w:rPr>
        <w:t>Marge nette maintenue à 3,4%</w:t>
      </w:r>
    </w:p>
    <w:p>
      <w:pPr>
        <w:pStyle w:val="ListBullet"/>
        <w:spacing w:before="20" w:after="20"/>
        <w:ind w:left="700"/>
      </w:pPr>
      <w:r>
        <w:rPr>
          <w:sz w:val="18"/>
        </w:rPr>
        <w:t>Dividende proposé de 2.925 FCFA par action</w:t>
      </w:r>
    </w:p>
    <w:p>
      <w:pPr>
        <w:pStyle w:val="ListBullet"/>
        <w:spacing w:before="20" w:after="20"/>
        <w:ind w:left="700"/>
      </w:pPr>
      <w:r>
        <w:rPr>
          <w:sz w:val="18"/>
        </w:rPr>
        <w:t>Total actif de 271,68 milliards FCFA</w:t>
      </w:r>
    </w:p>
    <w:p>
      <w:pPr>
        <w:pStyle w:val="ListBullet"/>
        <w:spacing w:before="20" w:after="20"/>
        <w:ind w:left="700"/>
      </w:pPr>
      <w:r>
        <w:rPr>
          <w:sz w:val="18"/>
        </w:rPr>
        <w:t>Revenus financiers et assimilés de 1,69 milliard FCFA</w:t>
      </w:r>
    </w:p>
    <w:p>
      <w:pPr>
        <w:spacing w:before="40"/>
        <w:ind w:left="400"/>
      </w:pPr>
      <w:r>
        <w:rPr>
          <w:b/>
          <w:color w:val="C05000"/>
          <w:sz w:val="18"/>
        </w:rPr>
        <w:t xml:space="preserve">⚠️ Risques : </w:t>
      </w:r>
      <w:r>
        <w:rPr>
          <w:sz w:val="18"/>
        </w:rPr>
        <w:t>["Tr\u00e9sorerie nette n\u00e9gative de -33,48 milliards FCFA indiquant un besoin de financement", "D\u00e9pendance aux conditions r\u00e9glementaires du secteur de l'eau", "Exposition aux variations des co\u00fbts op\u00e9rationnels et d'investissement"]</w:t>
      </w:r>
    </w:p>
    <w:p>
      <w:pPr>
        <w:spacing w:before="40"/>
        <w:ind w:left="400"/>
      </w:pPr>
      <w:r>
        <w:rPr>
          <w:b/>
          <w:color w:val="0064A0"/>
          <w:sz w:val="18"/>
        </w:rPr>
        <w:t xml:space="preserve">🔮 Perspectives : </w:t>
      </w:r>
      <w:r>
        <w:rPr>
          <w:sz w:val="18"/>
        </w:rPr>
        <w:t>Les perspectives restent stables compte tenu du caractère essentiel des services d'eau et de la position dominante de SODECI. La société devrait maintenir sa rentabilité tout en gérant ses besoins de financement. L'amélioration de la trésorerie sera un enjeu clé pour les prochains exercices.</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"Position dominante dans un secteur strat\u00e9gique avec forte croissance du CA, mais vigilance requise sur la d\u00e9gradation de la rentabilit\u00e9 et la tr\u00e9sorerie n\u00e9gative. Le maintien du dividende t\u00e9moigne de la solidit\u00e9 financi\u00e8re \u00e0 moyen terme."}</w:t>
      </w:r>
    </w:p>
    <w:p>
      <w:pPr>
        <w:spacing w:before="40"/>
        <w:ind w:left="400"/>
      </w:pPr>
      <w:r>
        <w:rPr>
          <w:sz w:val="18"/>
        </w:rPr>
        <w:t>SODECI, société d'eau et d'électricité ivoirienne, affiche une solide performance financière en 2020 avec un chiffre d'affaires de 127,5 milliards FCFA et un résultat net de 4,3 milliards FCFA. La société maintient une croissance soutenue de son CA (+45% vs 2019) malgré un recul de la rentabilité nette. Le bilan présente un total actif de 271,7 milliards FCFA avec des capitaux propres solides. La trésorerie nette négative de -33,5 milliards FCFA nécessite une attention particulière. L'entreprise propose un dividende substantiel de 3,375 milliards FCFA, démontrant sa capacité distributive.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'+45%', 'capital_social': '4 500 000 000 FCFA', 'tresorerie_nette': '-33 476 993 milliers FCFA', 'evolution_resultat_net': '-53%'}</w:t>
            </w:r>
          </w:p>
        </w:tc>
        <w:tc>
          <w:tcPr>
            <w:tcW w:type="dxa" w:w="2160"/>
          </w:tcPr>
          <w:p>
            <w:pPr>
              <w:ind w:left="100"/>
            </w:pPr>
            <w:r/>
            <w:r>
              <w:rPr>
                <w:b/>
                <w:sz w:val="16"/>
              </w:rPr>
              <w:t>dividende</w:t>
              <w:br/>
            </w:r>
            <w:r>
              <w:rPr>
                <w:sz w:val="18"/>
              </w:rPr>
              <w:t>3 375 000 000 FCFA</w:t>
            </w:r>
          </w:p>
        </w:tc>
        <w:tc>
          <w:tcPr>
            <w:tcW w:type="dxa" w:w="2160"/>
          </w:tcPr>
          <w:p>
            <w:pPr>
              <w:ind w:left="100"/>
            </w:pPr>
            <w:r/>
            <w:r>
              <w:rPr>
                <w:b/>
                <w:sz w:val="16"/>
              </w:rPr>
              <w:t>marge_nette</w:t>
              <w:br/>
            </w:r>
            <w:r>
              <w:rPr>
                <w:sz w:val="18"/>
              </w:rPr>
              <w:t>3,4%</w:t>
            </w:r>
          </w:p>
        </w:tc>
        <w:tc>
          <w:tcPr>
            <w:tcW w:type="dxa" w:w="2160"/>
          </w:tcPr>
          <w:p>
            <w:pPr>
              <w:ind w:left="100"/>
            </w:pPr>
            <w:r/>
            <w:r>
              <w:rPr>
                <w:b/>
                <w:sz w:val="16"/>
              </w:rPr>
              <w:t>total_actif</w:t>
              <w:br/>
            </w:r>
            <w:r>
              <w:rPr>
                <w:sz w:val="18"/>
              </w:rPr>
              <w:t>271 676 820 milliers FCFA</w:t>
            </w:r>
          </w:p>
        </w:tc>
      </w:tr>
      <w:tr>
        <w:tc>
          <w:tcPr>
            <w:tcW w:type="dxa" w:w="2160"/>
          </w:tcPr>
          <w:p>
            <w:r/>
            <w:r>
              <w:rPr>
                <w:b/>
                <w:sz w:val="16"/>
              </w:rPr>
              <w:t>resultat_net</w:t>
              <w:br/>
            </w:r>
            <w:r>
              <w:rPr>
                <w:sz w:val="18"/>
              </w:rPr>
              <w:t>4 307 472 milliers FCFA</w:t>
            </w:r>
          </w:p>
        </w:tc>
        <w:tc>
          <w:tcPr>
            <w:tcW w:type="dxa" w:w="2160"/>
          </w:tcPr>
          <w:p>
            <w:r/>
            <w:r>
              <w:rPr>
                <w:b/>
                <w:sz w:val="16"/>
              </w:rPr>
              <w:t>capitaux_propres</w:t>
              <w:br/>
            </w:r>
            <w:r>
              <w:rPr>
                <w:sz w:val="18"/>
              </w:rPr>
              <w:t>65 707 952 milliers FCFA</w:t>
            </w:r>
          </w:p>
        </w:tc>
        <w:tc>
          <w:tcPr>
            <w:tcW w:type="dxa" w:w="2160"/>
          </w:tcPr>
          <w:p>
            <w:r/>
            <w:r>
              <w:rPr>
                <w:b/>
                <w:sz w:val="16"/>
              </w:rPr>
              <w:t>chiffre_affaires</w:t>
              <w:br/>
            </w:r>
            <w:r>
              <w:rPr>
                <w:sz w:val="18"/>
              </w:rPr>
              <w:t>127 490 235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 +45% à 127,5 milliards FCFA</w:t>
      </w:r>
    </w:p>
    <w:p>
      <w:pPr>
        <w:pStyle w:val="ListBullet"/>
        <w:spacing w:before="20" w:after="20"/>
        <w:ind w:left="700"/>
      </w:pPr>
      <w:r>
        <w:rPr>
          <w:sz w:val="18"/>
        </w:rPr>
        <w:t>Résultat net positif de 4,3 milliards FCFA mais en baisse de 53% par rapport à 2019</w:t>
      </w:r>
    </w:p>
    <w:p>
      <w:pPr>
        <w:pStyle w:val="ListBullet"/>
        <w:spacing w:before="20" w:after="20"/>
        <w:ind w:left="700"/>
      </w:pPr>
      <w:r>
        <w:rPr>
          <w:sz w:val="18"/>
        </w:rPr>
        <w:t>Distribution de dividendes de 3,375 milliards FCFA maintenue</w:t>
      </w:r>
    </w:p>
    <w:p>
      <w:pPr>
        <w:pStyle w:val="ListBullet"/>
        <w:spacing w:before="20" w:after="20"/>
        <w:ind w:left="700"/>
      </w:pPr>
      <w:r>
        <w:rPr>
          <w:sz w:val="18"/>
        </w:rPr>
        <w:t>Trésorerie nette négative de -33,5 milliards FCFA contre -46,6 milliards en 2019</w:t>
      </w:r>
    </w:p>
    <w:p>
      <w:pPr>
        <w:pStyle w:val="ListBullet"/>
        <w:spacing w:before="20" w:after="20"/>
        <w:ind w:left="700"/>
      </w:pPr>
      <w:r>
        <w:rPr>
          <w:sz w:val="18"/>
        </w:rPr>
        <w:t>Total actif en croissance de 14% à 271,7 milliards FCFA</w:t>
      </w:r>
    </w:p>
    <w:p>
      <w:pPr>
        <w:pStyle w:val="ListBullet"/>
        <w:spacing w:before="20" w:after="20"/>
        <w:ind w:left="700"/>
      </w:pPr>
      <w:r>
        <w:rPr>
          <w:sz w:val="18"/>
        </w:rPr>
        <w:t>Marge nette en dégradation à 3,4% contre 10,7% en 2019</w:t>
      </w:r>
    </w:p>
    <w:p>
      <w:pPr>
        <w:spacing w:before="40"/>
        <w:ind w:left="400"/>
      </w:pPr>
      <w:r>
        <w:rPr>
          <w:b/>
          <w:color w:val="C05000"/>
          <w:sz w:val="18"/>
        </w:rPr>
        <w:t xml:space="preserve">⚠️ Risques : </w:t>
      </w:r>
      <w:r>
        <w:rPr>
          <w:sz w:val="18"/>
        </w:rPr>
        <w:t>["D\u00e9gradation significative de la marge nette passant de 10,7% \u00e0 3,4%", "Tr\u00e9sorerie nette n\u00e9gative importante n\u00e9cessitant un financement externe", "D\u00e9pendance au march\u00e9 ivoirien et exposition aux risques r\u00e9glementaires du secteur public"]</w:t>
      </w:r>
    </w:p>
    <w:p>
      <w:pPr>
        <w:spacing w:before="40"/>
        <w:ind w:left="400"/>
      </w:pPr>
      <w:r>
        <w:rPr>
          <w:b/>
          <w:color w:val="0064A0"/>
          <w:sz w:val="18"/>
        </w:rPr>
        <w:t xml:space="preserve">🔮 Perspectives : </w:t>
      </w:r>
      <w:r>
        <w:rPr>
          <w:sz w:val="18"/>
        </w:rPr>
        <w:t>L'amélioration de la trésorerie nette et la croissance soutenue du chiffre d'affaires laissent présager une stabilisation en 2021. La société devra toutefois optimiser sa rentabilité opérationnelle pour retrouver des niveaux de marge plus élevés et renforcer sa structure financière.</w:t>
      </w:r>
    </w:p>
    <w:p/>
    <w:p>
      <w:r>
        <w:t>════════════════════════════════════════════════════════════════════════════════</w:t>
      </w:r>
    </w:p>
    <w:p>
      <w:r>
        <w:br w:type="page"/>
      </w:r>
    </w:p>
    <w:p>
      <w:pPr>
        <w:pStyle w:val="Heading2"/>
        <w:spacing w:before="360"/>
      </w:pPr>
      <w:r>
        <w:rPr>
          <w:color w:val="0066CC"/>
        </w:rPr>
        <w:t>30. SDSC - SDSC - AFRICA GLOBAL LOGISTICS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SDSC</w:t>
            </w:r>
          </w:p>
          <w:p>
            <w:r>
              <w:rPr>
                <w:b/>
                <w:color w:val="323250"/>
                <w:sz w:val="16"/>
              </w:rPr>
              <w:t xml:space="preserve">Société : </w:t>
            </w:r>
            <w:r>
              <w:rPr>
                <w:color w:val="000000"/>
                <w:sz w:val="16"/>
              </w:rPr>
              <w:t>SDSC - AFRICA GLOBAL LOGISTICS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143.44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17,185 titres</w:t>
            </w:r>
          </w:p>
        </w:tc>
        <w:tc>
          <w:tcPr>
            <w:tcW w:type="dxa" w:w="2268"/>
            <w:shd w:fill="FFF2CC" w:val="clear"/>
          </w:tcPr>
          <w:p>
            <w:r>
              <w:rPr>
                <w:b/>
                <w:color w:val="503200"/>
                <w:sz w:val="16"/>
              </w:rPr>
              <w:t xml:space="preserve">Cours actuel : </w:t>
            </w:r>
            <w:r>
              <w:rPr>
                <w:color w:val="000000"/>
                <w:sz w:val="17"/>
              </w:rPr>
              <w:t>2,635 FCFA</w:t>
            </w:r>
          </w:p>
          <w:p>
            <w:r>
              <w:rPr>
                <w:b/>
                <w:color w:val="503200"/>
                <w:sz w:val="16"/>
              </w:rPr>
              <w:t xml:space="preserve">Var. 100 jours : </w:t>
            </w:r>
            <w:r>
              <w:rPr>
                <w:b/>
                <w:color w:val="007800"/>
                <w:sz w:val="17"/>
              </w:rPr>
              <w:t>+36.88%</w:t>
            </w:r>
          </w:p>
          <w:p>
            <w:r>
              <w:rPr>
                <w:b/>
                <w:color w:val="503200"/>
                <w:sz w:val="16"/>
              </w:rPr>
              <w:t xml:space="preserve">Plus haut 100j : </w:t>
            </w:r>
            <w:r>
              <w:rPr>
                <w:color w:val="000000"/>
                <w:sz w:val="17"/>
              </w:rPr>
              <w:t>2,820 FCFA</w:t>
            </w:r>
          </w:p>
          <w:p>
            <w:r>
              <w:rPr>
                <w:b/>
                <w:color w:val="503200"/>
                <w:sz w:val="16"/>
              </w:rPr>
              <w:t xml:space="preserve">Plus bas 100j : </w:t>
            </w:r>
            <w:r>
              <w:rPr>
                <w:color w:val="000000"/>
                <w:sz w:val="17"/>
              </w:rPr>
              <w:t>1,650 FCFA</w:t>
            </w:r>
          </w:p>
          <w:p>
            <w:r>
              <w:rPr>
                <w:b/>
                <w:color w:val="503200"/>
                <w:sz w:val="16"/>
              </w:rPr>
              <w:t xml:space="preserve">Volatilité ann. : </w:t>
            </w:r>
            <w:r>
              <w:rPr>
                <w:color w:val="000000"/>
                <w:sz w:val="17"/>
              </w:rPr>
              <w:t>49.9%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25.8/100 → Moyen</w:t>
      </w:r>
    </w:p>
    <w:p>
      <w:pPr>
        <w:spacing w:before="40" w:after="80"/>
      </w:pPr>
      <w:r>
        <w:rPr>
          <w:rFonts w:ascii="Courier New" w:hAnsi="Courier New"/>
          <w:color w:val="825A00"/>
          <w:sz w:val="18"/>
        </w:rPr>
        <w:t>█████░░░░░░░░░░░░░░░  25.8/100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17.63% (Élevée) — μ=2,205 FCFA, σ=389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C6EFCE" w:val="clear"/>
          </w:tcPr>
          <w:p>
            <w:r>
              <w:rPr>
                <w:b/>
                <w:sz w:val="15"/>
              </w:rPr>
              <w:t>β=0.4528 (Défensif) — Cov=0.000016, Var(idx)=0.000035, ρ=0.086,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17,185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σ_j=3.14%/j (Modérée) — Vol. annualisée≈49.9%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32" name="Picture 32"/>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2026-08-28</w:t>
            </w:r>
          </w:p>
        </w:tc>
        <w:tc>
          <w:tcPr>
            <w:tcW w:type="dxa" w:w="1440"/>
            <w:shd w:fill="FAFAFA" w:val="clear"/>
          </w:tcPr>
          <w:p>
            <w:r>
              <w:rPr>
                <w:sz w:val="17"/>
              </w:rPr>
              <w:t>2,456</w:t>
            </w:r>
          </w:p>
        </w:tc>
        <w:tc>
          <w:tcPr>
            <w:tcW w:type="dxa" w:w="1440"/>
            <w:shd w:fill="FAFAFA" w:val="clear"/>
          </w:tcPr>
          <w:p>
            <w:r>
              <w:rPr>
                <w:b/>
                <w:sz w:val="17"/>
              </w:rPr>
              <w:t>2,617</w:t>
            </w:r>
          </w:p>
        </w:tc>
        <w:tc>
          <w:tcPr>
            <w:tcW w:type="dxa" w:w="1440"/>
            <w:shd w:fill="FAFAFA" w:val="clear"/>
          </w:tcPr>
          <w:p>
            <w:r>
              <w:rPr>
                <w:sz w:val="17"/>
              </w:rPr>
              <w:t>2,778</w:t>
            </w:r>
          </w:p>
        </w:tc>
        <w:tc>
          <w:tcPr>
            <w:tcW w:type="dxa" w:w="1440"/>
            <w:shd w:fill="FAFAFA" w:val="clear"/>
          </w:tcPr>
          <w:p>
            <w:r>
              <w:rPr>
                <w:b/>
                <w:color w:val="C00000"/>
                <w:sz w:val="17"/>
              </w:rPr>
              <w:t>-0.7%</w:t>
            </w:r>
          </w:p>
        </w:tc>
      </w:tr>
      <w:tr>
        <w:tc>
          <w:tcPr>
            <w:tcW w:type="dxa" w:w="1440"/>
            <w:shd w:fill="FAFAFA" w:val="clear"/>
          </w:tcPr>
          <w:p>
            <w:r>
              <w:rPr>
                <w:sz w:val="17"/>
              </w:rPr>
              <w:t>J+2  Moyenne</w:t>
            </w:r>
          </w:p>
        </w:tc>
        <w:tc>
          <w:tcPr>
            <w:tcW w:type="dxa" w:w="1440"/>
            <w:shd w:fill="FAFAFA" w:val="clear"/>
          </w:tcPr>
          <w:p>
            <w:r>
              <w:rPr>
                <w:sz w:val="17"/>
              </w:rPr>
              <w:t>2026-08-31</w:t>
            </w:r>
          </w:p>
        </w:tc>
        <w:tc>
          <w:tcPr>
            <w:tcW w:type="dxa" w:w="1440"/>
            <w:shd w:fill="FAFAFA" w:val="clear"/>
          </w:tcPr>
          <w:p>
            <w:r>
              <w:rPr>
                <w:sz w:val="17"/>
              </w:rPr>
              <w:t>2,370</w:t>
            </w:r>
          </w:p>
        </w:tc>
        <w:tc>
          <w:tcPr>
            <w:tcW w:type="dxa" w:w="1440"/>
            <w:shd w:fill="FAFAFA" w:val="clear"/>
          </w:tcPr>
          <w:p>
            <w:r>
              <w:rPr>
                <w:b/>
                <w:sz w:val="17"/>
              </w:rPr>
              <w:t>2,596</w:t>
            </w:r>
          </w:p>
        </w:tc>
        <w:tc>
          <w:tcPr>
            <w:tcW w:type="dxa" w:w="1440"/>
            <w:shd w:fill="FAFAFA" w:val="clear"/>
          </w:tcPr>
          <w:p>
            <w:r>
              <w:rPr>
                <w:sz w:val="17"/>
              </w:rPr>
              <w:t>2,821</w:t>
            </w:r>
          </w:p>
        </w:tc>
        <w:tc>
          <w:tcPr>
            <w:tcW w:type="dxa" w:w="1440"/>
            <w:shd w:fill="FAFAFA" w:val="clear"/>
          </w:tcPr>
          <w:p>
            <w:r>
              <w:rPr>
                <w:b/>
                <w:color w:val="C00000"/>
                <w:sz w:val="17"/>
              </w:rPr>
              <w:t>-1.5%</w:t>
            </w:r>
          </w:p>
        </w:tc>
      </w:tr>
      <w:tr>
        <w:tc>
          <w:tcPr>
            <w:tcW w:type="dxa" w:w="1440"/>
            <w:shd w:fill="FFDCE0" w:val="clear"/>
          </w:tcPr>
          <w:p>
            <w:r>
              <w:rPr>
                <w:sz w:val="17"/>
              </w:rPr>
              <w:t>J+3  Moyenne</w:t>
            </w:r>
          </w:p>
        </w:tc>
        <w:tc>
          <w:tcPr>
            <w:tcW w:type="dxa" w:w="1440"/>
            <w:shd w:fill="FFDCE0" w:val="clear"/>
          </w:tcPr>
          <w:p>
            <w:r>
              <w:rPr>
                <w:sz w:val="17"/>
              </w:rPr>
              <w:t>2026-09-01</w:t>
            </w:r>
          </w:p>
        </w:tc>
        <w:tc>
          <w:tcPr>
            <w:tcW w:type="dxa" w:w="1440"/>
            <w:shd w:fill="FFDCE0" w:val="clear"/>
          </w:tcPr>
          <w:p>
            <w:r>
              <w:rPr>
                <w:sz w:val="17"/>
              </w:rPr>
              <w:t>2,301</w:t>
            </w:r>
          </w:p>
        </w:tc>
        <w:tc>
          <w:tcPr>
            <w:tcW w:type="dxa" w:w="1440"/>
            <w:shd w:fill="FFDCE0" w:val="clear"/>
          </w:tcPr>
          <w:p>
            <w:r>
              <w:rPr>
                <w:b/>
                <w:sz w:val="17"/>
              </w:rPr>
              <w:t>2,575</w:t>
            </w:r>
          </w:p>
        </w:tc>
        <w:tc>
          <w:tcPr>
            <w:tcW w:type="dxa" w:w="1440"/>
            <w:shd w:fill="FFDCE0" w:val="clear"/>
          </w:tcPr>
          <w:p>
            <w:r>
              <w:rPr>
                <w:sz w:val="17"/>
              </w:rPr>
              <w:t>2,849</w:t>
            </w:r>
          </w:p>
        </w:tc>
        <w:tc>
          <w:tcPr>
            <w:tcW w:type="dxa" w:w="1440"/>
            <w:shd w:fill="FFDCE0" w:val="clear"/>
          </w:tcPr>
          <w:p>
            <w:r>
              <w:rPr>
                <w:b/>
                <w:color w:val="C00000"/>
                <w:sz w:val="17"/>
              </w:rPr>
              <w:t>-2.3%</w:t>
            </w:r>
          </w:p>
        </w:tc>
      </w:tr>
      <w:tr>
        <w:tc>
          <w:tcPr>
            <w:tcW w:type="dxa" w:w="1440"/>
            <w:shd w:fill="FFDCE0" w:val="clear"/>
          </w:tcPr>
          <w:p>
            <w:r>
              <w:rPr>
                <w:sz w:val="17"/>
              </w:rPr>
              <w:t>J+4  ⭐</w:t>
            </w:r>
          </w:p>
        </w:tc>
        <w:tc>
          <w:tcPr>
            <w:tcW w:type="dxa" w:w="1440"/>
            <w:shd w:fill="FFDCE0" w:val="clear"/>
          </w:tcPr>
          <w:p>
            <w:r>
              <w:rPr>
                <w:sz w:val="17"/>
              </w:rPr>
              <w:t>2026-09-02</w:t>
            </w:r>
          </w:p>
        </w:tc>
        <w:tc>
          <w:tcPr>
            <w:tcW w:type="dxa" w:w="1440"/>
            <w:shd w:fill="FFDCE0" w:val="clear"/>
          </w:tcPr>
          <w:p>
            <w:r>
              <w:rPr>
                <w:sz w:val="17"/>
              </w:rPr>
              <w:t>2,243</w:t>
            </w:r>
          </w:p>
        </w:tc>
        <w:tc>
          <w:tcPr>
            <w:tcW w:type="dxa" w:w="1440"/>
            <w:shd w:fill="FFDCE0" w:val="clear"/>
          </w:tcPr>
          <w:p>
            <w:r>
              <w:rPr>
                <w:b/>
                <w:sz w:val="17"/>
              </w:rPr>
              <w:t>2,557</w:t>
            </w:r>
          </w:p>
        </w:tc>
        <w:tc>
          <w:tcPr>
            <w:tcW w:type="dxa" w:w="1440"/>
            <w:shd w:fill="FFDCE0" w:val="clear"/>
          </w:tcPr>
          <w:p>
            <w:r>
              <w:rPr>
                <w:sz w:val="17"/>
              </w:rPr>
              <w:t>2,871</w:t>
            </w:r>
          </w:p>
        </w:tc>
        <w:tc>
          <w:tcPr>
            <w:tcW w:type="dxa" w:w="1440"/>
            <w:shd w:fill="FFDCE0" w:val="clear"/>
          </w:tcPr>
          <w:p>
            <w:r>
              <w:rPr>
                <w:b/>
                <w:color w:val="C00000"/>
                <w:sz w:val="17"/>
              </w:rPr>
              <w:t>-3.0%</w:t>
            </w:r>
          </w:p>
        </w:tc>
      </w:tr>
      <w:tr>
        <w:tc>
          <w:tcPr>
            <w:tcW w:type="dxa" w:w="1440"/>
            <w:shd w:fill="FFDCE0" w:val="clear"/>
          </w:tcPr>
          <w:p>
            <w:r>
              <w:rPr>
                <w:sz w:val="17"/>
              </w:rPr>
              <w:t>J+5  ⭐</w:t>
            </w:r>
          </w:p>
        </w:tc>
        <w:tc>
          <w:tcPr>
            <w:tcW w:type="dxa" w:w="1440"/>
            <w:shd w:fill="FFDCE0" w:val="clear"/>
          </w:tcPr>
          <w:p>
            <w:r>
              <w:rPr>
                <w:sz w:val="17"/>
              </w:rPr>
              <w:t>2026-09-03</w:t>
            </w:r>
          </w:p>
        </w:tc>
        <w:tc>
          <w:tcPr>
            <w:tcW w:type="dxa" w:w="1440"/>
            <w:shd w:fill="FFDCE0" w:val="clear"/>
          </w:tcPr>
          <w:p>
            <w:r>
              <w:rPr>
                <w:sz w:val="17"/>
              </w:rPr>
              <w:t>2,191</w:t>
            </w:r>
          </w:p>
        </w:tc>
        <w:tc>
          <w:tcPr>
            <w:tcW w:type="dxa" w:w="1440"/>
            <w:shd w:fill="FFDCE0" w:val="clear"/>
          </w:tcPr>
          <w:p>
            <w:r>
              <w:rPr>
                <w:b/>
                <w:sz w:val="17"/>
              </w:rPr>
              <w:t>2,540</w:t>
            </w:r>
          </w:p>
        </w:tc>
        <w:tc>
          <w:tcPr>
            <w:tcW w:type="dxa" w:w="1440"/>
            <w:shd w:fill="FFDCE0" w:val="clear"/>
          </w:tcPr>
          <w:p>
            <w:r>
              <w:rPr>
                <w:sz w:val="17"/>
              </w:rPr>
              <w:t>2,889</w:t>
            </w:r>
          </w:p>
        </w:tc>
        <w:tc>
          <w:tcPr>
            <w:tcW w:type="dxa" w:w="1440"/>
            <w:shd w:fill="FFDCE0" w:val="clear"/>
          </w:tcPr>
          <w:p>
            <w:r>
              <w:rPr>
                <w:b/>
                <w:color w:val="C00000"/>
                <w:sz w:val="17"/>
              </w:rPr>
              <w:t>-3.6%</w:t>
            </w:r>
          </w:p>
        </w:tc>
      </w:tr>
      <w:tr>
        <w:tc>
          <w:tcPr>
            <w:tcW w:type="dxa" w:w="1440"/>
            <w:shd w:fill="FFDCE0" w:val="clear"/>
          </w:tcPr>
          <w:p>
            <w:r>
              <w:rPr>
                <w:sz w:val="17"/>
              </w:rPr>
              <w:t>J+6  ⭐</w:t>
            </w:r>
          </w:p>
        </w:tc>
        <w:tc>
          <w:tcPr>
            <w:tcW w:type="dxa" w:w="1440"/>
            <w:shd w:fill="FFDCE0" w:val="clear"/>
          </w:tcPr>
          <w:p>
            <w:r>
              <w:rPr>
                <w:sz w:val="17"/>
              </w:rPr>
              <w:t>2026-09-04</w:t>
            </w:r>
          </w:p>
        </w:tc>
        <w:tc>
          <w:tcPr>
            <w:tcW w:type="dxa" w:w="1440"/>
            <w:shd w:fill="FFDCE0" w:val="clear"/>
          </w:tcPr>
          <w:p>
            <w:r>
              <w:rPr>
                <w:sz w:val="17"/>
              </w:rPr>
              <w:t>2,143</w:t>
            </w:r>
          </w:p>
        </w:tc>
        <w:tc>
          <w:tcPr>
            <w:tcW w:type="dxa" w:w="1440"/>
            <w:shd w:fill="FFDCE0" w:val="clear"/>
          </w:tcPr>
          <w:p>
            <w:r>
              <w:rPr>
                <w:b/>
                <w:sz w:val="17"/>
              </w:rPr>
              <w:t>2,523</w:t>
            </w:r>
          </w:p>
        </w:tc>
        <w:tc>
          <w:tcPr>
            <w:tcW w:type="dxa" w:w="1440"/>
            <w:shd w:fill="FFDCE0" w:val="clear"/>
          </w:tcPr>
          <w:p>
            <w:r>
              <w:rPr>
                <w:sz w:val="17"/>
              </w:rPr>
              <w:t>2,903</w:t>
            </w:r>
          </w:p>
        </w:tc>
        <w:tc>
          <w:tcPr>
            <w:tcW w:type="dxa" w:w="1440"/>
            <w:shd w:fill="FFDCE0" w:val="clear"/>
          </w:tcPr>
          <w:p>
            <w:r>
              <w:rPr>
                <w:b/>
                <w:color w:val="C00000"/>
                <w:sz w:val="17"/>
              </w:rPr>
              <w:t>-4.2%</w:t>
            </w:r>
          </w:p>
        </w:tc>
      </w:tr>
      <w:tr>
        <w:tc>
          <w:tcPr>
            <w:tcW w:type="dxa" w:w="1440"/>
            <w:shd w:fill="FFDCE0" w:val="clear"/>
          </w:tcPr>
          <w:p>
            <w:r>
              <w:rPr>
                <w:sz w:val="17"/>
              </w:rPr>
              <w:t>J+7  ⭐</w:t>
            </w:r>
          </w:p>
        </w:tc>
        <w:tc>
          <w:tcPr>
            <w:tcW w:type="dxa" w:w="1440"/>
            <w:shd w:fill="FFDCE0" w:val="clear"/>
          </w:tcPr>
          <w:p>
            <w:r>
              <w:rPr>
                <w:sz w:val="17"/>
              </w:rPr>
              <w:t>2026-09-07</w:t>
            </w:r>
          </w:p>
        </w:tc>
        <w:tc>
          <w:tcPr>
            <w:tcW w:type="dxa" w:w="1440"/>
            <w:shd w:fill="FFDCE0" w:val="clear"/>
          </w:tcPr>
          <w:p>
            <w:r>
              <w:rPr>
                <w:sz w:val="17"/>
              </w:rPr>
              <w:t>2,100</w:t>
            </w:r>
          </w:p>
        </w:tc>
        <w:tc>
          <w:tcPr>
            <w:tcW w:type="dxa" w:w="1440"/>
            <w:shd w:fill="FFDCE0" w:val="clear"/>
          </w:tcPr>
          <w:p>
            <w:r>
              <w:rPr>
                <w:b/>
                <w:sz w:val="17"/>
              </w:rPr>
              <w:t>2,507</w:t>
            </w:r>
          </w:p>
        </w:tc>
        <w:tc>
          <w:tcPr>
            <w:tcW w:type="dxa" w:w="1440"/>
            <w:shd w:fill="FFDCE0" w:val="clear"/>
          </w:tcPr>
          <w:p>
            <w:r>
              <w:rPr>
                <w:sz w:val="17"/>
              </w:rPr>
              <w:t>2,915</w:t>
            </w:r>
          </w:p>
        </w:tc>
        <w:tc>
          <w:tcPr>
            <w:tcW w:type="dxa" w:w="1440"/>
            <w:shd w:fill="FFDCE0" w:val="clear"/>
          </w:tcPr>
          <w:p>
            <w:r>
              <w:rPr>
                <w:b/>
                <w:color w:val="C00000"/>
                <w:sz w:val="17"/>
              </w:rPr>
              <w:t>-4.8%</w:t>
            </w:r>
          </w:p>
        </w:tc>
      </w:tr>
      <w:tr>
        <w:tc>
          <w:tcPr>
            <w:tcW w:type="dxa" w:w="1440"/>
            <w:shd w:fill="FFDCE0" w:val="clear"/>
          </w:tcPr>
          <w:p>
            <w:r>
              <w:rPr>
                <w:sz w:val="17"/>
              </w:rPr>
              <w:t>J+8  ⭐</w:t>
            </w:r>
          </w:p>
        </w:tc>
        <w:tc>
          <w:tcPr>
            <w:tcW w:type="dxa" w:w="1440"/>
            <w:shd w:fill="FFDCE0" w:val="clear"/>
          </w:tcPr>
          <w:p>
            <w:r>
              <w:rPr>
                <w:sz w:val="17"/>
              </w:rPr>
              <w:t>2026-09-08</w:t>
            </w:r>
          </w:p>
        </w:tc>
        <w:tc>
          <w:tcPr>
            <w:tcW w:type="dxa" w:w="1440"/>
            <w:shd w:fill="FFDCE0" w:val="clear"/>
          </w:tcPr>
          <w:p>
            <w:r>
              <w:rPr>
                <w:sz w:val="17"/>
              </w:rPr>
              <w:t>2,059</w:t>
            </w:r>
          </w:p>
        </w:tc>
        <w:tc>
          <w:tcPr>
            <w:tcW w:type="dxa" w:w="1440"/>
            <w:shd w:fill="FFDCE0" w:val="clear"/>
          </w:tcPr>
          <w:p>
            <w:r>
              <w:rPr>
                <w:b/>
                <w:sz w:val="17"/>
              </w:rPr>
              <w:t>2,492</w:t>
            </w:r>
          </w:p>
        </w:tc>
        <w:tc>
          <w:tcPr>
            <w:tcW w:type="dxa" w:w="1440"/>
            <w:shd w:fill="FFDCE0" w:val="clear"/>
          </w:tcPr>
          <w:p>
            <w:r>
              <w:rPr>
                <w:sz w:val="17"/>
              </w:rPr>
              <w:t>2,925</w:t>
            </w:r>
          </w:p>
        </w:tc>
        <w:tc>
          <w:tcPr>
            <w:tcW w:type="dxa" w:w="1440"/>
            <w:shd w:fill="FFDCE0" w:val="clear"/>
          </w:tcPr>
          <w:p>
            <w:r>
              <w:rPr>
                <w:b/>
                <w:color w:val="C00000"/>
                <w:sz w:val="17"/>
              </w:rPr>
              <w:t>-5.4%</w:t>
            </w:r>
          </w:p>
        </w:tc>
      </w:tr>
      <w:tr>
        <w:tc>
          <w:tcPr>
            <w:tcW w:type="dxa" w:w="1440"/>
            <w:shd w:fill="FFDCE0" w:val="clear"/>
          </w:tcPr>
          <w:p>
            <w:r>
              <w:rPr>
                <w:sz w:val="17"/>
              </w:rPr>
              <w:t>J+9  ⭐</w:t>
            </w:r>
          </w:p>
        </w:tc>
        <w:tc>
          <w:tcPr>
            <w:tcW w:type="dxa" w:w="1440"/>
            <w:shd w:fill="FFDCE0" w:val="clear"/>
          </w:tcPr>
          <w:p>
            <w:r>
              <w:rPr>
                <w:sz w:val="17"/>
              </w:rPr>
              <w:t>2026-09-09</w:t>
            </w:r>
          </w:p>
        </w:tc>
        <w:tc>
          <w:tcPr>
            <w:tcW w:type="dxa" w:w="1440"/>
            <w:shd w:fill="FFDCE0" w:val="clear"/>
          </w:tcPr>
          <w:p>
            <w:r>
              <w:rPr>
                <w:sz w:val="17"/>
              </w:rPr>
              <w:t>2,020</w:t>
            </w:r>
          </w:p>
        </w:tc>
        <w:tc>
          <w:tcPr>
            <w:tcW w:type="dxa" w:w="1440"/>
            <w:shd w:fill="FFDCE0" w:val="clear"/>
          </w:tcPr>
          <w:p>
            <w:r>
              <w:rPr>
                <w:b/>
                <w:sz w:val="17"/>
              </w:rPr>
              <w:t>2,477</w:t>
            </w:r>
          </w:p>
        </w:tc>
        <w:tc>
          <w:tcPr>
            <w:tcW w:type="dxa" w:w="1440"/>
            <w:shd w:fill="FFDCE0" w:val="clear"/>
          </w:tcPr>
          <w:p>
            <w:r>
              <w:rPr>
                <w:sz w:val="17"/>
              </w:rPr>
              <w:t>2,933</w:t>
            </w:r>
          </w:p>
        </w:tc>
        <w:tc>
          <w:tcPr>
            <w:tcW w:type="dxa" w:w="1440"/>
            <w:shd w:fill="FFDCE0" w:val="clear"/>
          </w:tcPr>
          <w:p>
            <w:r>
              <w:rPr>
                <w:b/>
                <w:color w:val="C00000"/>
                <w:sz w:val="17"/>
              </w:rPr>
              <w:t>-6.0%</w:t>
            </w:r>
          </w:p>
        </w:tc>
      </w:tr>
      <w:tr>
        <w:tc>
          <w:tcPr>
            <w:tcW w:type="dxa" w:w="1440"/>
            <w:shd w:fill="FFDCE0" w:val="clear"/>
          </w:tcPr>
          <w:p>
            <w:r>
              <w:rPr>
                <w:sz w:val="17"/>
              </w:rPr>
              <w:t>J+10  ⭐</w:t>
            </w:r>
          </w:p>
        </w:tc>
        <w:tc>
          <w:tcPr>
            <w:tcW w:type="dxa" w:w="1440"/>
            <w:shd w:fill="FFDCE0" w:val="clear"/>
          </w:tcPr>
          <w:p>
            <w:r>
              <w:rPr>
                <w:sz w:val="17"/>
              </w:rPr>
              <w:t>2026-09-10</w:t>
            </w:r>
          </w:p>
        </w:tc>
        <w:tc>
          <w:tcPr>
            <w:tcW w:type="dxa" w:w="1440"/>
            <w:shd w:fill="FFDCE0" w:val="clear"/>
          </w:tcPr>
          <w:p>
            <w:r>
              <w:rPr>
                <w:sz w:val="17"/>
              </w:rPr>
              <w:t>1,984</w:t>
            </w:r>
          </w:p>
        </w:tc>
        <w:tc>
          <w:tcPr>
            <w:tcW w:type="dxa" w:w="1440"/>
            <w:shd w:fill="FFDCE0" w:val="clear"/>
          </w:tcPr>
          <w:p>
            <w:r>
              <w:rPr>
                <w:b/>
                <w:sz w:val="17"/>
              </w:rPr>
              <w:t>2,462</w:t>
            </w:r>
          </w:p>
        </w:tc>
        <w:tc>
          <w:tcPr>
            <w:tcW w:type="dxa" w:w="1440"/>
            <w:shd w:fill="FFDCE0" w:val="clear"/>
          </w:tcPr>
          <w:p>
            <w:r>
              <w:rPr>
                <w:sz w:val="17"/>
              </w:rPr>
              <w:t>2,941</w:t>
            </w:r>
          </w:p>
        </w:tc>
        <w:tc>
          <w:tcPr>
            <w:tcW w:type="dxa" w:w="1440"/>
            <w:shd w:fill="FFDCE0" w:val="clear"/>
          </w:tcPr>
          <w:p>
            <w:r>
              <w:rPr>
                <w:b/>
                <w:color w:val="C00000"/>
                <w:sz w:val="17"/>
              </w:rPr>
              <w:t>-6.6%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111.084 Mds FCFA</w:t>
            </w:r>
          </w:p>
        </w:tc>
        <w:tc>
          <w:tcPr>
            <w:tcW w:type="dxa" w:w="5669"/>
            <w:shd w:fill="FFFFFF" w:val="clear"/>
          </w:tcPr>
          <w:p>
            <w:r>
              <w:rPr>
                <w:color w:val="282828"/>
                <w:sz w:val="15"/>
              </w:rPr>
              <w:t>Créances clients = 129.7%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1.242 Mds FCFA</w:t>
            </w:r>
          </w:p>
        </w:tc>
        <w:tc>
          <w:tcPr>
            <w:tcW w:type="dxa" w:w="5669"/>
            <w:shd w:fill="FFFFFF" w:val="clear"/>
          </w:tcPr>
          <w:p>
            <w:r>
              <w:rPr>
                <w:color w:val="282828"/>
                <w:sz w:val="15"/>
              </w:rPr>
              <w:t>Rotation stocks = 69.0x/an.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114.282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262.65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40.818 Mds FCFA</w:t>
            </w:r>
          </w:p>
        </w:tc>
        <w:tc>
          <w:tcPr>
            <w:tcW w:type="dxa" w:w="5669"/>
            <w:shd w:fill="FFFFFF" w:val="clear"/>
          </w:tcPr>
          <w:p>
            <w:r>
              <w:rPr>
                <w:color w:val="282828"/>
                <w:sz w:val="15"/>
              </w:rPr>
              <w:t>Outil industriel (21.7%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52.642 Mds FCFA</w:t>
            </w:r>
          </w:p>
        </w:tc>
        <w:tc>
          <w:tcPr>
            <w:tcW w:type="dxa" w:w="5669"/>
            <w:shd w:fill="FFFFFF" w:val="clear"/>
          </w:tcPr>
          <w:p>
            <w:r>
              <w:rPr>
                <w:color w:val="282828"/>
                <w:sz w:val="15"/>
              </w:rPr>
              <w:t>Actif immobilisé = 28.0%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21.203 Mds FCFA</w:t>
            </w:r>
          </w:p>
        </w:tc>
        <w:tc>
          <w:tcPr>
            <w:tcW w:type="dxa" w:w="5669"/>
            <w:shd w:fill="FFFFFF" w:val="clear"/>
          </w:tcPr>
          <w:p>
            <w:r>
              <w:rPr>
                <w:color w:val="282828"/>
                <w:sz w:val="15"/>
              </w:rPr>
              <w:t>Liquidités disponibles (11.3%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188.126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10.887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45.139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77.808 Mds FCFA</w:t>
            </w:r>
          </w:p>
        </w:tc>
        <w:tc>
          <w:tcPr>
            <w:tcW w:type="dxa" w:w="5669"/>
            <w:shd w:fill="FFFFFF" w:val="clear"/>
          </w:tcPr>
          <w:p>
            <w:r>
              <w:rPr>
                <w:color w:val="282828"/>
                <w:sz w:val="15"/>
              </w:rPr>
              <w:t>Fonds propres = 41.4%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86.133 Mds FCFA</w:t>
            </w:r>
          </w:p>
        </w:tc>
        <w:tc>
          <w:tcPr>
            <w:tcW w:type="dxa" w:w="5669"/>
            <w:shd w:fill="FFFFFF" w:val="clear"/>
          </w:tcPr>
          <w:p>
            <w:r>
              <w:rPr>
                <w:color w:val="282828"/>
                <w:sz w:val="15"/>
              </w:rPr>
              <w:t>Capitaux permanents / Actif immobilisé = 1.64x.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94.059 Mds FCFA</w:t>
            </w:r>
          </w:p>
        </w:tc>
        <w:tc>
          <w:tcPr>
            <w:tcW w:type="dxa" w:w="5669"/>
            <w:shd w:fill="FFFFFF" w:val="clear"/>
          </w:tcPr>
          <w:p>
            <w:r>
              <w:rPr>
                <w:color w:val="282828"/>
                <w:sz w:val="15"/>
              </w:rPr>
              <w:t>Délai fournisseurs implicite ≈ 401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8.325 Mds FCFA</w:t>
            </w:r>
          </w:p>
        </w:tc>
        <w:tc>
          <w:tcPr>
            <w:tcW w:type="dxa" w:w="5669"/>
            <w:shd w:fill="FFFFFF" w:val="clear"/>
          </w:tcPr>
          <w:p>
            <w:r>
              <w:rPr>
                <w:color w:val="282828"/>
                <w:sz w:val="15"/>
              </w:rPr>
              <w:t>Dette LT/MT = 11%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13.911 Mds FCFA</w:t>
            </w:r>
          </w:p>
        </w:tc>
        <w:tc>
          <w:tcPr>
            <w:tcW w:type="dxa" w:w="5669"/>
            <w:shd w:fill="FFFFFF" w:val="clear"/>
          </w:tcPr>
          <w:p>
            <w:r>
              <w:rPr>
                <w:color w:val="282828"/>
                <w:sz w:val="15"/>
              </w:rPr>
              <w:t>Dette financière totale = 18%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110.318 Mds FCFA</w:t>
            </w:r>
          </w:p>
        </w:tc>
        <w:tc>
          <w:tcPr>
            <w:tcW w:type="dxa" w:w="5669"/>
            <w:shd w:fill="FFFFFF" w:val="clear"/>
          </w:tcPr>
          <w:p>
            <w:r>
              <w:rPr>
                <w:color w:val="282828"/>
                <w:sz w:val="15"/>
              </w:rPr>
              <w:t>Dettes totales = 58.6%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85.643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85.643 Mds FCFA</w:t>
            </w:r>
          </w:p>
        </w:tc>
        <w:tc>
          <w:tcPr>
            <w:tcW w:type="dxa" w:w="5669"/>
            <w:shd w:fill="FFFFFF" w:val="clear"/>
          </w:tcPr>
          <w:p>
            <w:r>
              <w:rPr>
                <w:color w:val="282828"/>
                <w:sz w:val="15"/>
              </w:rPr>
              <w:t>Chiffre d'affaires. Croissance: 3.7%. ⚠️ Croissance limitée.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6.412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FFEB9C" w:val="clear"/>
          </w:tcPr>
          <w:p>
            <w:r>
              <w:rPr>
                <w:b/>
                <w:color w:val="006400"/>
                <w:sz w:val="17"/>
              </w:rPr>
              <w:t>34.402 Mds FCFA</w:t>
            </w:r>
          </w:p>
        </w:tc>
        <w:tc>
          <w:tcPr>
            <w:tcW w:type="dxa" w:w="5669"/>
            <w:shd w:fill="FFFFFF" w:val="clear"/>
          </w:tcPr>
          <w:p>
            <w:r>
              <w:rPr>
                <w:color w:val="282828"/>
                <w:sz w:val="15"/>
              </w:rPr>
              <w:t>Masse salariale = 40.2% des revenus. ⚠️ Masse salariale importante.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38.987 Mds FCFA</w:t>
            </w:r>
          </w:p>
        </w:tc>
        <w:tc>
          <w:tcPr>
            <w:tcW w:type="dxa" w:w="5669"/>
            <w:shd w:fill="FFFFFF" w:val="clear"/>
          </w:tcPr>
          <w:p>
            <w:r>
              <w:rPr>
                <w:color w:val="282828"/>
                <w:sz w:val="15"/>
              </w:rPr>
              <w:t>VA = 45.5% du CA. ✅ Forte valeur ajoutée — activité à haute marge brute.</w:t>
            </w:r>
          </w:p>
        </w:tc>
      </w:tr>
      <w:tr>
        <w:tc>
          <w:tcPr>
            <w:tcW w:type="dxa" w:w="2268"/>
            <w:shd w:fill="EEF2F7" w:val="clear"/>
          </w:tcPr>
          <w:p>
            <w:r>
              <w:rPr>
                <w:b/>
                <w:color w:val="1E1E3C"/>
                <w:sz w:val="16"/>
              </w:rPr>
              <w:t>EBE</w:t>
            </w:r>
          </w:p>
        </w:tc>
        <w:tc>
          <w:tcPr>
            <w:tcW w:type="dxa" w:w="1984"/>
            <w:shd w:fill="FFEB9C" w:val="clear"/>
          </w:tcPr>
          <w:p>
            <w:r>
              <w:rPr>
                <w:b/>
                <w:color w:val="006400"/>
                <w:sz w:val="17"/>
              </w:rPr>
              <w:t>4.585 Mds FCFA</w:t>
            </w:r>
          </w:p>
        </w:tc>
        <w:tc>
          <w:tcPr>
            <w:tcW w:type="dxa" w:w="5669"/>
            <w:shd w:fill="FFFFFF" w:val="clear"/>
          </w:tcPr>
          <w:p>
            <w:r>
              <w:rPr>
                <w:color w:val="282828"/>
                <w:sz w:val="15"/>
              </w:rPr>
              <w:t>EBE = 5.4%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941.68 M FCFA</w:t>
            </w:r>
          </w:p>
        </w:tc>
        <w:tc>
          <w:tcPr>
            <w:tcW w:type="dxa" w:w="5669"/>
            <w:shd w:fill="FFFFFF" w:val="clear"/>
          </w:tcPr>
          <w:p>
            <w:r>
              <w:rPr>
                <w:color w:val="282828"/>
                <w:sz w:val="15"/>
              </w:rPr>
              <w:t>Profit d'exploitation = 1.1%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006400"/>
                <w:sz w:val="17"/>
              </w:rPr>
              <w:t>6.412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21.069 Mds FCFA</w:t>
            </w:r>
          </w:p>
        </w:tc>
        <w:tc>
          <w:tcPr>
            <w:tcW w:type="dxa" w:w="5669"/>
            <w:shd w:fill="FFFFFF" w:val="clear"/>
          </w:tcPr>
          <w:p>
            <w:r>
              <w:rPr>
                <w:color w:val="282828"/>
                <w:sz w:val="15"/>
              </w:rPr>
              <w:t>Marge nette = 24.6%.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24.876 Mds FCFA</w:t>
            </w:r>
          </w:p>
        </w:tc>
        <w:tc>
          <w:tcPr>
            <w:tcW w:type="dxa" w:w="5669"/>
            <w:shd w:fill="FFFFFF" w:val="clear"/>
          </w:tcPr>
          <w:p>
            <w:r>
              <w:rPr>
                <w:color w:val="282828"/>
                <w:sz w:val="15"/>
              </w:rPr>
              <w:t>CAF = 24.88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27.396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-12.978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-5.011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14.417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17.874 Mds FCFA</w:t>
            </w:r>
          </w:p>
        </w:tc>
        <w:tc>
          <w:tcPr>
            <w:tcW w:type="dxa" w:w="5669"/>
            <w:shd w:fill="FFFFFF" w:val="clear"/>
          </w:tcPr>
          <w:p>
            <w:r>
              <w:rPr>
                <w:color w:val="282828"/>
                <w:sz w:val="15"/>
              </w:rPr>
              <w:t>BFR = 20.9%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33.491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15.617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5.35%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24.60%</w:t>
            </w:r>
          </w:p>
        </w:tc>
        <w:tc>
          <w:tcPr>
            <w:tcW w:type="dxa" w:w="5669"/>
            <w:shd w:fill="FFFFFF" w:val="clear"/>
          </w:tcPr>
          <w:p>
            <w:r>
              <w:rPr>
                <w:color w:val="282828"/>
                <w:sz w:val="15"/>
              </w:rPr>
              <w:t>Résultat net / revenus = 24.60%. ✅ Excellente profitabilité finale.</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1.10%</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27.08%</w:t>
            </w:r>
          </w:p>
        </w:tc>
        <w:tc>
          <w:tcPr>
            <w:tcW w:type="dxa" w:w="5669"/>
            <w:shd w:fill="FFFFFF" w:val="clear"/>
          </w:tcPr>
          <w:p>
            <w:r>
              <w:rPr>
                <w:color w:val="282828"/>
                <w:sz w:val="15"/>
              </w:rPr>
              <w:t>Résultat net / capitaux propres = 27.08%.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11.20%</w:t>
            </w:r>
          </w:p>
        </w:tc>
        <w:tc>
          <w:tcPr>
            <w:tcW w:type="dxa" w:w="5669"/>
            <w:shd w:fill="FFFFFF" w:val="clear"/>
          </w:tcPr>
          <w:p>
            <w:r>
              <w:rPr>
                <w:color w:val="282828"/>
                <w:sz w:val="15"/>
              </w:rPr>
              <w:t>Résultat net / total actif = 11.20% (entreprise: seuil &gt;5%). ✅ Bonne utilisation des actifs.</w:t>
            </w:r>
          </w:p>
        </w:tc>
      </w:tr>
      <w:tr>
        <w:tc>
          <w:tcPr>
            <w:tcW w:type="dxa" w:w="2268"/>
            <w:shd w:fill="EEF2F7" w:val="clear"/>
          </w:tcPr>
          <w:p>
            <w:r>
              <w:rPr>
                <w:b/>
                <w:color w:val="1E1E3C"/>
                <w:sz w:val="16"/>
              </w:rPr>
              <w:t>Rotation des actifs</w:t>
            </w:r>
          </w:p>
        </w:tc>
        <w:tc>
          <w:tcPr>
            <w:tcW w:type="dxa" w:w="1984"/>
            <w:shd w:fill="DEEAF1" w:val="clear"/>
          </w:tcPr>
          <w:p>
            <w:r>
              <w:rPr>
                <w:b/>
                <w:color w:val="006400"/>
                <w:sz w:val="17"/>
              </w:rPr>
              <w:t>45.52%</w:t>
            </w:r>
          </w:p>
        </w:tc>
        <w:tc>
          <w:tcPr>
            <w:tcW w:type="dxa" w:w="5669"/>
            <w:shd w:fill="FFFFFF" w:val="clear"/>
          </w:tcPr>
          <w:p>
            <w:r>
              <w:rPr>
                <w:color w:val="282828"/>
                <w:sz w:val="15"/>
              </w:rPr>
              <w:t>CA / total actif = 45.52x. ⚠️ Actifs peu utilisés.</w:t>
            </w:r>
          </w:p>
        </w:tc>
      </w:tr>
      <w:tr>
        <w:tc>
          <w:tcPr>
            <w:tcW w:type="dxa" w:w="2268"/>
            <w:shd w:fill="EEF2F7" w:val="clear"/>
          </w:tcPr>
          <w:p>
            <w:r>
              <w:rPr>
                <w:b/>
                <w:color w:val="1E1E3C"/>
                <w:sz w:val="16"/>
              </w:rPr>
              <w:t>Coût du risque</w:t>
            </w:r>
          </w:p>
        </w:tc>
        <w:tc>
          <w:tcPr>
            <w:tcW w:type="dxa" w:w="1984"/>
            <w:shd w:fill="FFC7CE" w:val="clear"/>
          </w:tcPr>
          <w:p>
            <w:r>
              <w:rPr>
                <w:b/>
                <w:color w:val="006400"/>
                <w:sz w:val="17"/>
              </w:rPr>
              <w:t>530.12%</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3.65%</w:t>
            </w:r>
          </w:p>
        </w:tc>
        <w:tc>
          <w:tcPr>
            <w:tcW w:type="dxa" w:w="5669"/>
            <w:shd w:fill="FFFFFF" w:val="clear"/>
          </w:tcPr>
          <w:p>
            <w:r>
              <w:rPr>
                <w:color w:val="282828"/>
                <w:sz w:val="15"/>
              </w:rPr>
              <w:t>Croissance CA vs exercice précédent = 3.65%.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41.36%</w:t>
            </w:r>
          </w:p>
        </w:tc>
        <w:tc>
          <w:tcPr>
            <w:tcW w:type="dxa" w:w="5669"/>
            <w:shd w:fill="FFFFFF" w:val="clear"/>
          </w:tcPr>
          <w:p>
            <w:r>
              <w:rPr>
                <w:color w:val="282828"/>
                <w:sz w:val="15"/>
              </w:rPr>
              <w:t>Fonds propres / total bilan = 41.36%.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58.64%</w:t>
            </w:r>
          </w:p>
        </w:tc>
        <w:tc>
          <w:tcPr>
            <w:tcW w:type="dxa" w:w="5669"/>
            <w:shd w:fill="FFFFFF" w:val="clear"/>
          </w:tcPr>
          <w:p>
            <w:r>
              <w:rPr>
                <w:color w:val="282828"/>
                <w:sz w:val="15"/>
              </w:rPr>
              <w:t>Dettes financières / total bilan = 58.64%.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17.88%</w:t>
            </w:r>
          </w:p>
        </w:tc>
        <w:tc>
          <w:tcPr>
            <w:tcW w:type="dxa" w:w="5669"/>
            <w:shd w:fill="FFFFFF" w:val="clear"/>
          </w:tcPr>
          <w:p>
            <w:r>
              <w:rPr>
                <w:color w:val="282828"/>
                <w:sz w:val="15"/>
              </w:rPr>
              <w:t>Dettes totales / fonds propres = 17.88%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170.53%</w:t>
            </w:r>
          </w:p>
        </w:tc>
        <w:tc>
          <w:tcPr>
            <w:tcW w:type="dxa" w:w="5669"/>
            <w:shd w:fill="FFFFFF" w:val="clear"/>
          </w:tcPr>
          <w:p>
            <w:r>
              <w:rPr>
                <w:color w:val="282828"/>
                <w:sz w:val="15"/>
              </w:rPr>
              <w:t>Total actif / dettes totales = 170.53x.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132.84%</w:t>
            </w:r>
          </w:p>
        </w:tc>
        <w:tc>
          <w:tcPr>
            <w:tcW w:type="dxa" w:w="5669"/>
            <w:shd w:fill="FFFFFF" w:val="clear"/>
          </w:tcPr>
          <w:p>
            <w:r>
              <w:rPr>
                <w:color w:val="282828"/>
                <w:sz w:val="15"/>
              </w:rPr>
              <w:t>Actif circulant / passif circulant = 132.84x.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21.99%</w:t>
            </w:r>
          </w:p>
        </w:tc>
        <w:tc>
          <w:tcPr>
            <w:tcW w:type="dxa" w:w="5669"/>
            <w:shd w:fill="FFFFFF" w:val="clear"/>
          </w:tcPr>
          <w:p>
            <w:r>
              <w:rPr>
                <w:color w:val="282828"/>
                <w:sz w:val="15"/>
              </w:rPr>
              <w:t>Trésorerie / passif circulant = 21.99x.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131.62%</w:t>
            </w:r>
          </w:p>
        </w:tc>
        <w:tc>
          <w:tcPr>
            <w:tcW w:type="dxa" w:w="5669"/>
            <w:shd w:fill="FFFFFF" w:val="clear"/>
          </w:tcPr>
          <w:p>
            <w:r>
              <w:rPr>
                <w:color w:val="282828"/>
                <w:sz w:val="15"/>
              </w:rPr>
              <w:t>(Actif circ. - stocks) / passif circ. = 131.62x.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163.62%</w:t>
            </w:r>
          </w:p>
        </w:tc>
        <w:tc>
          <w:tcPr>
            <w:tcW w:type="dxa" w:w="5669"/>
            <w:shd w:fill="FFFFFF" w:val="clear"/>
          </w:tcPr>
          <w:p>
            <w:r>
              <w:rPr>
                <w:color w:val="282828"/>
                <w:sz w:val="15"/>
              </w:rPr>
              <w:t>Capitaux permanents / actif immobilisé = 163.62x.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006400"/>
                <w:sz w:val="17"/>
              </w:rPr>
              <w:t>77.85%</w:t>
            </w:r>
          </w:p>
        </w:tc>
        <w:tc>
          <w:tcPr>
            <w:tcW w:type="dxa" w:w="5669"/>
            <w:shd w:fill="FFFFFF" w:val="clear"/>
          </w:tcPr>
          <w:p>
            <w:r>
              <w:rPr>
                <w:color w:val="282828"/>
                <w:sz w:val="15"/>
              </w:rPr>
              <w:t>Résultat exploit. / charges financières = 77.85x. ❌ L'exploitation ne couvre pas les charges financières.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191.68%</w:t>
            </w:r>
          </w:p>
        </w:tc>
        <w:tc>
          <w:tcPr>
            <w:tcW w:type="dxa" w:w="5669"/>
            <w:shd w:fill="FFFFFF" w:val="clear"/>
          </w:tcPr>
          <w:p>
            <w:r>
              <w:rPr>
                <w:color w:val="282828"/>
                <w:sz w:val="15"/>
              </w:rPr>
              <w:t>CAF / investissements = 191.68x.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466.9 j</w:t>
            </w:r>
          </w:p>
        </w:tc>
        <w:tc>
          <w:tcPr>
            <w:tcW w:type="dxa" w:w="5669"/>
            <w:shd w:fill="FFFFFF" w:val="clear"/>
          </w:tcPr>
          <w:p>
            <w:r>
              <w:rPr>
                <w:color w:val="282828"/>
                <w:sz w:val="15"/>
              </w:rPr>
              <w:t>Les clients paient en moyenne en 467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4534.2 j</w:t>
            </w:r>
          </w:p>
        </w:tc>
        <w:tc>
          <w:tcPr>
            <w:tcW w:type="dxa" w:w="5669"/>
            <w:shd w:fill="FFFFFF" w:val="clear"/>
          </w:tcPr>
          <w:p>
            <w:r>
              <w:rPr>
                <w:color w:val="282828"/>
                <w:sz w:val="15"/>
              </w:rPr>
              <w:t>Paiement des fournisseurs en 4534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59.9 j</w:t>
            </w:r>
          </w:p>
        </w:tc>
        <w:tc>
          <w:tcPr>
            <w:tcW w:type="dxa" w:w="5669"/>
            <w:shd w:fill="FFFFFF" w:val="clear"/>
          </w:tcPr>
          <w:p>
            <w:r>
              <w:rPr>
                <w:color w:val="282828"/>
                <w:sz w:val="15"/>
              </w:rPr>
              <w:t>Stock écoulé en 60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SDSC s'établit à 143,44 milliards FCFA, un niveau significatif qui la positionne parmi les valeurs moyennes à grandes capitalisations de la BRVM. Avec un BPA de 387 FCFA, chaque action génère un bénéfice substantiel, ce qui explique un PER de 6,8x, nettement inférieur à la moyenne du marché BRVM (8-12x), signalant une possible sous-évaluation du titre par rapport à ses bénéfices. Le P/B de 1,84x indique que le marché valorise la société à près de deux fois sa valeur comptable, une valorisation raisonnable témoignant d'une confiance mesurée des investisseurs dans les actifs nets. Cependant, l'EV/EBITDA de 30,9x est particulièrement exigeant, suggérant que la valeur d'entreprise (incluant la dette) est très élevée par rapport à la capacité opérationnelle de génération de cash, ce qui tempère l'attrait du PER et soulève des questions sur la soutenabilité de cette valorisation à long terme.</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SDSC affiche une progression spectaculaire de +36,88%, avec une dernière séance en hausse de +2,93% à 2 635 FCFA, démontrant un momentum haussier soutenu. Le titre a évolué dans une fourchette large de 1 650 à 2 820 FCFA, illustrant une forte amplitude de trading. La moyenne (2 205 FCFA) et la médiane (2 200 FCFA) sont quasi identiques, indiquant une distribution symétrique des cours, confirmée par un skewness de 0,125. L'écart-type de 391 FCFA (CV=17,7%) révèle une dispersion modérée autour de la moyenne. Le kurtosis négatif de -1,556 (platykurtique) signale une distribution aplatie avec une faible concentration des valeurs autour de la moyenne, réduisant le risque de mouvements extrêmes. La volatilité annualisée de 49,9% classe le titre comme très volatil, un niveau élevé qui reflète l'incertitude du marché mais aussi le potentiel de gains rapides observé sur la période.</w:t>
      </w:r>
    </w:p>
    <w:p>
      <w:pPr>
        <w:spacing w:after="120" w:line="276" w:lineRule="auto" w:before="240"/>
      </w:pPr>
      <w:r>
        <w:rPr>
          <w:b/>
          <w:color w:val="003366"/>
          <w:sz w:val="24"/>
        </w:rPr>
        <w:t>**PARTIE 2 : ANALYSE TECHNIQUE DÉTAILLÉE**</w:t>
      </w:r>
    </w:p>
    <w:p>
      <w:pPr>
        <w:spacing w:after="120" w:line="276" w:lineRule="auto"/>
      </w:pPr>
      <w:r>
        <w:t>**Moyennes Mobiles** : Le cours actuel (2 635 FCFA) se positionne au-dessus de la MM20 (2 659,5 FCFA) et de la MM50 (2 561,9 FCFA), avec une MM20 supérieure à la MM50, configuration typique d'une tendance haussière. La décision d'achat est justifiée par cette structure positive, bien que le cours soit légèrement sous la MM20, suggérant une consolidation à court terme avant une possible poursuite de la hausse.</w:t>
      </w:r>
    </w:p>
    <w:p>
      <w:pPr>
        <w:spacing w:after="120" w:line="276" w:lineRule="auto"/>
      </w:pPr>
      <w:r>
        <w:t>**Bandes de Bollinger** : Le prix se situe à 2 635 FCFA, entre la borne inférieure (2 446,8 FCFA) et la borne supérieure (2 872,2 FCFA), proche du milieu de l'intervalle. Cette position neutre indique une volatilité modérée, sans pression excessive d'achat ou de vente. La décision neutre reflète un équilibre temporaire, le marché attendant un catalyseur pour sortir de cette zone de consolidation.</w:t>
      </w:r>
    </w:p>
    <w:p>
      <w:pPr>
        <w:spacing w:after="120" w:line="276" w:lineRule="auto"/>
      </w:pPr>
      <w:r>
        <w:t>**MACD** : La valeur du MACD (35,132) est inférieure au signal (53,017), formant une divergence baissière qui suggère un ralentissement du momentum haussier. La décision de vente est justifiée par ce croisement négatif, bien que le MACD reste positif, indiquant que la tendance de fond demeure haussière mais perd de la vigueur à court terme.</w:t>
      </w:r>
    </w:p>
    <w:p>
      <w:pPr>
        <w:spacing w:after="120" w:line="276" w:lineRule="auto"/>
      </w:pPr>
      <w:r>
        <w:t>**RSI** : À 62,613, le RSI se situe dans la zone neutre (30-70), sans signal de surachat ou de survente. Cette valeur indique une pression acheteuse encore présente mais modérée, laissant une marge de progression avant d'atteindre la zone de surachat (&gt;70). La décision neutre est cohérente avec un marché en phase de consolidation.</w:t>
      </w:r>
    </w:p>
    <w:p>
      <w:pPr>
        <w:spacing w:after="120" w:line="276" w:lineRule="auto"/>
      </w:pPr>
      <w:r>
        <w:t>**Stochastique** : Le %K (39,623) est inférieur au %D (54,874), formant un croisement baissier qui signale un affaiblissement du momentum à court terme. Cette configuration suggère une possible correction ou consolidation avant une reprise. La décision neutre reflète l'absence de signal directionnel fort, le marché étant en phase d'ajustement.</w:t>
      </w:r>
    </w:p>
    <w:p>
      <w:pPr>
        <w:spacing w:after="120" w:line="276" w:lineRule="auto"/>
      </w:pPr>
      <w:r>
        <w:t>**Conclusion technique** : Les indicateurs sont mitigés, avec des signaux d'achat (MM) contrebalancés par des signaux de vente (MACD) et des positions neutres (Bollinger, RSI, Stochastique). Cette divergence suggère une phase de consolidation après la forte hausse récente, avec un biais haussier à moyen terme mais un risque de correction à court terme. La prudence est recommandée en attendant une clarification directionnelle.</w:t>
      </w:r>
    </w:p>
    <w:p>
      <w:pPr>
        <w:spacing w:after="120" w:line="276" w:lineRule="auto" w:before="240"/>
      </w:pPr>
      <w:r>
        <w:rPr>
          <w:b/>
          <w:color w:val="003366"/>
          <w:sz w:val="24"/>
        </w:rPr>
        <w:t>**PARTIE 3 : ANALYSE FONDAMENTALE (SECTION CRITIQUE)**</w:t>
      </w:r>
    </w:p>
    <w:p>
      <w:pPr>
        <w:spacing w:after="120" w:line="276" w:lineRule="auto"/>
      </w:pPr>
      <w:r>
        <w:t>En 2024, SDSC (AGL Côte d'Ivoire) a réalisé un chiffre d'affaires de 85,643 milliards FCFA, en croissance de 3,65%, avec un résultat net de 21,069 milliards FCFA, soit une marge nette de 24,6%. Le ROE de 27,08% et le ROA de 11,20% témoignent d'une excellente rentabilité des fonds propres et des actifs. Cependant, le délai clients de 466,94 jours est très élevé, indiquant un risque de trésorerie important, tandis que le BFR de 17,874 milliards FCFA (positif) nécessite un financement permanent. Les rapports trimestriels 2025 montrent une dégradation marquée : au T1 2025, le résultat net était de 223 millions FCFA (contre une perte de 193 millions au T1 2024), mais le S1 2025 a enregistré une perte de -427 millions FCFA, et le T3 2025 un bénéfice de 4,341 milliards FCFA, en chute de 77% sur un an. Sur la base du rapport annuel 2025 (provisoire), le CA atteint 92,004 milliards FCFA (+7,43%), mais le résultat net s'effondre à 784,97 millions FCFA (-96%), avec un résultat d'exploitation négatif de -2,271 milliards FCFA. Le dividende proposé est réduit à 544 millions FCFA (-89%). On estime que l'exercice 2026 pourrait voir une stabilisation si la direction parvient à redresser les marges opérationnelles, mais la dépendance aux dividendes des filiales et la pression fiscale (83% du résultat avant impôt) restent des risques majeurs. La recommandation fondamentale est de conserver, la solidité du bilan (capitaux propres de 77,8 milliards FCFA) et la trésorerie abondante (21,2 milliards FCFA) compensant la faiblesse conjoncturelle de la rentabilité.</w:t>
      </w:r>
    </w:p>
    <w:p>
      <w:pPr>
        <w:spacing w:after="120" w:line="276" w:lineRule="auto" w:before="240"/>
      </w:pPr>
      <w:r>
        <w:rPr>
          <w:b/>
          <w:color w:val="003366"/>
          <w:sz w:val="24"/>
        </w:rPr>
        <w:t>**PARTIE 4 : CONCLUSION D'INVESTISSEMENT**</w:t>
      </w:r>
    </w:p>
    <w:p>
      <w:pPr>
        <w:spacing w:after="120" w:line="276" w:lineRule="auto"/>
      </w:pPr>
      <w:r>
        <w:t>La valorisation de SDSC présente un profil contrasté : le PER de 6,8x suggère une sous-évaluation, mais l'EV/EBITDA de 30,9x et le P/B de 1,84x indiquent une valorisation exigeante, reflétant les incertitudes sur la capacité bénéficiaire future. Le comportement du cours est haussier (+36,88% sur 100 jours) avec une volatilité élevée (49,9%), mais la distribution symétrique et le kurtosis platykurtique réduisent le risque de mouvements extrêmes. Les signaux techniques sont mitigés, avec des MM haussières contredites par un MACD vendeur et des indicateurs neutres, suggérant une consolidation. Les fondamentaux montrent une dégradation sévère en 2025 (résultat net -96%, exploitation déficitaire), malgré une croissance du CA et une trésorerie solide. Les prédictions IA (2 617 à 2 540 FCFA sur 10 jours) confirment une légère correction baissière, en ligne avec les signaux techniques. La convergence entre la faiblesse fondamentale, les signaux techniques mitigés et la prédiction baissière conduit à une recommandation de **CONSERVER**, avec un niveau de confiance **Moyen** et un risque global **Élevé**. L'horizon d'investissement optimal est le **moyen terme (3-12 mois)**, en attendant une clarification sur la restauration des marges opérationnelles et la politique de dividende.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croissance du chiffre d'affaires et la tr\u00e9sorerie solide justifient de conserver le titre. Toutefois, la d\u00e9gradation de la rentabilit\u00e9 et la r\u00e9duction du dividende imposent une vigilance."}</w:t>
      </w:r>
    </w:p>
    <w:p>
      <w:pPr>
        <w:spacing w:before="40"/>
        <w:ind w:left="400"/>
      </w:pPr>
      <w:r>
        <w:rPr>
          <w:sz w:val="18"/>
        </w:rPr>
        <w:t>En 2025, AGL affiche une croissance de son chiffre d'affaires à 92,0 milliards FCFA, mais sa rentabilité s'effondre : le résultat net recule de 96% à 0,78 milliard FCFA. L'exploitation devient déficitaire, avec un résultat d'exploitation de -2,27 milliards FCFA, en raison notamment de la hausse des dotations. La solidité financière reste visible, avec une trésorerie nette de 74,78 milliards FCFA et des flux opérationnels de 83,2 milliards FCFA. L'endettement d'exploitation progresse fortement, portant le total du bilan à 259,45 milliards FCFA. Le dividende proposé est fortement réduit, traduisant la prudence de la société après l'exercice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'4 264 164 milliers FCFA', 'tresorerie_nette': '74 781 848 milliers FCFA', 'resultat_financier': '7 079 898 milliers FCFA', 'resultat_exploitation': '-2 271 029 milliers FCFA', 'dividende_total_propose': '544 353 milliers FCFA', 'flux_tresorerie_operationnel': '83 198 367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0,85 %</w:t>
            </w:r>
          </w:p>
        </w:tc>
        <w:tc>
          <w:tcPr>
            <w:tcW w:type="dxa" w:w="2160"/>
          </w:tcPr>
          <w:p>
            <w:pPr>
              <w:ind w:left="100"/>
            </w:pPr>
            <w:r/>
            <w:r>
              <w:rPr>
                <w:b/>
                <w:sz w:val="16"/>
              </w:rPr>
              <w:t>total_actif</w:t>
              <w:br/>
            </w:r>
            <w:r>
              <w:rPr>
                <w:sz w:val="18"/>
              </w:rPr>
              <w:t>259 448 240 milliers FCFA</w:t>
            </w:r>
          </w:p>
        </w:tc>
      </w:tr>
      <w:tr>
        <w:tc>
          <w:tcPr>
            <w:tcW w:type="dxa" w:w="2160"/>
          </w:tcPr>
          <w:p>
            <w:r/>
            <w:r>
              <w:rPr>
                <w:b/>
                <w:sz w:val="16"/>
              </w:rPr>
              <w:t>resultat_net</w:t>
              <w:br/>
            </w:r>
            <w:r>
              <w:rPr>
                <w:sz w:val="18"/>
              </w:rPr>
              <w:t>784 970 milliers FCFA</w:t>
            </w:r>
          </w:p>
        </w:tc>
        <w:tc>
          <w:tcPr>
            <w:tcW w:type="dxa" w:w="2160"/>
          </w:tcPr>
          <w:p>
            <w:r/>
            <w:r>
              <w:rPr>
                <w:b/>
                <w:sz w:val="16"/>
              </w:rPr>
              <w:t>capitaux_propres</w:t>
              <w:br/>
            </w:r>
            <w:r>
              <w:rPr>
                <w:sz w:val="18"/>
              </w:rPr>
              <w:t>73 551 806 milliers FCFA</w:t>
            </w:r>
          </w:p>
        </w:tc>
        <w:tc>
          <w:tcPr>
            <w:tcW w:type="dxa" w:w="2160"/>
          </w:tcPr>
          <w:p>
            <w:r/>
            <w:r>
              <w:rPr>
                <w:b/>
                <w:sz w:val="16"/>
              </w:rPr>
              <w:t>chiffre_affaires</w:t>
              <w:br/>
            </w:r>
            <w:r>
              <w:rPr>
                <w:sz w:val="18"/>
              </w:rPr>
              <w:t>92 004 268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2025 s'établit à 92,0 milliards FCFA, en hausse de 7,4% par rapport à 2024.</w:t>
      </w:r>
    </w:p>
    <w:p>
      <w:pPr>
        <w:pStyle w:val="ListBullet"/>
        <w:spacing w:before="20" w:after="20"/>
        <w:ind w:left="700"/>
      </w:pPr>
      <w:r>
        <w:rPr>
          <w:sz w:val="18"/>
        </w:rPr>
        <w:t>Le résultat net chute fortement à 0,78 milliard FCFA contre 21,07 milliards FCFA en 2024, soit une baisse d'environ 96%.</w:t>
      </w:r>
    </w:p>
    <w:p>
      <w:pPr>
        <w:pStyle w:val="ListBullet"/>
        <w:spacing w:before="20" w:after="20"/>
        <w:ind w:left="700"/>
      </w:pPr>
      <w:r>
        <w:rPr>
          <w:sz w:val="18"/>
        </w:rPr>
        <w:t>Le résultat d'exploitation devient négatif (-2,27 milliards FCFA), pénalisé par une hausse des dotations aux amortissements et provisions.</w:t>
      </w:r>
    </w:p>
    <w:p>
      <w:pPr>
        <w:pStyle w:val="ListBullet"/>
        <w:spacing w:before="20" w:after="20"/>
        <w:ind w:left="700"/>
      </w:pPr>
      <w:r>
        <w:rPr>
          <w:sz w:val="18"/>
        </w:rPr>
        <w:t>La trésorerie nette progresse nettement à 74,78 milliards FCFA grâce à une forte amélioration du flux opérationnel.</w:t>
      </w:r>
    </w:p>
    <w:p>
      <w:pPr>
        <w:pStyle w:val="ListBullet"/>
        <w:spacing w:before="20" w:after="20"/>
        <w:ind w:left="700"/>
      </w:pPr>
      <w:r>
        <w:rPr>
          <w:sz w:val="18"/>
        </w:rPr>
        <w:t>Le total du bilan augmente de 37,9% à 259,45 milliards FCFA, tiré par la trésorerie et les dettes d'exploitation.</w:t>
      </w:r>
    </w:p>
    <w:p>
      <w:pPr>
        <w:pStyle w:val="ListBullet"/>
        <w:spacing w:before="20" w:after="20"/>
        <w:ind w:left="700"/>
      </w:pPr>
      <w:r>
        <w:rPr>
          <w:sz w:val="18"/>
        </w:rPr>
        <w:t>Le dividende proposé au titre de 2025 s'élève à 544 millions FCFA (total), en forte baisse par rapport aux 5 milliards FCFA versés au titre de 2024.</w:t>
      </w:r>
    </w:p>
    <w:p>
      <w:pPr>
        <w:spacing w:before="40"/>
        <w:ind w:left="400"/>
      </w:pPr>
      <w:r>
        <w:rPr>
          <w:b/>
          <w:color w:val="C05000"/>
          <w:sz w:val="18"/>
        </w:rPr>
        <w:t xml:space="preserve">⚠️ Risques : </w:t>
      </w:r>
      <w:r>
        <w:rPr>
          <w:sz w:val="18"/>
        </w:rPr>
        <w:t>["Chute de la rentabilit\u00e9 nette avec une marge nette tomb\u00e9e \u00e0 0,85%.", "R\u00e9sultat d'exploitation n\u00e9gatif et hausse des dotations aux amortissements et provisions.", "D\u00e9pendance aux produits financiers et forte augmentation des dettes d'exploitation."]</w:t>
      </w:r>
    </w:p>
    <w:p>
      <w:pPr>
        <w:spacing w:before="40"/>
        <w:ind w:left="400"/>
      </w:pPr>
      <w:r>
        <w:rPr>
          <w:b/>
          <w:color w:val="0064A0"/>
          <w:sz w:val="18"/>
        </w:rPr>
        <w:t xml:space="preserve">🔮 Perspectives : </w:t>
      </w:r>
      <w:r>
        <w:rPr>
          <w:sz w:val="18"/>
        </w:rPr>
        <w:t>Pour 2026, AGL devrait bénéficier de la croissance de son activité et de sa trésorerie abondante. Toutefois, la rentabilité pourrait rester sous pression si les produits financiers ne se redressent pas et si les charges d'exploitation continuent d'augmenter. La maîtrise du besoin en fonds de rouleme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"vendre", "justification": "La chute drastique de 97,5% du r\u00e9sultat net et les multiples facteurs n\u00e9gatifs (sanctions Mali, baisse cacao, hausse co\u00fbts) cr\u00e9ent un contexte tr\u00e8s d\u00e9favorable. La cession annonc\u00e9e \u00e0 MSC confirme la sortie du groupe Bollor\u00e9 de ces activit\u00e9s africaines."}</w:t>
      </w:r>
    </w:p>
    <w:p>
      <w:pPr>
        <w:spacing w:before="40"/>
        <w:ind w:left="400"/>
      </w:pPr>
      <w:r>
        <w:rPr>
          <w:sz w:val="18"/>
        </w:rPr>
        <w:t>Bolloré Transport &amp; Logistics Côte d'Ivoire affiche des résultats décevants au premier trimestre 2022 avec un chiffre d'affaires en baisse de 4,4% à 23,3 milliards FCFA. Le résultat net chute drastiquement de 97,5% à seulement 33,5 millions FCFA contre 1,35 milliard FCFA un an plus tôt. Cette dégradation s'explique principalement par la baisse du marché du cacao, le blocage du coton malien suite aux sanctions CEDEAO et l'arrêt des volumes de nickel à San Pedro. Les coûts d'exploitation ont augmenté avec la hausse des frais de personnel et de location. Le groupe a signé un contrat de cession de 100% de Bolloré Africa Logistics au groupe MSC le 31 mars 2022.</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'-4,4%', 'variation_resultat_net': '-97,5%', 'resultat_activites_ordinaires': '577 785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0,14%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33 499 milliers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23 315 913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4,4% à 23,3 milliards FCFA au T1 2022</w:t>
      </w:r>
    </w:p>
    <w:p>
      <w:pPr>
        <w:pStyle w:val="ListBullet"/>
        <w:spacing w:before="20" w:after="20"/>
        <w:ind w:left="700"/>
      </w:pPr>
      <w:r>
        <w:rPr>
          <w:sz w:val="18"/>
        </w:rPr>
        <w:t>Effondrement du résultat net de 97,5% à 33,5 millions FCFA</w:t>
      </w:r>
    </w:p>
    <w:p>
      <w:pPr>
        <w:pStyle w:val="ListBullet"/>
        <w:spacing w:before="20" w:after="20"/>
        <w:ind w:left="700"/>
      </w:pPr>
      <w:r>
        <w:rPr>
          <w:sz w:val="18"/>
        </w:rPr>
        <w:t>Impact négatif des sanctions CEDEAO contre le Mali bloquant le coton malien</w:t>
      </w:r>
    </w:p>
    <w:p>
      <w:pPr>
        <w:pStyle w:val="ListBullet"/>
        <w:spacing w:before="20" w:after="20"/>
        <w:ind w:left="700"/>
      </w:pPr>
      <w:r>
        <w:rPr>
          <w:sz w:val="18"/>
        </w:rPr>
        <w:t>Baisse du marché du cacao affectant les activités logistiques</w:t>
      </w:r>
    </w:p>
    <w:p>
      <w:pPr>
        <w:pStyle w:val="ListBullet"/>
        <w:spacing w:before="20" w:after="20"/>
        <w:ind w:left="700"/>
      </w:pPr>
      <w:r>
        <w:rPr>
          <w:sz w:val="18"/>
        </w:rPr>
        <w:t>Arrêt des volumes de nickel à San Pedro compensé partiellement par les conteneurs</w:t>
      </w:r>
    </w:p>
    <w:p>
      <w:pPr>
        <w:pStyle w:val="ListBullet"/>
        <w:spacing w:before="20" w:after="20"/>
        <w:ind w:left="700"/>
      </w:pPr>
      <w:r>
        <w:rPr>
          <w:sz w:val="18"/>
        </w:rPr>
        <w:t>Hausse des coûts d'exploitation (personnel, location, entretien)</w:t>
      </w:r>
    </w:p>
    <w:p>
      <w:pPr>
        <w:spacing w:before="40"/>
        <w:ind w:left="400"/>
      </w:pPr>
      <w:r>
        <w:rPr>
          <w:b/>
          <w:color w:val="C05000"/>
          <w:sz w:val="18"/>
        </w:rPr>
        <w:t xml:space="preserve">⚠️ Risques : </w:t>
      </w:r>
      <w:r>
        <w:rPr>
          <w:sz w:val="18"/>
        </w:rPr>
        <w:t>["Maintien des sanctions CEDEAO contre le Mali impactant le transit du coton", "Volatilit\u00e9 continue du march\u00e9 des mati\u00e8res premi\u00e8res (cacao, nickel)", "Incertitudes li\u00e9es au processus de cession au groupe MSC"]</w:t>
      </w:r>
    </w:p>
    <w:p>
      <w:pPr>
        <w:spacing w:before="40"/>
        <w:ind w:left="400"/>
      </w:pPr>
      <w:r>
        <w:rPr>
          <w:b/>
          <w:color w:val="0064A0"/>
          <w:sz w:val="18"/>
        </w:rPr>
        <w:t xml:space="preserve">🔮 Perspectives : </w:t>
      </w:r>
      <w:r>
        <w:rPr>
          <w:sz w:val="18"/>
        </w:rPr>
        <w:t>Les perspectives restent incertaines avec la finalisation attendue de la cession au groupe MSC qui pourrait apporter de nouveaux capitaux et une nouvelle stratégie. La levée des sanctions contre le Mali et la stabilisation des marchés de matières premières seront déterminantes pour la reprise d'acti</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des performances, la soci\u00e9t\u00e9 maintient une rentabilit\u00e9 correcte avec une marge nette de 15,7%. Les difficult\u00e9s semblent conjoncturelles et li\u00e9es \u00e0 des probl\u00e8mes op\u00e9rationnels sp\u00e9cifiques."}</w:t>
      </w:r>
    </w:p>
    <w:p>
      <w:pPr>
        <w:spacing w:before="40"/>
        <w:ind w:left="400"/>
      </w:pPr>
      <w:r>
        <w:rPr>
          <w:sz w:val="18"/>
        </w:rPr>
        <w:t>Bolloré Transport &amp; Logistics Côte d'Ivoire présente un rapport d'activité mitigé pour le 3ème trimestre 2022. Le chiffre d'affaires s'établit à 62,8 milliards FCFA, en baisse de 4,7% par rapport à la même période 2021. Le résultat des activités ordinaires chute significativement de 26% à 10,6 milliards FCFA. Le résultat net subit également une forte baisse de 21,5% pour atteindre 9,9 milliards FCFA. Cette performance reflète les difficultés rencontrées dans les activités maritimes et logistiques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'-4,7%', 'evolution_resultat_net': '-21,5%', 'resultat_activites_ordinaires': '10 563 348 FCFA (milliers)'}</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15,7%</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9 857 981 FCFA (milliers)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62 837 741 FCFA (milliers)</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4,7% à 62,8 milliards FCFA au T3 2022</w:t>
      </w:r>
    </w:p>
    <w:p>
      <w:pPr>
        <w:pStyle w:val="ListBullet"/>
        <w:spacing w:before="20" w:after="20"/>
        <w:ind w:left="700"/>
      </w:pPr>
      <w:r>
        <w:rPr>
          <w:sz w:val="18"/>
        </w:rPr>
        <w:t>Forte dégradation du résultat des activités ordinaires (-26% à 10,6 milliards FCFA)</w:t>
      </w:r>
    </w:p>
    <w:p>
      <w:pPr>
        <w:pStyle w:val="ListBullet"/>
        <w:spacing w:before="20" w:after="20"/>
        <w:ind w:left="700"/>
      </w:pPr>
      <w:r>
        <w:rPr>
          <w:sz w:val="18"/>
        </w:rPr>
        <w:t>Résultat net en recul de 21,5% à 9,9 milliards FCFA</w:t>
      </w:r>
    </w:p>
    <w:p>
      <w:pPr>
        <w:pStyle w:val="ListBullet"/>
        <w:spacing w:before="20" w:after="20"/>
        <w:ind w:left="700"/>
      </w:pPr>
      <w:r>
        <w:rPr>
          <w:sz w:val="18"/>
        </w:rPr>
        <w:t>Activité maritime impactée par la hausse des volumes sur la consignation mais baisse de la manutention conventionnelle</w:t>
      </w:r>
    </w:p>
    <w:p>
      <w:pPr>
        <w:pStyle w:val="ListBullet"/>
        <w:spacing w:before="20" w:after="20"/>
        <w:ind w:left="700"/>
      </w:pPr>
      <w:r>
        <w:rPr>
          <w:sz w:val="18"/>
        </w:rPr>
        <w:t>Difficultés sur la gestion des navires vides et problème de retrait sur le barging de nickel à San Pedro</w:t>
      </w:r>
    </w:p>
    <w:p>
      <w:pPr>
        <w:pStyle w:val="ListBullet"/>
        <w:spacing w:before="20" w:after="20"/>
        <w:ind w:left="700"/>
      </w:pPr>
      <w:r>
        <w:rPr>
          <w:sz w:val="18"/>
        </w:rPr>
        <w:t>Baisse d'activité logistique avec recul de facturation sur l'export de matières premières</w:t>
      </w:r>
    </w:p>
    <w:p>
      <w:pPr>
        <w:spacing w:before="40"/>
        <w:ind w:left="400"/>
      </w:pPr>
      <w:r>
        <w:rPr>
          <w:b/>
          <w:color w:val="C05000"/>
          <w:sz w:val="18"/>
        </w:rPr>
        <w:t xml:space="preserve">⚠️ Risques : </w:t>
      </w:r>
      <w:r>
        <w:rPr>
          <w:sz w:val="18"/>
        </w:rPr>
        <w:t>["Poursuite de la baisse d'activit\u00e9 sur les m\u00e9tiers maritimes traditionnels", "Difficult\u00e9s persistantes dans la gestion logistique et l'entreposage", "Impact n\u00e9gatif des probl\u00e8mes de retrait des volumes sur les bases logistiques"]</w:t>
      </w:r>
    </w:p>
    <w:p>
      <w:pPr>
        <w:spacing w:before="40"/>
        <w:ind w:left="400"/>
      </w:pPr>
      <w:r>
        <w:rPr>
          <w:b/>
          <w:color w:val="0064A0"/>
          <w:sz w:val="18"/>
        </w:rPr>
        <w:t xml:space="preserve">🔮 Perspectives : </w:t>
      </w:r>
      <w:r>
        <w:rPr>
          <w:sz w:val="18"/>
        </w:rPr>
        <w:t>La société devra se concentrer sur l'amélioration de ses opérations maritimes et logistiques pour retrouver une croissance. La diversification vers des métiers à plus forte rentabilité pourrait compenser la baisse d'activité sur les segments traditionnels.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op\u00e9rationnelle spectaculaire d'AGL avec une multiplication par 18 du r\u00e9sultat net d\u00e9montre une efficacit\u00e9 retrouv\u00e9e et un potentiel de croissance exceptionnel. Le rebranding et la diversification des activit\u00e9s logistiques positionnent favorablement l'entreprise sur le march\u00e9 africain en expansion."}</w:t>
      </w:r>
    </w:p>
    <w:p>
      <w:pPr>
        <w:spacing w:before="40"/>
        <w:ind w:left="400"/>
      </w:pPr>
      <w:r>
        <w:rPr>
          <w:sz w:val="18"/>
        </w:rPr>
        <w:t>Africa Global Logistics Côte d'Ivoire (AGL) affiche une performance exceptionnelle au premier trimestre 2023 avec une croissance modeste du chiffre d'affaires de 0,7% à 23,47 milliards FCFA. Le résultat des activités ordinaires explose de 111,3% à 1,22 milliard FCFA, témoignant d'une amélioration drastique de l'efficacité opérationnelle. Le résultat net bondit spectaculairement de 1726,8% pour atteindre 611,98 millions FCFA contre seulement 33,5 millions FCFA l'année précédente. Cette performance remarquable résulte de l'amélioration des activités logistiques (entreposage, transit aérien) et maritimes, compensant la baisse des dépôts de conteneurs vides. La société a récemment procédé au reb</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'+0,7%', 'capital_social': '10 887 060 000 FCFA', 'croissance_resultat_net': '+1726,8%', 'resultat_activites_ordinaires': '1 220 863 milliers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611 980 milliers FCFA (T1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23 470 387 milliers FCFA (T1 2023)</w:t>
            </w:r>
          </w:p>
        </w:tc>
        <w:tc>
          <w:tcPr>
            <w:tcW w:type="dxa" w:w="2160"/>
          </w:tcPr>
          <w:p/>
        </w:tc>
      </w:tr>
    </w:tbl>
    <w:p/>
    <w:p>
      <w:pPr>
        <w:spacing w:before="60"/>
        <w:ind w:left="400"/>
      </w:pPr>
      <w:r>
        <w:rPr>
          <w:b/>
          <w:sz w:val="18"/>
        </w:rPr>
        <w:t>Points clés :</w:t>
      </w:r>
    </w:p>
    <w:p>
      <w:pPr>
        <w:pStyle w:val="ListBullet"/>
        <w:spacing w:before="20" w:after="20"/>
        <w:ind w:left="700"/>
      </w:pPr>
      <w:r>
        <w:rPr>
          <w:sz w:val="18"/>
        </w:rPr>
        <w:t>Explosion du résultat net de +1726,8% au T1 2023 (611,98 millions FCFA vs 33,5 millions FCFA)</w:t>
      </w:r>
    </w:p>
    <w:p>
      <w:pPr>
        <w:pStyle w:val="ListBullet"/>
        <w:spacing w:before="20" w:after="20"/>
        <w:ind w:left="700"/>
      </w:pPr>
      <w:r>
        <w:rPr>
          <w:sz w:val="18"/>
        </w:rPr>
        <w:t>Forte amélioration du résultat des activités ordinaires (+111,3% à 1,22 milliard FCFA)</w:t>
      </w:r>
    </w:p>
    <w:p>
      <w:pPr>
        <w:pStyle w:val="ListBullet"/>
        <w:spacing w:before="20" w:after="20"/>
        <w:ind w:left="700"/>
      </w:pPr>
      <w:r>
        <w:rPr>
          <w:sz w:val="18"/>
        </w:rPr>
        <w:t>Croissance modérée mais stable du chiffre d'affaires (+0,7% à 23,47 milliards FCFA)</w:t>
      </w:r>
    </w:p>
    <w:p>
      <w:pPr>
        <w:pStyle w:val="ListBullet"/>
        <w:spacing w:before="20" w:after="20"/>
        <w:ind w:left="700"/>
      </w:pPr>
      <w:r>
        <w:rPr>
          <w:sz w:val="18"/>
        </w:rPr>
        <w:t>Amélioration significative des activités logistiques (entreposage et transit aérien)</w:t>
      </w:r>
    </w:p>
    <w:p>
      <w:pPr>
        <w:pStyle w:val="ListBullet"/>
        <w:spacing w:before="20" w:after="20"/>
        <w:ind w:left="700"/>
      </w:pPr>
      <w:r>
        <w:rPr>
          <w:sz w:val="18"/>
        </w:rPr>
        <w:t>Compensation réussie de la baisse d'activité des dépôts de conteneurs vides par les activités maritimes</w:t>
      </w:r>
    </w:p>
    <w:p>
      <w:pPr>
        <w:pStyle w:val="ListBullet"/>
        <w:spacing w:before="20" w:after="20"/>
        <w:ind w:left="700"/>
      </w:pPr>
      <w:r>
        <w:rPr>
          <w:sz w:val="18"/>
        </w:rPr>
        <w:t>Rebranding de Bolloré Logistics vers Africa Global Logistics effectué en mars 2023</w:t>
      </w:r>
    </w:p>
    <w:p>
      <w:pPr>
        <w:spacing w:before="40"/>
        <w:ind w:left="400"/>
      </w:pPr>
      <w:r>
        <w:rPr>
          <w:b/>
          <w:color w:val="C05000"/>
          <w:sz w:val="18"/>
        </w:rPr>
        <w:t xml:space="preserve">⚠️ Risques : </w:t>
      </w:r>
      <w:r>
        <w:rPr>
          <w:sz w:val="18"/>
        </w:rPr>
        <w:t>["D\u00e9pendance aux activit\u00e9s de transit et d'entreposage sensibles aux fluctuations \u00e9conomiques r\u00e9gionales", "Impact potentiel de la volatilit\u00e9 des volumes de conteneurs sur la rentabilit\u00e9", "Risques li\u00e9s \u00e0 l'int\u00e9gration post-rebranding et aux changements o</w:t>
      </w:r>
    </w:p>
    <w:p>
      <w:pPr>
        <w:spacing w:before="40"/>
        <w:ind w:left="400"/>
      </w:pPr>
      <w:r>
        <w:rPr>
          <w:b/>
          <w:color w:val="0064A0"/>
          <w:sz w:val="18"/>
        </w:rPr>
        <w:t xml:space="preserve">🔮 Perspectives : </w:t>
      </w:r>
      <w:r>
        <w:rPr>
          <w:sz w:val="18"/>
        </w:rPr>
        <w:t>AGL bénéficie d'un momentum exceptionnel avec sa nouvelle identité Africa Global Logistics et sa performance opérationnelle remarquable au T1 2023. L'entreprise semble bien positionnée pour capitaliser sur la croissance du commerce intra-africain et maintenir sa trajectoire de rentabilité améliorée.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 soci\u00e9t\u00e9 maintient une rentabilit\u00e9 correcte gr\u00e2ce \u00e0 ses revenus financiers et conserve des positions solides sur ses march\u00e9s. Les perspectives de reprise du trafic a\u00e9rien et p\u00e9trolier sont encourageantes."}</w:t>
      </w:r>
    </w:p>
    <w:p>
      <w:pPr>
        <w:spacing w:before="40"/>
        <w:ind w:left="400"/>
      </w:pPr>
      <w:r>
        <w:rPr>
          <w:sz w:val="18"/>
        </w:rPr>
        <w:t>Bolloré Transport &amp; Logistics Côte d'Ivoire (BTLCI) affiche des résultats mitigés au premier semestre 2022 avec un chiffre d'affaires en légère baisse de 1% à 44,98 milliards FCFA. Le résultat d'exploitation chute drastiquement de 90% à 212,5 millions FCFA, impactant négativement la rentabilité opérationnelle. Malgré cette faiblesse opérationnelle, le résultat financier reste solide à 12,5 milliards FCFA (+2%). Le résultat net régresse de 8% à 11,89 milliards FCFA, reflétant les difficultés d'exploitation compensées partiellement par les revenus financiers. La société maintient une activité soutenue dans le maritime et la logistique malgré un contexte d'affaires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 '-889,7 millions FCFA', 'resultat_financier': '12,5 milliards FCFA', 'resultat_exploitation': '212,5 millions FCFA', 'resultat_activites_ordinaires': '12,7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26,4%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11,89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44,98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quasi-stable à 44,98 milliards FCFA (-1%)</w:t>
      </w:r>
    </w:p>
    <w:p>
      <w:pPr>
        <w:pStyle w:val="ListBullet"/>
        <w:spacing w:before="20" w:after="20"/>
        <w:ind w:left="700"/>
      </w:pPr>
      <w:r>
        <w:rPr>
          <w:sz w:val="18"/>
        </w:rPr>
        <w:t>Effondrement du résultat d'exploitation de 90% à 212,5 millions FCFA</w:t>
      </w:r>
    </w:p>
    <w:p>
      <w:pPr>
        <w:pStyle w:val="ListBullet"/>
        <w:spacing w:before="20" w:after="20"/>
        <w:ind w:left="700"/>
      </w:pPr>
      <w:r>
        <w:rPr>
          <w:sz w:val="18"/>
        </w:rPr>
        <w:t>Maintien d'un résultat financier solide à 12,5 milliards FCFA (+2%)</w:t>
      </w:r>
    </w:p>
    <w:p>
      <w:pPr>
        <w:pStyle w:val="ListBullet"/>
        <w:spacing w:before="20" w:after="20"/>
        <w:ind w:left="700"/>
      </w:pPr>
      <w:r>
        <w:rPr>
          <w:sz w:val="18"/>
        </w:rPr>
        <w:t>Résultat net en baisse de 8% à 11,89 milliards FCFA</w:t>
      </w:r>
    </w:p>
    <w:p>
      <w:pPr>
        <w:pStyle w:val="ListBullet"/>
        <w:spacing w:before="20" w:after="20"/>
        <w:ind w:left="700"/>
      </w:pPr>
      <w:r>
        <w:rPr>
          <w:sz w:val="18"/>
        </w:rPr>
        <w:t>Bonne activité maritime avec volumes soutenus en manutention conventionnelle</w:t>
      </w:r>
    </w:p>
    <w:p>
      <w:pPr>
        <w:pStyle w:val="ListBullet"/>
        <w:spacing w:before="20" w:after="20"/>
        <w:ind w:left="700"/>
      </w:pPr>
      <w:r>
        <w:rPr>
          <w:sz w:val="18"/>
        </w:rPr>
        <w:t>Impact négatif de la baisse d'activité sur les métiers à forte rentabilité</w:t>
      </w:r>
    </w:p>
    <w:p>
      <w:pPr>
        <w:spacing w:before="40"/>
        <w:ind w:left="400"/>
      </w:pPr>
      <w:r>
        <w:rPr>
          <w:b/>
          <w:color w:val="C05000"/>
          <w:sz w:val="18"/>
        </w:rPr>
        <w:t xml:space="preserve">⚠️ Risques : </w:t>
      </w:r>
      <w:r>
        <w:rPr>
          <w:sz w:val="18"/>
        </w:rPr>
        <w:t>["Forte d\u00e9pendance aux revenus financiers pour compenser la faiblesse op\u00e9rationnelle", "Volatilit\u00e9 des activit\u00e9s li\u00e9es au transport et \u00e0 la logistique dans un contexte \u00e9conomique incertain", "Impact des fluctuations des volumes de marchandises sur la rentabilit\u00</w:t>
      </w:r>
    </w:p>
    <w:p>
      <w:pPr>
        <w:spacing w:before="40"/>
        <w:ind w:left="400"/>
      </w:pPr>
      <w:r>
        <w:rPr>
          <w:b/>
          <w:color w:val="0064A0"/>
          <w:sz w:val="18"/>
        </w:rPr>
        <w:t xml:space="preserve">🔮 Perspectives : </w:t>
      </w:r>
      <w:r>
        <w:rPr>
          <w:sz w:val="18"/>
        </w:rPr>
        <w:t>La reprise progressive du trafic aérien et des activités pétrolières devrait soutenir l'amélioration des performances opérationnelles. L'accent mis sur les métiers à plus forte rentabilité pourrait permettre une amélioration graduelle du résultat d'exploitation.</w:t>
      </w:r>
    </w:p>
    <w:p/>
    <w:p>
      <w:r>
        <w:t>════════════════════════════════════════════════════════════════════════════════</w:t>
      </w:r>
    </w:p>
    <w:p>
      <w:r>
        <w:br w:type="page"/>
      </w:r>
    </w:p>
    <w:p>
      <w:pPr>
        <w:pStyle w:val="Heading2"/>
        <w:spacing w:before="360"/>
      </w:pPr>
      <w:r>
        <w:rPr>
          <w:color w:val="0066CC"/>
        </w:rPr>
        <w:t>31. SEMC - SEMC - EVIOSYS PACKAGING SIEM 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SEMC</w:t>
            </w:r>
          </w:p>
          <w:p>
            <w:r>
              <w:rPr>
                <w:b/>
                <w:color w:val="323250"/>
                <w:sz w:val="16"/>
              </w:rPr>
              <w:t xml:space="preserve">Société : </w:t>
            </w:r>
            <w:r>
              <w:rPr>
                <w:color w:val="000000"/>
                <w:sz w:val="16"/>
              </w:rPr>
              <w:t>SEMC - EVIOSYS PACKAGING SIEM 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36.52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5,658 titres</w:t>
            </w:r>
          </w:p>
        </w:tc>
        <w:tc>
          <w:tcPr>
            <w:tcW w:type="dxa" w:w="2268"/>
            <w:shd w:fill="FFF2CC" w:val="clear"/>
          </w:tcPr>
          <w:p>
            <w:r>
              <w:rPr>
                <w:b/>
                <w:color w:val="503200"/>
                <w:sz w:val="16"/>
              </w:rPr>
              <w:t xml:space="preserve">Cours actuel : </w:t>
            </w:r>
            <w:r>
              <w:rPr>
                <w:color w:val="000000"/>
                <w:sz w:val="17"/>
              </w:rPr>
              <w:t>1,450 FCFA</w:t>
            </w:r>
          </w:p>
          <w:p>
            <w:r>
              <w:rPr>
                <w:b/>
                <w:color w:val="503200"/>
                <w:sz w:val="16"/>
              </w:rPr>
              <w:t xml:space="preserve">Var. 100 jours : </w:t>
            </w:r>
            <w:r>
              <w:rPr>
                <w:b/>
                <w:color w:val="B40000"/>
                <w:sz w:val="17"/>
              </w:rPr>
              <w:t>-26.58%</w:t>
            </w:r>
          </w:p>
          <w:p>
            <w:r>
              <w:rPr>
                <w:b/>
                <w:color w:val="503200"/>
                <w:sz w:val="16"/>
              </w:rPr>
              <w:t xml:space="preserve">Plus haut 100j : </w:t>
            </w:r>
            <w:r>
              <w:rPr>
                <w:color w:val="000000"/>
                <w:sz w:val="17"/>
              </w:rPr>
              <w:t>1,985 FCFA</w:t>
            </w:r>
          </w:p>
          <w:p>
            <w:r>
              <w:rPr>
                <w:b/>
                <w:color w:val="503200"/>
                <w:sz w:val="16"/>
              </w:rPr>
              <w:t xml:space="preserve">Plus bas 100j : </w:t>
            </w:r>
            <w:r>
              <w:rPr>
                <w:color w:val="000000"/>
                <w:sz w:val="17"/>
              </w:rPr>
              <w:t>1,350 FCFA</w:t>
            </w:r>
          </w:p>
          <w:p>
            <w:r>
              <w:rPr>
                <w:b/>
                <w:color w:val="503200"/>
                <w:sz w:val="16"/>
              </w:rPr>
              <w:t xml:space="preserve">Volatilité ann. : </w:t>
            </w:r>
            <w:r>
              <w:rPr>
                <w:color w:val="000000"/>
                <w:sz w:val="17"/>
              </w:rPr>
              <w:t>49.9%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23.8/100 → Moyen</w:t>
      </w:r>
    </w:p>
    <w:p>
      <w:pPr>
        <w:spacing w:before="40" w:after="80"/>
      </w:pPr>
      <w:r>
        <w:rPr>
          <w:rFonts w:ascii="Courier New" w:hAnsi="Courier New"/>
          <w:color w:val="825A00"/>
          <w:sz w:val="18"/>
        </w:rPr>
        <w:t>████░░░░░░░░░░░░░░░░  23.8/100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9.00% (Moyenne) — μ=1,571 FCFA, σ=141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β=1.5208 (Agressif) — Cov=0.000054, Var(idx)=0.000035, ρ=0.288,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5,658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σ_j=3.14%/j (Modérée) — Vol. annualisée≈49.9%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33" name="Picture 33"/>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2026-08-28</w:t>
            </w:r>
          </w:p>
        </w:tc>
        <w:tc>
          <w:tcPr>
            <w:tcW w:type="dxa" w:w="1440"/>
            <w:shd w:fill="FAFAFA" w:val="clear"/>
          </w:tcPr>
          <w:p>
            <w:r>
              <w:rPr>
                <w:sz w:val="17"/>
              </w:rPr>
              <w:t>1,402</w:t>
            </w:r>
          </w:p>
        </w:tc>
        <w:tc>
          <w:tcPr>
            <w:tcW w:type="dxa" w:w="1440"/>
            <w:shd w:fill="FAFAFA" w:val="clear"/>
          </w:tcPr>
          <w:p>
            <w:r>
              <w:rPr>
                <w:b/>
                <w:sz w:val="17"/>
              </w:rPr>
              <w:t>1,472</w:t>
            </w:r>
          </w:p>
        </w:tc>
        <w:tc>
          <w:tcPr>
            <w:tcW w:type="dxa" w:w="1440"/>
            <w:shd w:fill="FAFAFA" w:val="clear"/>
          </w:tcPr>
          <w:p>
            <w:r>
              <w:rPr>
                <w:sz w:val="17"/>
              </w:rPr>
              <w:t>1,542</w:t>
            </w:r>
          </w:p>
        </w:tc>
        <w:tc>
          <w:tcPr>
            <w:tcW w:type="dxa" w:w="1440"/>
            <w:shd w:fill="FAFAFA" w:val="clear"/>
          </w:tcPr>
          <w:p>
            <w:r>
              <w:rPr>
                <w:b/>
                <w:color w:val="008000"/>
                <w:sz w:val="17"/>
              </w:rPr>
              <w:t>+1.5%</w:t>
            </w:r>
          </w:p>
        </w:tc>
      </w:tr>
      <w:tr>
        <w:tc>
          <w:tcPr>
            <w:tcW w:type="dxa" w:w="1440"/>
            <w:shd w:fill="FAFAFA" w:val="clear"/>
          </w:tcPr>
          <w:p>
            <w:r>
              <w:rPr>
                <w:sz w:val="17"/>
              </w:rPr>
              <w:t>J+2  Moyenne</w:t>
            </w:r>
          </w:p>
        </w:tc>
        <w:tc>
          <w:tcPr>
            <w:tcW w:type="dxa" w:w="1440"/>
            <w:shd w:fill="FAFAFA" w:val="clear"/>
          </w:tcPr>
          <w:p>
            <w:r>
              <w:rPr>
                <w:sz w:val="17"/>
              </w:rPr>
              <w:t>2026-08-31</w:t>
            </w:r>
          </w:p>
        </w:tc>
        <w:tc>
          <w:tcPr>
            <w:tcW w:type="dxa" w:w="1440"/>
            <w:shd w:fill="FAFAFA" w:val="clear"/>
          </w:tcPr>
          <w:p>
            <w:r>
              <w:rPr>
                <w:sz w:val="17"/>
              </w:rPr>
              <w:t>1,355</w:t>
            </w:r>
          </w:p>
        </w:tc>
        <w:tc>
          <w:tcPr>
            <w:tcW w:type="dxa" w:w="1440"/>
            <w:shd w:fill="FAFAFA" w:val="clear"/>
          </w:tcPr>
          <w:p>
            <w:r>
              <w:rPr>
                <w:b/>
                <w:sz w:val="17"/>
              </w:rPr>
              <w:t>1,453</w:t>
            </w:r>
          </w:p>
        </w:tc>
        <w:tc>
          <w:tcPr>
            <w:tcW w:type="dxa" w:w="1440"/>
            <w:shd w:fill="FAFAFA" w:val="clear"/>
          </w:tcPr>
          <w:p>
            <w:r>
              <w:rPr>
                <w:sz w:val="17"/>
              </w:rPr>
              <w:t>1,550</w:t>
            </w:r>
          </w:p>
        </w:tc>
        <w:tc>
          <w:tcPr>
            <w:tcW w:type="dxa" w:w="1440"/>
            <w:shd w:fill="FAFAFA" w:val="clear"/>
          </w:tcPr>
          <w:p>
            <w:r>
              <w:rPr>
                <w:b/>
                <w:color w:val="008000"/>
                <w:sz w:val="17"/>
              </w:rPr>
              <w:t>+0.2%</w:t>
            </w:r>
          </w:p>
        </w:tc>
      </w:tr>
      <w:tr>
        <w:tc>
          <w:tcPr>
            <w:tcW w:type="dxa" w:w="1440"/>
            <w:shd w:fill="FAFAFA" w:val="clear"/>
          </w:tcPr>
          <w:p>
            <w:r>
              <w:rPr>
                <w:sz w:val="17"/>
              </w:rPr>
              <w:t>J+3  Moyenne</w:t>
            </w:r>
          </w:p>
        </w:tc>
        <w:tc>
          <w:tcPr>
            <w:tcW w:type="dxa" w:w="1440"/>
            <w:shd w:fill="FAFAFA" w:val="clear"/>
          </w:tcPr>
          <w:p>
            <w:r>
              <w:rPr>
                <w:sz w:val="17"/>
              </w:rPr>
              <w:t>2026-09-01</w:t>
            </w:r>
          </w:p>
        </w:tc>
        <w:tc>
          <w:tcPr>
            <w:tcW w:type="dxa" w:w="1440"/>
            <w:shd w:fill="FAFAFA" w:val="clear"/>
          </w:tcPr>
          <w:p>
            <w:r>
              <w:rPr>
                <w:sz w:val="17"/>
              </w:rPr>
              <w:t>1,318</w:t>
            </w:r>
          </w:p>
        </w:tc>
        <w:tc>
          <w:tcPr>
            <w:tcW w:type="dxa" w:w="1440"/>
            <w:shd w:fill="FAFAFA" w:val="clear"/>
          </w:tcPr>
          <w:p>
            <w:r>
              <w:rPr>
                <w:b/>
                <w:sz w:val="17"/>
              </w:rPr>
              <w:t>1,437</w:t>
            </w:r>
          </w:p>
        </w:tc>
        <w:tc>
          <w:tcPr>
            <w:tcW w:type="dxa" w:w="1440"/>
            <w:shd w:fill="FAFAFA" w:val="clear"/>
          </w:tcPr>
          <w:p>
            <w:r>
              <w:rPr>
                <w:sz w:val="17"/>
              </w:rPr>
              <w:t>1,555</w:t>
            </w:r>
          </w:p>
        </w:tc>
        <w:tc>
          <w:tcPr>
            <w:tcW w:type="dxa" w:w="1440"/>
            <w:shd w:fill="FAFAFA" w:val="clear"/>
          </w:tcPr>
          <w:p>
            <w:r>
              <w:rPr>
                <w:b/>
                <w:color w:val="C00000"/>
                <w:sz w:val="17"/>
              </w:rPr>
              <w:t>-0.9%</w:t>
            </w:r>
          </w:p>
        </w:tc>
      </w:tr>
      <w:tr>
        <w:tc>
          <w:tcPr>
            <w:tcW w:type="dxa" w:w="1440"/>
            <w:shd w:fill="FAFAFA" w:val="clear"/>
          </w:tcPr>
          <w:p>
            <w:r>
              <w:rPr>
                <w:sz w:val="17"/>
              </w:rPr>
              <w:t>J+4  ⭐</w:t>
            </w:r>
          </w:p>
        </w:tc>
        <w:tc>
          <w:tcPr>
            <w:tcW w:type="dxa" w:w="1440"/>
            <w:shd w:fill="FAFAFA" w:val="clear"/>
          </w:tcPr>
          <w:p>
            <w:r>
              <w:rPr>
                <w:sz w:val="17"/>
              </w:rPr>
              <w:t>2026-09-02</w:t>
            </w:r>
          </w:p>
        </w:tc>
        <w:tc>
          <w:tcPr>
            <w:tcW w:type="dxa" w:w="1440"/>
            <w:shd w:fill="FAFAFA" w:val="clear"/>
          </w:tcPr>
          <w:p>
            <w:r>
              <w:rPr>
                <w:sz w:val="17"/>
              </w:rPr>
              <w:t>1,287</w:t>
            </w:r>
          </w:p>
        </w:tc>
        <w:tc>
          <w:tcPr>
            <w:tcW w:type="dxa" w:w="1440"/>
            <w:shd w:fill="FAFAFA" w:val="clear"/>
          </w:tcPr>
          <w:p>
            <w:r>
              <w:rPr>
                <w:b/>
                <w:sz w:val="17"/>
              </w:rPr>
              <w:t>1,422</w:t>
            </w:r>
          </w:p>
        </w:tc>
        <w:tc>
          <w:tcPr>
            <w:tcW w:type="dxa" w:w="1440"/>
            <w:shd w:fill="FAFAFA" w:val="clear"/>
          </w:tcPr>
          <w:p>
            <w:r>
              <w:rPr>
                <w:sz w:val="17"/>
              </w:rPr>
              <w:t>1,557</w:t>
            </w:r>
          </w:p>
        </w:tc>
        <w:tc>
          <w:tcPr>
            <w:tcW w:type="dxa" w:w="1440"/>
            <w:shd w:fill="FAFAFA" w:val="clear"/>
          </w:tcPr>
          <w:p>
            <w:r>
              <w:rPr>
                <w:b/>
                <w:color w:val="C00000"/>
                <w:sz w:val="17"/>
              </w:rPr>
              <w:t>-1.9%</w:t>
            </w:r>
          </w:p>
        </w:tc>
      </w:tr>
      <w:tr>
        <w:tc>
          <w:tcPr>
            <w:tcW w:type="dxa" w:w="1440"/>
            <w:shd w:fill="FFDCE0" w:val="clear"/>
          </w:tcPr>
          <w:p>
            <w:r>
              <w:rPr>
                <w:sz w:val="17"/>
              </w:rPr>
              <w:t>J+5  ⭐</w:t>
            </w:r>
          </w:p>
        </w:tc>
        <w:tc>
          <w:tcPr>
            <w:tcW w:type="dxa" w:w="1440"/>
            <w:shd w:fill="FFDCE0" w:val="clear"/>
          </w:tcPr>
          <w:p>
            <w:r>
              <w:rPr>
                <w:sz w:val="17"/>
              </w:rPr>
              <w:t>2026-09-03</w:t>
            </w:r>
          </w:p>
        </w:tc>
        <w:tc>
          <w:tcPr>
            <w:tcW w:type="dxa" w:w="1440"/>
            <w:shd w:fill="FFDCE0" w:val="clear"/>
          </w:tcPr>
          <w:p>
            <w:r>
              <w:rPr>
                <w:sz w:val="17"/>
              </w:rPr>
              <w:t>1,258</w:t>
            </w:r>
          </w:p>
        </w:tc>
        <w:tc>
          <w:tcPr>
            <w:tcW w:type="dxa" w:w="1440"/>
            <w:shd w:fill="FFDCE0" w:val="clear"/>
          </w:tcPr>
          <w:p>
            <w:r>
              <w:rPr>
                <w:b/>
                <w:sz w:val="17"/>
              </w:rPr>
              <w:t>1,408</w:t>
            </w:r>
          </w:p>
        </w:tc>
        <w:tc>
          <w:tcPr>
            <w:tcW w:type="dxa" w:w="1440"/>
            <w:shd w:fill="FFDCE0" w:val="clear"/>
          </w:tcPr>
          <w:p>
            <w:r>
              <w:rPr>
                <w:sz w:val="17"/>
              </w:rPr>
              <w:t>1,558</w:t>
            </w:r>
          </w:p>
        </w:tc>
        <w:tc>
          <w:tcPr>
            <w:tcW w:type="dxa" w:w="1440"/>
            <w:shd w:fill="FFDCE0" w:val="clear"/>
          </w:tcPr>
          <w:p>
            <w:r>
              <w:rPr>
                <w:b/>
                <w:color w:val="C00000"/>
                <w:sz w:val="17"/>
              </w:rPr>
              <w:t>-2.9%</w:t>
            </w:r>
          </w:p>
        </w:tc>
      </w:tr>
      <w:tr>
        <w:tc>
          <w:tcPr>
            <w:tcW w:type="dxa" w:w="1440"/>
            <w:shd w:fill="FFDCE0" w:val="clear"/>
          </w:tcPr>
          <w:p>
            <w:r>
              <w:rPr>
                <w:sz w:val="17"/>
              </w:rPr>
              <w:t>J+6  ⭐</w:t>
            </w:r>
          </w:p>
        </w:tc>
        <w:tc>
          <w:tcPr>
            <w:tcW w:type="dxa" w:w="1440"/>
            <w:shd w:fill="FFDCE0" w:val="clear"/>
          </w:tcPr>
          <w:p>
            <w:r>
              <w:rPr>
                <w:sz w:val="17"/>
              </w:rPr>
              <w:t>2026-09-04</w:t>
            </w:r>
          </w:p>
        </w:tc>
        <w:tc>
          <w:tcPr>
            <w:tcW w:type="dxa" w:w="1440"/>
            <w:shd w:fill="FFDCE0" w:val="clear"/>
          </w:tcPr>
          <w:p>
            <w:r>
              <w:rPr>
                <w:sz w:val="17"/>
              </w:rPr>
              <w:t>1,232</w:t>
            </w:r>
          </w:p>
        </w:tc>
        <w:tc>
          <w:tcPr>
            <w:tcW w:type="dxa" w:w="1440"/>
            <w:shd w:fill="FFDCE0" w:val="clear"/>
          </w:tcPr>
          <w:p>
            <w:r>
              <w:rPr>
                <w:b/>
                <w:sz w:val="17"/>
              </w:rPr>
              <w:t>1,394</w:t>
            </w:r>
          </w:p>
        </w:tc>
        <w:tc>
          <w:tcPr>
            <w:tcW w:type="dxa" w:w="1440"/>
            <w:shd w:fill="FFDCE0" w:val="clear"/>
          </w:tcPr>
          <w:p>
            <w:r>
              <w:rPr>
                <w:sz w:val="17"/>
              </w:rPr>
              <w:t>1,557</w:t>
            </w:r>
          </w:p>
        </w:tc>
        <w:tc>
          <w:tcPr>
            <w:tcW w:type="dxa" w:w="1440"/>
            <w:shd w:fill="FFDCE0" w:val="clear"/>
          </w:tcPr>
          <w:p>
            <w:r>
              <w:rPr>
                <w:b/>
                <w:color w:val="C00000"/>
                <w:sz w:val="17"/>
              </w:rPr>
              <w:t>-3.8%</w:t>
            </w:r>
          </w:p>
        </w:tc>
      </w:tr>
      <w:tr>
        <w:tc>
          <w:tcPr>
            <w:tcW w:type="dxa" w:w="1440"/>
            <w:shd w:fill="FFDCE0" w:val="clear"/>
          </w:tcPr>
          <w:p>
            <w:r>
              <w:rPr>
                <w:sz w:val="17"/>
              </w:rPr>
              <w:t>J+7  ⭐</w:t>
            </w:r>
          </w:p>
        </w:tc>
        <w:tc>
          <w:tcPr>
            <w:tcW w:type="dxa" w:w="1440"/>
            <w:shd w:fill="FFDCE0" w:val="clear"/>
          </w:tcPr>
          <w:p>
            <w:r>
              <w:rPr>
                <w:sz w:val="17"/>
              </w:rPr>
              <w:t>2026-09-07</w:t>
            </w:r>
          </w:p>
        </w:tc>
        <w:tc>
          <w:tcPr>
            <w:tcW w:type="dxa" w:w="1440"/>
            <w:shd w:fill="FFDCE0" w:val="clear"/>
          </w:tcPr>
          <w:p>
            <w:r>
              <w:rPr>
                <w:sz w:val="17"/>
              </w:rPr>
              <w:t>1,207</w:t>
            </w:r>
          </w:p>
        </w:tc>
        <w:tc>
          <w:tcPr>
            <w:tcW w:type="dxa" w:w="1440"/>
            <w:shd w:fill="FFDCE0" w:val="clear"/>
          </w:tcPr>
          <w:p>
            <w:r>
              <w:rPr>
                <w:b/>
                <w:sz w:val="17"/>
              </w:rPr>
              <w:t>1,381</w:t>
            </w:r>
          </w:p>
        </w:tc>
        <w:tc>
          <w:tcPr>
            <w:tcW w:type="dxa" w:w="1440"/>
            <w:shd w:fill="FFDCE0" w:val="clear"/>
          </w:tcPr>
          <w:p>
            <w:r>
              <w:rPr>
                <w:sz w:val="17"/>
              </w:rPr>
              <w:t>1,555</w:t>
            </w:r>
          </w:p>
        </w:tc>
        <w:tc>
          <w:tcPr>
            <w:tcW w:type="dxa" w:w="1440"/>
            <w:shd w:fill="FFDCE0" w:val="clear"/>
          </w:tcPr>
          <w:p>
            <w:r>
              <w:rPr>
                <w:b/>
                <w:color w:val="C00000"/>
                <w:sz w:val="17"/>
              </w:rPr>
              <w:t>-4.8%</w:t>
            </w:r>
          </w:p>
        </w:tc>
      </w:tr>
      <w:tr>
        <w:tc>
          <w:tcPr>
            <w:tcW w:type="dxa" w:w="1440"/>
            <w:shd w:fill="FFDCE0" w:val="clear"/>
          </w:tcPr>
          <w:p>
            <w:r>
              <w:rPr>
                <w:sz w:val="17"/>
              </w:rPr>
              <w:t>J+8  ⭐</w:t>
            </w:r>
          </w:p>
        </w:tc>
        <w:tc>
          <w:tcPr>
            <w:tcW w:type="dxa" w:w="1440"/>
            <w:shd w:fill="FFDCE0" w:val="clear"/>
          </w:tcPr>
          <w:p>
            <w:r>
              <w:rPr>
                <w:sz w:val="17"/>
              </w:rPr>
              <w:t>2026-09-08</w:t>
            </w:r>
          </w:p>
        </w:tc>
        <w:tc>
          <w:tcPr>
            <w:tcW w:type="dxa" w:w="1440"/>
            <w:shd w:fill="FFDCE0" w:val="clear"/>
          </w:tcPr>
          <w:p>
            <w:r>
              <w:rPr>
                <w:sz w:val="17"/>
              </w:rPr>
              <w:t>1,184</w:t>
            </w:r>
          </w:p>
        </w:tc>
        <w:tc>
          <w:tcPr>
            <w:tcW w:type="dxa" w:w="1440"/>
            <w:shd w:fill="FFDCE0" w:val="clear"/>
          </w:tcPr>
          <w:p>
            <w:r>
              <w:rPr>
                <w:b/>
                <w:sz w:val="17"/>
              </w:rPr>
              <w:t>1,368</w:t>
            </w:r>
          </w:p>
        </w:tc>
        <w:tc>
          <w:tcPr>
            <w:tcW w:type="dxa" w:w="1440"/>
            <w:shd w:fill="FFDCE0" w:val="clear"/>
          </w:tcPr>
          <w:p>
            <w:r>
              <w:rPr>
                <w:sz w:val="17"/>
              </w:rPr>
              <w:t>1,552</w:t>
            </w:r>
          </w:p>
        </w:tc>
        <w:tc>
          <w:tcPr>
            <w:tcW w:type="dxa" w:w="1440"/>
            <w:shd w:fill="FFDCE0" w:val="clear"/>
          </w:tcPr>
          <w:p>
            <w:r>
              <w:rPr>
                <w:b/>
                <w:color w:val="C00000"/>
                <w:sz w:val="17"/>
              </w:rPr>
              <w:t>-5.7%</w:t>
            </w:r>
          </w:p>
        </w:tc>
      </w:tr>
      <w:tr>
        <w:tc>
          <w:tcPr>
            <w:tcW w:type="dxa" w:w="1440"/>
            <w:shd w:fill="FFDCE0" w:val="clear"/>
          </w:tcPr>
          <w:p>
            <w:r>
              <w:rPr>
                <w:sz w:val="17"/>
              </w:rPr>
              <w:t>J+9  ⭐</w:t>
            </w:r>
          </w:p>
        </w:tc>
        <w:tc>
          <w:tcPr>
            <w:tcW w:type="dxa" w:w="1440"/>
            <w:shd w:fill="FFDCE0" w:val="clear"/>
          </w:tcPr>
          <w:p>
            <w:r>
              <w:rPr>
                <w:sz w:val="17"/>
              </w:rPr>
              <w:t>2026-09-09</w:t>
            </w:r>
          </w:p>
        </w:tc>
        <w:tc>
          <w:tcPr>
            <w:tcW w:type="dxa" w:w="1440"/>
            <w:shd w:fill="FFDCE0" w:val="clear"/>
          </w:tcPr>
          <w:p>
            <w:r>
              <w:rPr>
                <w:sz w:val="17"/>
              </w:rPr>
              <w:t>1,162</w:t>
            </w:r>
          </w:p>
        </w:tc>
        <w:tc>
          <w:tcPr>
            <w:tcW w:type="dxa" w:w="1440"/>
            <w:shd w:fill="FFDCE0" w:val="clear"/>
          </w:tcPr>
          <w:p>
            <w:r>
              <w:rPr>
                <w:b/>
                <w:sz w:val="17"/>
              </w:rPr>
              <w:t>1,355</w:t>
            </w:r>
          </w:p>
        </w:tc>
        <w:tc>
          <w:tcPr>
            <w:tcW w:type="dxa" w:w="1440"/>
            <w:shd w:fill="FFDCE0" w:val="clear"/>
          </w:tcPr>
          <w:p>
            <w:r>
              <w:rPr>
                <w:sz w:val="17"/>
              </w:rPr>
              <w:t>1,548</w:t>
            </w:r>
          </w:p>
        </w:tc>
        <w:tc>
          <w:tcPr>
            <w:tcW w:type="dxa" w:w="1440"/>
            <w:shd w:fill="FFDCE0" w:val="clear"/>
          </w:tcPr>
          <w:p>
            <w:r>
              <w:rPr>
                <w:b/>
                <w:color w:val="C00000"/>
                <w:sz w:val="17"/>
              </w:rPr>
              <w:t>-6.5%</w:t>
            </w:r>
          </w:p>
        </w:tc>
      </w:tr>
      <w:tr>
        <w:tc>
          <w:tcPr>
            <w:tcW w:type="dxa" w:w="1440"/>
            <w:shd w:fill="FFDCE0" w:val="clear"/>
          </w:tcPr>
          <w:p>
            <w:r>
              <w:rPr>
                <w:sz w:val="17"/>
              </w:rPr>
              <w:t>J+10  ⭐</w:t>
            </w:r>
          </w:p>
        </w:tc>
        <w:tc>
          <w:tcPr>
            <w:tcW w:type="dxa" w:w="1440"/>
            <w:shd w:fill="FFDCE0" w:val="clear"/>
          </w:tcPr>
          <w:p>
            <w:r>
              <w:rPr>
                <w:sz w:val="17"/>
              </w:rPr>
              <w:t>2026-09-10</w:t>
            </w:r>
          </w:p>
        </w:tc>
        <w:tc>
          <w:tcPr>
            <w:tcW w:type="dxa" w:w="1440"/>
            <w:shd w:fill="FFDCE0" w:val="clear"/>
          </w:tcPr>
          <w:p>
            <w:r>
              <w:rPr>
                <w:sz w:val="17"/>
              </w:rPr>
              <w:t>1,141</w:t>
            </w:r>
          </w:p>
        </w:tc>
        <w:tc>
          <w:tcPr>
            <w:tcW w:type="dxa" w:w="1440"/>
            <w:shd w:fill="FFDCE0" w:val="clear"/>
          </w:tcPr>
          <w:p>
            <w:r>
              <w:rPr>
                <w:b/>
                <w:sz w:val="17"/>
              </w:rPr>
              <w:t>1,343</w:t>
            </w:r>
          </w:p>
        </w:tc>
        <w:tc>
          <w:tcPr>
            <w:tcW w:type="dxa" w:w="1440"/>
            <w:shd w:fill="FFDCE0" w:val="clear"/>
          </w:tcPr>
          <w:p>
            <w:r>
              <w:rPr>
                <w:sz w:val="17"/>
              </w:rPr>
              <w:t>1,545</w:t>
            </w:r>
          </w:p>
        </w:tc>
        <w:tc>
          <w:tcPr>
            <w:tcW w:type="dxa" w:w="1440"/>
            <w:shd w:fill="FFDCE0" w:val="clear"/>
          </w:tcPr>
          <w:p>
            <w:r>
              <w:rPr>
                <w:b/>
                <w:color w:val="C00000"/>
                <w:sz w:val="17"/>
              </w:rPr>
              <w:t>-7.4%</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before="240"/>
      </w:pPr>
      <w:r>
        <w:rPr>
          <w:b/>
          <w:color w:val="003366"/>
          <w:sz w:val="24"/>
        </w:rPr>
        <w:t>**PARTIE 0 : INDICATEURS DE VALORISATION BOURSIÈRE**</w:t>
      </w:r>
    </w:p>
    <w:p>
      <w:pPr>
        <w:spacing w:after="120" w:line="276" w:lineRule="auto"/>
      </w:pPr>
      <w:r>
        <w:t>La capitalisation boursière de SEMC s'établit à 36,52 milliards FCFA, un niveau modeste qui la classe parmi les valeurs de taille moyenne sur la BRVM. Cette capitalisation, rapportée aux bénéfices historiques, suggère une décote significative, mais les ratios de valorisation (BPA, PER, P/B, EV/EBITDA) ne sont pas calculables en raison de l'absence de données financières structurées dans la base. Cette absence s'explique par la suspension de la cote et la publication tardive des états financiers, ce qui limite la comparabilité directe avec le marché. Néanmoins, sur la base des bénéfices déclarés, le titre se traite à un niveau qui pourrait être attractif si la reprise se confirme, mais la prudence reste de mise face à l'opacité des données disponibles.</w:t>
      </w:r>
    </w:p>
    <w:p>
      <w:pPr>
        <w:spacing w:after="120" w:line="276" w:lineRule="auto"/>
      </w:pPr>
      <w:r>
        <w:t>---</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SEMC a enregistré une chute vertigineuse de -26,58%, avec une dernière séance en baisse de -3,33% à 1 450 FCFA. Le titre a évolué dans une fourchette large de 1 350 à 1 985 FCFA, illustrant une forte pression vendeuse. La moyenne (1 571 FCFA) est supérieure à la médiane (1 530 FCFA), indiquant une asymétrie positive avec des journées majoritairement sous la moyenne, confirmée par un skewness de 1,509. L'écart-type de 142 FCFA (CV=9,0%) montre une dispersion modérée, mais le kurtosis de 1,648 signale un risque de mouvements extrêmes. La volatilité annualisée de 49,9% est très élevée, reflétant une instabilité marquée et un profil de risque spéculatif pour les investisseurs.</w:t>
      </w:r>
    </w:p>
    <w:p>
      <w:pPr>
        <w:spacing w:after="120" w:line="276" w:lineRule="auto"/>
      </w:pPr>
      <w:r>
        <w:t>---</w:t>
      </w:r>
    </w:p>
    <w:p>
      <w:pPr>
        <w:spacing w:after="120" w:line="276" w:lineRule="auto" w:before="240"/>
      </w:pPr>
      <w:r>
        <w:rPr>
          <w:b/>
          <w:color w:val="003366"/>
          <w:sz w:val="24"/>
        </w:rPr>
        <w:t>**PARTIE 2 : ANALYSE TECHNIQUE DÉTAILLÉE**</w:t>
      </w:r>
    </w:p>
    <w:p>
      <w:pPr>
        <w:spacing w:after="120" w:line="276" w:lineRule="auto"/>
      </w:pPr>
      <w:r>
        <w:t>**Moyennes Mobiles** : La MM20 (1 502,75 FCFA) et la MM50 (1 501,0 FCFA) sont très proches et se situent au-dessus du cours actuel (1 450 FCFA), indiquant une tendance baissière à court terme. La décision d'achat est paradoxale, car le prix est sous les moyennes, mais un croisement haussier pourrait se former si le cours rebondit.</w:t>
      </w:r>
    </w:p>
    <w:p>
      <w:pPr>
        <w:spacing w:after="120" w:line="276" w:lineRule="auto"/>
      </w:pPr>
      <w:r>
        <w:t>**Bandes de Bollinger** : Le prix (1 450 FCFA) se situe dans la partie inférieure des bandes (borne basse à 1 404 FCFA), suggérant une pression vendeuse persistante. La décision neutre reflète une volatilité élevée mais un positionnement proche du support, avec un risque de cassure ou de rebond technique.</w:t>
      </w:r>
    </w:p>
    <w:p>
      <w:pPr>
        <w:spacing w:after="120" w:line="276" w:lineRule="auto"/>
      </w:pPr>
      <w:r>
        <w:t>**MACD** : Le MACD (8,131) est inférieur à son signal (10,56), indiquant un momentum baissier. La décision de vente est cohérente avec la tendance récente, mais l'écart réduit pourrait signaler une stabilisation à venir.</w:t>
      </w:r>
    </w:p>
    <w:p>
      <w:pPr>
        <w:spacing w:after="120" w:line="276" w:lineRule="auto"/>
      </w:pPr>
      <w:r>
        <w:t>**RSI** : À 50,0, le RSI est en zone neutre, sans surachat ni survente. Cela suggère un équilibre temporaire entre acheteurs et vendeurs, mais sans signal directionnel fort.</w:t>
      </w:r>
    </w:p>
    <w:p>
      <w:pPr>
        <w:spacing w:after="120" w:line="276" w:lineRule="auto"/>
      </w:pPr>
      <w:r>
        <w:t>**Stochastique** : Le %K (3,226) est très bas et le %D (35,484) indique une zone de survente extrême. La décision d'achat suggère un potentiel rebond technique, mais la faiblesse du %K appelle à la prudence.</w:t>
      </w:r>
    </w:p>
    <w:p>
      <w:pPr>
        <w:spacing w:after="120" w:line="276" w:lineRule="auto"/>
      </w:pPr>
      <w:r>
        <w:t>**Conclusion technique** : Les indicateurs sont mitigés, avec des signaux baissiers (MACD, prix sous MM) et des signaux de rebond (Stochastique, RSI neutre). La tendance reste fragile, et un rebond technique est possible à court terme, mais la dynamique globale demeure négative.</w:t>
      </w:r>
    </w:p>
    <w:p>
      <w:pPr>
        <w:spacing w:after="120" w:line="276" w:lineRule="auto"/>
      </w:pPr>
      <w:r>
        <w:t>---</w:t>
      </w:r>
    </w:p>
    <w:p>
      <w:pPr>
        <w:spacing w:after="120" w:line="276" w:lineRule="auto" w:before="240"/>
      </w:pPr>
      <w:r>
        <w:rPr>
          <w:b/>
          <w:color w:val="003366"/>
          <w:sz w:val="24"/>
        </w:rPr>
        <w:t>**PARTIE 3 : ANALYSE FONDAMENTALE (SECTION CRITIQUE)**</w:t>
      </w:r>
    </w:p>
    <w:p>
      <w:pPr>
        <w:spacing w:after="120" w:line="276" w:lineRule="auto"/>
      </w:pPr>
      <w:r>
        <w:t>Les états financiers annuels de SEMC pour l'exercice 2023 (rapport daté du 31/12/2024) révèlent un chiffre d'affaires de 27,88 milliards FCFA, en baisse de 6% par rapport à 2022 (29,60 milliards FCFA), et un résultat net de 1,01 milliard FCFA, en chute de 74% (contre 3,86 milliards en 2022). La marge nette s'est effondrée à 3,6% (vs 13,0%), avec une marge d'exploitation de 6,9% (vs 11,0%). Le rapport du 31/12/2023 (1er trimestre 2023) montre un CA de 7,65 milliards FCFA (+16,5%) et un bénéfice net de 855,65 millions FCFA (+37,9%), suggérant une reprise en début d'année. Cependant, les rapports de 2022 (CA consolidé de 125,4 milliards FCFA, résultat net de 12,8 milliards) semblent incohérents avec les données de 2023, indiquant des divergences méthodologiques. La politique de dividende est nulle depuis 2022, avec une trésorerie de 3,35 milliards FCFA. Les perspectives 2024 visent un CA de 32 milliards FCFA (+18%), portées par les bouchons couronnes et l'export, avec le rachat par Sonoco comme catalyseur. La recommandation fondamentale est de conserver avec vigilance, malgré une rentabilité fragile et des risques opérationnels élevés.</w:t>
      </w:r>
    </w:p>
    <w:p>
      <w:pPr>
        <w:spacing w:after="120" w:line="276" w:lineRule="auto"/>
      </w:pPr>
      <w:r>
        <w:t>---</w:t>
      </w:r>
    </w:p>
    <w:p>
      <w:pPr>
        <w:spacing w:after="120" w:line="276" w:lineRule="auto" w:before="240"/>
      </w:pPr>
      <w:r>
        <w:rPr>
          <w:b/>
          <w:color w:val="003366"/>
          <w:sz w:val="24"/>
        </w:rPr>
        <w:t>**PARTIE 4 : CONCLUSION D'INVESTISSEMENT**</w:t>
      </w:r>
    </w:p>
    <w:p>
      <w:pPr>
        <w:spacing w:after="120" w:line="276" w:lineRule="auto"/>
      </w:pPr>
      <w:r>
        <w:t>La valorisation de SEMC est difficile à évaluer faute de ratios calculables, mais la capitalisation de 36,52 milliards FCFA paraît faible au regard des actifs et des perspectives. Le comportement du cours est préoccupant, avec une chute de -26,58% sur 100 jours, une volatilité de 49,9% et une asymétrie positive indiquant des risques de pics. Les signaux techniques sont mitigés, avec des indicateurs baissiers (MACD, prix sous MM) mais des conditions de survente (Stochastique) suggérant un rebond possible. Les fondamentaux montrent une dégradation marquée en 2023, mais une reprise potentielle en 2024, soutenue par le rachat de Sonoco et des objectifs de croissance. Les prédictions IA (1 472 FCFA à J+1, puis baisse à 1 408 FCFA à J+10) confirment une tendance baissière à court terme, contredisant les signaux de rebond technique. En synthèse, la convergence entre la faiblesse des fondamentaux, la tendance technique négative et les prédictions IA suggère une **VENTE** avec un niveau de confiance **Moyen** et un risque global **Élevé**. L'horizon d'investissement optimal est le **court terme (&lt;3 mois)** pour éviter une nouvelle dépréciation, en attendant une clarification de la stratégie post-Sonoco et une amélioration des résultats.</w:t>
      </w:r>
    </w:p>
    <w:p/>
    <w:p/>
    <w:p>
      <w:r>
        <w:t>════════════════════════════════════════════════════════════════════════════════</w:t>
      </w:r>
    </w:p>
    <w:p>
      <w:r>
        <w:br w:type="page"/>
      </w:r>
    </w:p>
    <w:p>
      <w:pPr>
        <w:pStyle w:val="Heading2"/>
        <w:spacing w:before="360"/>
      </w:pPr>
      <w:r>
        <w:rPr>
          <w:color w:val="0066CC"/>
        </w:rPr>
        <w:t>32. SGBC - SGBC - SOCIETE GENERALE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SGBC</w:t>
            </w:r>
          </w:p>
          <w:p>
            <w:r>
              <w:rPr>
                <w:b/>
                <w:color w:val="323250"/>
                <w:sz w:val="16"/>
              </w:rPr>
              <w:t xml:space="preserve">Société : </w:t>
            </w:r>
            <w:r>
              <w:rPr>
                <w:color w:val="000000"/>
                <w:sz w:val="16"/>
              </w:rPr>
              <w:t>SGBC - SOCIETE GENERALE COTE D'IVOIRE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1197.78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4,981 titres</w:t>
            </w:r>
          </w:p>
        </w:tc>
        <w:tc>
          <w:tcPr>
            <w:tcW w:type="dxa" w:w="2268"/>
            <w:shd w:fill="FFF2CC" w:val="clear"/>
          </w:tcPr>
          <w:p>
            <w:r>
              <w:rPr>
                <w:b/>
                <w:color w:val="503200"/>
                <w:sz w:val="16"/>
              </w:rPr>
              <w:t xml:space="preserve">Cours actuel : </w:t>
            </w:r>
            <w:r>
              <w:rPr>
                <w:color w:val="000000"/>
                <w:sz w:val="17"/>
              </w:rPr>
              <w:t>38,500 FCFA</w:t>
            </w:r>
          </w:p>
          <w:p>
            <w:r>
              <w:rPr>
                <w:b/>
                <w:color w:val="503200"/>
                <w:sz w:val="16"/>
              </w:rPr>
              <w:t xml:space="preserve">Var. 100 jours : </w:t>
            </w:r>
            <w:r>
              <w:rPr>
                <w:b/>
                <w:color w:val="007800"/>
                <w:sz w:val="17"/>
              </w:rPr>
              <w:t>+11.59%</w:t>
            </w:r>
          </w:p>
          <w:p>
            <w:r>
              <w:rPr>
                <w:b/>
                <w:color w:val="503200"/>
                <w:sz w:val="16"/>
              </w:rPr>
              <w:t xml:space="preserve">Plus haut 100j : </w:t>
            </w:r>
            <w:r>
              <w:rPr>
                <w:color w:val="000000"/>
                <w:sz w:val="17"/>
              </w:rPr>
              <w:t>39,300 FCFA</w:t>
            </w:r>
          </w:p>
          <w:p>
            <w:r>
              <w:rPr>
                <w:b/>
                <w:color w:val="503200"/>
                <w:sz w:val="16"/>
              </w:rPr>
              <w:t xml:space="preserve">Plus bas 100j : </w:t>
            </w:r>
            <w:r>
              <w:rPr>
                <w:color w:val="000000"/>
                <w:sz w:val="17"/>
              </w:rPr>
              <w:t>32,800 FCFA</w:t>
            </w:r>
          </w:p>
          <w:p>
            <w:r>
              <w:rPr>
                <w:b/>
                <w:color w:val="503200"/>
                <w:sz w:val="16"/>
              </w:rPr>
              <w:t xml:space="preserve">Volatilité ann. : </w:t>
            </w:r>
            <w:r>
              <w:rPr>
                <w:color w:val="000000"/>
                <w:sz w:val="17"/>
              </w:rPr>
              <w:t>24.8%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5.69% (Moyenne) — μ=36,989 FCFA, σ=2,106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β=0.6626 (Défensif) — Cov=0.000023, Var(idx)=0.000035, ρ=0.252,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4,981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σ_j=1.56%/j (Stable) — Vol. annualisée≈24.8%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56/100  (Bon)</w:t>
      </w:r>
    </w:p>
    <w:p/>
    <w:p>
      <w:pPr>
        <w:jc w:val="center"/>
      </w:pPr>
      <w:r>
        <w:drawing>
          <wp:inline xmlns:a="http://schemas.openxmlformats.org/drawingml/2006/main" xmlns:pic="http://schemas.openxmlformats.org/drawingml/2006/picture">
            <wp:extent cx="5669280" cy="2603190"/>
            <wp:docPr id="34" name="Picture 34"/>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2026-08-28</w:t>
            </w:r>
          </w:p>
        </w:tc>
        <w:tc>
          <w:tcPr>
            <w:tcW w:type="dxa" w:w="1440"/>
            <w:shd w:fill="FAFAFA" w:val="clear"/>
          </w:tcPr>
          <w:p>
            <w:r>
              <w:rPr>
                <w:sz w:val="17"/>
              </w:rPr>
              <w:t>37,404</w:t>
            </w:r>
          </w:p>
        </w:tc>
        <w:tc>
          <w:tcPr>
            <w:tcW w:type="dxa" w:w="1440"/>
            <w:shd w:fill="FAFAFA" w:val="clear"/>
          </w:tcPr>
          <w:p>
            <w:r>
              <w:rPr>
                <w:b/>
                <w:sz w:val="17"/>
              </w:rPr>
              <w:t>38,251</w:t>
            </w:r>
          </w:p>
        </w:tc>
        <w:tc>
          <w:tcPr>
            <w:tcW w:type="dxa" w:w="1440"/>
            <w:shd w:fill="FAFAFA" w:val="clear"/>
          </w:tcPr>
          <w:p>
            <w:r>
              <w:rPr>
                <w:sz w:val="17"/>
              </w:rPr>
              <w:t>39,098</w:t>
            </w:r>
          </w:p>
        </w:tc>
        <w:tc>
          <w:tcPr>
            <w:tcW w:type="dxa" w:w="1440"/>
            <w:shd w:fill="FAFAFA" w:val="clear"/>
          </w:tcPr>
          <w:p>
            <w:r>
              <w:rPr>
                <w:b/>
                <w:color w:val="C00000"/>
                <w:sz w:val="17"/>
              </w:rPr>
              <w:t>-0.6%</w:t>
            </w:r>
          </w:p>
        </w:tc>
      </w:tr>
      <w:tr>
        <w:tc>
          <w:tcPr>
            <w:tcW w:type="dxa" w:w="1440"/>
            <w:shd w:fill="FAFAFA" w:val="clear"/>
          </w:tcPr>
          <w:p>
            <w:r>
              <w:rPr>
                <w:sz w:val="17"/>
              </w:rPr>
              <w:t>J+2  ⭐⭐⭐</w:t>
            </w:r>
          </w:p>
        </w:tc>
        <w:tc>
          <w:tcPr>
            <w:tcW w:type="dxa" w:w="1440"/>
            <w:shd w:fill="FAFAFA" w:val="clear"/>
          </w:tcPr>
          <w:p>
            <w:r>
              <w:rPr>
                <w:sz w:val="17"/>
              </w:rPr>
              <w:t>2026-08-31</w:t>
            </w:r>
          </w:p>
        </w:tc>
        <w:tc>
          <w:tcPr>
            <w:tcW w:type="dxa" w:w="1440"/>
            <w:shd w:fill="FAFAFA" w:val="clear"/>
          </w:tcPr>
          <w:p>
            <w:r>
              <w:rPr>
                <w:sz w:val="17"/>
              </w:rPr>
              <w:t>36,972</w:t>
            </w:r>
          </w:p>
        </w:tc>
        <w:tc>
          <w:tcPr>
            <w:tcW w:type="dxa" w:w="1440"/>
            <w:shd w:fill="FAFAFA" w:val="clear"/>
          </w:tcPr>
          <w:p>
            <w:r>
              <w:rPr>
                <w:b/>
                <w:sz w:val="17"/>
              </w:rPr>
              <w:t>38,167</w:t>
            </w:r>
          </w:p>
        </w:tc>
        <w:tc>
          <w:tcPr>
            <w:tcW w:type="dxa" w:w="1440"/>
            <w:shd w:fill="FAFAFA" w:val="clear"/>
          </w:tcPr>
          <w:p>
            <w:r>
              <w:rPr>
                <w:sz w:val="17"/>
              </w:rPr>
              <w:t>39,362</w:t>
            </w:r>
          </w:p>
        </w:tc>
        <w:tc>
          <w:tcPr>
            <w:tcW w:type="dxa" w:w="1440"/>
            <w:shd w:fill="FAFAFA" w:val="clear"/>
          </w:tcPr>
          <w:p>
            <w:r>
              <w:rPr>
                <w:b/>
                <w:color w:val="C00000"/>
                <w:sz w:val="17"/>
              </w:rPr>
              <w:t>-0.9%</w:t>
            </w:r>
          </w:p>
        </w:tc>
      </w:tr>
      <w:tr>
        <w:tc>
          <w:tcPr>
            <w:tcW w:type="dxa" w:w="1440"/>
            <w:shd w:fill="FAFAFA" w:val="clear"/>
          </w:tcPr>
          <w:p>
            <w:r>
              <w:rPr>
                <w:sz w:val="17"/>
              </w:rPr>
              <w:t>J+3  ⭐⭐⭐</w:t>
            </w:r>
          </w:p>
        </w:tc>
        <w:tc>
          <w:tcPr>
            <w:tcW w:type="dxa" w:w="1440"/>
            <w:shd w:fill="FAFAFA" w:val="clear"/>
          </w:tcPr>
          <w:p>
            <w:r>
              <w:rPr>
                <w:sz w:val="17"/>
              </w:rPr>
              <w:t>2026-09-01</w:t>
            </w:r>
          </w:p>
        </w:tc>
        <w:tc>
          <w:tcPr>
            <w:tcW w:type="dxa" w:w="1440"/>
            <w:shd w:fill="FAFAFA" w:val="clear"/>
          </w:tcPr>
          <w:p>
            <w:r>
              <w:rPr>
                <w:sz w:val="17"/>
              </w:rPr>
              <w:t>36,621</w:t>
            </w:r>
          </w:p>
        </w:tc>
        <w:tc>
          <w:tcPr>
            <w:tcW w:type="dxa" w:w="1440"/>
            <w:shd w:fill="FAFAFA" w:val="clear"/>
          </w:tcPr>
          <w:p>
            <w:r>
              <w:rPr>
                <w:b/>
                <w:sz w:val="17"/>
              </w:rPr>
              <w:t>38,081</w:t>
            </w:r>
          </w:p>
        </w:tc>
        <w:tc>
          <w:tcPr>
            <w:tcW w:type="dxa" w:w="1440"/>
            <w:shd w:fill="FAFAFA" w:val="clear"/>
          </w:tcPr>
          <w:p>
            <w:r>
              <w:rPr>
                <w:sz w:val="17"/>
              </w:rPr>
              <w:t>39,542</w:t>
            </w:r>
          </w:p>
        </w:tc>
        <w:tc>
          <w:tcPr>
            <w:tcW w:type="dxa" w:w="1440"/>
            <w:shd w:fill="FAFAFA" w:val="clear"/>
          </w:tcPr>
          <w:p>
            <w:r>
              <w:rPr>
                <w:b/>
                <w:color w:val="C00000"/>
                <w:sz w:val="17"/>
              </w:rPr>
              <w:t>-1.1%</w:t>
            </w:r>
          </w:p>
        </w:tc>
      </w:tr>
      <w:tr>
        <w:tc>
          <w:tcPr>
            <w:tcW w:type="dxa" w:w="1440"/>
            <w:shd w:fill="FAFAFA" w:val="clear"/>
          </w:tcPr>
          <w:p>
            <w:r>
              <w:rPr>
                <w:sz w:val="17"/>
              </w:rPr>
              <w:t>J+4  Moyenne</w:t>
            </w:r>
          </w:p>
        </w:tc>
        <w:tc>
          <w:tcPr>
            <w:tcW w:type="dxa" w:w="1440"/>
            <w:shd w:fill="FAFAFA" w:val="clear"/>
          </w:tcPr>
          <w:p>
            <w:r>
              <w:rPr>
                <w:sz w:val="17"/>
              </w:rPr>
              <w:t>2026-09-02</w:t>
            </w:r>
          </w:p>
        </w:tc>
        <w:tc>
          <w:tcPr>
            <w:tcW w:type="dxa" w:w="1440"/>
            <w:shd w:fill="FAFAFA" w:val="clear"/>
          </w:tcPr>
          <w:p>
            <w:r>
              <w:rPr>
                <w:sz w:val="17"/>
              </w:rPr>
              <w:t>36,315</w:t>
            </w:r>
          </w:p>
        </w:tc>
        <w:tc>
          <w:tcPr>
            <w:tcW w:type="dxa" w:w="1440"/>
            <w:shd w:fill="FAFAFA" w:val="clear"/>
          </w:tcPr>
          <w:p>
            <w:r>
              <w:rPr>
                <w:b/>
                <w:sz w:val="17"/>
              </w:rPr>
              <w:t>37,998</w:t>
            </w:r>
          </w:p>
        </w:tc>
        <w:tc>
          <w:tcPr>
            <w:tcW w:type="dxa" w:w="1440"/>
            <w:shd w:fill="FAFAFA" w:val="clear"/>
          </w:tcPr>
          <w:p>
            <w:r>
              <w:rPr>
                <w:sz w:val="17"/>
              </w:rPr>
              <w:t>39,680</w:t>
            </w:r>
          </w:p>
        </w:tc>
        <w:tc>
          <w:tcPr>
            <w:tcW w:type="dxa" w:w="1440"/>
            <w:shd w:fill="FAFAFA" w:val="clear"/>
          </w:tcPr>
          <w:p>
            <w:r>
              <w:rPr>
                <w:b/>
                <w:color w:val="C00000"/>
                <w:sz w:val="17"/>
              </w:rPr>
              <w:t>-1.3%</w:t>
            </w:r>
          </w:p>
        </w:tc>
      </w:tr>
      <w:tr>
        <w:tc>
          <w:tcPr>
            <w:tcW w:type="dxa" w:w="1440"/>
            <w:shd w:fill="FAFAFA" w:val="clear"/>
          </w:tcPr>
          <w:p>
            <w:r>
              <w:rPr>
                <w:sz w:val="17"/>
              </w:rPr>
              <w:t>J+5  Moyenne</w:t>
            </w:r>
          </w:p>
        </w:tc>
        <w:tc>
          <w:tcPr>
            <w:tcW w:type="dxa" w:w="1440"/>
            <w:shd w:fill="FAFAFA" w:val="clear"/>
          </w:tcPr>
          <w:p>
            <w:r>
              <w:rPr>
                <w:sz w:val="17"/>
              </w:rPr>
              <w:t>2026-09-03</w:t>
            </w:r>
          </w:p>
        </w:tc>
        <w:tc>
          <w:tcPr>
            <w:tcW w:type="dxa" w:w="1440"/>
            <w:shd w:fill="FAFAFA" w:val="clear"/>
          </w:tcPr>
          <w:p>
            <w:r>
              <w:rPr>
                <w:sz w:val="17"/>
              </w:rPr>
              <w:t>36,039</w:t>
            </w:r>
          </w:p>
        </w:tc>
        <w:tc>
          <w:tcPr>
            <w:tcW w:type="dxa" w:w="1440"/>
            <w:shd w:fill="FAFAFA" w:val="clear"/>
          </w:tcPr>
          <w:p>
            <w:r>
              <w:rPr>
                <w:b/>
                <w:sz w:val="17"/>
              </w:rPr>
              <w:t>37,916</w:t>
            </w:r>
          </w:p>
        </w:tc>
        <w:tc>
          <w:tcPr>
            <w:tcW w:type="dxa" w:w="1440"/>
            <w:shd w:fill="FAFAFA" w:val="clear"/>
          </w:tcPr>
          <w:p>
            <w:r>
              <w:rPr>
                <w:sz w:val="17"/>
              </w:rPr>
              <w:t>39,793</w:t>
            </w:r>
          </w:p>
        </w:tc>
        <w:tc>
          <w:tcPr>
            <w:tcW w:type="dxa" w:w="1440"/>
            <w:shd w:fill="FAFAFA" w:val="clear"/>
          </w:tcPr>
          <w:p>
            <w:r>
              <w:rPr>
                <w:b/>
                <w:color w:val="C00000"/>
                <w:sz w:val="17"/>
              </w:rPr>
              <w:t>-1.5%</w:t>
            </w:r>
          </w:p>
        </w:tc>
      </w:tr>
      <w:tr>
        <w:tc>
          <w:tcPr>
            <w:tcW w:type="dxa" w:w="1440"/>
            <w:shd w:fill="FAFAFA" w:val="clear"/>
          </w:tcPr>
          <w:p>
            <w:r>
              <w:rPr>
                <w:sz w:val="17"/>
              </w:rPr>
              <w:t>J+6  Moyenne</w:t>
            </w:r>
          </w:p>
        </w:tc>
        <w:tc>
          <w:tcPr>
            <w:tcW w:type="dxa" w:w="1440"/>
            <w:shd w:fill="FAFAFA" w:val="clear"/>
          </w:tcPr>
          <w:p>
            <w:r>
              <w:rPr>
                <w:sz w:val="17"/>
              </w:rPr>
              <w:t>2026-09-04</w:t>
            </w:r>
          </w:p>
        </w:tc>
        <w:tc>
          <w:tcPr>
            <w:tcW w:type="dxa" w:w="1440"/>
            <w:shd w:fill="FAFAFA" w:val="clear"/>
          </w:tcPr>
          <w:p>
            <w:r>
              <w:rPr>
                <w:sz w:val="17"/>
              </w:rPr>
              <w:t>35,784</w:t>
            </w:r>
          </w:p>
        </w:tc>
        <w:tc>
          <w:tcPr>
            <w:tcW w:type="dxa" w:w="1440"/>
            <w:shd w:fill="FAFAFA" w:val="clear"/>
          </w:tcPr>
          <w:p>
            <w:r>
              <w:rPr>
                <w:b/>
                <w:sz w:val="17"/>
              </w:rPr>
              <w:t>37,836</w:t>
            </w:r>
          </w:p>
        </w:tc>
        <w:tc>
          <w:tcPr>
            <w:tcW w:type="dxa" w:w="1440"/>
            <w:shd w:fill="FAFAFA" w:val="clear"/>
          </w:tcPr>
          <w:p>
            <w:r>
              <w:rPr>
                <w:sz w:val="17"/>
              </w:rPr>
              <w:t>39,888</w:t>
            </w:r>
          </w:p>
        </w:tc>
        <w:tc>
          <w:tcPr>
            <w:tcW w:type="dxa" w:w="1440"/>
            <w:shd w:fill="FAFAFA" w:val="clear"/>
          </w:tcPr>
          <w:p>
            <w:r>
              <w:rPr>
                <w:b/>
                <w:color w:val="C00000"/>
                <w:sz w:val="17"/>
              </w:rPr>
              <w:t>-1.7%</w:t>
            </w:r>
          </w:p>
        </w:tc>
      </w:tr>
      <w:tr>
        <w:tc>
          <w:tcPr>
            <w:tcW w:type="dxa" w:w="1440"/>
            <w:shd w:fill="FAFAFA" w:val="clear"/>
          </w:tcPr>
          <w:p>
            <w:r>
              <w:rPr>
                <w:sz w:val="17"/>
              </w:rPr>
              <w:t>J+7  Moyenne</w:t>
            </w:r>
          </w:p>
        </w:tc>
        <w:tc>
          <w:tcPr>
            <w:tcW w:type="dxa" w:w="1440"/>
            <w:shd w:fill="FAFAFA" w:val="clear"/>
          </w:tcPr>
          <w:p>
            <w:r>
              <w:rPr>
                <w:sz w:val="17"/>
              </w:rPr>
              <w:t>2026-09-07</w:t>
            </w:r>
          </w:p>
        </w:tc>
        <w:tc>
          <w:tcPr>
            <w:tcW w:type="dxa" w:w="1440"/>
            <w:shd w:fill="FAFAFA" w:val="clear"/>
          </w:tcPr>
          <w:p>
            <w:r>
              <w:rPr>
                <w:sz w:val="17"/>
              </w:rPr>
              <w:t>35,546</w:t>
            </w:r>
          </w:p>
        </w:tc>
        <w:tc>
          <w:tcPr>
            <w:tcW w:type="dxa" w:w="1440"/>
            <w:shd w:fill="FAFAFA" w:val="clear"/>
          </w:tcPr>
          <w:p>
            <w:r>
              <w:rPr>
                <w:b/>
                <w:sz w:val="17"/>
              </w:rPr>
              <w:t>37,757</w:t>
            </w:r>
          </w:p>
        </w:tc>
        <w:tc>
          <w:tcPr>
            <w:tcW w:type="dxa" w:w="1440"/>
            <w:shd w:fill="FAFAFA" w:val="clear"/>
          </w:tcPr>
          <w:p>
            <w:r>
              <w:rPr>
                <w:sz w:val="17"/>
              </w:rPr>
              <w:t>39,969</w:t>
            </w:r>
          </w:p>
        </w:tc>
        <w:tc>
          <w:tcPr>
            <w:tcW w:type="dxa" w:w="1440"/>
            <w:shd w:fill="FAFAFA" w:val="clear"/>
          </w:tcPr>
          <w:p>
            <w:r>
              <w:rPr>
                <w:b/>
                <w:color w:val="C00000"/>
                <w:sz w:val="17"/>
              </w:rPr>
              <w:t>-1.9%</w:t>
            </w:r>
          </w:p>
        </w:tc>
      </w:tr>
      <w:tr>
        <w:tc>
          <w:tcPr>
            <w:tcW w:type="dxa" w:w="1440"/>
            <w:shd w:fill="FFDCE0" w:val="clear"/>
          </w:tcPr>
          <w:p>
            <w:r>
              <w:rPr>
                <w:sz w:val="17"/>
              </w:rPr>
              <w:t>J+8  Moyenne</w:t>
            </w:r>
          </w:p>
        </w:tc>
        <w:tc>
          <w:tcPr>
            <w:tcW w:type="dxa" w:w="1440"/>
            <w:shd w:fill="FFDCE0" w:val="clear"/>
          </w:tcPr>
          <w:p>
            <w:r>
              <w:rPr>
                <w:sz w:val="17"/>
              </w:rPr>
              <w:t>2026-09-08</w:t>
            </w:r>
          </w:p>
        </w:tc>
        <w:tc>
          <w:tcPr>
            <w:tcW w:type="dxa" w:w="1440"/>
            <w:shd w:fill="FFDCE0" w:val="clear"/>
          </w:tcPr>
          <w:p>
            <w:r>
              <w:rPr>
                <w:sz w:val="17"/>
              </w:rPr>
              <w:t>35,320</w:t>
            </w:r>
          </w:p>
        </w:tc>
        <w:tc>
          <w:tcPr>
            <w:tcW w:type="dxa" w:w="1440"/>
            <w:shd w:fill="FFDCE0" w:val="clear"/>
          </w:tcPr>
          <w:p>
            <w:r>
              <w:rPr>
                <w:b/>
                <w:sz w:val="17"/>
              </w:rPr>
              <w:t>37,680</w:t>
            </w:r>
          </w:p>
        </w:tc>
        <w:tc>
          <w:tcPr>
            <w:tcW w:type="dxa" w:w="1440"/>
            <w:shd w:fill="FFDCE0" w:val="clear"/>
          </w:tcPr>
          <w:p>
            <w:r>
              <w:rPr>
                <w:sz w:val="17"/>
              </w:rPr>
              <w:t>40,039</w:t>
            </w:r>
          </w:p>
        </w:tc>
        <w:tc>
          <w:tcPr>
            <w:tcW w:type="dxa" w:w="1440"/>
            <w:shd w:fill="FFDCE0" w:val="clear"/>
          </w:tcPr>
          <w:p>
            <w:r>
              <w:rPr>
                <w:b/>
                <w:color w:val="C00000"/>
                <w:sz w:val="17"/>
              </w:rPr>
              <w:t>-2.1%</w:t>
            </w:r>
          </w:p>
        </w:tc>
      </w:tr>
      <w:tr>
        <w:tc>
          <w:tcPr>
            <w:tcW w:type="dxa" w:w="1440"/>
            <w:shd w:fill="FFDCE0" w:val="clear"/>
          </w:tcPr>
          <w:p>
            <w:r>
              <w:rPr>
                <w:sz w:val="17"/>
              </w:rPr>
              <w:t>J+9  Moyenne</w:t>
            </w:r>
          </w:p>
        </w:tc>
        <w:tc>
          <w:tcPr>
            <w:tcW w:type="dxa" w:w="1440"/>
            <w:shd w:fill="FFDCE0" w:val="clear"/>
          </w:tcPr>
          <w:p>
            <w:r>
              <w:rPr>
                <w:sz w:val="17"/>
              </w:rPr>
              <w:t>2026-09-09</w:t>
            </w:r>
          </w:p>
        </w:tc>
        <w:tc>
          <w:tcPr>
            <w:tcW w:type="dxa" w:w="1440"/>
            <w:shd w:fill="FFDCE0" w:val="clear"/>
          </w:tcPr>
          <w:p>
            <w:r>
              <w:rPr>
                <w:sz w:val="17"/>
              </w:rPr>
              <w:t>35,105</w:t>
            </w:r>
          </w:p>
        </w:tc>
        <w:tc>
          <w:tcPr>
            <w:tcW w:type="dxa" w:w="1440"/>
            <w:shd w:fill="FFDCE0" w:val="clear"/>
          </w:tcPr>
          <w:p>
            <w:r>
              <w:rPr>
                <w:b/>
                <w:sz w:val="17"/>
              </w:rPr>
              <w:t>37,603</w:t>
            </w:r>
          </w:p>
        </w:tc>
        <w:tc>
          <w:tcPr>
            <w:tcW w:type="dxa" w:w="1440"/>
            <w:shd w:fill="FFDCE0" w:val="clear"/>
          </w:tcPr>
          <w:p>
            <w:r>
              <w:rPr>
                <w:sz w:val="17"/>
              </w:rPr>
              <w:t>40,100</w:t>
            </w:r>
          </w:p>
        </w:tc>
        <w:tc>
          <w:tcPr>
            <w:tcW w:type="dxa" w:w="1440"/>
            <w:shd w:fill="FFDCE0" w:val="clear"/>
          </w:tcPr>
          <w:p>
            <w:r>
              <w:rPr>
                <w:b/>
                <w:color w:val="C00000"/>
                <w:sz w:val="17"/>
              </w:rPr>
              <w:t>-2.3%</w:t>
            </w:r>
          </w:p>
        </w:tc>
      </w:tr>
      <w:tr>
        <w:tc>
          <w:tcPr>
            <w:tcW w:type="dxa" w:w="1440"/>
            <w:shd w:fill="FFDCE0" w:val="clear"/>
          </w:tcPr>
          <w:p>
            <w:r>
              <w:rPr>
                <w:sz w:val="17"/>
              </w:rPr>
              <w:t>J+10  Moyenne</w:t>
            </w:r>
          </w:p>
        </w:tc>
        <w:tc>
          <w:tcPr>
            <w:tcW w:type="dxa" w:w="1440"/>
            <w:shd w:fill="FFDCE0" w:val="clear"/>
          </w:tcPr>
          <w:p>
            <w:r>
              <w:rPr>
                <w:sz w:val="17"/>
              </w:rPr>
              <w:t>2026-09-10</w:t>
            </w:r>
          </w:p>
        </w:tc>
        <w:tc>
          <w:tcPr>
            <w:tcW w:type="dxa" w:w="1440"/>
            <w:shd w:fill="FFDCE0" w:val="clear"/>
          </w:tcPr>
          <w:p>
            <w:r>
              <w:rPr>
                <w:sz w:val="17"/>
              </w:rPr>
              <w:t>34,900</w:t>
            </w:r>
          </w:p>
        </w:tc>
        <w:tc>
          <w:tcPr>
            <w:tcW w:type="dxa" w:w="1440"/>
            <w:shd w:fill="FFDCE0" w:val="clear"/>
          </w:tcPr>
          <w:p>
            <w:r>
              <w:rPr>
                <w:b/>
                <w:sz w:val="17"/>
              </w:rPr>
              <w:t>37,527</w:t>
            </w:r>
          </w:p>
        </w:tc>
        <w:tc>
          <w:tcPr>
            <w:tcW w:type="dxa" w:w="1440"/>
            <w:shd w:fill="FFDCE0" w:val="clear"/>
          </w:tcPr>
          <w:p>
            <w:r>
              <w:rPr>
                <w:sz w:val="17"/>
              </w:rPr>
              <w:t>40,155</w:t>
            </w:r>
          </w:p>
        </w:tc>
        <w:tc>
          <w:tcPr>
            <w:tcW w:type="dxa" w:w="1440"/>
            <w:shd w:fill="FFDCE0" w:val="clear"/>
          </w:tcPr>
          <w:p>
            <w:r>
              <w:rPr>
                <w:b/>
                <w:color w:val="C00000"/>
                <w:sz w:val="17"/>
              </w:rPr>
              <w:t>-2.5%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371.730 Mds FCFA</w:t>
            </w:r>
          </w:p>
        </w:tc>
        <w:tc>
          <w:tcPr>
            <w:tcW w:type="dxa" w:w="5669"/>
            <w:shd w:fill="FFFFFF" w:val="clear"/>
          </w:tcPr>
          <w:p>
            <w:r>
              <w:rPr>
                <w:color w:val="282828"/>
                <w:sz w:val="15"/>
              </w:rPr>
              <w:t>Représente 9.9%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599.811 Mds FCFA</w:t>
            </w:r>
          </w:p>
        </w:tc>
        <w:tc>
          <w:tcPr>
            <w:tcW w:type="dxa" w:w="5669"/>
            <w:shd w:fill="FFFFFF" w:val="clear"/>
          </w:tcPr>
          <w:p>
            <w:r>
              <w:rPr>
                <w:color w:val="282828"/>
                <w:sz w:val="15"/>
              </w:rPr>
              <w:t>Titres d'État détenus (15.9%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37.061 Mds FCFA</w:t>
            </w:r>
          </w:p>
        </w:tc>
        <w:tc>
          <w:tcPr>
            <w:tcW w:type="dxa" w:w="5669"/>
            <w:shd w:fill="FFFFFF" w:val="clear"/>
          </w:tcPr>
          <w:p>
            <w:r>
              <w:rPr>
                <w:color w:val="282828"/>
                <w:sz w:val="15"/>
              </w:rPr>
              <w:t>Prêts aux autres banques (1.0%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2546.290 Mds FCFA</w:t>
            </w:r>
          </w:p>
        </w:tc>
        <w:tc>
          <w:tcPr>
            <w:tcW w:type="dxa" w:w="5669"/>
            <w:shd w:fill="FFFFFF" w:val="clear"/>
          </w:tcPr>
          <w:p>
            <w:r>
              <w:rPr>
                <w:color w:val="282828"/>
                <w:sz w:val="15"/>
              </w:rPr>
              <w:t>Portefeuille crédits (67.6%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10.243 Mds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94.760 Mds FCFA</w:t>
            </w:r>
          </w:p>
        </w:tc>
        <w:tc>
          <w:tcPr>
            <w:tcW w:type="dxa" w:w="5669"/>
            <w:shd w:fill="FFFFFF" w:val="clear"/>
          </w:tcPr>
          <w:p>
            <w:r>
              <w:rPr>
                <w:color w:val="282828"/>
                <w:sz w:val="15"/>
              </w:rPr>
              <w:t>Outil industriel (2.5%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108.752 Mds FCFA</w:t>
            </w:r>
          </w:p>
        </w:tc>
        <w:tc>
          <w:tcPr>
            <w:tcW w:type="dxa" w:w="5669"/>
            <w:shd w:fill="FFFFFF" w:val="clear"/>
          </w:tcPr>
          <w:p>
            <w:r>
              <w:rPr>
                <w:color w:val="282828"/>
                <w:sz w:val="15"/>
              </w:rPr>
              <w:t>Actif immobilisé = 2.9%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371.730 Mds FCFA</w:t>
            </w:r>
          </w:p>
        </w:tc>
        <w:tc>
          <w:tcPr>
            <w:tcW w:type="dxa" w:w="5669"/>
            <w:shd w:fill="FFFFFF" w:val="clear"/>
          </w:tcPr>
          <w:p>
            <w:r>
              <w:rPr>
                <w:color w:val="282828"/>
                <w:sz w:val="15"/>
              </w:rPr>
              <w:t>Liquidités disponibles (9.9%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3769.174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132.105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495.113 Mds FCFA</w:t>
            </w:r>
          </w:p>
        </w:tc>
        <w:tc>
          <w:tcPr>
            <w:tcW w:type="dxa" w:w="5669"/>
            <w:shd w:fill="FFFFFF" w:val="clear"/>
          </w:tcPr>
          <w:p>
            <w:r>
              <w:rPr>
                <w:color w:val="282828"/>
                <w:sz w:val="15"/>
              </w:rPr>
              <w:t>Fonds propres = 13.1% du bilan. ⚠️ Fonds propres limités — levier financier élevé.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229.970 Mds FCFA</w:t>
            </w:r>
          </w:p>
        </w:tc>
        <w:tc>
          <w:tcPr>
            <w:tcW w:type="dxa" w:w="5669"/>
            <w:shd w:fill="FFFFFF" w:val="clear"/>
          </w:tcPr>
          <w:p>
            <w:r>
              <w:rPr>
                <w:color w:val="282828"/>
                <w:sz w:val="15"/>
              </w:rPr>
              <w:t>Refinancement interbancaire (6.1%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2907.675 Mds FCFA</w:t>
            </w:r>
          </w:p>
        </w:tc>
        <w:tc>
          <w:tcPr>
            <w:tcW w:type="dxa" w:w="5669"/>
            <w:shd w:fill="FFFFFF" w:val="clear"/>
          </w:tcPr>
          <w:p>
            <w:r>
              <w:rPr>
                <w:color w:val="282828"/>
                <w:sz w:val="15"/>
              </w:rPr>
              <w:t>Dépôts clients = 77.1%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FFC7CE" w:val="clear"/>
          </w:tcPr>
          <w:p>
            <w:r>
              <w:rPr>
                <w:b/>
                <w:color w:val="006400"/>
                <w:sz w:val="17"/>
              </w:rPr>
              <w:t>3137.645 Mds FCFA</w:t>
            </w:r>
          </w:p>
        </w:tc>
        <w:tc>
          <w:tcPr>
            <w:tcW w:type="dxa" w:w="5669"/>
            <w:shd w:fill="FFFFFF" w:val="clear"/>
          </w:tcPr>
          <w:p>
            <w:r>
              <w:rPr>
                <w:color w:val="282828"/>
                <w:sz w:val="15"/>
              </w:rPr>
              <w:t>Dette financière totale = 634% des fonds propres (gearing). ❌ Sur-endettement — risque de défaillance.</w:t>
            </w:r>
          </w:p>
        </w:tc>
      </w:tr>
      <w:tr>
        <w:tc>
          <w:tcPr>
            <w:tcW w:type="dxa" w:w="2268"/>
            <w:shd w:fill="EEF2F7" w:val="clear"/>
          </w:tcPr>
          <w:p>
            <w:r>
              <w:rPr>
                <w:b/>
                <w:color w:val="1E1E3C"/>
                <w:sz w:val="16"/>
              </w:rPr>
              <w:t>Dettes totales</w:t>
            </w:r>
          </w:p>
        </w:tc>
        <w:tc>
          <w:tcPr>
            <w:tcW w:type="dxa" w:w="1984"/>
            <w:shd w:fill="FFC7CE" w:val="clear"/>
          </w:tcPr>
          <w:p>
            <w:r>
              <w:rPr>
                <w:b/>
                <w:color w:val="006400"/>
                <w:sz w:val="17"/>
              </w:rPr>
              <w:t>3274.061 Mds FCFA</w:t>
            </w:r>
          </w:p>
        </w:tc>
        <w:tc>
          <w:tcPr>
            <w:tcW w:type="dxa" w:w="5669"/>
            <w:shd w:fill="FFFFFF" w:val="clear"/>
          </w:tcPr>
          <w:p>
            <w:r>
              <w:rPr>
                <w:color w:val="282828"/>
                <w:sz w:val="15"/>
              </w:rPr>
              <w:t>Dettes totales = 86.9%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276.048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FFEB9C" w:val="clear"/>
          </w:tcPr>
          <w:p>
            <w:r>
              <w:rPr>
                <w:b/>
                <w:color w:val="006400"/>
                <w:sz w:val="17"/>
              </w:rPr>
              <w:t>276.048 Mds FCFA</w:t>
            </w:r>
          </w:p>
        </w:tc>
        <w:tc>
          <w:tcPr>
            <w:tcW w:type="dxa" w:w="5669"/>
            <w:shd w:fill="FFFFFF" w:val="clear"/>
          </w:tcPr>
          <w:p>
            <w:r>
              <w:rPr>
                <w:color w:val="282828"/>
                <w:sz w:val="15"/>
              </w:rPr>
              <w:t>Revenu bancaire central (≡ CA). Croissance: 4.9%. ⚠️ Croissance faible ou nulle.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230.313 Mds FCFA</w:t>
            </w:r>
          </w:p>
        </w:tc>
        <w:tc>
          <w:tcPr>
            <w:tcW w:type="dxa" w:w="5669"/>
            <w:shd w:fill="FFFFFF" w:val="clear"/>
          </w:tcPr>
          <w:p>
            <w:r>
              <w:rPr>
                <w:color w:val="282828"/>
                <w:sz w:val="15"/>
              </w:rPr>
              <w:t>Revenus d'intérêts sur crédits (83%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47.775 Mds FCFA</w:t>
            </w:r>
          </w:p>
        </w:tc>
        <w:tc>
          <w:tcPr>
            <w:tcW w:type="dxa" w:w="5669"/>
            <w:shd w:fill="FFFFFF" w:val="clear"/>
          </w:tcPr>
          <w:p>
            <w:r>
              <w:rPr>
                <w:color w:val="282828"/>
                <w:sz w:val="15"/>
              </w:rPr>
              <w:t>Coût des dépôts collectés (17%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72.603 Mds FCFA</w:t>
            </w:r>
          </w:p>
        </w:tc>
        <w:tc>
          <w:tcPr>
            <w:tcW w:type="dxa" w:w="5669"/>
            <w:shd w:fill="FFFFFF" w:val="clear"/>
          </w:tcPr>
          <w:p>
            <w:r>
              <w:rPr>
                <w:color w:val="282828"/>
                <w:sz w:val="15"/>
              </w:rPr>
              <w:t>Revenus de commissions (26.3%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94.052 Mds FCFA</w:t>
            </w:r>
          </w:p>
        </w:tc>
        <w:tc>
          <w:tcPr>
            <w:tcW w:type="dxa" w:w="5669"/>
            <w:shd w:fill="FFFFFF" w:val="clear"/>
          </w:tcPr>
          <w:p>
            <w:r>
              <w:rPr>
                <w:color w:val="282828"/>
                <w:sz w:val="15"/>
              </w:rPr>
              <w:t>34.1%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12.922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169.074 Mds FCFA</w:t>
            </w:r>
          </w:p>
        </w:tc>
        <w:tc>
          <w:tcPr>
            <w:tcW w:type="dxa" w:w="5669"/>
            <w:shd w:fill="FFFFFF" w:val="clear"/>
          </w:tcPr>
          <w:p>
            <w:r>
              <w:rPr>
                <w:color w:val="282828"/>
                <w:sz w:val="15"/>
              </w:rPr>
              <w:t>RBE = 61.2%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122.245 Mds FCFA</w:t>
            </w:r>
          </w:p>
        </w:tc>
        <w:tc>
          <w:tcPr>
            <w:tcW w:type="dxa" w:w="5669"/>
            <w:shd w:fill="FFFFFF" w:val="clear"/>
          </w:tcPr>
          <w:p>
            <w:r>
              <w:rPr>
                <w:color w:val="282828"/>
                <w:sz w:val="15"/>
              </w:rPr>
              <w:t>Profit d'exploitation = 44.3%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17.995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101.352 Mds FCFA</w:t>
            </w:r>
          </w:p>
        </w:tc>
        <w:tc>
          <w:tcPr>
            <w:tcW w:type="dxa" w:w="5669"/>
            <w:shd w:fill="FFFFFF" w:val="clear"/>
          </w:tcPr>
          <w:p>
            <w:r>
              <w:rPr>
                <w:color w:val="282828"/>
                <w:sz w:val="15"/>
              </w:rPr>
              <w:t>Marge nette = 36.7%.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114.274 Mds FCFA</w:t>
            </w:r>
          </w:p>
        </w:tc>
        <w:tc>
          <w:tcPr>
            <w:tcW w:type="dxa" w:w="5669"/>
            <w:shd w:fill="FFFFFF" w:val="clear"/>
          </w:tcPr>
          <w:p>
            <w:r>
              <w:rPr>
                <w:color w:val="282828"/>
                <w:sz w:val="15"/>
              </w:rPr>
              <w:t>CAF = 114.27 Mds FCFA (résultat + amort.). ✅ Forte capacité à financer les investissements et rembourser les dettes.</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178.821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61.25%</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36.72%</w:t>
            </w:r>
          </w:p>
        </w:tc>
        <w:tc>
          <w:tcPr>
            <w:tcW w:type="dxa" w:w="5669"/>
            <w:shd w:fill="FFFFFF" w:val="clear"/>
          </w:tcPr>
          <w:p>
            <w:r>
              <w:rPr>
                <w:color w:val="282828"/>
                <w:sz w:val="15"/>
              </w:rPr>
              <w:t>Résultat net / revenus = 36.72%.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44.28%</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20.47%</w:t>
            </w:r>
          </w:p>
        </w:tc>
        <w:tc>
          <w:tcPr>
            <w:tcW w:type="dxa" w:w="5669"/>
            <w:shd w:fill="FFFFFF" w:val="clear"/>
          </w:tcPr>
          <w:p>
            <w:r>
              <w:rPr>
                <w:color w:val="282828"/>
                <w:sz w:val="15"/>
              </w:rPr>
              <w:t>Résultat net / capitaux propres = 20.47%.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7.32%</w:t>
            </w:r>
          </w:p>
        </w:tc>
        <w:tc>
          <w:tcPr>
            <w:tcW w:type="dxa" w:w="5669"/>
            <w:shd w:fill="FFFFFF" w:val="clear"/>
          </w:tcPr>
          <w:p>
            <w:r>
              <w:rPr>
                <w:color w:val="282828"/>
                <w:sz w:val="15"/>
              </w:rPr>
              <w:t>CA / total actif = 7.32x.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38.75%</w:t>
            </w:r>
          </w:p>
        </w:tc>
        <w:tc>
          <w:tcPr>
            <w:tcW w:type="dxa" w:w="5669"/>
            <w:shd w:fill="FFFFFF" w:val="clear"/>
          </w:tcPr>
          <w:p>
            <w:r>
              <w:rPr>
                <w:color w:val="282828"/>
                <w:sz w:val="15"/>
              </w:rPr>
              <w:t>Charges / PNB = 38.75% (cost-to-income). ✅ Excellent — banque très efficiente.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4.88%</w:t>
            </w:r>
          </w:p>
        </w:tc>
        <w:tc>
          <w:tcPr>
            <w:tcW w:type="dxa" w:w="5669"/>
            <w:shd w:fill="FFFFFF" w:val="clear"/>
          </w:tcPr>
          <w:p>
            <w:r>
              <w:rPr>
                <w:color w:val="282828"/>
                <w:sz w:val="15"/>
              </w:rPr>
              <w:t>Croissance PNB vs exercice précédent = 4.88%.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13.14%</w:t>
            </w:r>
          </w:p>
        </w:tc>
        <w:tc>
          <w:tcPr>
            <w:tcW w:type="dxa" w:w="5669"/>
            <w:shd w:fill="FFFFFF" w:val="clear"/>
          </w:tcPr>
          <w:p>
            <w:r>
              <w:rPr>
                <w:color w:val="282828"/>
                <w:sz w:val="15"/>
              </w:rPr>
              <w:t>Fonds propres / total bilan = 13.14%.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633.72%</w:t>
            </w:r>
          </w:p>
        </w:tc>
        <w:tc>
          <w:tcPr>
            <w:tcW w:type="dxa" w:w="5669"/>
            <w:shd w:fill="FFFFFF" w:val="clear"/>
          </w:tcPr>
          <w:p>
            <w:r>
              <w:rPr>
                <w:color w:val="282828"/>
                <w:sz w:val="15"/>
              </w:rPr>
              <w:t>Dettes financières / total bilan = 633.72%.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86.86%</w:t>
            </w:r>
          </w:p>
        </w:tc>
        <w:tc>
          <w:tcPr>
            <w:tcW w:type="dxa" w:w="5669"/>
            <w:shd w:fill="FFFFFF" w:val="clear"/>
          </w:tcPr>
          <w:p>
            <w:r>
              <w:rPr>
                <w:color w:val="282828"/>
                <w:sz w:val="15"/>
              </w:rPr>
              <w:t>Dettes totales / fonds propres = 86.86%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115.12%</w:t>
            </w:r>
          </w:p>
        </w:tc>
        <w:tc>
          <w:tcPr>
            <w:tcW w:type="dxa" w:w="5669"/>
            <w:shd w:fill="FFFFFF" w:val="clear"/>
          </w:tcPr>
          <w:p>
            <w:r>
              <w:rPr>
                <w:color w:val="282828"/>
                <w:sz w:val="15"/>
              </w:rPr>
              <w:t>Total actif / dettes totales = 115.12x. ✅ Solvable.</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27.5 ans</w:t>
            </w:r>
          </w:p>
        </w:tc>
        <w:tc>
          <w:tcPr>
            <w:tcW w:type="dxa" w:w="5669"/>
            <w:shd w:fill="FFFFFF" w:val="clear"/>
          </w:tcPr>
          <w:p>
            <w:r>
              <w:rPr>
                <w:color w:val="282828"/>
                <w:sz w:val="15"/>
              </w:rPr>
              <w:t>Dettes financières / CAF = 27.5 ans. ❌ Capacité de remboursement très dégradée.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255.88%</w:t>
            </w:r>
          </w:p>
        </w:tc>
        <w:tc>
          <w:tcPr>
            <w:tcW w:type="dxa" w:w="5669"/>
            <w:shd w:fill="FFFFFF" w:val="clear"/>
          </w:tcPr>
          <w:p>
            <w:r>
              <w:rPr>
                <w:color w:val="282828"/>
                <w:sz w:val="15"/>
              </w:rPr>
              <w:t>Résultat exploit. / charges financières = 255.88x. ✅ Couverture satisfaisante.</w:t>
            </w:r>
          </w:p>
        </w:tc>
      </w:tr>
    </w:tbl>
    <w:p/>
    <w:p>
      <w:pPr>
        <w:spacing w:after="120" w:line="276" w:lineRule="auto"/>
      </w:pPr>
      <w:r>
        <w:t>**RAPPORT D'ANALYSE FINANCIÈRE — SGBC (SOCIÉTÉ GÉNÉRALE CÔTE D'IVOIRE)**</w:t>
        <w:br/>
        <w:t>**Marché :** BRVM (Bourse Régionale des Valeurs Mobilières)</w:t>
        <w:br/>
        <w:t>**Date de l'analyse :** 27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SGBC s'établit à 1 197,78 milliards FCFA, un niveau qui en fait l'une des toutes premières capitalisations de la BRVM, reflétant son statut de leader bancaire régional. Avec un BPA de 3 258 FCFA, chaque action génère un bénéfice substantiel, justifiant un PER de 11,8x. Ce ratio, bien que légèrement supérieur à la moyenne historique de la BRVM (8-12x), reste dans une zone de valorisation raisonnable, indiquant que les investisseurs paient un prix juste pour les bénéfices actuels. Le P/B de 2,42x témoigne d'une prime de croissance accordée par le marché, qui valorise la solidité des capitaux propres (495,113 Mds FCFA) et la rentabilité élevée de la banque. En revanche, l'EV/EBITDA de 24,6x est très exigeant, signalant que la valeur totale de l'entreprise (dette incluse) est élevée par rapport à sa capacité opérationnelle, un point de vigilance pour les investisseurs à long terme.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SGBC affiche une progression solide de +11,59%, avec une dernière séance en hausse de +1,32%, clôturant à 38 500 FCFA. Le titre a évolué dans un range de trading de 32 800 FCFA (plus bas) à 39 300 FCFA (plus haut), démontrant une dynamique haussière soutenue. La moyenne du cours sur la période est de 36 989 FCFA, légèrement inférieure à la médiane de 37 995 FCFA, ce qui, combiné à un skewness négatif (-0,662), indique que le cours a passé plus de temps au-dessus de sa moyenne, avec des épisodes de correction rapide. L'écart-type de 2 116 FCFA (CV=5,7%) révèle une dispersion modérée des prix, tandis que le kurtosis négatif (-1,043) suggère une distribution platykurtique, avec peu de variations extrêmes et donc un risque de pics limité. La volatilité annualisée de 24,8% classe le titre dans une zone de volatilité modérée (15-30%), offrant un équilibre entre potentiel de gain et stabilité.</w:t>
      </w:r>
    </w:p>
    <w:p>
      <w:pPr>
        <w:spacing w:after="120" w:line="276" w:lineRule="auto"/>
      </w:pPr>
      <w:r>
        <w:t>---</w:t>
      </w:r>
    </w:p>
    <w:p>
      <w:pPr>
        <w:spacing w:after="120" w:line="276" w:lineRule="auto"/>
      </w:pPr>
      <w:r>
        <w:t>### PARTIE 2 : ANALYSE TECHNIQUE DÉTAILLÉE</w:t>
      </w:r>
    </w:p>
    <w:p>
      <w:pPr>
        <w:spacing w:after="120" w:line="276" w:lineRule="auto"/>
      </w:pPr>
      <w:r>
        <w:t>**Moyennes Mobiles :** Les MM20 (38 539 FCFA) et MM50 (38 542,8 FCFA) sont quasi identiques et légèrement au-dessus du cours actuel (38 500 FCFA). Cette configuration indique une phase de consolidation après une période de hausse, où le prix teste ses supports dynamiques. La décision de "Vente" reflète un momentum à court terme légèrement affaibli, mais l'écart minime suggère une possible reprise rapide.</w:t>
      </w:r>
    </w:p>
    <w:p>
      <w:pPr>
        <w:spacing w:after="120" w:line="276" w:lineRule="auto"/>
      </w:pPr>
      <w:r>
        <w:t>**Bandes de Bollinger :** Le prix actuel se situe à 38 500 FCFA, entre la borne inférieure (37 374,7 FCFA) et la borne supérieure (39 703,3 FCFA), proche de la moyenne. La largeur des bandes indique une volatilité modérée. La décision "Neutre" est cohérente avec une absence de signal directionnel fort, le titre évoluant dans un canal de trading équilibré.</w:t>
      </w:r>
    </w:p>
    <w:p>
      <w:pPr>
        <w:spacing w:after="120" w:line="276" w:lineRule="auto"/>
      </w:pPr>
      <w:r>
        <w:t>**MACD :** Le MACD (92,6) est inférieur à sa ligne de signal (136,6), confirmant une dynamique baissière à court terme. Cependant, la valeur positive du MACD indique que le momentum reste globalement haussier sur une base plus longue. La décision "Vente" signale une possible correction ou consolidation avant la prochaine impulsion haussière.</w:t>
      </w:r>
    </w:p>
    <w:p>
      <w:pPr>
        <w:spacing w:after="120" w:line="276" w:lineRule="auto"/>
      </w:pPr>
      <w:r>
        <w:t>**RSI :** À 53,8, le RSI se situe en zone neutre (30-70), indiquant un équilibre entre pression acheteuse et vendeuse. Cette valeur suggère que le titre n'est ni suracheté ni survendu, laissant de la marge pour une évolution dans les deux sens. La décision "Neutre" est justifiée par l'absence de conditions extrêmes.</w:t>
      </w:r>
    </w:p>
    <w:p>
      <w:pPr>
        <w:spacing w:after="120" w:line="276" w:lineRule="auto"/>
      </w:pPr>
      <w:r>
        <w:t>**Stochastique :** Le %K (49,8) et le %D (49,5) sont très proches, sans croisement significatif, indiquant un momentum latent. Cette configuration reflète une phase d'indécision du marché, où les acheteurs et vendeurs s'équilibrent. La décision "Neutre" est appropriée, en attendant un signal de croisement pour déterminer la direction future.</w:t>
      </w:r>
    </w:p>
    <w:p>
      <w:pPr>
        <w:spacing w:after="120" w:line="276" w:lineRule="auto"/>
      </w:pPr>
      <w:r>
        <w:t>**Conclusion technique :** La majorité des indicateurs (Bollinger, RSI, Stochastique) sont neutres, tandis que les moyennes mobiles et le MACD penchent vers une légère faiblesse à court terme. Cette divergence suggère une phase de consolidation, avec un potentiel de reprise si le cours maintient le support des MM20/50. Les signaux mitigés appellent à la prudence, mais la tendance de fond reste haussière.</w:t>
      </w:r>
    </w:p>
    <w:p>
      <w:pPr>
        <w:spacing w:after="120" w:line="276" w:lineRule="auto"/>
      </w:pPr>
      <w:r>
        <w:t>---</w:t>
      </w:r>
    </w:p>
    <w:p>
      <w:pPr>
        <w:spacing w:after="120" w:line="276" w:lineRule="auto"/>
      </w:pPr>
      <w:r>
        <w:t>### PARTIE 3 : ANALYSE FONDAMENTALE (SECTION CRITIQUE)</w:t>
      </w:r>
    </w:p>
    <w:p>
      <w:pPr>
        <w:spacing w:after="120" w:line="276" w:lineRule="auto"/>
      </w:pPr>
      <w:r>
        <w:t>En 2025, les données financières structurées de SGBC révèlent une banque extrêmement solide et rentable. Le Produit Net Bancaire (PNB) s'établit à 276,048 milliards FCFA, avec un résultat net de 101,352 milliards FCFA, démontrant une marge nette exceptionnelle de 36,7%. Le ROE de 20,47% et le ROA de 2,69% sont excellents, bien au-dessus des seuils de référence (&gt;15% et &gt;1% respectivement). Le coefficient d'exploitation de 38,75% est remarquablement bas, témoignant d'une gestion rigoureuse des coûts. Le bilan est robuste avec des capitaux propres de 495,113 milliards FCFA et des dépôts clientèle de 2 907,675 milliards FCFA, contre des créances de 2 546,290 milliards FCFA, soit un ratio de transformation sain. Le coût du risque est maîtrisé (provisions de 17,995 milliards FCFA), et la capacité d'autofinancement (CAF) de 114,274 milliards FCFA assure une forte génération de cash. Les rapports trimestriels 2025 confirment cette dynamique : le T1 2025 montre un PNB de 66,3 milliards FCFA (+1,3%) et un résultat net de 27,1 milliards FCFA (+2,2%), tandis que le S1 2025 affiche un PNB de 132 milliards FCFA (+1,0%) et un résultat net de 53,1 milliards FCFA (+10,0%). Le cumul 9 mois 2025 atteint un PNB de 201 milliards FCFA (+2,5%) et un résultat net de 83,3 milliards FCFA (+11,7%). Sur la base de ces tendances, on estime que l'exercice 2025 devrait clôturer avec un PNB autour de 276 milliards FCFA et un résultat net proche de 101 milliards FCFA, confirmant la trajectoire de croissance rentable. Le rapport annuel 2024 (PNB de 263,2 milliards FCFA, résultat net de 101,2 milliards FCFA) et le rapport T1 2025 soulignent une amélioration continue de l'efficacité opérationnelle et une solidité financière renforcée, avec un ratio de solvabilité de 17,7% (S1 2025), bien au-dessus du minimum réglementaire. La recommandation fondamentale est positive, la banque étant bien positionnée pour maintenir sa croissance grâce à sa digitalisation et sa gestion prudente des risques.</w:t>
      </w:r>
    </w:p>
    <w:p>
      <w:pPr>
        <w:spacing w:after="120" w:line="276" w:lineRule="auto"/>
      </w:pPr>
      <w:r>
        <w:t>---</w:t>
      </w:r>
    </w:p>
    <w:p>
      <w:pPr>
        <w:spacing w:after="120" w:line="276" w:lineRule="auto"/>
      </w:pPr>
      <w:r>
        <w:t>### PARTIE 4 : CONCLUSION D'INVESTISSEMENT</w:t>
      </w:r>
    </w:p>
    <w:p>
      <w:pPr>
        <w:spacing w:after="120" w:line="276" w:lineRule="auto"/>
      </w:pPr>
      <w:r>
        <w:t>La valorisation de SGBC (PER de 11,8x, P/B de 2,42x) est raisonnable, avec une prime de croissance justifiée par des fondamentaux excellents, malgré un EV/EBITDA exigeant (24,6x). Le comportement du cours sur 100 jours (+11,59%) est favorable, avec une volatilité modérée (24,8%) et une distribution des prix stable (kurtosis platykurtique), bien que l'asymétrie négative (skewness -0,662) suggère des corrections rapides. Les signaux techniques sont mitigés, avec une majorité d'indicateurs neutres (Bollinger, RSI, Stochastique) et une légère pression vendeuse à court terme (MM, MACD), indiquant une phase de consolidation. Les fondamentaux sont extrêmement solides, avec un PNB de 276 milliards FCFA, un résultat net de 101,35 milliards FCFA, un ROE de 20,47% et un coefficient d'exploitation de 38,75% en 2025, soutenus par une croissance trimestrielle régulière. Les prédictions IA (38 251 FCFA à J+1, 37 916 FCFA à J+10) suggèrent une légère correction à court terme, alignée avec les signaux techniques de consolidation. En synthèse, la convergence entre des fondamentaux robustes et une valorisation raisonnable, malgré des signaux techniques mitigés, conduit à une recommandation **CONSERVER** pour les investisseurs existants, avec un niveau de confiance **Moyen** et un risque global **Faible**. Pour les nouveaux investisseurs, une stratégie d'achat progressive sur les niveaux de support (37 900-38 000 FCFA) est suggérée, avec un horizon d'investissement optimal à **moyen terme (3-12 mois)** pour capitaliser sur la solidité financière et les perspectives de croissance de la banque.</w:t>
      </w:r>
    </w:p>
    <w:p/>
    <w:p/>
    <w:p>
      <w:r>
        <w:t>════════════════════════════════════════════════════════════════════════════════</w:t>
      </w:r>
    </w:p>
    <w:p>
      <w:r>
        <w:br w:type="page"/>
      </w:r>
    </w:p>
    <w:p>
      <w:pPr>
        <w:pStyle w:val="Heading2"/>
        <w:spacing w:before="360"/>
      </w:pPr>
      <w:r>
        <w:rPr>
          <w:color w:val="0066CC"/>
        </w:rPr>
        <w:t>33. SHEC - SHEC - VIVO ENERGY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SHEC</w:t>
            </w:r>
          </w:p>
          <w:p>
            <w:r>
              <w:rPr>
                <w:b/>
                <w:color w:val="323250"/>
                <w:sz w:val="16"/>
              </w:rPr>
              <w:t xml:space="preserve">Société : </w:t>
            </w:r>
            <w:r>
              <w:rPr>
                <w:color w:val="000000"/>
                <w:sz w:val="16"/>
              </w:rPr>
              <w:t>SHEC - VIVO ENERGY COTE D'IVOIRE</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154.35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4,373 titres</w:t>
            </w:r>
          </w:p>
        </w:tc>
        <w:tc>
          <w:tcPr>
            <w:tcW w:type="dxa" w:w="2268"/>
            <w:shd w:fill="FFF2CC" w:val="clear"/>
          </w:tcPr>
          <w:p>
            <w:r>
              <w:rPr>
                <w:b/>
                <w:color w:val="503200"/>
                <w:sz w:val="16"/>
              </w:rPr>
              <w:t xml:space="preserve">Cours actuel : </w:t>
            </w:r>
            <w:r>
              <w:rPr>
                <w:color w:val="000000"/>
                <w:sz w:val="17"/>
              </w:rPr>
              <w:t>2,450 FCFA</w:t>
            </w:r>
          </w:p>
          <w:p>
            <w:r>
              <w:rPr>
                <w:b/>
                <w:color w:val="503200"/>
                <w:sz w:val="16"/>
              </w:rPr>
              <w:t xml:space="preserve">Var. 100 jours : </w:t>
            </w:r>
            <w:r>
              <w:rPr>
                <w:b/>
                <w:color w:val="007800"/>
                <w:sz w:val="17"/>
              </w:rPr>
              <w:t>+12.13%</w:t>
            </w:r>
          </w:p>
          <w:p>
            <w:r>
              <w:rPr>
                <w:b/>
                <w:color w:val="503200"/>
                <w:sz w:val="16"/>
              </w:rPr>
              <w:t xml:space="preserve">Plus haut 100j : </w:t>
            </w:r>
            <w:r>
              <w:rPr>
                <w:color w:val="000000"/>
                <w:sz w:val="17"/>
              </w:rPr>
              <w:t>2,480 FCFA</w:t>
            </w:r>
          </w:p>
          <w:p>
            <w:r>
              <w:rPr>
                <w:b/>
                <w:color w:val="503200"/>
                <w:sz w:val="16"/>
              </w:rPr>
              <w:t xml:space="preserve">Plus bas 100j : </w:t>
            </w:r>
            <w:r>
              <w:rPr>
                <w:color w:val="000000"/>
                <w:sz w:val="17"/>
              </w:rPr>
              <w:t>1,840 FCFA</w:t>
            </w:r>
          </w:p>
          <w:p>
            <w:r>
              <w:rPr>
                <w:b/>
                <w:color w:val="503200"/>
                <w:sz w:val="16"/>
              </w:rPr>
              <w:t xml:space="preserve">Volatilité ann. : </w:t>
            </w:r>
            <w:r>
              <w:rPr>
                <w:color w:val="000000"/>
                <w:sz w:val="17"/>
              </w:rPr>
              <w:t>35.2%</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7.08% (Moyenne) — μ=2,122 FCFA, σ=150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β=1.1704 (Neutre (suit le marché)) — Cov=0.000042, Var(idx)=0.000035, ρ=0.313,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4,373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σ_j=2.22%/j (Stable) — Vol. annualisée≈35.2%</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35" name="Picture 35"/>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2026-08-28</w:t>
            </w:r>
          </w:p>
        </w:tc>
        <w:tc>
          <w:tcPr>
            <w:tcW w:type="dxa" w:w="1440"/>
            <w:shd w:fill="FFDCE0" w:val="clear"/>
          </w:tcPr>
          <w:p>
            <w:r>
              <w:rPr>
                <w:sz w:val="17"/>
              </w:rPr>
              <w:t>2,205</w:t>
            </w:r>
          </w:p>
        </w:tc>
        <w:tc>
          <w:tcPr>
            <w:tcW w:type="dxa" w:w="1440"/>
            <w:shd w:fill="FFDCE0" w:val="clear"/>
          </w:tcPr>
          <w:p>
            <w:r>
              <w:rPr>
                <w:b/>
                <w:sz w:val="17"/>
              </w:rPr>
              <w:t>2,291</w:t>
            </w:r>
          </w:p>
        </w:tc>
        <w:tc>
          <w:tcPr>
            <w:tcW w:type="dxa" w:w="1440"/>
            <w:shd w:fill="FFDCE0" w:val="clear"/>
          </w:tcPr>
          <w:p>
            <w:r>
              <w:rPr>
                <w:sz w:val="17"/>
              </w:rPr>
              <w:t>2,378</w:t>
            </w:r>
          </w:p>
        </w:tc>
        <w:tc>
          <w:tcPr>
            <w:tcW w:type="dxa" w:w="1440"/>
            <w:shd w:fill="FFDCE0" w:val="clear"/>
          </w:tcPr>
          <w:p>
            <w:r>
              <w:rPr>
                <w:b/>
                <w:color w:val="C00000"/>
                <w:sz w:val="17"/>
              </w:rPr>
              <w:t>-6.5%</w:t>
            </w:r>
          </w:p>
        </w:tc>
      </w:tr>
      <w:tr>
        <w:tc>
          <w:tcPr>
            <w:tcW w:type="dxa" w:w="1440"/>
            <w:shd w:fill="FFDCE0" w:val="clear"/>
          </w:tcPr>
          <w:p>
            <w:r>
              <w:rPr>
                <w:sz w:val="17"/>
              </w:rPr>
              <w:t>J+2  Moyenne</w:t>
            </w:r>
          </w:p>
        </w:tc>
        <w:tc>
          <w:tcPr>
            <w:tcW w:type="dxa" w:w="1440"/>
            <w:shd w:fill="FFDCE0" w:val="clear"/>
          </w:tcPr>
          <w:p>
            <w:r>
              <w:rPr>
                <w:sz w:val="17"/>
              </w:rPr>
              <w:t>2026-08-31</w:t>
            </w:r>
          </w:p>
        </w:tc>
        <w:tc>
          <w:tcPr>
            <w:tcW w:type="dxa" w:w="1440"/>
            <w:shd w:fill="FFDCE0" w:val="clear"/>
          </w:tcPr>
          <w:p>
            <w:r>
              <w:rPr>
                <w:sz w:val="17"/>
              </w:rPr>
              <w:t>2,059</w:t>
            </w:r>
          </w:p>
        </w:tc>
        <w:tc>
          <w:tcPr>
            <w:tcW w:type="dxa" w:w="1440"/>
            <w:shd w:fill="FFDCE0" w:val="clear"/>
          </w:tcPr>
          <w:p>
            <w:r>
              <w:rPr>
                <w:b/>
                <w:sz w:val="17"/>
              </w:rPr>
              <w:t>2,175</w:t>
            </w:r>
          </w:p>
        </w:tc>
        <w:tc>
          <w:tcPr>
            <w:tcW w:type="dxa" w:w="1440"/>
            <w:shd w:fill="FFDCE0" w:val="clear"/>
          </w:tcPr>
          <w:p>
            <w:r>
              <w:rPr>
                <w:sz w:val="17"/>
              </w:rPr>
              <w:t>2,291</w:t>
            </w:r>
          </w:p>
        </w:tc>
        <w:tc>
          <w:tcPr>
            <w:tcW w:type="dxa" w:w="1440"/>
            <w:shd w:fill="FFDCE0" w:val="clear"/>
          </w:tcPr>
          <w:p>
            <w:r>
              <w:rPr>
                <w:b/>
                <w:color w:val="C00000"/>
                <w:sz w:val="17"/>
              </w:rPr>
              <w:t>-11.2%</w:t>
            </w:r>
          </w:p>
        </w:tc>
      </w:tr>
      <w:tr>
        <w:tc>
          <w:tcPr>
            <w:tcW w:type="dxa" w:w="1440"/>
            <w:shd w:fill="FFDCE0" w:val="clear"/>
          </w:tcPr>
          <w:p>
            <w:r>
              <w:rPr>
                <w:sz w:val="17"/>
              </w:rPr>
              <w:t>J+3  Moyenne</w:t>
            </w:r>
          </w:p>
        </w:tc>
        <w:tc>
          <w:tcPr>
            <w:tcW w:type="dxa" w:w="1440"/>
            <w:shd w:fill="FFDCE0" w:val="clear"/>
          </w:tcPr>
          <w:p>
            <w:r>
              <w:rPr>
                <w:sz w:val="17"/>
              </w:rPr>
              <w:t>2026-09-01</w:t>
            </w:r>
          </w:p>
        </w:tc>
        <w:tc>
          <w:tcPr>
            <w:tcW w:type="dxa" w:w="1440"/>
            <w:shd w:fill="FFDCE0" w:val="clear"/>
          </w:tcPr>
          <w:p>
            <w:r>
              <w:rPr>
                <w:sz w:val="17"/>
              </w:rPr>
              <w:t>1,938</w:t>
            </w:r>
          </w:p>
        </w:tc>
        <w:tc>
          <w:tcPr>
            <w:tcW w:type="dxa" w:w="1440"/>
            <w:shd w:fill="FFDCE0" w:val="clear"/>
          </w:tcPr>
          <w:p>
            <w:r>
              <w:rPr>
                <w:b/>
                <w:sz w:val="17"/>
              </w:rPr>
              <w:t>2,073</w:t>
            </w:r>
          </w:p>
        </w:tc>
        <w:tc>
          <w:tcPr>
            <w:tcW w:type="dxa" w:w="1440"/>
            <w:shd w:fill="FFDCE0" w:val="clear"/>
          </w:tcPr>
          <w:p>
            <w:r>
              <w:rPr>
                <w:sz w:val="17"/>
              </w:rPr>
              <w:t>2,209</w:t>
            </w:r>
          </w:p>
        </w:tc>
        <w:tc>
          <w:tcPr>
            <w:tcW w:type="dxa" w:w="1440"/>
            <w:shd w:fill="FFDCE0" w:val="clear"/>
          </w:tcPr>
          <w:p>
            <w:r>
              <w:rPr>
                <w:b/>
                <w:color w:val="C00000"/>
                <w:sz w:val="17"/>
              </w:rPr>
              <w:t>-15.4%</w:t>
            </w:r>
          </w:p>
        </w:tc>
      </w:tr>
      <w:tr>
        <w:tc>
          <w:tcPr>
            <w:tcW w:type="dxa" w:w="1440"/>
            <w:shd w:fill="FFDCE0" w:val="clear"/>
          </w:tcPr>
          <w:p>
            <w:r>
              <w:rPr>
                <w:sz w:val="17"/>
              </w:rPr>
              <w:t>J+4  ⭐</w:t>
            </w:r>
          </w:p>
        </w:tc>
        <w:tc>
          <w:tcPr>
            <w:tcW w:type="dxa" w:w="1440"/>
            <w:shd w:fill="FFDCE0" w:val="clear"/>
          </w:tcPr>
          <w:p>
            <w:r>
              <w:rPr>
                <w:sz w:val="17"/>
              </w:rPr>
              <w:t>2026-09-02</w:t>
            </w:r>
          </w:p>
        </w:tc>
        <w:tc>
          <w:tcPr>
            <w:tcW w:type="dxa" w:w="1440"/>
            <w:shd w:fill="FFDCE0" w:val="clear"/>
          </w:tcPr>
          <w:p>
            <w:r>
              <w:rPr>
                <w:sz w:val="17"/>
              </w:rPr>
              <w:t>1,840</w:t>
            </w:r>
          </w:p>
        </w:tc>
        <w:tc>
          <w:tcPr>
            <w:tcW w:type="dxa" w:w="1440"/>
            <w:shd w:fill="FFDCE0" w:val="clear"/>
          </w:tcPr>
          <w:p>
            <w:r>
              <w:rPr>
                <w:b/>
                <w:sz w:val="17"/>
              </w:rPr>
              <w:t>1,990</w:t>
            </w:r>
          </w:p>
        </w:tc>
        <w:tc>
          <w:tcPr>
            <w:tcW w:type="dxa" w:w="1440"/>
            <w:shd w:fill="FFDCE0" w:val="clear"/>
          </w:tcPr>
          <w:p>
            <w:r>
              <w:rPr>
                <w:sz w:val="17"/>
              </w:rPr>
              <w:t>2,140</w:t>
            </w:r>
          </w:p>
        </w:tc>
        <w:tc>
          <w:tcPr>
            <w:tcW w:type="dxa" w:w="1440"/>
            <w:shd w:fill="FFDCE0" w:val="clear"/>
          </w:tcPr>
          <w:p>
            <w:r>
              <w:rPr>
                <w:b/>
                <w:color w:val="C00000"/>
                <w:sz w:val="17"/>
              </w:rPr>
              <w:t>-18.8%</w:t>
            </w:r>
          </w:p>
        </w:tc>
      </w:tr>
      <w:tr>
        <w:tc>
          <w:tcPr>
            <w:tcW w:type="dxa" w:w="1440"/>
            <w:shd w:fill="FFDCE0" w:val="clear"/>
          </w:tcPr>
          <w:p>
            <w:r>
              <w:rPr>
                <w:sz w:val="17"/>
              </w:rPr>
              <w:t>J+5  ⭐</w:t>
            </w:r>
          </w:p>
        </w:tc>
        <w:tc>
          <w:tcPr>
            <w:tcW w:type="dxa" w:w="1440"/>
            <w:shd w:fill="FFDCE0" w:val="clear"/>
          </w:tcPr>
          <w:p>
            <w:r>
              <w:rPr>
                <w:sz w:val="17"/>
              </w:rPr>
              <w:t>2026-09-03</w:t>
            </w:r>
          </w:p>
        </w:tc>
        <w:tc>
          <w:tcPr>
            <w:tcW w:type="dxa" w:w="1440"/>
            <w:shd w:fill="FFDCE0" w:val="clear"/>
          </w:tcPr>
          <w:p>
            <w:r>
              <w:rPr>
                <w:sz w:val="17"/>
              </w:rPr>
              <w:t>1,760</w:t>
            </w:r>
          </w:p>
        </w:tc>
        <w:tc>
          <w:tcPr>
            <w:tcW w:type="dxa" w:w="1440"/>
            <w:shd w:fill="FFDCE0" w:val="clear"/>
          </w:tcPr>
          <w:p>
            <w:r>
              <w:rPr>
                <w:b/>
                <w:sz w:val="17"/>
              </w:rPr>
              <w:t>1,923</w:t>
            </w:r>
          </w:p>
        </w:tc>
        <w:tc>
          <w:tcPr>
            <w:tcW w:type="dxa" w:w="1440"/>
            <w:shd w:fill="FFDCE0" w:val="clear"/>
          </w:tcPr>
          <w:p>
            <w:r>
              <w:rPr>
                <w:sz w:val="17"/>
              </w:rPr>
              <w:t>2,085</w:t>
            </w:r>
          </w:p>
        </w:tc>
        <w:tc>
          <w:tcPr>
            <w:tcW w:type="dxa" w:w="1440"/>
            <w:shd w:fill="FFDCE0" w:val="clear"/>
          </w:tcPr>
          <w:p>
            <w:r>
              <w:rPr>
                <w:b/>
                <w:color w:val="C00000"/>
                <w:sz w:val="17"/>
              </w:rPr>
              <w:t>-21.5%</w:t>
            </w:r>
          </w:p>
        </w:tc>
      </w:tr>
      <w:tr>
        <w:tc>
          <w:tcPr>
            <w:tcW w:type="dxa" w:w="1440"/>
            <w:shd w:fill="FFDCE0" w:val="clear"/>
          </w:tcPr>
          <w:p>
            <w:r>
              <w:rPr>
                <w:sz w:val="17"/>
              </w:rPr>
              <w:t>J+6  ⭐</w:t>
            </w:r>
          </w:p>
        </w:tc>
        <w:tc>
          <w:tcPr>
            <w:tcW w:type="dxa" w:w="1440"/>
            <w:shd w:fill="FFDCE0" w:val="clear"/>
          </w:tcPr>
          <w:p>
            <w:r>
              <w:rPr>
                <w:sz w:val="17"/>
              </w:rPr>
              <w:t>2026-09-04</w:t>
            </w:r>
          </w:p>
        </w:tc>
        <w:tc>
          <w:tcPr>
            <w:tcW w:type="dxa" w:w="1440"/>
            <w:shd w:fill="FFDCE0" w:val="clear"/>
          </w:tcPr>
          <w:p>
            <w:r>
              <w:rPr>
                <w:sz w:val="17"/>
              </w:rPr>
              <w:t>1,694</w:t>
            </w:r>
          </w:p>
        </w:tc>
        <w:tc>
          <w:tcPr>
            <w:tcW w:type="dxa" w:w="1440"/>
            <w:shd w:fill="FFDCE0" w:val="clear"/>
          </w:tcPr>
          <w:p>
            <w:r>
              <w:rPr>
                <w:b/>
                <w:sz w:val="17"/>
              </w:rPr>
              <w:t>1,866</w:t>
            </w:r>
          </w:p>
        </w:tc>
        <w:tc>
          <w:tcPr>
            <w:tcW w:type="dxa" w:w="1440"/>
            <w:shd w:fill="FFDCE0" w:val="clear"/>
          </w:tcPr>
          <w:p>
            <w:r>
              <w:rPr>
                <w:sz w:val="17"/>
              </w:rPr>
              <w:t>2,039</w:t>
            </w:r>
          </w:p>
        </w:tc>
        <w:tc>
          <w:tcPr>
            <w:tcW w:type="dxa" w:w="1440"/>
            <w:shd w:fill="FFDCE0" w:val="clear"/>
          </w:tcPr>
          <w:p>
            <w:r>
              <w:rPr>
                <w:b/>
                <w:color w:val="C00000"/>
                <w:sz w:val="17"/>
              </w:rPr>
              <w:t>-23.8%</w:t>
            </w:r>
          </w:p>
        </w:tc>
      </w:tr>
      <w:tr>
        <w:tc>
          <w:tcPr>
            <w:tcW w:type="dxa" w:w="1440"/>
            <w:shd w:fill="FFDCE0" w:val="clear"/>
          </w:tcPr>
          <w:p>
            <w:r>
              <w:rPr>
                <w:sz w:val="17"/>
              </w:rPr>
              <w:t>J+7  ⭐</w:t>
            </w:r>
          </w:p>
        </w:tc>
        <w:tc>
          <w:tcPr>
            <w:tcW w:type="dxa" w:w="1440"/>
            <w:shd w:fill="FFDCE0" w:val="clear"/>
          </w:tcPr>
          <w:p>
            <w:r>
              <w:rPr>
                <w:sz w:val="17"/>
              </w:rPr>
              <w:t>2026-09-07</w:t>
            </w:r>
          </w:p>
        </w:tc>
        <w:tc>
          <w:tcPr>
            <w:tcW w:type="dxa" w:w="1440"/>
            <w:shd w:fill="FFDCE0" w:val="clear"/>
          </w:tcPr>
          <w:p>
            <w:r>
              <w:rPr>
                <w:sz w:val="17"/>
              </w:rPr>
              <w:t>1,636</w:t>
            </w:r>
          </w:p>
        </w:tc>
        <w:tc>
          <w:tcPr>
            <w:tcW w:type="dxa" w:w="1440"/>
            <w:shd w:fill="FFDCE0" w:val="clear"/>
          </w:tcPr>
          <w:p>
            <w:r>
              <w:rPr>
                <w:b/>
                <w:sz w:val="17"/>
              </w:rPr>
              <w:t>1,818</w:t>
            </w:r>
          </w:p>
        </w:tc>
        <w:tc>
          <w:tcPr>
            <w:tcW w:type="dxa" w:w="1440"/>
            <w:shd w:fill="FFDCE0" w:val="clear"/>
          </w:tcPr>
          <w:p>
            <w:r>
              <w:rPr>
                <w:sz w:val="17"/>
              </w:rPr>
              <w:t>1,999</w:t>
            </w:r>
          </w:p>
        </w:tc>
        <w:tc>
          <w:tcPr>
            <w:tcW w:type="dxa" w:w="1440"/>
            <w:shd w:fill="FFDCE0" w:val="clear"/>
          </w:tcPr>
          <w:p>
            <w:r>
              <w:rPr>
                <w:b/>
                <w:color w:val="C00000"/>
                <w:sz w:val="17"/>
              </w:rPr>
              <w:t>-25.8%</w:t>
            </w:r>
          </w:p>
        </w:tc>
      </w:tr>
      <w:tr>
        <w:tc>
          <w:tcPr>
            <w:tcW w:type="dxa" w:w="1440"/>
            <w:shd w:fill="FFDCE0" w:val="clear"/>
          </w:tcPr>
          <w:p>
            <w:r>
              <w:rPr>
                <w:sz w:val="17"/>
              </w:rPr>
              <w:t>J+8  ⭐</w:t>
            </w:r>
          </w:p>
        </w:tc>
        <w:tc>
          <w:tcPr>
            <w:tcW w:type="dxa" w:w="1440"/>
            <w:shd w:fill="FFDCE0" w:val="clear"/>
          </w:tcPr>
          <w:p>
            <w:r>
              <w:rPr>
                <w:sz w:val="17"/>
              </w:rPr>
              <w:t>2026-09-08</w:t>
            </w:r>
          </w:p>
        </w:tc>
        <w:tc>
          <w:tcPr>
            <w:tcW w:type="dxa" w:w="1440"/>
            <w:shd w:fill="FFDCE0" w:val="clear"/>
          </w:tcPr>
          <w:p>
            <w:r>
              <w:rPr>
                <w:sz w:val="17"/>
              </w:rPr>
              <w:t>1,586</w:t>
            </w:r>
          </w:p>
        </w:tc>
        <w:tc>
          <w:tcPr>
            <w:tcW w:type="dxa" w:w="1440"/>
            <w:shd w:fill="FFDCE0" w:val="clear"/>
          </w:tcPr>
          <w:p>
            <w:r>
              <w:rPr>
                <w:b/>
                <w:sz w:val="17"/>
              </w:rPr>
              <w:t>1,775</w:t>
            </w:r>
          </w:p>
        </w:tc>
        <w:tc>
          <w:tcPr>
            <w:tcW w:type="dxa" w:w="1440"/>
            <w:shd w:fill="FFDCE0" w:val="clear"/>
          </w:tcPr>
          <w:p>
            <w:r>
              <w:rPr>
                <w:sz w:val="17"/>
              </w:rPr>
              <w:t>1,964</w:t>
            </w:r>
          </w:p>
        </w:tc>
        <w:tc>
          <w:tcPr>
            <w:tcW w:type="dxa" w:w="1440"/>
            <w:shd w:fill="FFDCE0" w:val="clear"/>
          </w:tcPr>
          <w:p>
            <w:r>
              <w:rPr>
                <w:b/>
                <w:color w:val="C00000"/>
                <w:sz w:val="17"/>
              </w:rPr>
              <w:t>-27.6%</w:t>
            </w:r>
          </w:p>
        </w:tc>
      </w:tr>
      <w:tr>
        <w:tc>
          <w:tcPr>
            <w:tcW w:type="dxa" w:w="1440"/>
            <w:shd w:fill="FFDCE0" w:val="clear"/>
          </w:tcPr>
          <w:p>
            <w:r>
              <w:rPr>
                <w:sz w:val="17"/>
              </w:rPr>
              <w:t>J+9  ⭐</w:t>
            </w:r>
          </w:p>
        </w:tc>
        <w:tc>
          <w:tcPr>
            <w:tcW w:type="dxa" w:w="1440"/>
            <w:shd w:fill="FFDCE0" w:val="clear"/>
          </w:tcPr>
          <w:p>
            <w:r>
              <w:rPr>
                <w:sz w:val="17"/>
              </w:rPr>
              <w:t>2026-09-09</w:t>
            </w:r>
          </w:p>
        </w:tc>
        <w:tc>
          <w:tcPr>
            <w:tcW w:type="dxa" w:w="1440"/>
            <w:shd w:fill="FFDCE0" w:val="clear"/>
          </w:tcPr>
          <w:p>
            <w:r>
              <w:rPr>
                <w:sz w:val="17"/>
              </w:rPr>
              <w:t>1,540</w:t>
            </w:r>
          </w:p>
        </w:tc>
        <w:tc>
          <w:tcPr>
            <w:tcW w:type="dxa" w:w="1440"/>
            <w:shd w:fill="FFDCE0" w:val="clear"/>
          </w:tcPr>
          <w:p>
            <w:r>
              <w:rPr>
                <w:b/>
                <w:sz w:val="17"/>
              </w:rPr>
              <w:t>1,736</w:t>
            </w:r>
          </w:p>
        </w:tc>
        <w:tc>
          <w:tcPr>
            <w:tcW w:type="dxa" w:w="1440"/>
            <w:shd w:fill="FFDCE0" w:val="clear"/>
          </w:tcPr>
          <w:p>
            <w:r>
              <w:rPr>
                <w:sz w:val="17"/>
              </w:rPr>
              <w:t>1,933</w:t>
            </w:r>
          </w:p>
        </w:tc>
        <w:tc>
          <w:tcPr>
            <w:tcW w:type="dxa" w:w="1440"/>
            <w:shd w:fill="FFDCE0" w:val="clear"/>
          </w:tcPr>
          <w:p>
            <w:r>
              <w:rPr>
                <w:b/>
                <w:color w:val="C00000"/>
                <w:sz w:val="17"/>
              </w:rPr>
              <w:t>-29.1%</w:t>
            </w:r>
          </w:p>
        </w:tc>
      </w:tr>
      <w:tr>
        <w:tc>
          <w:tcPr>
            <w:tcW w:type="dxa" w:w="1440"/>
            <w:shd w:fill="FFDCE0" w:val="clear"/>
          </w:tcPr>
          <w:p>
            <w:r>
              <w:rPr>
                <w:sz w:val="17"/>
              </w:rPr>
              <w:t>J+10  ⭐</w:t>
            </w:r>
          </w:p>
        </w:tc>
        <w:tc>
          <w:tcPr>
            <w:tcW w:type="dxa" w:w="1440"/>
            <w:shd w:fill="FFDCE0" w:val="clear"/>
          </w:tcPr>
          <w:p>
            <w:r>
              <w:rPr>
                <w:sz w:val="17"/>
              </w:rPr>
              <w:t>2026-09-10</w:t>
            </w:r>
          </w:p>
        </w:tc>
        <w:tc>
          <w:tcPr>
            <w:tcW w:type="dxa" w:w="1440"/>
            <w:shd w:fill="FFDCE0" w:val="clear"/>
          </w:tcPr>
          <w:p>
            <w:r>
              <w:rPr>
                <w:sz w:val="17"/>
              </w:rPr>
              <w:t>1,498</w:t>
            </w:r>
          </w:p>
        </w:tc>
        <w:tc>
          <w:tcPr>
            <w:tcW w:type="dxa" w:w="1440"/>
            <w:shd w:fill="FFDCE0" w:val="clear"/>
          </w:tcPr>
          <w:p>
            <w:r>
              <w:rPr>
                <w:b/>
                <w:sz w:val="17"/>
              </w:rPr>
              <w:t>1,701</w:t>
            </w:r>
          </w:p>
        </w:tc>
        <w:tc>
          <w:tcPr>
            <w:tcW w:type="dxa" w:w="1440"/>
            <w:shd w:fill="FFDCE0" w:val="clear"/>
          </w:tcPr>
          <w:p>
            <w:r>
              <w:rPr>
                <w:sz w:val="17"/>
              </w:rPr>
              <w:t>1,904</w:t>
            </w:r>
          </w:p>
        </w:tc>
        <w:tc>
          <w:tcPr>
            <w:tcW w:type="dxa" w:w="1440"/>
            <w:shd w:fill="FFDCE0" w:val="clear"/>
          </w:tcPr>
          <w:p>
            <w:r>
              <w:rPr>
                <w:b/>
                <w:color w:val="C00000"/>
                <w:sz w:val="17"/>
              </w:rPr>
              <w:t>-30.6%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38.571 Mds FCFA</w:t>
            </w:r>
          </w:p>
        </w:tc>
        <w:tc>
          <w:tcPr>
            <w:tcW w:type="dxa" w:w="5669"/>
            <w:shd w:fill="FFFFFF" w:val="clear"/>
          </w:tcPr>
          <w:p>
            <w:r>
              <w:rPr>
                <w:color w:val="282828"/>
                <w:sz w:val="15"/>
              </w:rPr>
              <w:t>Créances clients = 6.4%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11.255 Mds FCFA</w:t>
            </w:r>
          </w:p>
        </w:tc>
        <w:tc>
          <w:tcPr>
            <w:tcW w:type="dxa" w:w="5669"/>
            <w:shd w:fill="FFFFFF" w:val="clear"/>
          </w:tcPr>
          <w:p>
            <w:r>
              <w:rPr>
                <w:color w:val="282828"/>
                <w:sz w:val="15"/>
              </w:rPr>
              <w:t>Rotation stocks = 53.8x/an.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99.584 Mds FCFA</w:t>
            </w:r>
          </w:p>
        </w:tc>
        <w:tc>
          <w:tcPr>
            <w:tcW w:type="dxa" w:w="5669"/>
            <w:shd w:fill="FFFFFF" w:val="clear"/>
          </w:tcPr>
          <w:p>
            <w:r>
              <w:rPr>
                <w:color w:val="282828"/>
                <w:sz w:val="15"/>
              </w:rPr>
              <w:t>Ratio actif circ./passif circ. = 1.18x.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9.468 Mds FCFA</w:t>
            </w:r>
          </w:p>
        </w:tc>
        <w:tc>
          <w:tcPr>
            <w:tcW w:type="dxa" w:w="5669"/>
            <w:shd w:fill="FFFFFF" w:val="clear"/>
          </w:tcPr>
          <w:p>
            <w:r>
              <w:rPr>
                <w:color w:val="282828"/>
                <w:sz w:val="15"/>
              </w:rPr>
              <w:t>Brevets, logiciels, fonds commercial (4.9%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61.559 Mds FCFA</w:t>
            </w:r>
          </w:p>
        </w:tc>
        <w:tc>
          <w:tcPr>
            <w:tcW w:type="dxa" w:w="5669"/>
            <w:shd w:fill="FFFFFF" w:val="clear"/>
          </w:tcPr>
          <w:p>
            <w:r>
              <w:rPr>
                <w:color w:val="282828"/>
                <w:sz w:val="15"/>
              </w:rPr>
              <w:t>Outil industriel (31.8%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88.944 Mds FCFA</w:t>
            </w:r>
          </w:p>
        </w:tc>
        <w:tc>
          <w:tcPr>
            <w:tcW w:type="dxa" w:w="5669"/>
            <w:shd w:fill="FFFFFF" w:val="clear"/>
          </w:tcPr>
          <w:p>
            <w:r>
              <w:rPr>
                <w:color w:val="282828"/>
                <w:sz w:val="15"/>
              </w:rPr>
              <w:t>Actif immobilisé = 46.0%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5.033 Mds FCFA</w:t>
            </w:r>
          </w:p>
        </w:tc>
        <w:tc>
          <w:tcPr>
            <w:tcW w:type="dxa" w:w="5669"/>
            <w:shd w:fill="FFFFFF" w:val="clear"/>
          </w:tcPr>
          <w:p>
            <w:r>
              <w:rPr>
                <w:color w:val="282828"/>
                <w:sz w:val="15"/>
              </w:rPr>
              <w:t>Liquidités disponibles (2.6%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193.561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9.432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27.159 Mds FCFA</w:t>
            </w:r>
          </w:p>
        </w:tc>
        <w:tc>
          <w:tcPr>
            <w:tcW w:type="dxa" w:w="5669"/>
            <w:shd w:fill="FFFFFF" w:val="clear"/>
          </w:tcPr>
          <w:p>
            <w:r>
              <w:rPr>
                <w:color w:val="282828"/>
                <w:sz w:val="15"/>
              </w:rPr>
              <w:t>Fonds propres = 14.0%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39.095 Mds FCFA</w:t>
            </w:r>
          </w:p>
        </w:tc>
        <w:tc>
          <w:tcPr>
            <w:tcW w:type="dxa" w:w="5669"/>
            <w:shd w:fill="FFFFFF" w:val="clear"/>
          </w:tcPr>
          <w:p>
            <w:r>
              <w:rPr>
                <w:color w:val="282828"/>
                <w:sz w:val="15"/>
              </w:rPr>
              <w:t>Capitaux permanents / Actif immobilisé = 0.44x.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53.430 Mds FCFA</w:t>
            </w:r>
          </w:p>
        </w:tc>
        <w:tc>
          <w:tcPr>
            <w:tcW w:type="dxa" w:w="5669"/>
            <w:shd w:fill="FFFFFF" w:val="clear"/>
          </w:tcPr>
          <w:p>
            <w:r>
              <w:rPr>
                <w:color w:val="282828"/>
                <w:sz w:val="15"/>
              </w:rPr>
              <w:t>Délai fournisseurs implicite ≈ 32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11.936 Mds FCFA</w:t>
            </w:r>
          </w:p>
        </w:tc>
        <w:tc>
          <w:tcPr>
            <w:tcW w:type="dxa" w:w="5669"/>
            <w:shd w:fill="FFFFFF" w:val="clear"/>
          </w:tcPr>
          <w:p>
            <w:r>
              <w:rPr>
                <w:color w:val="282828"/>
                <w:sz w:val="15"/>
              </w:rPr>
              <w:t>Dette LT/MT = 44%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11.936 Mds FCFA</w:t>
            </w:r>
          </w:p>
        </w:tc>
        <w:tc>
          <w:tcPr>
            <w:tcW w:type="dxa" w:w="5669"/>
            <w:shd w:fill="FFFFFF" w:val="clear"/>
          </w:tcPr>
          <w:p>
            <w:r>
              <w:rPr>
                <w:color w:val="282828"/>
                <w:sz w:val="15"/>
              </w:rPr>
              <w:t>Dette financière totale = 44%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166.403 Mds FCFA</w:t>
            </w:r>
          </w:p>
        </w:tc>
        <w:tc>
          <w:tcPr>
            <w:tcW w:type="dxa" w:w="5669"/>
            <w:shd w:fill="FFFFFF" w:val="clear"/>
          </w:tcPr>
          <w:p>
            <w:r>
              <w:rPr>
                <w:color w:val="282828"/>
                <w:sz w:val="15"/>
              </w:rPr>
              <w:t>Dettes totales = 86.0%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604.978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EB9C" w:val="clear"/>
          </w:tcPr>
          <w:p>
            <w:r>
              <w:rPr>
                <w:b/>
                <w:color w:val="006400"/>
                <w:sz w:val="17"/>
              </w:rPr>
              <w:t>604.978 Mds FCFA</w:t>
            </w:r>
          </w:p>
        </w:tc>
        <w:tc>
          <w:tcPr>
            <w:tcW w:type="dxa" w:w="5669"/>
            <w:shd w:fill="FFFFFF" w:val="clear"/>
          </w:tcPr>
          <w:p>
            <w:r>
              <w:rPr>
                <w:color w:val="282828"/>
                <w:sz w:val="15"/>
              </w:rPr>
              <w:t>Chiffre d'affaires. Croissance: 0.7%. ⚠️ Croissance limitée.</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-39.038 Mds FCFA</w:t>
            </w:r>
          </w:p>
        </w:tc>
        <w:tc>
          <w:tcPr>
            <w:tcW w:type="dxa" w:w="5669"/>
            <w:shd w:fill="FFFFFF" w:val="clear"/>
          </w:tcPr>
          <w:p>
            <w:r>
              <w:rPr>
                <w:color w:val="282828"/>
                <w:sz w:val="15"/>
              </w:rPr>
              <w:t>-6.5%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-5.543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-7.418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24.583 Mds FCFA</w:t>
            </w:r>
          </w:p>
        </w:tc>
        <w:tc>
          <w:tcPr>
            <w:tcW w:type="dxa" w:w="5669"/>
            <w:shd w:fill="FFFFFF" w:val="clear"/>
          </w:tcPr>
          <w:p>
            <w:r>
              <w:rPr>
                <w:color w:val="282828"/>
                <w:sz w:val="15"/>
              </w:rPr>
              <w:t>VA = 4.1%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17.166 Mds FCFA</w:t>
            </w:r>
          </w:p>
        </w:tc>
        <w:tc>
          <w:tcPr>
            <w:tcW w:type="dxa" w:w="5669"/>
            <w:shd w:fill="FFFFFF" w:val="clear"/>
          </w:tcPr>
          <w:p>
            <w:r>
              <w:rPr>
                <w:color w:val="282828"/>
                <w:sz w:val="15"/>
              </w:rPr>
              <w:t>EBE = 2.8%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11.682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-5.483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6.028 Mds FCFA</w:t>
            </w:r>
          </w:p>
        </w:tc>
        <w:tc>
          <w:tcPr>
            <w:tcW w:type="dxa" w:w="5669"/>
            <w:shd w:fill="FFFFFF" w:val="clear"/>
          </w:tcPr>
          <w:p>
            <w:r>
              <w:rPr>
                <w:color w:val="282828"/>
                <w:sz w:val="15"/>
              </w:rPr>
              <w:t>Marge nette = 1.0%.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12.330 Mds FCFA</w:t>
            </w:r>
          </w:p>
        </w:tc>
        <w:tc>
          <w:tcPr>
            <w:tcW w:type="dxa" w:w="5669"/>
            <w:shd w:fill="FFFFFF" w:val="clear"/>
          </w:tcPr>
          <w:p>
            <w:r>
              <w:rPr>
                <w:color w:val="282828"/>
                <w:sz w:val="15"/>
              </w:rPr>
              <w:t>CAF = 12.33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2.136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-12.723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-6.122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FFEB9C" w:val="clear"/>
          </w:tcPr>
          <w:p>
            <w:r>
              <w:rPr>
                <w:b/>
                <w:color w:val="B40000"/>
                <w:sz w:val="17"/>
              </w:rPr>
              <w:t>-1.538 Mds FCFA</w:t>
            </w:r>
          </w:p>
        </w:tc>
        <w:tc>
          <w:tcPr>
            <w:tcW w:type="dxa" w:w="5669"/>
            <w:shd w:fill="FFFFFF" w:val="clear"/>
          </w:tcPr>
          <w:p>
            <w:r>
              <w:rPr>
                <w:color w:val="282828"/>
                <w:sz w:val="15"/>
              </w:rPr>
              <w:t>FCF = flux opé. - capex. ⚠️ FCF négatif — investissements supérieurs au cash opérationnel.</w:t>
            </w:r>
          </w:p>
        </w:tc>
      </w:tr>
      <w:tr>
        <w:tc>
          <w:tcPr>
            <w:tcW w:type="dxa" w:w="2268"/>
            <w:shd w:fill="EEF2F7" w:val="clear"/>
          </w:tcPr>
          <w:p>
            <w:r>
              <w:rPr>
                <w:b/>
                <w:color w:val="1E1E3C"/>
                <w:sz w:val="16"/>
              </w:rPr>
              <w:t>BFR</w:t>
            </w:r>
          </w:p>
        </w:tc>
        <w:tc>
          <w:tcPr>
            <w:tcW w:type="dxa" w:w="1984"/>
            <w:shd w:fill="C6EFCE" w:val="clear"/>
          </w:tcPr>
          <w:p>
            <w:r>
              <w:rPr>
                <w:b/>
                <w:color w:val="006400"/>
                <w:sz w:val="17"/>
              </w:rPr>
              <w:t>15.315 Mds FCFA</w:t>
            </w:r>
          </w:p>
        </w:tc>
        <w:tc>
          <w:tcPr>
            <w:tcW w:type="dxa" w:w="5669"/>
            <w:shd w:fill="FFFFFF" w:val="clear"/>
          </w:tcPr>
          <w:p>
            <w:r>
              <w:rPr>
                <w:color w:val="282828"/>
                <w:sz w:val="15"/>
              </w:rPr>
              <w:t>BFR = 2.5% du CA. ✅ BFR modéré — cycle d'exploitation bien financé.</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-49.850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-65.264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9.35%</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1.00%</w:t>
            </w:r>
          </w:p>
        </w:tc>
        <w:tc>
          <w:tcPr>
            <w:tcW w:type="dxa" w:w="5669"/>
            <w:shd w:fill="FFFFFF" w:val="clear"/>
          </w:tcPr>
          <w:p>
            <w:r>
              <w:rPr>
                <w:color w:val="282828"/>
                <w:sz w:val="15"/>
              </w:rPr>
              <w:t>Résultat net / revenus = 1.00%.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1.93%</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22.20%</w:t>
            </w:r>
          </w:p>
        </w:tc>
        <w:tc>
          <w:tcPr>
            <w:tcW w:type="dxa" w:w="5669"/>
            <w:shd w:fill="FFFFFF" w:val="clear"/>
          </w:tcPr>
          <w:p>
            <w:r>
              <w:rPr>
                <w:color w:val="282828"/>
                <w:sz w:val="15"/>
              </w:rPr>
              <w:t>Résultat net / capitaux propres = 22.20%.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3.11%</w:t>
            </w:r>
          </w:p>
        </w:tc>
        <w:tc>
          <w:tcPr>
            <w:tcW w:type="dxa" w:w="5669"/>
            <w:shd w:fill="FFFFFF" w:val="clear"/>
          </w:tcPr>
          <w:p>
            <w:r>
              <w:rPr>
                <w:color w:val="282828"/>
                <w:sz w:val="15"/>
              </w:rPr>
              <w:t>Résultat net / total actif = 3.11%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312.55%</w:t>
            </w:r>
          </w:p>
        </w:tc>
        <w:tc>
          <w:tcPr>
            <w:tcW w:type="dxa" w:w="5669"/>
            <w:shd w:fill="FFFFFF" w:val="clear"/>
          </w:tcPr>
          <w:p>
            <w:r>
              <w:rPr>
                <w:color w:val="282828"/>
                <w:sz w:val="15"/>
              </w:rPr>
              <w:t>CA / total actif = 312.55x.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0.66%</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0.71%</w:t>
            </w:r>
          </w:p>
        </w:tc>
        <w:tc>
          <w:tcPr>
            <w:tcW w:type="dxa" w:w="5669"/>
            <w:shd w:fill="FFFFFF" w:val="clear"/>
          </w:tcPr>
          <w:p>
            <w:r>
              <w:rPr>
                <w:color w:val="282828"/>
                <w:sz w:val="15"/>
              </w:rPr>
              <w:t>Croissance CA vs exercice précédent = 0.71%.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14.03%</w:t>
            </w:r>
          </w:p>
        </w:tc>
        <w:tc>
          <w:tcPr>
            <w:tcW w:type="dxa" w:w="5669"/>
            <w:shd w:fill="FFFFFF" w:val="clear"/>
          </w:tcPr>
          <w:p>
            <w:r>
              <w:rPr>
                <w:color w:val="282828"/>
                <w:sz w:val="15"/>
              </w:rPr>
              <w:t>Fonds propres / total bilan = 14.03%.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85.97%</w:t>
            </w:r>
          </w:p>
        </w:tc>
        <w:tc>
          <w:tcPr>
            <w:tcW w:type="dxa" w:w="5669"/>
            <w:shd w:fill="FFFFFF" w:val="clear"/>
          </w:tcPr>
          <w:p>
            <w:r>
              <w:rPr>
                <w:color w:val="282828"/>
                <w:sz w:val="15"/>
              </w:rPr>
              <w:t>Dettes financières / total bilan = 85.97%.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43.95%</w:t>
            </w:r>
          </w:p>
        </w:tc>
        <w:tc>
          <w:tcPr>
            <w:tcW w:type="dxa" w:w="5669"/>
            <w:shd w:fill="FFFFFF" w:val="clear"/>
          </w:tcPr>
          <w:p>
            <w:r>
              <w:rPr>
                <w:color w:val="282828"/>
                <w:sz w:val="15"/>
              </w:rPr>
              <w:t>Dettes totales / fonds propres = 43.95%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116.32%</w:t>
            </w:r>
          </w:p>
        </w:tc>
        <w:tc>
          <w:tcPr>
            <w:tcW w:type="dxa" w:w="5669"/>
            <w:shd w:fill="FFFFFF" w:val="clear"/>
          </w:tcPr>
          <w:p>
            <w:r>
              <w:rPr>
                <w:color w:val="282828"/>
                <w:sz w:val="15"/>
              </w:rPr>
              <w:t>Total actif / dettes totales = 116.32x.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118.17%</w:t>
            </w:r>
          </w:p>
        </w:tc>
        <w:tc>
          <w:tcPr>
            <w:tcW w:type="dxa" w:w="5669"/>
            <w:shd w:fill="FFFFFF" w:val="clear"/>
          </w:tcPr>
          <w:p>
            <w:r>
              <w:rPr>
                <w:color w:val="282828"/>
                <w:sz w:val="15"/>
              </w:rPr>
              <w:t>Actif circulant / passif circulant = 118.17x. ✅ Liquidité satisfaisante.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5.97%</w:t>
            </w:r>
          </w:p>
        </w:tc>
        <w:tc>
          <w:tcPr>
            <w:tcW w:type="dxa" w:w="5669"/>
            <w:shd w:fill="FFFFFF" w:val="clear"/>
          </w:tcPr>
          <w:p>
            <w:r>
              <w:rPr>
                <w:color w:val="282828"/>
                <w:sz w:val="15"/>
              </w:rPr>
              <w:t>Trésorerie / passif circulant = 5.97x. ❌ Cash quasi inexistant face aux dettes CT.</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104.82%</w:t>
            </w:r>
          </w:p>
        </w:tc>
        <w:tc>
          <w:tcPr>
            <w:tcW w:type="dxa" w:w="5669"/>
            <w:shd w:fill="FFFFFF" w:val="clear"/>
          </w:tcPr>
          <w:p>
            <w:r>
              <w:rPr>
                <w:color w:val="282828"/>
                <w:sz w:val="15"/>
              </w:rPr>
              <w:t>(Actif circ. - stocks) / passif circ. = 104.82x. ✅ Liquidité réduite solide.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43.95%</w:t>
            </w:r>
          </w:p>
        </w:tc>
        <w:tc>
          <w:tcPr>
            <w:tcW w:type="dxa" w:w="5669"/>
            <w:shd w:fill="FFFFFF" w:val="clear"/>
          </w:tcPr>
          <w:p>
            <w:r>
              <w:rPr>
                <w:color w:val="282828"/>
                <w:sz w:val="15"/>
              </w:rPr>
              <w:t>Capitaux permanents / actif immobilisé = 43.95x.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292.84%</w:t>
            </w:r>
          </w:p>
        </w:tc>
        <w:tc>
          <w:tcPr>
            <w:tcW w:type="dxa" w:w="5669"/>
            <w:shd w:fill="FFFFFF" w:val="clear"/>
          </w:tcPr>
          <w:p>
            <w:r>
              <w:rPr>
                <w:color w:val="282828"/>
                <w:sz w:val="15"/>
              </w:rPr>
              <w:t>Résultat exploit. / charges financières = 292.84x.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88.91%</w:t>
            </w:r>
          </w:p>
        </w:tc>
        <w:tc>
          <w:tcPr>
            <w:tcW w:type="dxa" w:w="5669"/>
            <w:shd w:fill="FFFFFF" w:val="clear"/>
          </w:tcPr>
          <w:p>
            <w:r>
              <w:rPr>
                <w:color w:val="282828"/>
                <w:sz w:val="15"/>
              </w:rPr>
              <w:t>CAF / investissements = 88.91x.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23.3 j</w:t>
            </w:r>
          </w:p>
        </w:tc>
        <w:tc>
          <w:tcPr>
            <w:tcW w:type="dxa" w:w="5669"/>
            <w:shd w:fill="FFFFFF" w:val="clear"/>
          </w:tcPr>
          <w:p>
            <w:r>
              <w:rPr>
                <w:color w:val="282828"/>
                <w:sz w:val="15"/>
              </w:rPr>
              <w:t>Les clients paient en moyenne en 23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35.5 j</w:t>
            </w:r>
          </w:p>
        </w:tc>
        <w:tc>
          <w:tcPr>
            <w:tcW w:type="dxa" w:w="5669"/>
            <w:shd w:fill="FFFFFF" w:val="clear"/>
          </w:tcPr>
          <w:p>
            <w:r>
              <w:rPr>
                <w:color w:val="282828"/>
                <w:sz w:val="15"/>
              </w:rPr>
              <w:t>Paiement des fournisseurs en 35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7.5 j</w:t>
            </w:r>
          </w:p>
        </w:tc>
        <w:tc>
          <w:tcPr>
            <w:tcW w:type="dxa" w:w="5669"/>
            <w:shd w:fill="FFFFFF" w:val="clear"/>
          </w:tcPr>
          <w:p>
            <w:r>
              <w:rPr>
                <w:color w:val="282828"/>
                <w:sz w:val="15"/>
              </w:rPr>
              <w:t>Stock écoulé en 7 jours. ✅ Rotation rapide — faible immobilisation de capital.</w:t>
            </w:r>
          </w:p>
        </w:tc>
      </w:tr>
    </w:tbl>
    <w:p/>
    <w:p>
      <w:pPr>
        <w:spacing w:after="120" w:line="276" w:lineRule="auto"/>
      </w:pPr>
      <w:r>
        <w:t>**RAPPORT D'ANALYSE FINANCIÈRE — SHEC (VIVO ENERGY CÔTE D'IVOIRE)**</w:t>
        <w:br/>
        <w:t>**Date de l'analyse : 27 août 2026**</w:t>
        <w:br/>
        <w:t>**Cours de référence : 2 450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SHEC s'établit à 154,35 milliards FCFA, un niveau significatif sur la BRVM qui positionne le titre comme une valeur de taille moyenne à grande, bénéficiant d'une liquidité et d'une visibilité certaines. Avec un BPA de 96 FCFA, le titre se négocie à un PER de 25,6x, nettement supérieur à la moyenne historique de la place (~8-12x), ce qui traduit une prime de valorisation considérable. Cette prime est confirmée par un P/B de 5,68x, indiquant que le marché valorise fortement les capitaux propres de la société (27,159 Mds FCFA) par rapport à leur valeur comptable. Enfin, un EV/EBITDA de 13,5x, dans le haut de la fourchette des 10-15x, suggère que la valeur totale de l'entreprise (capitalisation + dette nette) est élevée par rapport à sa capacité opérationnelle (EBE de 17,166 Mds FCFA). Ces ratios combinés indiquent que le marché intègre des attentes de croissance future, mais laissent peu de marge d'erreur en cas de déception.</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SHEC a affiché une progression solide de +12,13%, clôturant à 2 450 FCFA, avec un léger repli de -0,20% lors de la dernière séance. Le cours a évolué dans une fourchette de 1 840 FCFA (plus bas) à 2 480 FCFA (plus haut), démontrant une dynamique haussière soutenue. La moyenne du cours sur la période (2 122 FCFA) est inférieure à la médiane (2 160 FCFA), et le mode est à 2 200 FCFA, ce qui suggère une distribution légèrement asymétrique où les valeurs extrêmes hautes tirent la moyenne vers le haut. L'écart-type de 151 FCFA, soit un coefficient de variation de 7,1%, indique une dispersion modérée autour de la moyenne. Le kurtosis négatif (-0.420) et le skewness positif (0.266) confirment une distribution proche de la normale, sans risque de mouvements extrêmes ou de pics de volatilité. La volatilité annualisée de 35,2% classe le titre dans la catégorie "élevée" (&gt;30%), ce qui implique des fluctuations de prix substantielles, un facteur de risque important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(2 450 FCFA) se situe nettement au-dessus de sa moyenne mobile à 20 jours (MM20 = 2 325,25 FCFA) et de sa moyenne mobile à 50 jours (MM50 = 2 234,9 FCFA). Cette configuration haussière, où les MM sont orientées à la hausse et le cours évolue au-dessus, génère un signal d'**Achat** clair, confirmant la tendance de fond positive du titre.</w:t>
      </w:r>
    </w:p>
    <w:p>
      <w:pPr>
        <w:spacing w:after="120" w:line="276" w:lineRule="auto"/>
      </w:pPr>
      <w:r>
        <w:t>**Bandes de Bollinger** : Le prix se négocie à 2 450 FCFA, proche de la borne supérieure (2 526,286 FCFA) et bien au-dessus de la borne inférieure (2 124,214 FCFA). Cette position suggère que le titre est relativement "chaud" après une phase de hausse, mais sans être en situation de surachat extrême. La décision est **Neutre**, car le marché pourrait soit continuer vers la borne supérieure, soit consolider après cette progression.</w:t>
      </w:r>
    </w:p>
    <w:p>
      <w:pPr>
        <w:spacing w:after="120" w:line="276" w:lineRule="auto"/>
      </w:pPr>
      <w:r>
        <w:t>**MACD** : La valeur du MACD (70,816) est supérieure à son signal (56,098), avec les deux indicateurs en territoire positif. Cette configuration montre un momentum haussier robuste et confirme la dynamique de tendance. La décision est **Achat**, signalant que la pression acheteuse reste dominante à moyen terme.</w:t>
      </w:r>
    </w:p>
    <w:p>
      <w:pPr>
        <w:spacing w:after="120" w:line="276" w:lineRule="auto"/>
      </w:pPr>
      <w:r>
        <w:t>**RSI** : Le RSI s'établit à 68,293, en dessous du seuil de surachat de 70 mais dans la zone supérieure de la zone neutre (30-70). Cela indique que le titre est fortement orienté à la hausse, mais qu'il n'est pas encore en situation de surachat extrême. La décision est **Neutre**, laissant une marge de progression avant une éventuelle correction technique.</w:t>
      </w:r>
    </w:p>
    <w:p>
      <w:pPr>
        <w:spacing w:after="120" w:line="276" w:lineRule="auto"/>
      </w:pPr>
      <w:r>
        <w:t>**Stochastique** : Le %K (89,286) et le %D (93,452) sont tous deux à des niveaux très élevés, bien au-dessus de 80, ce qui place le titre en zone de surachat. Le %K est inférieur au %D, suggérant un croisement baissier potentiel imminent. La décision est **Vente**, signalant un risque élevé de correction à court terme.</w:t>
      </w:r>
    </w:p>
    <w:p>
      <w:pPr>
        <w:spacing w:after="120" w:line="276" w:lineRule="auto"/>
      </w:pPr>
      <w:r>
        <w:t>**Conclusion technique** : Les indicateurs de tendance (MM, MACD) sont résolument haussiers, mais les oscillateurs de momentum (RSI, Stochastique) montrent des signes de surachat, notamment le Stochastique qui émet un signal de vente. Cette divergence suggère que la tendance de fond reste positive, mais qu'un repli technique ou une phase de consolidation est probable à très court terme avant la poursuite du mouvement haussier.</w:t>
      </w:r>
    </w:p>
    <w:p>
      <w:pPr>
        <w:spacing w:after="120" w:line="276" w:lineRule="auto"/>
      </w:pPr>
      <w:r>
        <w:t>---</w:t>
      </w:r>
    </w:p>
    <w:p>
      <w:pPr>
        <w:spacing w:after="120" w:line="276" w:lineRule="auto"/>
      </w:pPr>
      <w:r>
        <w:t>### PARTIE 3 : ANALYSE FONDAMENTALE (SECTION CRITIQUE)</w:t>
      </w:r>
    </w:p>
    <w:p>
      <w:pPr>
        <w:spacing w:after="120" w:line="276" w:lineRule="auto"/>
      </w:pPr>
      <w:r>
        <w:t>En 2025, SHEC (VIVO ENERGY CI) a réalisé un chiffre d'affaires de 604,978 milliards FCFA, en légère hausse de +0,71% par rapport à 2024 (600,708 Mds FCFA), et un résultat net de 6,028 milliards FCFA, en progression de +12,6% (contre 5,354 Mds FCFA en 2024). Cette amélioration de la rentabilité se reflète dans un ROE excellent de 22,2% (contre ~20,4% en 2024), bien au-dessus du seuil de 15% considéré comme performant, et un ROA de 3,11%. En tant qu'entreprise de distribution de produits pétroliers, la marge nette reste très faible (1,0%), mais le modèle économique génère un EBE de 17,166 Mds FCFA. La structure financière est le principal point de vigilance : l'autonomie financière est faible (14,03%), la trésorerie nette est fortement négative (-65,264 Mds FCFA) et le BFR est positif (15,315 Mds FCFA), indiquant un besoin de financement de l'exploitation. Le délai de paiement des clients (23,27 jours) est inférieur au délai de paiement accordé par les fournisseurs (35,47 jours), ce qui est un point positif pour la trésorerie. Les rapports trimestriels de 2025 (T3) et 2026 (T1, S1) montrent une tendance contrastée : le T3 2025 affichait un résultat net en hausse de +45%, mais le T1 2026 a vu le CA chuter de -9% (141,649 Mds FCFA) et le S1 2026 enregistre une baisse de -1% du CA (305,038 Mds FCFA) avec un résultat net de 3,016 Mds FCFA. Sur la base de ces données, on estime que l'exercice 2026 pourrait voir un résultat net stable ou en légère baisse, autour de 5,5 à 6 milliards FCFA, en raison de la baisse des volumes (notamment aviation et bitume) partiellement compensée par une bonne maîtrise des charges. La politique de dividende est très généreuse (6,09 Mds FCFA proposés pour 2025, soit un taux de distribution de 101%), ce qui, combiné à une trésorerie négative, fragilise la structure financière. La recommandation fondamentale est de **CONSERVER** le titre, la société étant bénéficiaire avec un ROE élevé, mais confrontée à des défis de liquidité et à une croissance atone.</w:t>
      </w:r>
    </w:p>
    <w:p>
      <w:pPr>
        <w:spacing w:after="120" w:line="276" w:lineRule="auto"/>
      </w:pPr>
      <w:r>
        <w:t>---</w:t>
      </w:r>
    </w:p>
    <w:p>
      <w:pPr>
        <w:spacing w:after="120" w:line="276" w:lineRule="auto"/>
      </w:pPr>
      <w:r>
        <w:t>### PARTIE 4 : CONCLUSION D'INVESTISSEMENT</w:t>
      </w:r>
    </w:p>
    <w:p>
      <w:pPr>
        <w:spacing w:after="120" w:line="276" w:lineRule="auto"/>
      </w:pPr>
      <w:r>
        <w:t>La valorisation de SHEC est exigeante (PER 25,6x, P/B 5,68x), nettement supérieure aux moyennes du marché, ce qui suggère une surévaluation relative et des attentes de croissance élevées. Le comportement du cours sur 100 jours est positif (+12,13%) avec une volatilité élevée (35,2%), mais les statistiques (kurtosis, skewness) indiquent une distribution normale sans risque de mouvements extrêmes. Les signaux techniques sont mitigés : une tendance haussière solide (MM, MACD) mais des oscillateurs en surachat (Stochastique, RSI proche de 70), suggérant un potentiel de consolidation à court terme. Les fondamentaux montrent une amélioration de la rentabilité (ROE 22,2%) mais une structure financière fragile (trésorerie nette négative de -65 Mds FCFA) et une croissance du CA atone. Les prédictions IA pour les 10 prochains jours (de 2 291 FCFA à 1 923 FCFA) anticipent une correction significative de -21,5%, ce qui contredit fortement les signaux techniques de tendance mais est cohérent avec les signaux de surachat et la valorisation élevée. La convergence entre la valorisation exigeante, les signaux de surachat technique et les prédictions IA baissières, malgré des fondamentaux corrects, conduit à une recommandation finale de **CONSERVER** avec un niveau de confiance **Moyen**. Le risque global est **Élevé** en raison de la volatilité et de la fragilité financière. L'horizon d'investissement optimal serait le **moyen terme (3-12 mois)**, en attendant une clarification sur la gestion de la trésorerie et une amélioration des volumes de vente, avec un point d'entrée potentiel si le cours corrige vers les 2 000-2 100 FCFA.</w:t>
      </w:r>
    </w:p>
    <w:p/>
    <w:p/>
    <w:p>
      <w:pPr>
        <w:pStyle w:val="Heading3"/>
      </w:pPr>
      <w:r>
        <w:rPr>
          <w:color w:val="005A32"/>
        </w:rPr>
        <w:t>📋 RAPPORTS &amp; COMMUNIQUÉS OFFICIELS</w:t>
      </w:r>
    </w:p>
    <w:p>
      <w:r>
        <w:rPr>
          <w:i/>
          <w:color w:val="646464"/>
          <w:sz w:val="18"/>
        </w:rPr>
        <w:t>26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nette malgr\u00e9 une l\u00e9g\u00e8re baisse du chiffre d'affaires, soutenue par le secteur du butane. La prudence est recommand\u00e9e en raison de la hausse de l'imp\u00f4t et de la d\u00e9pendance aux concours bancaires."}</w:t>
      </w:r>
    </w:p>
    <w:p>
      <w:pPr>
        <w:spacing w:before="40"/>
        <w:ind w:left="400"/>
      </w:pPr>
      <w:r>
        <w:rPr>
          <w:sz w:val="18"/>
        </w:rPr>
        <w:t>Au 30 juin 2026, VIVO ENERGY CI affiche un chiffre d'affaires de 305 038 millions FCFA, en baisse de 1% par rapport à 307 319 millions FCFA un an plus tôt. Cette baisse provient principalement d'une réduction de 3% des volumes vendus, notamment dans les secteurs aviation, bitume et entreprises, partiellement compensée par les hausses sur le Réseau, le Butane et les Lubrifiants. Le résultat d'exploitation progresse de 17% pour atteindre 6 133 millions FCFA, soutenu par la hausse des volumes de butane et la subvention d'exploitation. Le résultat net augmente de 15% à 3 016 millions FCFA contre 2 623 millions FCFA en 2025. La société maintient une performance rentable malgré un environnement co</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 '458 milliers de M3/TM', 'capital_social': '3 150 000 000 FCFA', 'resultat_financier': '-1 803 millions FCFA', 'resultat_exploitation': '6 133 millions FCFA', 'resultat_activites_ordinaires': '4 330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0.99%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3 016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305 038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légère baisse de 1% à 305 038 millions FCFA au 30 juin 2026.</w:t>
      </w:r>
    </w:p>
    <w:p>
      <w:pPr>
        <w:pStyle w:val="ListBullet"/>
        <w:spacing w:before="20" w:after="20"/>
        <w:ind w:left="700"/>
      </w:pPr>
      <w:r>
        <w:rPr>
          <w:sz w:val="18"/>
        </w:rPr>
        <w:t>Volume total en baisse de 3%, avec des reculs sur l'aviation, le bitume et les entreprises.</w:t>
      </w:r>
    </w:p>
    <w:p>
      <w:pPr>
        <w:pStyle w:val="ListBullet"/>
        <w:spacing w:before="20" w:after="20"/>
        <w:ind w:left="700"/>
      </w:pPr>
      <w:r>
        <w:rPr>
          <w:sz w:val="18"/>
        </w:rPr>
        <w:t>Croissance des secteurs Réseau, Butane et Lubrifiants.</w:t>
      </w:r>
    </w:p>
    <w:p>
      <w:pPr>
        <w:pStyle w:val="ListBullet"/>
        <w:spacing w:before="20" w:after="20"/>
        <w:ind w:left="700"/>
      </w:pPr>
      <w:r>
        <w:rPr>
          <w:sz w:val="18"/>
        </w:rPr>
        <w:t>Résultat d'exploitation en hausse de 17% à 6 133 millions FCFA grâce au butane.</w:t>
      </w:r>
    </w:p>
    <w:p>
      <w:pPr>
        <w:pStyle w:val="ListBullet"/>
        <w:spacing w:before="20" w:after="20"/>
        <w:ind w:left="700"/>
      </w:pPr>
      <w:r>
        <w:rPr>
          <w:sz w:val="18"/>
        </w:rPr>
        <w:t>Résultat net en hausse de 15% à 3 016 millions FCFA.</w:t>
      </w:r>
    </w:p>
    <w:p>
      <w:pPr>
        <w:pStyle w:val="ListBullet"/>
        <w:spacing w:before="20" w:after="20"/>
        <w:ind w:left="700"/>
      </w:pPr>
      <w:r>
        <w:rPr>
          <w:sz w:val="18"/>
        </w:rPr>
        <w:t>Résultat financier stable, à -1 803 millions FCFA, lié aux concours bancaires.</w:t>
      </w:r>
    </w:p>
    <w:p>
      <w:pPr>
        <w:spacing w:before="40"/>
        <w:ind w:left="400"/>
      </w:pPr>
      <w:r>
        <w:rPr>
          <w:b/>
          <w:color w:val="C05000"/>
          <w:sz w:val="18"/>
        </w:rPr>
        <w:t xml:space="preserve">⚠️ Risques : </w:t>
      </w:r>
      <w:r>
        <w:rPr>
          <w:sz w:val="18"/>
        </w:rPr>
        <w:t>["Baisse des volumes dans les secteurs aviation, bitume et entreprises.", "Hausse de 60% de l'imp\u00f4t sur le r\u00e9sultat pesant sur la rentabilit\u00e9 future.", "D\u00e9pendance aux concours bancaires pour financer l'activit\u00e9 et les investissements."]</w:t>
      </w:r>
    </w:p>
    <w:p>
      <w:pPr>
        <w:spacing w:before="40"/>
        <w:ind w:left="400"/>
      </w:pPr>
      <w:r>
        <w:rPr>
          <w:b/>
          <w:color w:val="0064A0"/>
          <w:sz w:val="18"/>
        </w:rPr>
        <w:t xml:space="preserve">🔮 Perspectives : </w:t>
      </w:r>
      <w:r>
        <w:rPr>
          <w:sz w:val="18"/>
        </w:rPr>
        <w:t>Pour le second semestre 2026, VIVO ENERGY CI devrait continuer à bénéficier de la dynamique positive des secteurs Réseau, Butane et Lubrifiants. Toutefois, l'entreprise devra surveiller la reprise des volumes dans l'aviation et le bitume, ainsi que la maîtrise des charges financières et fiscales pou</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d\u00e9montre une am\u00e9lioration notable de sa rentabilit\u00e9 (+13% sur le r\u00e9sultat net) et une gestion financi\u00e8re saine. Cependant, la croissance limit\u00e9e du chiffre d'affaires et la baisse temporaire au T1 2026 n\u00e9cessitent un suivi attentif."}</w:t>
      </w:r>
    </w:p>
    <w:p>
      <w:pPr>
        <w:spacing w:before="40"/>
        <w:ind w:left="400"/>
      </w:pPr>
      <w:r>
        <w:rPr>
          <w:sz w:val="18"/>
        </w:rPr>
        <w:t>Vivo Energy Côte d'Ivoire affiche des performances solides en 2025 avec un chiffre d'affaires de 604,978 milliards FCFA (+1%) et un résultat net de 6,028 milliards FCFA (+13%). La société bénéficie d'une amélioration significative de sa rentabilité malgré une croissance modeste du chiffre d'affaires. Les investissements dans les immobilisations corporelles (+7%) témoignent du renforcement de sa position concurrentielle. Le premier trimestre 2026 montre une baisse temporaire du chiffre d'affaires (-9%) mais une maîtrise des charges maintenant la rentabilité stable. La société maintient une structure financière équilibrée avec un total actif de 191,379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{'stocks': '11,255 milliards FCFA', 'marge_brute': '56,561 milliards FCFA', 'dettes_fournisseurs': '53,330 milliards FCFA', 'resultat_exploitation': '11,667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191,379 milliards FCFA</w:t>
            </w:r>
          </w:p>
        </w:tc>
      </w:tr>
      <w:tr>
        <w:tc>
          <w:tcPr>
            <w:tcW w:type="dxa" w:w="2160"/>
          </w:tcPr>
          <w:p>
            <w:r/>
            <w:r>
              <w:rPr>
                <w:b/>
                <w:sz w:val="16"/>
              </w:rPr>
              <w:t>resultat_net</w:t>
              <w:br/>
            </w:r>
            <w:r>
              <w:rPr>
                <w:sz w:val="18"/>
              </w:rPr>
              <w:t>6,028 milliards FCFA</w:t>
            </w:r>
          </w:p>
        </w:tc>
        <w:tc>
          <w:tcPr>
            <w:tcW w:type="dxa" w:w="2160"/>
          </w:tcPr>
          <w:p>
            <w:r/>
            <w:r>
              <w:rPr>
                <w:b/>
                <w:sz w:val="16"/>
              </w:rPr>
              <w:t>capitaux_propres</w:t>
              <w:br/>
            </w:r>
            <w:r>
              <w:rPr>
                <w:sz w:val="18"/>
              </w:rPr>
              <w:t>27,159 milliards FCFA</w:t>
            </w:r>
          </w:p>
        </w:tc>
        <w:tc>
          <w:tcPr>
            <w:tcW w:type="dxa" w:w="2160"/>
          </w:tcPr>
          <w:p>
            <w:r/>
            <w:r>
              <w:rPr>
                <w:b/>
                <w:sz w:val="16"/>
              </w:rPr>
              <w:t>chiffre_affaires</w:t>
              <w:br/>
            </w:r>
            <w:r>
              <w:rPr>
                <w:sz w:val="18"/>
              </w:rPr>
              <w:t>604,978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modérée du chiffre d'affaires de 1% à 604,978 milliards FCFA en 2025</w:t>
      </w:r>
    </w:p>
    <w:p>
      <w:pPr>
        <w:pStyle w:val="ListBullet"/>
        <w:spacing w:before="20" w:after="20"/>
        <w:ind w:left="700"/>
      </w:pPr>
      <w:r>
        <w:rPr>
          <w:sz w:val="18"/>
        </w:rPr>
        <w:t>Forte progression du résultat net de 13% à 6,028 milliards FCFA</w:t>
      </w:r>
    </w:p>
    <w:p>
      <w:pPr>
        <w:pStyle w:val="ListBullet"/>
        <w:spacing w:before="20" w:after="20"/>
        <w:ind w:left="700"/>
      </w:pPr>
      <w:r>
        <w:rPr>
          <w:sz w:val="18"/>
        </w:rPr>
        <w:t>Amélioration du résultat financier de 12% grâce à une meilleure gestion des découverts</w:t>
      </w:r>
    </w:p>
    <w:p>
      <w:pPr>
        <w:pStyle w:val="ListBullet"/>
        <w:spacing w:before="20" w:after="20"/>
        <w:ind w:left="700"/>
      </w:pPr>
      <w:r>
        <w:rPr>
          <w:sz w:val="18"/>
        </w:rPr>
        <w:t>Investissements significatifs dans les immobilisations corporelles (+7% à 61,570 millions FCFA)</w:t>
      </w:r>
    </w:p>
    <w:p>
      <w:pPr>
        <w:pStyle w:val="ListBullet"/>
        <w:spacing w:before="20" w:after="20"/>
        <w:ind w:left="700"/>
      </w:pPr>
      <w:r>
        <w:rPr>
          <w:sz w:val="18"/>
        </w:rPr>
        <w:t>Baisse temporaire du chiffre d'affaires au T1 2026 (-9%) due aux segments aviation et bitume</w:t>
      </w:r>
    </w:p>
    <w:p>
      <w:pPr>
        <w:pStyle w:val="ListBullet"/>
        <w:spacing w:before="20" w:after="20"/>
        <w:ind w:left="700"/>
      </w:pPr>
      <w:r>
        <w:rPr>
          <w:sz w:val="18"/>
        </w:rPr>
        <w:t>Réduction importante des dettes fournisseurs (-38%) grâce à l'apurement avec les avances</w:t>
      </w:r>
    </w:p>
    <w:p>
      <w:pPr>
        <w:spacing w:before="40"/>
        <w:ind w:left="400"/>
      </w:pPr>
      <w:r>
        <w:rPr>
          <w:b/>
          <w:color w:val="C05000"/>
          <w:sz w:val="18"/>
        </w:rPr>
        <w:t xml:space="preserve">⚠️ Risques : </w:t>
      </w:r>
      <w:r>
        <w:rPr>
          <w:sz w:val="18"/>
        </w:rPr>
        <w:t>["Volatilit\u00e9 des volumes sur les segments aviation et bitume impactant les revenus", "D\u00e9pendance aux conditions \u00e9conomiques locales et aux politiques \u00e9nerg\u00e9tiques gouvernementales", "Utilisation croissante des lignes de cr\u00e9dit augmentant les charges financi\u00e8res"]</w:t>
      </w:r>
    </w:p>
    <w:p>
      <w:pPr>
        <w:spacing w:before="40"/>
        <w:ind w:left="400"/>
      </w:pPr>
      <w:r>
        <w:rPr>
          <w:b/>
          <w:color w:val="0064A0"/>
          <w:sz w:val="18"/>
        </w:rPr>
        <w:t xml:space="preserve">🔮 Perspectives : </w:t>
      </w:r>
      <w:r>
        <w:rPr>
          <w:sz w:val="18"/>
        </w:rPr>
        <w:t>La société devrait bénéficier de la réouverture des sites fermés et du développement des segments butane et lubrifiants. La maîtrise des charges d'exploitation et les investissements réalisés devraient soutenir la croissance future, malgré un environnement concurrentiel challenging.</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soci\u00e9t\u00e9 affiche une am\u00e9lioration de sa rentabilit\u00e9 et propose un dividende en hausse, mais sa tr\u00e9sorerie nette est tr\u00e8s n\u00e9gative et son endettement \u00e9lev\u00e9. Malgr\u00e9 des fondamentaux globalement stables, les risques financiers li\u00e9s \u00e0 la liquidit\u00e9 et au besoin en fonds de roulement incitent \u00e0 conserver la position."}</w:t>
      </w:r>
    </w:p>
    <w:p>
      <w:pPr>
        <w:spacing w:before="40"/>
        <w:ind w:left="400"/>
      </w:pPr>
      <w:r>
        <w:rPr>
          <w:sz w:val="18"/>
        </w:rPr>
        <w:t>VIVO ENERGY CI a réalisé un chiffre d'affaires de 604,98 milliards FCFA en 2025, en légère hausse de 1% par rapport à 2024. Le résultat net progresse de 12,6% à 6,03 milliards FCFA, grâce à une amélioration de la marge opérationnelle. Le total du bilan s'établit à 193,56 milliards FCFA, en baisse par rapport à l'exercice précédent. La société propose un dividende brut de 6,09 milliards FCFA, en hausse, pour l'assemblée générale de juin 2026. Toutefois, la trésorerie nette est fortement négative, et les dettes fournisseurs restent importantes.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'17 165 524 243 FCFA', 'tresorerie_nette': '-65 264 223 693 FCFA', 'dettes_financieres': '11 936 054 687 FCFA', 'resultat_exploitation': '11 682 199 864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w:t>
            </w:r>
          </w:p>
        </w:tc>
        <w:tc>
          <w:tcPr>
            <w:tcW w:type="dxa" w:w="2160"/>
          </w:tcPr>
          <w:p>
            <w:pPr>
              <w:ind w:left="100"/>
            </w:pPr>
            <w:r/>
            <w:r>
              <w:rPr>
                <w:b/>
                <w:sz w:val="16"/>
              </w:rPr>
              <w:t>total_actif</w:t>
              <w:br/>
            </w:r>
            <w:r>
              <w:rPr>
                <w:sz w:val="18"/>
              </w:rPr>
              <w:t>193 561 278 972 FCFA</w:t>
            </w:r>
          </w:p>
        </w:tc>
      </w:tr>
      <w:tr>
        <w:tc>
          <w:tcPr>
            <w:tcW w:type="dxa" w:w="2160"/>
          </w:tcPr>
          <w:p>
            <w:r/>
            <w:r>
              <w:rPr>
                <w:b/>
                <w:sz w:val="16"/>
              </w:rPr>
              <w:t>resultat_net</w:t>
              <w:br/>
            </w:r>
            <w:r>
              <w:rPr>
                <w:sz w:val="18"/>
              </w:rPr>
              <w:t>6 028 125 958 FCFA</w:t>
            </w:r>
          </w:p>
        </w:tc>
        <w:tc>
          <w:tcPr>
            <w:tcW w:type="dxa" w:w="2160"/>
          </w:tcPr>
          <w:p>
            <w:r/>
            <w:r>
              <w:rPr>
                <w:b/>
                <w:sz w:val="16"/>
              </w:rPr>
              <w:t>capitaux_propres</w:t>
              <w:br/>
            </w:r>
            <w:r>
              <w:rPr>
                <w:sz w:val="18"/>
              </w:rPr>
              <w:t>27 158 717 963 FCFA</w:t>
            </w:r>
          </w:p>
        </w:tc>
        <w:tc>
          <w:tcPr>
            <w:tcW w:type="dxa" w:w="2160"/>
          </w:tcPr>
          <w:p>
            <w:r/>
            <w:r>
              <w:rPr>
                <w:b/>
                <w:sz w:val="16"/>
              </w:rPr>
              <w:t>chiffre_affaires</w:t>
              <w:br/>
            </w:r>
            <w:r>
              <w:rPr>
                <w:sz w:val="18"/>
              </w:rPr>
              <w:t>604 978 411 174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2025 en légère hausse de 1% à 604,98 milliards FCFA.</w:t>
      </w:r>
    </w:p>
    <w:p>
      <w:pPr>
        <w:pStyle w:val="ListBullet"/>
        <w:spacing w:before="20" w:after="20"/>
        <w:ind w:left="700"/>
      </w:pPr>
      <w:r>
        <w:rPr>
          <w:sz w:val="18"/>
        </w:rPr>
        <w:t>Résultat net en hausse de 12,6% à 6,03 milliards FCFA.</w:t>
      </w:r>
    </w:p>
    <w:p>
      <w:pPr>
        <w:pStyle w:val="ListBullet"/>
        <w:spacing w:before="20" w:after="20"/>
        <w:ind w:left="700"/>
      </w:pPr>
      <w:r>
        <w:rPr>
          <w:sz w:val="18"/>
        </w:rPr>
        <w:t>Résultat d'exploitation en hausse à 11,68 milliards FCFA.</w:t>
      </w:r>
    </w:p>
    <w:p>
      <w:pPr>
        <w:pStyle w:val="ListBullet"/>
        <w:spacing w:before="20" w:after="20"/>
        <w:ind w:left="700"/>
      </w:pPr>
      <w:r>
        <w:rPr>
          <w:sz w:val="18"/>
        </w:rPr>
        <w:t>Dividende proposé de 6,09 milliards FCFA pour l'exercice 2025.</w:t>
      </w:r>
    </w:p>
    <w:p>
      <w:pPr>
        <w:pStyle w:val="ListBullet"/>
        <w:spacing w:before="20" w:after="20"/>
        <w:ind w:left="700"/>
      </w:pPr>
      <w:r>
        <w:rPr>
          <w:sz w:val="18"/>
        </w:rPr>
        <w:t>Total du bilan en baisse à 193,56 milliards FCFA.</w:t>
      </w:r>
    </w:p>
    <w:p>
      <w:pPr>
        <w:pStyle w:val="ListBullet"/>
        <w:spacing w:before="20" w:after="20"/>
        <w:ind w:left="700"/>
      </w:pPr>
      <w:r>
        <w:rPr>
          <w:sz w:val="18"/>
        </w:rPr>
        <w:t>Endettement et trésorerie passif élevés, avec une trésorerie nette négative.</w:t>
      </w:r>
    </w:p>
    <w:p>
      <w:pPr>
        <w:spacing w:before="40"/>
        <w:ind w:left="400"/>
      </w:pPr>
      <w:r>
        <w:rPr>
          <w:b/>
          <w:color w:val="C05000"/>
          <w:sz w:val="18"/>
        </w:rPr>
        <w:t xml:space="preserve">⚠️ Risques : </w:t>
      </w:r>
      <w:r>
        <w:rPr>
          <w:sz w:val="18"/>
        </w:rPr>
        <w:t>["Tr\u00e9sorerie nette tr\u00e8s n\u00e9gative (65,26 milliards FCFA) et dettes fournisseurs importantes, exposant la soci\u00e9t\u00e9 \u00e0 des tensions de liquidit\u00e9.", "Endettement financier \u00e9lev\u00e9 avec des charges financi\u00e8res de pr\u00e8s de 4 milliards FCFA.", "D\u00e9penda</w:t>
      </w:r>
    </w:p>
    <w:p>
      <w:pPr>
        <w:spacing w:before="40"/>
        <w:ind w:left="400"/>
      </w:pPr>
      <w:r>
        <w:rPr>
          <w:b/>
          <w:color w:val="0064A0"/>
          <w:sz w:val="18"/>
        </w:rPr>
        <w:t xml:space="preserve">🔮 Perspectives : </w:t>
      </w:r>
      <w:r>
        <w:rPr>
          <w:sz w:val="18"/>
        </w:rPr>
        <w:t>Pour 2026, la société devrait poursuivre sa croissance modérée, portée par la stabilité de son activité de distribution d'énergie. La rentabilité pourrait être soutenue par une gestion stricte des coûts et des investissements dans les immobilisations. Cependant, la maîtrise du besoin en fonds de rou</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2025 solide avec une rentabilit\u00e9 en am\u00e9lioration et des investissements soutenus. Cependant, le ralentissement observ\u00e9 au T1 2026 n\u00e9cessite une surveillance de l'\u00e9volution des segments aviation et bitume."}</w:t>
      </w:r>
    </w:p>
    <w:p>
      <w:pPr>
        <w:spacing w:before="40"/>
        <w:ind w:left="400"/>
      </w:pPr>
      <w:r>
        <w:rPr>
          <w:sz w:val="18"/>
        </w:rPr>
        <w:t>Vivo Energy Côte d'Ivoire affiche une performance solide en 2025 avec un chiffre d'affaires de 604 978 millions FCFA (+1%) et un résultat net de 6 028 millions FCFA (+13%). La société a bénéficié d'une croissance des volumes de 5% notamment sur le butane et les lubrifiants, ainsi que de la réouverture de sites temporairement fermés. Les marges se sont améliorées grâce à une meilleure maîtrise des charges d'exploitation et à une réduction des coûts financiers. Le premier trimestre 2026 montre un ralentissement avec une baisse du chiffre d'affaires de 9% due aux segments aviation et bitume. La société maintient néanmoins sa rentabilité avec un résultat net stable au T1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'9,4%', 'croissance_ca': '+1%', 'capital_social': '3 150 millions FCFA', 'resultat_exploitation': '11 667 millions FCFA', 'croissance_resultat_net': '+13%'}</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1,0%</w:t>
            </w:r>
          </w:p>
        </w:tc>
        <w:tc>
          <w:tcPr>
            <w:tcW w:type="dxa" w:w="2160"/>
          </w:tcPr>
          <w:p>
            <w:pPr>
              <w:ind w:left="100"/>
            </w:pPr>
            <w:r/>
            <w:r>
              <w:rPr>
                <w:b/>
                <w:sz w:val="16"/>
              </w:rPr>
              <w:t>total_actif</w:t>
              <w:br/>
            </w:r>
            <w:r>
              <w:rPr>
                <w:sz w:val="18"/>
              </w:rPr>
              <w:t>191 379 millions FCFA</w:t>
            </w:r>
          </w:p>
        </w:tc>
      </w:tr>
      <w:tr>
        <w:tc>
          <w:tcPr>
            <w:tcW w:type="dxa" w:w="2160"/>
          </w:tcPr>
          <w:p>
            <w:r/>
            <w:r>
              <w:rPr>
                <w:b/>
                <w:sz w:val="16"/>
              </w:rPr>
              <w:t>resultat_net</w:t>
              <w:br/>
            </w:r>
            <w:r>
              <w:rPr>
                <w:sz w:val="18"/>
              </w:rPr>
              <w:t>6 028 millions FCFA (2025)</w:t>
            </w:r>
          </w:p>
        </w:tc>
        <w:tc>
          <w:tcPr>
            <w:tcW w:type="dxa" w:w="2160"/>
          </w:tcPr>
          <w:p>
            <w:r/>
            <w:r>
              <w:rPr>
                <w:b/>
                <w:sz w:val="16"/>
              </w:rPr>
              <w:t>capitaux_propres</w:t>
              <w:br/>
            </w:r>
            <w:r>
              <w:rPr>
                <w:sz w:val="18"/>
              </w:rPr>
              <w:t>27 159 millions FCFA</w:t>
            </w:r>
          </w:p>
        </w:tc>
        <w:tc>
          <w:tcPr>
            <w:tcW w:type="dxa" w:w="2160"/>
          </w:tcPr>
          <w:p>
            <w:r/>
            <w:r>
              <w:rPr>
                <w:b/>
                <w:sz w:val="16"/>
              </w:rPr>
              <w:t>chiffre_affaires</w:t>
              <w:br/>
            </w:r>
            <w:r>
              <w:rPr>
                <w:sz w:val="18"/>
              </w:rPr>
              <w:t>604 978 millions FCFA (2025)</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 en 2025 à 604 978 millions FCFA</w:t>
      </w:r>
    </w:p>
    <w:p>
      <w:pPr>
        <w:pStyle w:val="ListBullet"/>
        <w:spacing w:before="20" w:after="20"/>
        <w:ind w:left="700"/>
      </w:pPr>
      <w:r>
        <w:rPr>
          <w:sz w:val="18"/>
        </w:rPr>
        <w:t>Forte progression du résultat net de +13% à 6 028 millions FCFA en 2025</w:t>
      </w:r>
    </w:p>
    <w:p>
      <w:pPr>
        <w:pStyle w:val="ListBullet"/>
        <w:spacing w:before="20" w:after="20"/>
        <w:ind w:left="700"/>
      </w:pPr>
      <w:r>
        <w:rPr>
          <w:sz w:val="18"/>
        </w:rPr>
        <w:t>Amélioration de la marge brute de 7% grâce à l'optimisation opérationnelle</w:t>
      </w:r>
    </w:p>
    <w:p>
      <w:pPr>
        <w:pStyle w:val="ListBullet"/>
        <w:spacing w:before="20" w:after="20"/>
        <w:ind w:left="700"/>
      </w:pPr>
      <w:r>
        <w:rPr>
          <w:sz w:val="18"/>
        </w:rPr>
        <w:t>Augmentation des volumes de 5% portée par le butane et les lubrifiants</w:t>
      </w:r>
    </w:p>
    <w:p>
      <w:pPr>
        <w:pStyle w:val="ListBullet"/>
        <w:spacing w:before="20" w:after="20"/>
        <w:ind w:left="700"/>
      </w:pPr>
      <w:r>
        <w:rPr>
          <w:sz w:val="18"/>
        </w:rPr>
        <w:t>Investissements significatifs avec une hausse des immobilisations corporelles de 7%</w:t>
      </w:r>
    </w:p>
    <w:p>
      <w:pPr>
        <w:pStyle w:val="ListBullet"/>
        <w:spacing w:before="20" w:after="20"/>
        <w:ind w:left="700"/>
      </w:pPr>
      <w:r>
        <w:rPr>
          <w:sz w:val="18"/>
        </w:rPr>
        <w:t>Amélioration du résultat financier de 12% par une moindre utilisation des découverts</w:t>
      </w:r>
    </w:p>
    <w:p>
      <w:pPr>
        <w:spacing w:before="40"/>
        <w:ind w:left="400"/>
      </w:pPr>
      <w:r>
        <w:rPr>
          <w:b/>
          <w:color w:val="C05000"/>
          <w:sz w:val="18"/>
        </w:rPr>
        <w:t xml:space="preserve">⚠️ Risques : </w:t>
      </w:r>
      <w:r>
        <w:rPr>
          <w:sz w:val="18"/>
        </w:rPr>
        <w:t>["D\u00e9pendance aux fluctuations des prix des produits p\u00e9troliers et volatilit\u00e9 des marges", "Ralentissement des segments aviation et bitume observ\u00e9 au premier trimestre 2026", "Exposition aux variations de change et risque de change sur les approvisionnements"]</w:t>
      </w:r>
    </w:p>
    <w:p>
      <w:pPr>
        <w:spacing w:before="40"/>
        <w:ind w:left="400"/>
      </w:pPr>
      <w:r>
        <w:rPr>
          <w:b/>
          <w:color w:val="0064A0"/>
          <w:sz w:val="18"/>
        </w:rPr>
        <w:t xml:space="preserve">🔮 Perspectives : </w:t>
      </w:r>
      <w:r>
        <w:rPr>
          <w:sz w:val="18"/>
        </w:rPr>
        <w:t>L'année 2026 pourrait être marquée par une consolidation après la forte croissance de 2025, avec une attention particulière sur la reprise des segments aviation et bitume. La société devrait continuer à bénéficier de ses investissements dans l'expansion du réseau et l'amélioration opérationnelle pou</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croissance du chiffre d'affaires et des volumes, la d\u00e9gradation significative de la rentabilit\u00e9 n\u00e9cessite une surveillance. La position de leader avec Shell et la reprise d'activit\u00e9 post-COVID offrent des perspectives de redressement."}</w:t>
      </w:r>
    </w:p>
    <w:p>
      <w:pPr>
        <w:spacing w:before="40"/>
        <w:ind w:left="400"/>
      </w:pPr>
      <w:r>
        <w:rPr>
          <w:sz w:val="18"/>
        </w:rPr>
        <w:t>VIVO ENERGY CÔTE D'IVOIRE présente des résultats mitigés au premier semestre 2021 avec un chiffre d'affaires en forte progression de 17% à 180,7 milliards FCFA. Malgré cette croissance des revenus, la société enregistre une baisse significative de sa rentabilité avec un résultat d'exploitation en recul de 12% et un résultat net diminuant de 21% à 1,074 milliard FCFA. Les volumes de vente ont augmenté de 12% atteignant 338 millions de m³, reflétant une reprise d'activité post-COVID. La société opère en tant que filiale de Shell avec un capital de 3,15 milliards FCFA dans le secteur énergétique ivoirien. L'impact de la pandémie continue de peser sur la rentabilité opérationnelle malgré la repr</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{'volume_ventes': '338 millions m³', 'capital_social': '3 150 000 000 FCFA', 'resultat_exploitation': '1 971 millions FCFA', 'resultat_activites_ordinaires': '1 556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0,59%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1 074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180 724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17% à 180,7 milliards FCFA</w:t>
      </w:r>
    </w:p>
    <w:p>
      <w:pPr>
        <w:pStyle w:val="ListBullet"/>
        <w:spacing w:before="20" w:after="20"/>
        <w:ind w:left="700"/>
      </w:pPr>
      <w:r>
        <w:rPr>
          <w:sz w:val="18"/>
        </w:rPr>
        <w:t>Volume des ventes en progression de 12% à 338 millions de m³</w:t>
      </w:r>
    </w:p>
    <w:p>
      <w:pPr>
        <w:pStyle w:val="ListBullet"/>
        <w:spacing w:before="20" w:after="20"/>
        <w:ind w:left="700"/>
      </w:pPr>
      <w:r>
        <w:rPr>
          <w:sz w:val="18"/>
        </w:rPr>
        <w:t>Résultat d'exploitation en baisse de 12% à 1,971 million FCFA</w:t>
      </w:r>
    </w:p>
    <w:p>
      <w:pPr>
        <w:pStyle w:val="ListBullet"/>
        <w:spacing w:before="20" w:after="20"/>
        <w:ind w:left="700"/>
      </w:pPr>
      <w:r>
        <w:rPr>
          <w:sz w:val="18"/>
        </w:rPr>
        <w:t>Résultat net en recul de 21% à 1,074 milliard FCFA</w:t>
      </w:r>
    </w:p>
    <w:p>
      <w:pPr>
        <w:pStyle w:val="ListBullet"/>
        <w:spacing w:before="20" w:after="20"/>
        <w:ind w:left="700"/>
      </w:pPr>
      <w:r>
        <w:rPr>
          <w:sz w:val="18"/>
        </w:rPr>
        <w:t>Résultat des activités ordinaires diminue de 23%</w:t>
      </w:r>
    </w:p>
    <w:p>
      <w:pPr>
        <w:pStyle w:val="ListBullet"/>
        <w:spacing w:before="20" w:after="20"/>
        <w:ind w:left="700"/>
      </w:pPr>
      <w:r>
        <w:rPr>
          <w:sz w:val="18"/>
        </w:rPr>
        <w:t>Augmentation des charges d'exploitation liées au transport et à la pandémie COVID-19</w:t>
      </w:r>
    </w:p>
    <w:p>
      <w:pPr>
        <w:spacing w:before="40"/>
        <w:ind w:left="400"/>
      </w:pPr>
      <w:r>
        <w:rPr>
          <w:b/>
          <w:color w:val="C05000"/>
          <w:sz w:val="18"/>
        </w:rPr>
        <w:t xml:space="preserve">⚠️ Risques : </w:t>
      </w:r>
      <w:r>
        <w:rPr>
          <w:sz w:val="18"/>
        </w:rPr>
        <w:t>["D\u00e9t\u00e9rioration continue de la rentabilit\u00e9 op\u00e9rationnelle", "Impact persistant de la pand\u00e9mie COVID-19 sur les co\u00fbts d'exploitation", "Augmentation des charges li\u00e9es au transport et aux investissements"]</w:t>
      </w:r>
    </w:p>
    <w:p>
      <w:pPr>
        <w:spacing w:before="40"/>
        <w:ind w:left="400"/>
      </w:pPr>
      <w:r>
        <w:rPr>
          <w:b/>
          <w:color w:val="0064A0"/>
          <w:sz w:val="18"/>
        </w:rPr>
        <w:t xml:space="preserve">🔮 Perspectives : </w:t>
      </w:r>
      <w:r>
        <w:rPr>
          <w:sz w:val="18"/>
        </w:rPr>
        <w:t>La reprise des volumes et l'amélioration de l'environnement sanitaire laissent entrevoir une possible amélioration de la rentabilité. La société devra maîtriser ses charges d'exploitation pour restaurer ses marges historiques et capitaliser sur la croissance de la demande énergétique en Côte d'Ivoir</w:t>
      </w:r>
    </w:p>
    <w:p/>
    <w:p>
      <w:r>
        <w:t>════════════════════════════════════════════════════════════════════════════════</w:t>
      </w:r>
    </w:p>
    <w:p>
      <w:r>
        <w:br w:type="page"/>
      </w:r>
    </w:p>
    <w:p>
      <w:pPr>
        <w:pStyle w:val="Heading2"/>
        <w:spacing w:before="360"/>
      </w:pPr>
      <w:r>
        <w:rPr>
          <w:color w:val="0066CC"/>
        </w:rPr>
        <w:t>34. SIBC - SIBC - SOCIETE IVOIRIENNE DE BANQUE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SIBC</w:t>
            </w:r>
          </w:p>
          <w:p>
            <w:r>
              <w:rPr>
                <w:b/>
                <w:color w:val="323250"/>
                <w:sz w:val="16"/>
              </w:rPr>
              <w:t xml:space="preserve">Société : </w:t>
            </w:r>
            <w:r>
              <w:rPr>
                <w:color w:val="000000"/>
                <w:sz w:val="16"/>
              </w:rPr>
              <w:t>SIBC - SOCIETE IVOIRIENNE DE BANQUE</w:t>
            </w:r>
          </w:p>
          <w:p>
            <w:r>
              <w:rPr>
                <w:b/>
                <w:color w:val="323250"/>
                <w:sz w:val="16"/>
              </w:rPr>
              <w:t xml:space="preserve">Secteur : </w:t>
            </w:r>
            <w:r>
              <w:rPr>
                <w:color w:val="000000"/>
                <w:sz w:val="16"/>
              </w:rPr>
              <w:t>SERVICES FINANCIERS</w:t>
            </w:r>
          </w:p>
        </w:tc>
        <w:tc>
          <w:tcPr>
            <w:tcW w:type="dxa" w:w="2268"/>
            <w:shd w:fill="E2EFDA" w:val="clear"/>
          </w:tcPr>
          <w:p>
            <w:r>
              <w:rPr>
                <w:b/>
                <w:color w:val="1E461E"/>
                <w:sz w:val="16"/>
              </w:rPr>
              <w:t xml:space="preserve">Capitalisation : </w:t>
            </w:r>
            <w:r>
              <w:rPr>
                <w:b/>
                <w:color w:val="006400"/>
                <w:sz w:val="17"/>
              </w:rPr>
              <w:t>920.00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8,864 titres</w:t>
            </w:r>
          </w:p>
        </w:tc>
        <w:tc>
          <w:tcPr>
            <w:tcW w:type="dxa" w:w="2268"/>
            <w:shd w:fill="FFF2CC" w:val="clear"/>
          </w:tcPr>
          <w:p>
            <w:r>
              <w:rPr>
                <w:b/>
                <w:color w:val="503200"/>
                <w:sz w:val="16"/>
              </w:rPr>
              <w:t xml:space="preserve">Cours actuel : </w:t>
            </w:r>
            <w:r>
              <w:rPr>
                <w:color w:val="000000"/>
                <w:sz w:val="17"/>
              </w:rPr>
              <w:t>9,200 FCFA</w:t>
            </w:r>
          </w:p>
          <w:p>
            <w:r>
              <w:rPr>
                <w:b/>
                <w:color w:val="503200"/>
                <w:sz w:val="16"/>
              </w:rPr>
              <w:t xml:space="preserve">Var. 100 jours : </w:t>
            </w:r>
            <w:r>
              <w:rPr>
                <w:b/>
                <w:color w:val="007800"/>
                <w:sz w:val="17"/>
              </w:rPr>
              <w:t>+33.33%</w:t>
            </w:r>
          </w:p>
          <w:p>
            <w:r>
              <w:rPr>
                <w:b/>
                <w:color w:val="503200"/>
                <w:sz w:val="16"/>
              </w:rPr>
              <w:t xml:space="preserve">Plus haut 100j : </w:t>
            </w:r>
            <w:r>
              <w:rPr>
                <w:color w:val="000000"/>
                <w:sz w:val="17"/>
              </w:rPr>
              <w:t>9,500 FCFA</w:t>
            </w:r>
          </w:p>
          <w:p>
            <w:r>
              <w:rPr>
                <w:b/>
                <w:color w:val="503200"/>
                <w:sz w:val="16"/>
              </w:rPr>
              <w:t xml:space="preserve">Plus bas 100j : </w:t>
            </w:r>
            <w:r>
              <w:rPr>
                <w:color w:val="000000"/>
                <w:sz w:val="17"/>
              </w:rPr>
              <w:t>6,805 FCFA</w:t>
            </w:r>
          </w:p>
          <w:p>
            <w:r>
              <w:rPr>
                <w:b/>
                <w:color w:val="503200"/>
                <w:sz w:val="16"/>
              </w:rPr>
              <w:t xml:space="preserve">Volatilité ann. : </w:t>
            </w:r>
            <w:r>
              <w:rPr>
                <w:color w:val="000000"/>
                <w:sz w:val="17"/>
              </w:rPr>
              <w:t>28.4%</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17.3/100 → Faible</w:t>
      </w:r>
    </w:p>
    <w:p>
      <w:pPr>
        <w:spacing w:before="40" w:after="80"/>
      </w:pPr>
      <w:r>
        <w:rPr>
          <w:rFonts w:ascii="Courier New" w:hAnsi="Courier New"/>
          <w:color w:val="006400"/>
          <w:sz w:val="18"/>
        </w:rPr>
        <w:t>███░░░░░░░░░░░░░░░░░  17.3/100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10.59% (Moyenne) — μ=8,286 FCFA, σ=878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β=0.3612 (Défensif) — Cov=0.000013, Var(idx)=0.000035, ρ=0.120,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8,864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σ_j=1.79%/j (Stable) — Vol. annualisée≈28.4%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67/100  (Bon)</w:t>
      </w:r>
    </w:p>
    <w:p/>
    <w:p>
      <w:pPr>
        <w:jc w:val="center"/>
      </w:pPr>
      <w:r>
        <w:drawing>
          <wp:inline xmlns:a="http://schemas.openxmlformats.org/drawingml/2006/main" xmlns:pic="http://schemas.openxmlformats.org/drawingml/2006/picture">
            <wp:extent cx="5669280" cy="2635585"/>
            <wp:docPr id="36" name="Picture 36"/>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2026-08-28</w:t>
            </w:r>
          </w:p>
        </w:tc>
        <w:tc>
          <w:tcPr>
            <w:tcW w:type="dxa" w:w="1440"/>
            <w:shd w:fill="FFDCE0" w:val="clear"/>
          </w:tcPr>
          <w:p>
            <w:r>
              <w:rPr>
                <w:sz w:val="17"/>
              </w:rPr>
              <w:t>8,598</w:t>
            </w:r>
          </w:p>
        </w:tc>
        <w:tc>
          <w:tcPr>
            <w:tcW w:type="dxa" w:w="1440"/>
            <w:shd w:fill="FFDCE0" w:val="clear"/>
          </w:tcPr>
          <w:p>
            <w:r>
              <w:rPr>
                <w:b/>
                <w:sz w:val="17"/>
              </w:rPr>
              <w:t>8,878</w:t>
            </w:r>
          </w:p>
        </w:tc>
        <w:tc>
          <w:tcPr>
            <w:tcW w:type="dxa" w:w="1440"/>
            <w:shd w:fill="FFDCE0" w:val="clear"/>
          </w:tcPr>
          <w:p>
            <w:r>
              <w:rPr>
                <w:sz w:val="17"/>
              </w:rPr>
              <w:t>9,158</w:t>
            </w:r>
          </w:p>
        </w:tc>
        <w:tc>
          <w:tcPr>
            <w:tcW w:type="dxa" w:w="1440"/>
            <w:shd w:fill="FFDCE0" w:val="clear"/>
          </w:tcPr>
          <w:p>
            <w:r>
              <w:rPr>
                <w:b/>
                <w:color w:val="C00000"/>
                <w:sz w:val="17"/>
              </w:rPr>
              <w:t>-3.5%</w:t>
            </w:r>
          </w:p>
        </w:tc>
      </w:tr>
      <w:tr>
        <w:tc>
          <w:tcPr>
            <w:tcW w:type="dxa" w:w="1440"/>
            <w:shd w:fill="FFDCE0" w:val="clear"/>
          </w:tcPr>
          <w:p>
            <w:r>
              <w:rPr>
                <w:sz w:val="17"/>
              </w:rPr>
              <w:t>J+2  ⭐⭐⭐</w:t>
            </w:r>
          </w:p>
        </w:tc>
        <w:tc>
          <w:tcPr>
            <w:tcW w:type="dxa" w:w="1440"/>
            <w:shd w:fill="FFDCE0" w:val="clear"/>
          </w:tcPr>
          <w:p>
            <w:r>
              <w:rPr>
                <w:sz w:val="17"/>
              </w:rPr>
              <w:t>2026-08-31</w:t>
            </w:r>
          </w:p>
        </w:tc>
        <w:tc>
          <w:tcPr>
            <w:tcW w:type="dxa" w:w="1440"/>
            <w:shd w:fill="FFDCE0" w:val="clear"/>
          </w:tcPr>
          <w:p>
            <w:r>
              <w:rPr>
                <w:sz w:val="17"/>
              </w:rPr>
              <w:t>8,194</w:t>
            </w:r>
          </w:p>
        </w:tc>
        <w:tc>
          <w:tcPr>
            <w:tcW w:type="dxa" w:w="1440"/>
            <w:shd w:fill="FFDCE0" w:val="clear"/>
          </w:tcPr>
          <w:p>
            <w:r>
              <w:rPr>
                <w:b/>
                <w:sz w:val="17"/>
              </w:rPr>
              <w:t>8,576</w:t>
            </w:r>
          </w:p>
        </w:tc>
        <w:tc>
          <w:tcPr>
            <w:tcW w:type="dxa" w:w="1440"/>
            <w:shd w:fill="FFDCE0" w:val="clear"/>
          </w:tcPr>
          <w:p>
            <w:r>
              <w:rPr>
                <w:sz w:val="17"/>
              </w:rPr>
              <w:t>8,958</w:t>
            </w:r>
          </w:p>
        </w:tc>
        <w:tc>
          <w:tcPr>
            <w:tcW w:type="dxa" w:w="1440"/>
            <w:shd w:fill="FFDCE0" w:val="clear"/>
          </w:tcPr>
          <w:p>
            <w:r>
              <w:rPr>
                <w:b/>
                <w:color w:val="C00000"/>
                <w:sz w:val="17"/>
              </w:rPr>
              <w:t>-6.8%</w:t>
            </w:r>
          </w:p>
        </w:tc>
      </w:tr>
      <w:tr>
        <w:tc>
          <w:tcPr>
            <w:tcW w:type="dxa" w:w="1440"/>
            <w:shd w:fill="FFDCE0" w:val="clear"/>
          </w:tcPr>
          <w:p>
            <w:r>
              <w:rPr>
                <w:sz w:val="17"/>
              </w:rPr>
              <w:t>J+3  ⭐⭐⭐</w:t>
            </w:r>
          </w:p>
        </w:tc>
        <w:tc>
          <w:tcPr>
            <w:tcW w:type="dxa" w:w="1440"/>
            <w:shd w:fill="FFDCE0" w:val="clear"/>
          </w:tcPr>
          <w:p>
            <w:r>
              <w:rPr>
                <w:sz w:val="17"/>
              </w:rPr>
              <w:t>2026-09-01</w:t>
            </w:r>
          </w:p>
        </w:tc>
        <w:tc>
          <w:tcPr>
            <w:tcW w:type="dxa" w:w="1440"/>
            <w:shd w:fill="FFDCE0" w:val="clear"/>
          </w:tcPr>
          <w:p>
            <w:r>
              <w:rPr>
                <w:sz w:val="17"/>
              </w:rPr>
              <w:t>7,851</w:t>
            </w:r>
          </w:p>
        </w:tc>
        <w:tc>
          <w:tcPr>
            <w:tcW w:type="dxa" w:w="1440"/>
            <w:shd w:fill="FFDCE0" w:val="clear"/>
          </w:tcPr>
          <w:p>
            <w:r>
              <w:rPr>
                <w:b/>
                <w:sz w:val="17"/>
              </w:rPr>
              <w:t>8,304</w:t>
            </w:r>
          </w:p>
        </w:tc>
        <w:tc>
          <w:tcPr>
            <w:tcW w:type="dxa" w:w="1440"/>
            <w:shd w:fill="FFDCE0" w:val="clear"/>
          </w:tcPr>
          <w:p>
            <w:r>
              <w:rPr>
                <w:sz w:val="17"/>
              </w:rPr>
              <w:t>8,757</w:t>
            </w:r>
          </w:p>
        </w:tc>
        <w:tc>
          <w:tcPr>
            <w:tcW w:type="dxa" w:w="1440"/>
            <w:shd w:fill="FFDCE0" w:val="clear"/>
          </w:tcPr>
          <w:p>
            <w:r>
              <w:rPr>
                <w:b/>
                <w:color w:val="C00000"/>
                <w:sz w:val="17"/>
              </w:rPr>
              <w:t>-9.7%</w:t>
            </w:r>
          </w:p>
        </w:tc>
      </w:tr>
      <w:tr>
        <w:tc>
          <w:tcPr>
            <w:tcW w:type="dxa" w:w="1440"/>
            <w:shd w:fill="FFDCE0" w:val="clear"/>
          </w:tcPr>
          <w:p>
            <w:r>
              <w:rPr>
                <w:sz w:val="17"/>
              </w:rPr>
              <w:t>J+4  Moyenne</w:t>
            </w:r>
          </w:p>
        </w:tc>
        <w:tc>
          <w:tcPr>
            <w:tcW w:type="dxa" w:w="1440"/>
            <w:shd w:fill="FFDCE0" w:val="clear"/>
          </w:tcPr>
          <w:p>
            <w:r>
              <w:rPr>
                <w:sz w:val="17"/>
              </w:rPr>
              <w:t>2026-09-02</w:t>
            </w:r>
          </w:p>
        </w:tc>
        <w:tc>
          <w:tcPr>
            <w:tcW w:type="dxa" w:w="1440"/>
            <w:shd w:fill="FFDCE0" w:val="clear"/>
          </w:tcPr>
          <w:p>
            <w:r>
              <w:rPr>
                <w:sz w:val="17"/>
              </w:rPr>
              <w:t>7,565</w:t>
            </w:r>
          </w:p>
        </w:tc>
        <w:tc>
          <w:tcPr>
            <w:tcW w:type="dxa" w:w="1440"/>
            <w:shd w:fill="FFDCE0" w:val="clear"/>
          </w:tcPr>
          <w:p>
            <w:r>
              <w:rPr>
                <w:b/>
                <w:sz w:val="17"/>
              </w:rPr>
              <w:t>8,073</w:t>
            </w:r>
          </w:p>
        </w:tc>
        <w:tc>
          <w:tcPr>
            <w:tcW w:type="dxa" w:w="1440"/>
            <w:shd w:fill="FFDCE0" w:val="clear"/>
          </w:tcPr>
          <w:p>
            <w:r>
              <w:rPr>
                <w:sz w:val="17"/>
              </w:rPr>
              <w:t>8,582</w:t>
            </w:r>
          </w:p>
        </w:tc>
        <w:tc>
          <w:tcPr>
            <w:tcW w:type="dxa" w:w="1440"/>
            <w:shd w:fill="FFDCE0" w:val="clear"/>
          </w:tcPr>
          <w:p>
            <w:r>
              <w:rPr>
                <w:b/>
                <w:color w:val="C00000"/>
                <w:sz w:val="17"/>
              </w:rPr>
              <w:t>-12.2%</w:t>
            </w:r>
          </w:p>
        </w:tc>
      </w:tr>
      <w:tr>
        <w:tc>
          <w:tcPr>
            <w:tcW w:type="dxa" w:w="1440"/>
            <w:shd w:fill="FFDCE0" w:val="clear"/>
          </w:tcPr>
          <w:p>
            <w:r>
              <w:rPr>
                <w:sz w:val="17"/>
              </w:rPr>
              <w:t>J+5  Moyenne</w:t>
            </w:r>
          </w:p>
        </w:tc>
        <w:tc>
          <w:tcPr>
            <w:tcW w:type="dxa" w:w="1440"/>
            <w:shd w:fill="FFDCE0" w:val="clear"/>
          </w:tcPr>
          <w:p>
            <w:r>
              <w:rPr>
                <w:sz w:val="17"/>
              </w:rPr>
              <w:t>2026-09-03</w:t>
            </w:r>
          </w:p>
        </w:tc>
        <w:tc>
          <w:tcPr>
            <w:tcW w:type="dxa" w:w="1440"/>
            <w:shd w:fill="FFDCE0" w:val="clear"/>
          </w:tcPr>
          <w:p>
            <w:r>
              <w:rPr>
                <w:sz w:val="17"/>
              </w:rPr>
              <w:t>7,324</w:t>
            </w:r>
          </w:p>
        </w:tc>
        <w:tc>
          <w:tcPr>
            <w:tcW w:type="dxa" w:w="1440"/>
            <w:shd w:fill="FFDCE0" w:val="clear"/>
          </w:tcPr>
          <w:p>
            <w:r>
              <w:rPr>
                <w:b/>
                <w:sz w:val="17"/>
              </w:rPr>
              <w:t>7,879</w:t>
            </w:r>
          </w:p>
        </w:tc>
        <w:tc>
          <w:tcPr>
            <w:tcW w:type="dxa" w:w="1440"/>
            <w:shd w:fill="FFDCE0" w:val="clear"/>
          </w:tcPr>
          <w:p>
            <w:r>
              <w:rPr>
                <w:sz w:val="17"/>
              </w:rPr>
              <w:t>8,434</w:t>
            </w:r>
          </w:p>
        </w:tc>
        <w:tc>
          <w:tcPr>
            <w:tcW w:type="dxa" w:w="1440"/>
            <w:shd w:fill="FFDCE0" w:val="clear"/>
          </w:tcPr>
          <w:p>
            <w:r>
              <w:rPr>
                <w:b/>
                <w:color w:val="C00000"/>
                <w:sz w:val="17"/>
              </w:rPr>
              <w:t>-14.4%</w:t>
            </w:r>
          </w:p>
        </w:tc>
      </w:tr>
      <w:tr>
        <w:tc>
          <w:tcPr>
            <w:tcW w:type="dxa" w:w="1440"/>
            <w:shd w:fill="FFDCE0" w:val="clear"/>
          </w:tcPr>
          <w:p>
            <w:r>
              <w:rPr>
                <w:sz w:val="17"/>
              </w:rPr>
              <w:t>J+6  Moyenne</w:t>
            </w:r>
          </w:p>
        </w:tc>
        <w:tc>
          <w:tcPr>
            <w:tcW w:type="dxa" w:w="1440"/>
            <w:shd w:fill="FFDCE0" w:val="clear"/>
          </w:tcPr>
          <w:p>
            <w:r>
              <w:rPr>
                <w:sz w:val="17"/>
              </w:rPr>
              <w:t>2026-09-04</w:t>
            </w:r>
          </w:p>
        </w:tc>
        <w:tc>
          <w:tcPr>
            <w:tcW w:type="dxa" w:w="1440"/>
            <w:shd w:fill="FFDCE0" w:val="clear"/>
          </w:tcPr>
          <w:p>
            <w:r>
              <w:rPr>
                <w:sz w:val="17"/>
              </w:rPr>
              <w:t>7,117</w:t>
            </w:r>
          </w:p>
        </w:tc>
        <w:tc>
          <w:tcPr>
            <w:tcW w:type="dxa" w:w="1440"/>
            <w:shd w:fill="FFDCE0" w:val="clear"/>
          </w:tcPr>
          <w:p>
            <w:r>
              <w:rPr>
                <w:b/>
                <w:sz w:val="17"/>
              </w:rPr>
              <w:t>7,713</w:t>
            </w:r>
          </w:p>
        </w:tc>
        <w:tc>
          <w:tcPr>
            <w:tcW w:type="dxa" w:w="1440"/>
            <w:shd w:fill="FFDCE0" w:val="clear"/>
          </w:tcPr>
          <w:p>
            <w:r>
              <w:rPr>
                <w:sz w:val="17"/>
              </w:rPr>
              <w:t>8,308</w:t>
            </w:r>
          </w:p>
        </w:tc>
        <w:tc>
          <w:tcPr>
            <w:tcW w:type="dxa" w:w="1440"/>
            <w:shd w:fill="FFDCE0" w:val="clear"/>
          </w:tcPr>
          <w:p>
            <w:r>
              <w:rPr>
                <w:b/>
                <w:color w:val="C00000"/>
                <w:sz w:val="17"/>
              </w:rPr>
              <w:t>-16.2%</w:t>
            </w:r>
          </w:p>
        </w:tc>
      </w:tr>
      <w:tr>
        <w:tc>
          <w:tcPr>
            <w:tcW w:type="dxa" w:w="1440"/>
            <w:shd w:fill="FFDCE0" w:val="clear"/>
          </w:tcPr>
          <w:p>
            <w:r>
              <w:rPr>
                <w:sz w:val="17"/>
              </w:rPr>
              <w:t>J+7  Moyenne</w:t>
            </w:r>
          </w:p>
        </w:tc>
        <w:tc>
          <w:tcPr>
            <w:tcW w:type="dxa" w:w="1440"/>
            <w:shd w:fill="FFDCE0" w:val="clear"/>
          </w:tcPr>
          <w:p>
            <w:r>
              <w:rPr>
                <w:sz w:val="17"/>
              </w:rPr>
              <w:t>2026-09-07</w:t>
            </w:r>
          </w:p>
        </w:tc>
        <w:tc>
          <w:tcPr>
            <w:tcW w:type="dxa" w:w="1440"/>
            <w:shd w:fill="FFDCE0" w:val="clear"/>
          </w:tcPr>
          <w:p>
            <w:r>
              <w:rPr>
                <w:sz w:val="17"/>
              </w:rPr>
              <w:t>6,936</w:t>
            </w:r>
          </w:p>
        </w:tc>
        <w:tc>
          <w:tcPr>
            <w:tcW w:type="dxa" w:w="1440"/>
            <w:shd w:fill="FFDCE0" w:val="clear"/>
          </w:tcPr>
          <w:p>
            <w:r>
              <w:rPr>
                <w:b/>
                <w:sz w:val="17"/>
              </w:rPr>
              <w:t>7,567</w:t>
            </w:r>
          </w:p>
        </w:tc>
        <w:tc>
          <w:tcPr>
            <w:tcW w:type="dxa" w:w="1440"/>
            <w:shd w:fill="FFDCE0" w:val="clear"/>
          </w:tcPr>
          <w:p>
            <w:r>
              <w:rPr>
                <w:sz w:val="17"/>
              </w:rPr>
              <w:t>8,198</w:t>
            </w:r>
          </w:p>
        </w:tc>
        <w:tc>
          <w:tcPr>
            <w:tcW w:type="dxa" w:w="1440"/>
            <w:shd w:fill="FFDCE0" w:val="clear"/>
          </w:tcPr>
          <w:p>
            <w:r>
              <w:rPr>
                <w:b/>
                <w:color w:val="C00000"/>
                <w:sz w:val="17"/>
              </w:rPr>
              <w:t>-17.8%</w:t>
            </w:r>
          </w:p>
        </w:tc>
      </w:tr>
      <w:tr>
        <w:tc>
          <w:tcPr>
            <w:tcW w:type="dxa" w:w="1440"/>
            <w:shd w:fill="FFDCE0" w:val="clear"/>
          </w:tcPr>
          <w:p>
            <w:r>
              <w:rPr>
                <w:sz w:val="17"/>
              </w:rPr>
              <w:t>J+8  Moyenne</w:t>
            </w:r>
          </w:p>
        </w:tc>
        <w:tc>
          <w:tcPr>
            <w:tcW w:type="dxa" w:w="1440"/>
            <w:shd w:fill="FFDCE0" w:val="clear"/>
          </w:tcPr>
          <w:p>
            <w:r>
              <w:rPr>
                <w:sz w:val="17"/>
              </w:rPr>
              <w:t>2026-09-08</w:t>
            </w:r>
          </w:p>
        </w:tc>
        <w:tc>
          <w:tcPr>
            <w:tcW w:type="dxa" w:w="1440"/>
            <w:shd w:fill="FFDCE0" w:val="clear"/>
          </w:tcPr>
          <w:p>
            <w:r>
              <w:rPr>
                <w:sz w:val="17"/>
              </w:rPr>
              <w:t>6,774</w:t>
            </w:r>
          </w:p>
        </w:tc>
        <w:tc>
          <w:tcPr>
            <w:tcW w:type="dxa" w:w="1440"/>
            <w:shd w:fill="FFDCE0" w:val="clear"/>
          </w:tcPr>
          <w:p>
            <w:r>
              <w:rPr>
                <w:b/>
                <w:sz w:val="17"/>
              </w:rPr>
              <w:t>7,437</w:t>
            </w:r>
          </w:p>
        </w:tc>
        <w:tc>
          <w:tcPr>
            <w:tcW w:type="dxa" w:w="1440"/>
            <w:shd w:fill="FFDCE0" w:val="clear"/>
          </w:tcPr>
          <w:p>
            <w:r>
              <w:rPr>
                <w:sz w:val="17"/>
              </w:rPr>
              <w:t>8,100</w:t>
            </w:r>
          </w:p>
        </w:tc>
        <w:tc>
          <w:tcPr>
            <w:tcW w:type="dxa" w:w="1440"/>
            <w:shd w:fill="FFDCE0" w:val="clear"/>
          </w:tcPr>
          <w:p>
            <w:r>
              <w:rPr>
                <w:b/>
                <w:color w:val="C00000"/>
                <w:sz w:val="17"/>
              </w:rPr>
              <w:t>-19.2%</w:t>
            </w:r>
          </w:p>
        </w:tc>
      </w:tr>
      <w:tr>
        <w:tc>
          <w:tcPr>
            <w:tcW w:type="dxa" w:w="1440"/>
            <w:shd w:fill="FFDCE0" w:val="clear"/>
          </w:tcPr>
          <w:p>
            <w:r>
              <w:rPr>
                <w:sz w:val="17"/>
              </w:rPr>
              <w:t>J+9  Moyenne</w:t>
            </w:r>
          </w:p>
        </w:tc>
        <w:tc>
          <w:tcPr>
            <w:tcW w:type="dxa" w:w="1440"/>
            <w:shd w:fill="FFDCE0" w:val="clear"/>
          </w:tcPr>
          <w:p>
            <w:r>
              <w:rPr>
                <w:sz w:val="17"/>
              </w:rPr>
              <w:t>2026-09-09</w:t>
            </w:r>
          </w:p>
        </w:tc>
        <w:tc>
          <w:tcPr>
            <w:tcW w:type="dxa" w:w="1440"/>
            <w:shd w:fill="FFDCE0" w:val="clear"/>
          </w:tcPr>
          <w:p>
            <w:r>
              <w:rPr>
                <w:sz w:val="17"/>
              </w:rPr>
              <w:t>6,628</w:t>
            </w:r>
          </w:p>
        </w:tc>
        <w:tc>
          <w:tcPr>
            <w:tcW w:type="dxa" w:w="1440"/>
            <w:shd w:fill="FFDCE0" w:val="clear"/>
          </w:tcPr>
          <w:p>
            <w:r>
              <w:rPr>
                <w:b/>
                <w:sz w:val="17"/>
              </w:rPr>
              <w:t>7,320</w:t>
            </w:r>
          </w:p>
        </w:tc>
        <w:tc>
          <w:tcPr>
            <w:tcW w:type="dxa" w:w="1440"/>
            <w:shd w:fill="FFDCE0" w:val="clear"/>
          </w:tcPr>
          <w:p>
            <w:r>
              <w:rPr>
                <w:sz w:val="17"/>
              </w:rPr>
              <w:t>8,012</w:t>
            </w:r>
          </w:p>
        </w:tc>
        <w:tc>
          <w:tcPr>
            <w:tcW w:type="dxa" w:w="1440"/>
            <w:shd w:fill="FFDCE0" w:val="clear"/>
          </w:tcPr>
          <w:p>
            <w:r>
              <w:rPr>
                <w:b/>
                <w:color w:val="C00000"/>
                <w:sz w:val="17"/>
              </w:rPr>
              <w:t>-20.4%</w:t>
            </w:r>
          </w:p>
        </w:tc>
      </w:tr>
      <w:tr>
        <w:tc>
          <w:tcPr>
            <w:tcW w:type="dxa" w:w="1440"/>
            <w:shd w:fill="FFDCE0" w:val="clear"/>
          </w:tcPr>
          <w:p>
            <w:r>
              <w:rPr>
                <w:sz w:val="17"/>
              </w:rPr>
              <w:t>J+10  Moyenne</w:t>
            </w:r>
          </w:p>
        </w:tc>
        <w:tc>
          <w:tcPr>
            <w:tcW w:type="dxa" w:w="1440"/>
            <w:shd w:fill="FFDCE0" w:val="clear"/>
          </w:tcPr>
          <w:p>
            <w:r>
              <w:rPr>
                <w:sz w:val="17"/>
              </w:rPr>
              <w:t>2026-09-10</w:t>
            </w:r>
          </w:p>
        </w:tc>
        <w:tc>
          <w:tcPr>
            <w:tcW w:type="dxa" w:w="1440"/>
            <w:shd w:fill="FFDCE0" w:val="clear"/>
          </w:tcPr>
          <w:p>
            <w:r>
              <w:rPr>
                <w:sz w:val="17"/>
              </w:rPr>
              <w:t>6,494</w:t>
            </w:r>
          </w:p>
        </w:tc>
        <w:tc>
          <w:tcPr>
            <w:tcW w:type="dxa" w:w="1440"/>
            <w:shd w:fill="FFDCE0" w:val="clear"/>
          </w:tcPr>
          <w:p>
            <w:r>
              <w:rPr>
                <w:b/>
                <w:sz w:val="17"/>
              </w:rPr>
              <w:t>7,213</w:t>
            </w:r>
          </w:p>
        </w:tc>
        <w:tc>
          <w:tcPr>
            <w:tcW w:type="dxa" w:w="1440"/>
            <w:shd w:fill="FFDCE0" w:val="clear"/>
          </w:tcPr>
          <w:p>
            <w:r>
              <w:rPr>
                <w:sz w:val="17"/>
              </w:rPr>
              <w:t>7,932</w:t>
            </w:r>
          </w:p>
        </w:tc>
        <w:tc>
          <w:tcPr>
            <w:tcW w:type="dxa" w:w="1440"/>
            <w:shd w:fill="FFDCE0" w:val="clear"/>
          </w:tcPr>
          <w:p>
            <w:r>
              <w:rPr>
                <w:b/>
                <w:color w:val="C00000"/>
                <w:sz w:val="17"/>
              </w:rPr>
              <w:t>-21.6%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98.820 Mds FCFA</w:t>
            </w:r>
          </w:p>
        </w:tc>
        <w:tc>
          <w:tcPr>
            <w:tcW w:type="dxa" w:w="5669"/>
            <w:shd w:fill="FFFFFF" w:val="clear"/>
          </w:tcPr>
          <w:p>
            <w:r>
              <w:rPr>
                <w:color w:val="282828"/>
                <w:sz w:val="15"/>
              </w:rPr>
              <w:t>Représente 5.3% du bilan. ⚠️ Part faible — vérifier la conformité aux réserves obligatoires BCEAO.</w:t>
            </w:r>
          </w:p>
        </w:tc>
      </w:tr>
      <w:tr>
        <w:tc>
          <w:tcPr>
            <w:tcW w:type="dxa" w:w="2268"/>
            <w:shd w:fill="EEF2F7" w:val="clear"/>
          </w:tcPr>
          <w:p>
            <w:r>
              <w:rPr>
                <w:b/>
                <w:color w:val="1E1E3C"/>
                <w:sz w:val="16"/>
              </w:rPr>
              <w:t>Effets publics &amp; val. assimilées</w:t>
            </w:r>
          </w:p>
        </w:tc>
        <w:tc>
          <w:tcPr>
            <w:tcW w:type="dxa" w:w="1984"/>
            <w:shd w:fill="DEEAF1" w:val="clear"/>
          </w:tcPr>
          <w:p>
            <w:r>
              <w:rPr>
                <w:b/>
                <w:color w:val="006400"/>
                <w:sz w:val="17"/>
              </w:rPr>
              <w:t>375.561 Mds FCFA</w:t>
            </w:r>
          </w:p>
        </w:tc>
        <w:tc>
          <w:tcPr>
            <w:tcW w:type="dxa" w:w="5669"/>
            <w:shd w:fill="FFFFFF" w:val="clear"/>
          </w:tcPr>
          <w:p>
            <w:r>
              <w:rPr>
                <w:color w:val="282828"/>
                <w:sz w:val="15"/>
              </w:rPr>
              <w:t>Titres d'État détenus (20.0% du bilan). Actif très sécurisé, source de liquidité secondaire.</w:t>
            </w:r>
          </w:p>
        </w:tc>
      </w:tr>
      <w:tr>
        <w:tc>
          <w:tcPr>
            <w:tcW w:type="dxa" w:w="2268"/>
            <w:shd w:fill="EEF2F7" w:val="clear"/>
          </w:tcPr>
          <w:p>
            <w:r>
              <w:rPr>
                <w:b/>
                <w:color w:val="1E1E3C"/>
                <w:sz w:val="16"/>
              </w:rPr>
              <w:t>Créances interbancaires</w:t>
            </w:r>
          </w:p>
        </w:tc>
        <w:tc>
          <w:tcPr>
            <w:tcW w:type="dxa" w:w="1984"/>
            <w:shd w:fill="C6EFCE" w:val="clear"/>
          </w:tcPr>
          <w:p>
            <w:r>
              <w:rPr>
                <w:b/>
                <w:color w:val="006400"/>
                <w:sz w:val="17"/>
              </w:rPr>
              <w:t>61.521 Mds FCFA</w:t>
            </w:r>
          </w:p>
        </w:tc>
        <w:tc>
          <w:tcPr>
            <w:tcW w:type="dxa" w:w="5669"/>
            <w:shd w:fill="FFFFFF" w:val="clear"/>
          </w:tcPr>
          <w:p>
            <w:r>
              <w:rPr>
                <w:color w:val="282828"/>
                <w:sz w:val="15"/>
              </w:rPr>
              <w:t>Prêts aux autres banques (3.3% du bilan). ✅ Exposition modérée au risque interbancaire.</w:t>
            </w:r>
          </w:p>
        </w:tc>
      </w:tr>
      <w:tr>
        <w:tc>
          <w:tcPr>
            <w:tcW w:type="dxa" w:w="2268"/>
            <w:shd w:fill="EEF2F7" w:val="clear"/>
          </w:tcPr>
          <w:p>
            <w:r>
              <w:rPr>
                <w:b/>
                <w:color w:val="1E1E3C"/>
                <w:sz w:val="16"/>
              </w:rPr>
              <w:t>Créances sur la clientèle</w:t>
            </w:r>
          </w:p>
        </w:tc>
        <w:tc>
          <w:tcPr>
            <w:tcW w:type="dxa" w:w="1984"/>
            <w:shd w:fill="C6EFCE" w:val="clear"/>
          </w:tcPr>
          <w:p>
            <w:r>
              <w:rPr>
                <w:b/>
                <w:color w:val="006400"/>
                <w:sz w:val="17"/>
              </w:rPr>
              <w:t>1226.720 Mds FCFA</w:t>
            </w:r>
          </w:p>
        </w:tc>
        <w:tc>
          <w:tcPr>
            <w:tcW w:type="dxa" w:w="5669"/>
            <w:shd w:fill="FFFFFF" w:val="clear"/>
          </w:tcPr>
          <w:p>
            <w:r>
              <w:rPr>
                <w:color w:val="282828"/>
                <w:sz w:val="15"/>
              </w:rPr>
              <w:t>Portefeuille crédits (65.2% du bilan). ✅ Concentration saine sur le métier de crédit.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965.00 M FCFA</w:t>
            </w:r>
          </w:p>
        </w:tc>
        <w:tc>
          <w:tcPr>
            <w:tcW w:type="dxa" w:w="5669"/>
            <w:shd w:fill="FFFFFF" w:val="clear"/>
          </w:tcPr>
          <w:p>
            <w:r>
              <w:rPr>
                <w:color w:val="282828"/>
                <w:sz w:val="15"/>
              </w:rPr>
              <w:t>Brevets, logiciels, fonds commercial (0.1%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25.594 Mds FCFA</w:t>
            </w:r>
          </w:p>
        </w:tc>
        <w:tc>
          <w:tcPr>
            <w:tcW w:type="dxa" w:w="5669"/>
            <w:shd w:fill="FFFFFF" w:val="clear"/>
          </w:tcPr>
          <w:p>
            <w:r>
              <w:rPr>
                <w:color w:val="282828"/>
                <w:sz w:val="15"/>
              </w:rPr>
              <w:t>Outil industriel (1.4% du bilan). ℹ️ Société à faible intensité capitalistique.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1881.733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129.141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204.765 Mds FCFA</w:t>
            </w:r>
          </w:p>
        </w:tc>
        <w:tc>
          <w:tcPr>
            <w:tcW w:type="dxa" w:w="5669"/>
            <w:shd w:fill="FFFFFF" w:val="clear"/>
          </w:tcPr>
          <w:p>
            <w:r>
              <w:rPr>
                <w:color w:val="282828"/>
                <w:sz w:val="15"/>
              </w:rPr>
              <w:t>Fonds propres = 10.9%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218.889 Mds FCFA</w:t>
            </w:r>
          </w:p>
        </w:tc>
        <w:tc>
          <w:tcPr>
            <w:tcW w:type="dxa" w:w="5669"/>
            <w:shd w:fill="FFFFFF" w:val="clear"/>
          </w:tcPr>
          <w:p>
            <w:r>
              <w:rPr>
                <w:color w:val="282828"/>
                <w:sz w:val="15"/>
              </w:rPr>
              <w:t>Capitaux permanents / Actif immobilisé = 0.00x. ⚠️ Une partie des actifs LT est financée par des dettes CT — risque de liquidité.</w:t>
            </w:r>
          </w:p>
        </w:tc>
      </w:tr>
      <w:tr>
        <w:tc>
          <w:tcPr>
            <w:tcW w:type="dxa" w:w="2268"/>
            <w:shd w:fill="EEF2F7" w:val="clear"/>
          </w:tcPr>
          <w:p>
            <w:r>
              <w:rPr>
                <w:b/>
                <w:color w:val="1E1E3C"/>
                <w:sz w:val="16"/>
              </w:rPr>
              <w:t>Dettes interbancaires</w:t>
            </w:r>
          </w:p>
        </w:tc>
        <w:tc>
          <w:tcPr>
            <w:tcW w:type="dxa" w:w="1984"/>
            <w:shd w:fill="C6EFCE" w:val="clear"/>
          </w:tcPr>
          <w:p>
            <w:r>
              <w:rPr>
                <w:b/>
                <w:color w:val="006400"/>
                <w:sz w:val="17"/>
              </w:rPr>
              <w:t>104.261 Mds FCFA</w:t>
            </w:r>
          </w:p>
        </w:tc>
        <w:tc>
          <w:tcPr>
            <w:tcW w:type="dxa" w:w="5669"/>
            <w:shd w:fill="FFFFFF" w:val="clear"/>
          </w:tcPr>
          <w:p>
            <w:r>
              <w:rPr>
                <w:color w:val="282828"/>
                <w:sz w:val="15"/>
              </w:rPr>
              <w:t>Refinancement interbancaire (5.5% du bilan). ✅ Dépendance modérée au marché monétaire.</w:t>
            </w:r>
          </w:p>
        </w:tc>
      </w:tr>
      <w:tr>
        <w:tc>
          <w:tcPr>
            <w:tcW w:type="dxa" w:w="2268"/>
            <w:shd w:fill="EEF2F7" w:val="clear"/>
          </w:tcPr>
          <w:p>
            <w:r>
              <w:rPr>
                <w:b/>
                <w:color w:val="1E1E3C"/>
                <w:sz w:val="16"/>
              </w:rPr>
              <w:t>Dettes clientèle (dépôts)</w:t>
            </w:r>
          </w:p>
        </w:tc>
        <w:tc>
          <w:tcPr>
            <w:tcW w:type="dxa" w:w="1984"/>
            <w:shd w:fill="C6EFCE" w:val="clear"/>
          </w:tcPr>
          <w:p>
            <w:r>
              <w:rPr>
                <w:b/>
                <w:color w:val="006400"/>
                <w:sz w:val="17"/>
              </w:rPr>
              <w:t>1503.441 Mds FCFA</w:t>
            </w:r>
          </w:p>
        </w:tc>
        <w:tc>
          <w:tcPr>
            <w:tcW w:type="dxa" w:w="5669"/>
            <w:shd w:fill="FFFFFF" w:val="clear"/>
          </w:tcPr>
          <w:p>
            <w:r>
              <w:rPr>
                <w:color w:val="282828"/>
                <w:sz w:val="15"/>
              </w:rPr>
              <w:t>Dépôts clients = 79.9% du bilan. ✅ Base de dépôts solide — financement stable et peu coûteux.</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104.261 Mds FCFA</w:t>
            </w:r>
          </w:p>
        </w:tc>
        <w:tc>
          <w:tcPr>
            <w:tcW w:type="dxa" w:w="5669"/>
            <w:shd w:fill="FFFFFF" w:val="clear"/>
          </w:tcPr>
          <w:p>
            <w:r>
              <w:rPr>
                <w:color w:val="282828"/>
                <w:sz w:val="15"/>
              </w:rPr>
              <w:t>Dette financière totale = 51%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1676.968 Mds FCFA</w:t>
            </w:r>
          </w:p>
        </w:tc>
        <w:tc>
          <w:tcPr>
            <w:tcW w:type="dxa" w:w="5669"/>
            <w:shd w:fill="FFFFFF" w:val="clear"/>
          </w:tcPr>
          <w:p>
            <w:r>
              <w:rPr>
                <w:color w:val="282828"/>
                <w:sz w:val="15"/>
              </w:rPr>
              <w:t>Dettes totales = 89.1%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108.663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Produit Net Bancaire (PNB)</w:t>
            </w:r>
          </w:p>
        </w:tc>
        <w:tc>
          <w:tcPr>
            <w:tcW w:type="dxa" w:w="1984"/>
            <w:shd w:fill="C6EFCE" w:val="clear"/>
          </w:tcPr>
          <w:p>
            <w:r>
              <w:rPr>
                <w:b/>
                <w:color w:val="006400"/>
                <w:sz w:val="17"/>
              </w:rPr>
              <w:t>108.663 Mds FCFA</w:t>
            </w:r>
          </w:p>
        </w:tc>
        <w:tc>
          <w:tcPr>
            <w:tcW w:type="dxa" w:w="5669"/>
            <w:shd w:fill="FFFFFF" w:val="clear"/>
          </w:tcPr>
          <w:p>
            <w:r>
              <w:rPr>
                <w:color w:val="282828"/>
                <w:sz w:val="15"/>
              </w:rPr>
              <w:t>Revenu bancaire central (≡ CA). Croissance: 5.7%. ✅ PNB en progression — dynamisme commercial.</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91.138 Mds FCFA</w:t>
            </w:r>
          </w:p>
        </w:tc>
        <w:tc>
          <w:tcPr>
            <w:tcW w:type="dxa" w:w="5669"/>
            <w:shd w:fill="FFFFFF" w:val="clear"/>
          </w:tcPr>
          <w:p>
            <w:r>
              <w:rPr>
                <w:color w:val="282828"/>
                <w:sz w:val="15"/>
              </w:rPr>
              <w:t>Revenus d'intérêts sur crédits (84%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006400"/>
                <w:sz w:val="17"/>
              </w:rPr>
              <w:t>16.320 Mds FCFA</w:t>
            </w:r>
          </w:p>
        </w:tc>
        <w:tc>
          <w:tcPr>
            <w:tcW w:type="dxa" w:w="5669"/>
            <w:shd w:fill="FFFFFF" w:val="clear"/>
          </w:tcPr>
          <w:p>
            <w:r>
              <w:rPr>
                <w:color w:val="282828"/>
                <w:sz w:val="15"/>
              </w:rPr>
              <w:t>Coût des dépôts collectés (15% du PNB). ✅ Coût de ressources maîtrisé.</w:t>
            </w:r>
          </w:p>
        </w:tc>
      </w:tr>
      <w:tr>
        <w:tc>
          <w:tcPr>
            <w:tcW w:type="dxa" w:w="2268"/>
            <w:shd w:fill="EEF2F7" w:val="clear"/>
          </w:tcPr>
          <w:p>
            <w:r>
              <w:rPr>
                <w:b/>
                <w:color w:val="1E1E3C"/>
                <w:sz w:val="16"/>
              </w:rPr>
              <w:t>Commissions (produits)</w:t>
            </w:r>
          </w:p>
        </w:tc>
        <w:tc>
          <w:tcPr>
            <w:tcW w:type="dxa" w:w="1984"/>
            <w:shd w:fill="DEEAF1" w:val="clear"/>
          </w:tcPr>
          <w:p>
            <w:r>
              <w:rPr>
                <w:b/>
                <w:color w:val="006400"/>
                <w:sz w:val="17"/>
              </w:rPr>
              <w:t>29.714 Mds FCFA</w:t>
            </w:r>
          </w:p>
        </w:tc>
        <w:tc>
          <w:tcPr>
            <w:tcW w:type="dxa" w:w="5669"/>
            <w:shd w:fill="FFFFFF" w:val="clear"/>
          </w:tcPr>
          <w:p>
            <w:r>
              <w:rPr>
                <w:color w:val="282828"/>
                <w:sz w:val="15"/>
              </w:rPr>
              <w:t>Revenus de commissions (27.3% des revenus). Diversification bienvenue du modèle.</w:t>
            </w:r>
          </w:p>
        </w:tc>
      </w:tr>
      <w:tr>
        <w:tc>
          <w:tcPr>
            <w:tcW w:type="dxa" w:w="2268"/>
            <w:shd w:fill="EEF2F7" w:val="clear"/>
          </w:tcPr>
          <w:p>
            <w:r>
              <w:rPr>
                <w:b/>
                <w:color w:val="1E1E3C"/>
                <w:sz w:val="16"/>
              </w:rPr>
              <w:t>Charges générales d'exploit.</w:t>
            </w:r>
          </w:p>
        </w:tc>
        <w:tc>
          <w:tcPr>
            <w:tcW w:type="dxa" w:w="1984"/>
            <w:shd w:fill="FFEB9C" w:val="clear"/>
          </w:tcPr>
          <w:p>
            <w:r>
              <w:rPr>
                <w:b/>
                <w:color w:val="006400"/>
                <w:sz w:val="17"/>
              </w:rPr>
              <w:t>38.800 Mds FCFA</w:t>
            </w:r>
          </w:p>
        </w:tc>
        <w:tc>
          <w:tcPr>
            <w:tcW w:type="dxa" w:w="5669"/>
            <w:shd w:fill="FFFFFF" w:val="clear"/>
          </w:tcPr>
          <w:p>
            <w:r>
              <w:rPr>
                <w:color w:val="282828"/>
                <w:sz w:val="15"/>
              </w:rPr>
              <w:t>35.7% des revenus. ⚠️ Frais généraux significatifs.</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3.129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66.734 Mds FCFA</w:t>
            </w:r>
          </w:p>
        </w:tc>
        <w:tc>
          <w:tcPr>
            <w:tcW w:type="dxa" w:w="5669"/>
            <w:shd w:fill="FFFFFF" w:val="clear"/>
          </w:tcPr>
          <w:p>
            <w:r>
              <w:rPr>
                <w:color w:val="282828"/>
                <w:sz w:val="15"/>
              </w:rPr>
              <w:t>RBE = 61.4%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63.095 Mds FCFA</w:t>
            </w:r>
          </w:p>
        </w:tc>
        <w:tc>
          <w:tcPr>
            <w:tcW w:type="dxa" w:w="5669"/>
            <w:shd w:fill="FFFFFF" w:val="clear"/>
          </w:tcPr>
          <w:p>
            <w:r>
              <w:rPr>
                <w:color w:val="282828"/>
                <w:sz w:val="15"/>
              </w:rPr>
              <w:t>Profit d'exploitation = 58.1%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14.124 Mds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C6EFCE" w:val="clear"/>
          </w:tcPr>
          <w:p>
            <w:r>
              <w:rPr>
                <w:b/>
                <w:color w:val="006400"/>
                <w:sz w:val="17"/>
              </w:rPr>
              <w:t>55.623 Mds FCFA</w:t>
            </w:r>
          </w:p>
        </w:tc>
        <w:tc>
          <w:tcPr>
            <w:tcW w:type="dxa" w:w="5669"/>
            <w:shd w:fill="FFFFFF" w:val="clear"/>
          </w:tcPr>
          <w:p>
            <w:r>
              <w:rPr>
                <w:color w:val="282828"/>
                <w:sz w:val="15"/>
              </w:rPr>
              <w:t>Marge nette = 51.2%.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58.752 Mds FCFA</w:t>
            </w:r>
          </w:p>
        </w:tc>
        <w:tc>
          <w:tcPr>
            <w:tcW w:type="dxa" w:w="5669"/>
            <w:shd w:fill="FFFFFF" w:val="clear"/>
          </w:tcPr>
          <w:p>
            <w:r>
              <w:rPr>
                <w:color w:val="282828"/>
                <w:sz w:val="15"/>
              </w:rPr>
              <w:t>CAF = 58.75 Mds FCFA (résultat + amort.). ✅ Forte capacité à financer les investissements et rembourser les dettes.</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nette</w:t>
            </w:r>
          </w:p>
        </w:tc>
        <w:tc>
          <w:tcPr>
            <w:tcW w:type="dxa" w:w="1984"/>
            <w:shd w:fill="C6EFCE" w:val="clear"/>
          </w:tcPr>
          <w:p>
            <w:r>
              <w:rPr>
                <w:b/>
                <w:color w:val="006400"/>
                <w:sz w:val="17"/>
              </w:rPr>
              <w:t>51.19%</w:t>
            </w:r>
          </w:p>
        </w:tc>
        <w:tc>
          <w:tcPr>
            <w:tcW w:type="dxa" w:w="5669"/>
            <w:shd w:fill="FFFFFF" w:val="clear"/>
          </w:tcPr>
          <w:p>
            <w:r>
              <w:rPr>
                <w:color w:val="282828"/>
                <w:sz w:val="15"/>
              </w:rPr>
              <w:t>Résultat net / revenus = 51.19%.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58.06%</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27.16%</w:t>
            </w:r>
          </w:p>
        </w:tc>
        <w:tc>
          <w:tcPr>
            <w:tcW w:type="dxa" w:w="5669"/>
            <w:shd w:fill="FFFFFF" w:val="clear"/>
          </w:tcPr>
          <w:p>
            <w:r>
              <w:rPr>
                <w:color w:val="282828"/>
                <w:sz w:val="15"/>
              </w:rPr>
              <w:t>Résultat net / capitaux propres = 27.16%.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2.96%</w:t>
            </w:r>
          </w:p>
        </w:tc>
        <w:tc>
          <w:tcPr>
            <w:tcW w:type="dxa" w:w="5669"/>
            <w:shd w:fill="FFFFFF" w:val="clear"/>
          </w:tcPr>
          <w:p>
            <w:r>
              <w:rPr>
                <w:color w:val="282828"/>
                <w:sz w:val="15"/>
              </w:rPr>
              <w:t>Résultat net / total actif = 2.96% (banque: seuil &gt;1%). ✅ Bonne utilisation des actifs.</w:t>
            </w:r>
          </w:p>
        </w:tc>
      </w:tr>
      <w:tr>
        <w:tc>
          <w:tcPr>
            <w:tcW w:type="dxa" w:w="2268"/>
            <w:shd w:fill="EEF2F7" w:val="clear"/>
          </w:tcPr>
          <w:p>
            <w:r>
              <w:rPr>
                <w:b/>
                <w:color w:val="1E1E3C"/>
                <w:sz w:val="16"/>
              </w:rPr>
              <w:t>Rotation des actifs</w:t>
            </w:r>
          </w:p>
        </w:tc>
        <w:tc>
          <w:tcPr>
            <w:tcW w:type="dxa" w:w="1984"/>
            <w:shd w:fill="FFEB9C" w:val="clear"/>
          </w:tcPr>
          <w:p>
            <w:r>
              <w:rPr>
                <w:b/>
                <w:color w:val="006400"/>
                <w:sz w:val="17"/>
              </w:rPr>
              <w:t>5.77%</w:t>
            </w:r>
          </w:p>
        </w:tc>
        <w:tc>
          <w:tcPr>
            <w:tcW w:type="dxa" w:w="5669"/>
            <w:shd w:fill="FFFFFF" w:val="clear"/>
          </w:tcPr>
          <w:p>
            <w:r>
              <w:rPr>
                <w:color w:val="282828"/>
                <w:sz w:val="15"/>
              </w:rPr>
              <w:t>CA / total actif = 5.77x. ℹ️ Faible rotation — secteur à forte intensité capitalistique (normal).</w:t>
            </w:r>
          </w:p>
        </w:tc>
      </w:tr>
      <w:tr>
        <w:tc>
          <w:tcPr>
            <w:tcW w:type="dxa" w:w="2268"/>
            <w:shd w:fill="EEF2F7" w:val="clear"/>
          </w:tcPr>
          <w:p>
            <w:r>
              <w:rPr>
                <w:b/>
                <w:color w:val="1E1E3C"/>
                <w:sz w:val="16"/>
              </w:rPr>
              <w:t>Coeff. d'exploitation (banque)</w:t>
            </w:r>
          </w:p>
        </w:tc>
        <w:tc>
          <w:tcPr>
            <w:tcW w:type="dxa" w:w="1984"/>
            <w:shd w:fill="C6EFCE" w:val="clear"/>
          </w:tcPr>
          <w:p>
            <w:r>
              <w:rPr>
                <w:b/>
                <w:color w:val="006400"/>
                <w:sz w:val="17"/>
              </w:rPr>
              <w:t>38.59%</w:t>
            </w:r>
          </w:p>
        </w:tc>
        <w:tc>
          <w:tcPr>
            <w:tcW w:type="dxa" w:w="5669"/>
            <w:shd w:fill="FFFFFF" w:val="clear"/>
          </w:tcPr>
          <w:p>
            <w:r>
              <w:rPr>
                <w:color w:val="282828"/>
                <w:sz w:val="15"/>
              </w:rPr>
              <w:t>Charges / PNB = 38.59% (cost-to-income). ✅ Excellent — banque très efficiente.</w:t>
            </w:r>
          </w:p>
        </w:tc>
      </w:tr>
      <w:tr>
        <w:tc>
          <w:tcPr>
            <w:tcW w:type="dxa" w:w="2268"/>
            <w:shd w:fill="EEF2F7" w:val="clear"/>
          </w:tcPr>
          <w:p>
            <w:r>
              <w:rPr>
                <w:b/>
                <w:color w:val="1E1E3C"/>
                <w:sz w:val="16"/>
              </w:rPr>
              <w:t>Coût du risque</w:t>
            </w:r>
          </w:p>
        </w:tc>
        <w:tc>
          <w:tcPr>
            <w:tcW w:type="dxa" w:w="1984"/>
            <w:shd w:fill="FFC7CE" w:val="clear"/>
          </w:tcPr>
          <w:p>
            <w:r>
              <w:rPr>
                <w:b/>
                <w:color w:val="006400"/>
                <w:sz w:val="17"/>
              </w:rPr>
              <w:t>363900000000.00%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5.74%</w:t>
            </w:r>
          </w:p>
        </w:tc>
        <w:tc>
          <w:tcPr>
            <w:tcW w:type="dxa" w:w="5669"/>
            <w:shd w:fill="FFFFFF" w:val="clear"/>
          </w:tcPr>
          <w:p>
            <w:r>
              <w:rPr>
                <w:color w:val="282828"/>
                <w:sz w:val="15"/>
              </w:rPr>
              <w:t>Croissance PNB vs exercice précédent = 5.74%.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EB9C" w:val="clear"/>
          </w:tcPr>
          <w:p>
            <w:r>
              <w:rPr>
                <w:b/>
                <w:color w:val="006400"/>
                <w:sz w:val="17"/>
              </w:rPr>
              <w:t>10.88%</w:t>
            </w:r>
          </w:p>
        </w:tc>
        <w:tc>
          <w:tcPr>
            <w:tcW w:type="dxa" w:w="5669"/>
            <w:shd w:fill="FFFFFF" w:val="clear"/>
          </w:tcPr>
          <w:p>
            <w:r>
              <w:rPr>
                <w:color w:val="282828"/>
                <w:sz w:val="15"/>
              </w:rPr>
              <w:t>Fonds propres / total bilan = 10.88%. ⚠️ Dépendance aux tiers significative.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89.12%</w:t>
            </w:r>
          </w:p>
        </w:tc>
        <w:tc>
          <w:tcPr>
            <w:tcW w:type="dxa" w:w="5669"/>
            <w:shd w:fill="FFFFFF" w:val="clear"/>
          </w:tcPr>
          <w:p>
            <w:r>
              <w:rPr>
                <w:color w:val="282828"/>
                <w:sz w:val="15"/>
              </w:rPr>
              <w:t>Dettes financières / total bilan = 89.12%.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50.92%</w:t>
            </w:r>
          </w:p>
        </w:tc>
        <w:tc>
          <w:tcPr>
            <w:tcW w:type="dxa" w:w="5669"/>
            <w:shd w:fill="FFFFFF" w:val="clear"/>
          </w:tcPr>
          <w:p>
            <w:r>
              <w:rPr>
                <w:color w:val="282828"/>
                <w:sz w:val="15"/>
              </w:rPr>
              <w:t>Dettes totales / fonds propres = 50.92%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112.21%</w:t>
            </w:r>
          </w:p>
        </w:tc>
        <w:tc>
          <w:tcPr>
            <w:tcW w:type="dxa" w:w="5669"/>
            <w:shd w:fill="FFFFFF" w:val="clear"/>
          </w:tcPr>
          <w:p>
            <w:r>
              <w:rPr>
                <w:color w:val="282828"/>
                <w:sz w:val="15"/>
              </w:rPr>
              <w:t>Total actif / dettes totales = 112.21x. ✅ Solvable.</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408.91%</w:t>
            </w:r>
          </w:p>
        </w:tc>
        <w:tc>
          <w:tcPr>
            <w:tcW w:type="dxa" w:w="5669"/>
            <w:shd w:fill="FFFFFF" w:val="clear"/>
          </w:tcPr>
          <w:p>
            <w:r>
              <w:rPr>
                <w:color w:val="282828"/>
                <w:sz w:val="15"/>
              </w:rPr>
              <w:t>Résultat exploit. / charges financières = 408.91x. ✅ Excellente couverture des intérêts.</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la SIBC s'établit à 920 milliards FCFA, ce qui en fait l'une des valeurs les plus significatives de la BRVM, reflétant son statut de banque systémique en Côte d'Ivoire. Avec un BPA de 556 FCFA, chaque action génère un bénéfice substantiel, mais le PER de 16,5x indique que les investisseurs paient une prime notable par rapport à la moyenne historique du marché (~8-12x), traduisant des attentes de croissance élevées. Le P/B de 4,49x confirme cette valorisation exigeante, le marché valorisant fortement les capitaux propres de la banque, tandis que l'EV/EBITDA de 15,3x souligne également une prime opérationnelle. Ces ratios suggèrent que le marché intègre déjà des perspectives de performance solides, laissant peu de marge d'erreur en cas de déception.</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SIBC affiche une progression remarquable de +33,33%, avec une dernière séance en hausse de +0,55% à 9 200 FCFA, démontrant une dynamique haussière soutenue. Le titre a évolué dans une fourchette large de 6 805 à 9 500 FCFA, illustrant un fort appétit des investisseurs. La moyenne de 8 286 FCFA, inférieure à la médiane de 8 785 FCFA, révèle une asymétrie négative (skewness de -0,529), signifiant que le cours a passé davantage de journées au-dessus de sa moyenne, confirmant la tendance haussière. L'écart-type de 882 FCFA (CV de 10,6%) indique une dispersion modérée, tandis que le kurtosis de -1,445 (platykurtique) suggère une distribution aplatie avec peu de variations extrêmes. La volatilité annualisée de 28,4% classe le titre dans une zone modérée à élevée, reflétant un risque mesuré mais non négligeable.</w:t>
      </w:r>
    </w:p>
    <w:p>
      <w:pPr>
        <w:spacing w:after="120" w:line="276" w:lineRule="auto" w:before="240"/>
      </w:pPr>
      <w:r>
        <w:rPr>
          <w:b/>
          <w:color w:val="003366"/>
          <w:sz w:val="24"/>
        </w:rPr>
        <w:t>**PARTIE 2 : ANALYSE TECHNIQUE DÉTAILLÉE**</w:t>
      </w:r>
    </w:p>
    <w:p>
      <w:pPr>
        <w:spacing w:after="120" w:line="276" w:lineRule="auto"/>
      </w:pPr>
      <w:r>
        <w:t>**Moyennes Mobiles** : Les MM20 (9 139 FCFA) et MM50 (8 981,6 FCFA) sont toutes deux inférieures au cours actuel de 9 200 FCFA, indiquant une configuration haussière. Le cours évolue au-dessus de ses moyennes mobiles, ce qui confirme la tendance positive et justifie la décision d'achat, bien que l'écart entre MM20 et MM50 suggère une possible consolidation à court terme.</w:t>
      </w:r>
    </w:p>
    <w:p>
      <w:pPr>
        <w:spacing w:after="120" w:line="276" w:lineRule="auto"/>
      </w:pPr>
      <w:r>
        <w:t>**Bandes de Bollinger** : Le prix actuel de 9 200 FCFA se situe entre la borne supérieure (9 523 FCFA) et la borne inférieure (8 755 FCFA), proche du milieu de la bande. Cette position neutre indique une volatilité modérée, sans signal de surachat ni de survente, justifiant la décision neutre. L'écart entre les bornes reflète une volatilité contenue, cohérente avec le CV de 10,6%.</w:t>
      </w:r>
    </w:p>
    <w:p>
      <w:pPr>
        <w:spacing w:after="120" w:line="276" w:lineRule="auto"/>
      </w:pPr>
      <w:r>
        <w:t>**MACD** : La valeur MACD (61,4) est inférieure au signal (81,7), indiquant un momentum baissier à court terme malgré la tendance haussière globale. Cette divergence suggère un essoufflement potentiel de la dynamique haussière, justifiant la décision de vente. Les investisseurs devraient surveiller un éventuel croisement haussier pour confirmer un retour du momentum.</w:t>
      </w:r>
    </w:p>
    <w:p>
      <w:pPr>
        <w:spacing w:after="120" w:line="276" w:lineRule="auto"/>
      </w:pPr>
      <w:r>
        <w:t>**RSI** : Le RSI de 48,1 se situe en zone neutre (30-70), indiquant un équilibre entre pression acheteuse et vendeuse. Cette valeur ne montre ni surachat ni survente, laissant place à une évolution dans les deux sens. La décision neutre est cohérente avec l'absence de signal directionnel fort.</w:t>
      </w:r>
    </w:p>
    <w:p>
      <w:pPr>
        <w:spacing w:after="120" w:line="276" w:lineRule="auto"/>
      </w:pPr>
      <w:r>
        <w:t>**Stochastique** : Le %K (40,0) est supérieur au %D (30,0), suggérant un croisement haussier en cours, bien que les deux valeurs restent en zone neutre. Cette configuration indique un potentiel de reprise après une phase de consolidation, mais sans confirmation forte, justifiant la décision neutre.</w:t>
      </w:r>
    </w:p>
    <w:p>
      <w:pPr>
        <w:spacing w:after="120" w:line="276" w:lineRule="auto"/>
      </w:pPr>
      <w:r>
        <w:t>**Conclusion technique** : La convergence des indicateurs est mitigée : les moyennes mobiles soutiennent la tendance haussière, tandis que le MACD signale un essoufflement à court terme. Le RSI et le stochastique restent neutres, suggérant une phase de consolidation. Globalement, la tendance de fond reste positive, mais un repli technique est possible avant une reprise de la hausse.</w:t>
      </w:r>
    </w:p>
    <w:p>
      <w:pPr>
        <w:spacing w:after="120" w:line="276" w:lineRule="auto" w:before="240"/>
      </w:pPr>
      <w:r>
        <w:rPr>
          <w:b/>
          <w:color w:val="003366"/>
          <w:sz w:val="24"/>
        </w:rPr>
        <w:t>**PARTIE 3 : ANALYSE FONDAMENTALE (SECTION CRITIQUE)**</w:t>
      </w:r>
    </w:p>
    <w:p>
      <w:pPr>
        <w:spacing w:after="120" w:line="276" w:lineRule="auto"/>
      </w:pPr>
      <w:r>
        <w:t>En 2025, la SIBC affiche des fondamentaux solides avec un PNB de 108,663 milliards FCFA et un résultat net de 55,623 milliards FCFA, démontrant une rentabilité exceptionnelle avec un ROE de 27,16% et un ROA de 2,96%. Le coefficient d'exploitation de 38,59% témoigne d'une excellente maîtrise des coûts, bien en dessous du seuil de 60% considéré comme efficace. Le coût du risque, bien que non détaillé, semble maîtrisé, tandis que les dépôts clientèle (1 503 milliards FCFA) dépassent largement les créances (1 227 milliards FCFA), indiquant une transformation saine. Les rapports trimestriels confirment cette dynamique : le T1 2025 (PNB +12%, résultat net +10%), le S1 2025 (PNB +9%, résultat net +15%) et le T3 2025 (PNB +8%, résultat net +11%) montrent une croissance soutenue. Le rapport T1 2026 (PNB +4%, résultat net +11%) suggère une poursuite de la tendance, avec une estimation de PNB annuel autour de 115-120 milliards FCFA et un résultat net dépassant 60 milliards FCFA. La banque maintient une politique de dividende attractive (375 FCFA/action en 2024, rendement ~10,55%), renforçant l'attrait du titre.</w:t>
      </w:r>
    </w:p>
    <w:p>
      <w:pPr>
        <w:spacing w:after="120" w:line="276" w:lineRule="auto" w:before="240"/>
      </w:pPr>
      <w:r>
        <w:rPr>
          <w:b/>
          <w:color w:val="003366"/>
          <w:sz w:val="24"/>
        </w:rPr>
        <w:t>**PARTIE 4 : CONCLUSION D'INVESTISSEMENT**</w:t>
      </w:r>
    </w:p>
    <w:p>
      <w:pPr>
        <w:spacing w:after="120" w:line="276" w:lineRule="auto"/>
      </w:pPr>
      <w:r>
        <w:t>La valorisation actuelle de la SIBC (PER 16,5x, P/B 4,49x, EV/EBITDA 15,3x) apparaît exigeante, intégrant déjà les excellentes performances fondamentales, tandis que le comportement du cours (+33,33% sur 100 jours) reflète un optimisme marqué des investisseurs. Les signaux techniques sont partagés : les moyennes mobiles confirment la tendance haussière, mais le MACD et le RSI suggèrent une consolidation à court terme. Les fondamentaux restent exceptionnellement solides avec un ROE de 27,16%, un coefficient d'exploitation de 38,59% et une croissance soutenue du résultat net (+11% au T1 2026). Les prédictions IA indiquent une correction potentielle vers 7 879 FCFA à J+10, contredisant la tendance haussière récente et suggérant un repli technique. En synthèse, la convergence entre des fondamentaux robustes et une valorisation élevée, combinée à des signaux techniques mitigés et des prédictions baissières, conduit à une recommandation de **CONSERVER** avec un niveau de confiance **Moyen**. Le risque global est **Moyen**, et l'horizon d'investissement optimal est le **moyen terme (3-12 mois)**, en attendant une éventuelle correction pour renforcer la position.</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008000"/>
          <w:sz w:val="18"/>
        </w:rPr>
        <w:t>{"decision": "acheter", "justification": "La SIB d\u00e9montre une croissance rentable avec un r\u00e9sultat net en hausse de 11% et une expansion \u00e9quilibr\u00e9e de son activit\u00e9. Le mod\u00e8le \u00e9conomique solide et les perspectives favorables dans l'\u00e9conomie ivoirienne soutiennent une recommandation d'achat."}</w:t>
      </w:r>
    </w:p>
    <w:p>
      <w:pPr>
        <w:spacing w:before="40"/>
        <w:ind w:left="400"/>
      </w:pPr>
      <w:r>
        <w:rPr>
          <w:sz w:val="18"/>
        </w:rPr>
        <w:t>La SIB affiche des performances solides au T1 2026 avec un résultat net en hausse de 11% à 15,2 milliards FCFA. Les dépôts clientèle progressent de 9% à 1 495 milliards FCFA tandis que les crédits augmentent de 7% à 1 112 milliards FCFA. Le Produit Net Bancaire croît modérément de 4% à 27,7 milliards FCFA, reflétant une activité soutenue. La banque maintient une gestion rigoureuse des charges et des risques dans un environnement économique ivoirien favorable. Les perspectives pour 2026 demeurent positives avec un renforcement du positionnement de référence sur le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'1 495 milliards FCFA', 'credits_clientele': '1 112 milliards FCFA', 'produit_net_bancaire': '27,7 milliards FCFA', 'resultat_exploitation': '17,5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en forte progression de 11% à 15,2 milliards FCFA au T1 2026</w:t>
      </w:r>
    </w:p>
    <w:p>
      <w:pPr>
        <w:pStyle w:val="ListBullet"/>
        <w:spacing w:before="20" w:after="20"/>
        <w:ind w:left="700"/>
      </w:pPr>
      <w:r>
        <w:rPr>
          <w:sz w:val="18"/>
        </w:rPr>
        <w:t>Croissance soutenue des dépôts clientèle de 9% atteignant 1 495 milliards FCFA</w:t>
      </w:r>
    </w:p>
    <w:p>
      <w:pPr>
        <w:pStyle w:val="ListBullet"/>
        <w:spacing w:before="20" w:after="20"/>
        <w:ind w:left="700"/>
      </w:pPr>
      <w:r>
        <w:rPr>
          <w:sz w:val="18"/>
        </w:rPr>
        <w:t>Progression des encours de crédits de 7% à 1 112 milliards FCFA</w:t>
      </w:r>
    </w:p>
    <w:p>
      <w:pPr>
        <w:pStyle w:val="ListBullet"/>
        <w:spacing w:before="20" w:after="20"/>
        <w:ind w:left="700"/>
      </w:pPr>
      <w:r>
        <w:rPr>
          <w:sz w:val="18"/>
        </w:rPr>
        <w:t>Produit Net Bancaire en hausse de 4% à 27,7 milliards FCFA</w:t>
      </w:r>
    </w:p>
    <w:p>
      <w:pPr>
        <w:pStyle w:val="ListBullet"/>
        <w:spacing w:before="20" w:after="20"/>
        <w:ind w:left="700"/>
      </w:pPr>
      <w:r>
        <w:rPr>
          <w:sz w:val="18"/>
        </w:rPr>
        <w:t>Résultat d'exploitation en amélioration de 11% à 17,5 milliards FCFA</w:t>
      </w:r>
    </w:p>
    <w:p>
      <w:pPr>
        <w:pStyle w:val="ListBullet"/>
        <w:spacing w:before="20" w:after="20"/>
        <w:ind w:left="700"/>
      </w:pPr>
      <w:r>
        <w:rPr>
          <w:sz w:val="18"/>
        </w:rPr>
        <w:t>Gestion rigoureuse des charges d'exploitation et approche prudente des risques</w:t>
      </w:r>
    </w:p>
    <w:p>
      <w:pPr>
        <w:spacing w:before="40"/>
        <w:ind w:left="400"/>
      </w:pPr>
      <w:r>
        <w:rPr>
          <w:b/>
          <w:color w:val="C05000"/>
          <w:sz w:val="18"/>
        </w:rPr>
        <w:t xml:space="preserve">⚠️ Risques : </w:t>
      </w:r>
      <w:r>
        <w:rPr>
          <w:sz w:val="18"/>
        </w:rPr>
        <w:t>["Exposition au ralentissement potentiel de l'\u00e9conomie ivoirienne", "Intensification de la concurrence bancaire dans un environnement exigeant", "Risque de cr\u00e9dit li\u00e9 \u00e0 l'expansion des encours de pr\u00eats"]</w:t>
      </w:r>
    </w:p>
    <w:p>
      <w:pPr>
        <w:spacing w:before="40"/>
        <w:ind w:left="400"/>
      </w:pPr>
      <w:r>
        <w:rPr>
          <w:b/>
          <w:color w:val="0064A0"/>
          <w:sz w:val="18"/>
        </w:rPr>
        <w:t xml:space="preserve">🔮 Perspectives : </w:t>
      </w:r>
      <w:r>
        <w:rPr>
          <w:sz w:val="18"/>
        </w:rPr>
        <w:t>Les perspectives pour 2026 demeurent favorables selon la direction, soutenues par la dynamique économique positive de la Côte d'Ivoire. La SIB vise à consolider durablement son positionnement de partenaire bancaire de référence au service du développement économique. La banque devrait maintenir sa 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"Excellente performance financi\u00e8re avec une rentabilit\u00e9 parmi les meilleures du march\u00e9 ivoirien et une am\u00e9lioration notable de la qualit\u00e9 des actifs. La banque b\u00e9n\u00e9ficie d'une capitalisation solide et d'une dynamique commerciale retrouv\u00e9e pour poursuivre sa croissance."}</w:t>
      </w:r>
    </w:p>
    <w:p>
      <w:pPr>
        <w:spacing w:before="40"/>
        <w:ind w:left="400"/>
      </w:pPr>
      <w:r>
        <w:rPr>
          <w:sz w:val="18"/>
        </w:rPr>
        <w:t>La Société Ivoirienne de Banque (SIB) démontre une performance solide en 2021 malgré le contexte sanitaire difficile. Le total bilan progresse de 7,5% à 1 316,5 milliards XOF, soutenu par une forte croissance des dépôts clients (+13,8%) et une progression modérée des crédits (+4,1%). Le résultat net s'améliore de 12,5% à 34,031 milliards XOF, bénéficiant d'une forte réduction du coût du risque (-78,7%). La banque maintient des ratios de rentabilité parmi les meilleurs du marché avec un ROE de 28,51% et un coefficient d'exploitation maîtrisé à 45%. La capitalisation reste solide avec un ratio de solvabilité de 13,42%, bien au-dessus des normes réglementaires.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{'ROA': '2,59%', 'ROE': '28,51%', 'ratio_solvabilite': '13,42%', 'creances_douteuses': '4,55%', 'coefficient_exploitation': '45,09%', 'taux_couverture_creances': '95,5%'}</w:t>
            </w:r>
          </w:p>
        </w:tc>
        <w:tc>
          <w:tcPr>
            <w:tcW w:type="dxa" w:w="2160"/>
          </w:tcPr>
          <w:p>
            <w:pPr>
              <w:ind w:left="100"/>
            </w:pPr>
            <w:r/>
            <w:r>
              <w:rPr>
                <w:b/>
                <w:sz w:val="16"/>
              </w:rPr>
              <w:t>dividende</w:t>
              <w:br/>
            </w:r>
            <w:r>
              <w:rPr>
                <w:sz w:val="18"/>
              </w:rPr>
              <w:t>450 XOF par action</w:t>
            </w:r>
          </w:p>
        </w:tc>
        <w:tc>
          <w:tcPr>
            <w:tcW w:type="dxa" w:w="2160"/>
          </w:tcPr>
          <w:p>
            <w:pPr>
              <w:ind w:left="100"/>
            </w:pPr>
            <w:r/>
            <w:r>
              <w:rPr>
                <w:b/>
                <w:sz w:val="16"/>
              </w:rPr>
              <w:t>marge_nette</w:t>
              <w:br/>
            </w:r>
            <w:r>
              <w:rPr>
                <w:sz w:val="18"/>
              </w:rPr>
              <w:t>44,5%</w:t>
            </w:r>
          </w:p>
        </w:tc>
        <w:tc>
          <w:tcPr>
            <w:tcW w:type="dxa" w:w="2160"/>
          </w:tcPr>
          <w:p>
            <w:pPr>
              <w:ind w:left="100"/>
            </w:pPr>
            <w:r/>
            <w:r>
              <w:rPr>
                <w:b/>
                <w:sz w:val="16"/>
              </w:rPr>
              <w:t>total_actif</w:t>
              <w:br/>
            </w:r>
            <w:r>
              <w:rPr>
                <w:sz w:val="18"/>
              </w:rPr>
              <w:t>1 316,459 milliards XOF</w:t>
            </w:r>
          </w:p>
        </w:tc>
      </w:tr>
      <w:tr>
        <w:tc>
          <w:tcPr>
            <w:tcW w:type="dxa" w:w="2160"/>
          </w:tcPr>
          <w:p>
            <w:r/>
            <w:r>
              <w:rPr>
                <w:b/>
                <w:sz w:val="16"/>
              </w:rPr>
              <w:t>resultat_net</w:t>
              <w:br/>
            </w:r>
            <w:r>
              <w:rPr>
                <w:sz w:val="18"/>
              </w:rPr>
              <w:t>34,031 milliards XOF</w:t>
            </w:r>
          </w:p>
        </w:tc>
        <w:tc>
          <w:tcPr>
            <w:tcW w:type="dxa" w:w="2160"/>
          </w:tcPr>
          <w:p>
            <w:r/>
            <w:r>
              <w:rPr>
                <w:b/>
                <w:sz w:val="16"/>
              </w:rPr>
              <w:t>capitaux_propres</w:t>
              <w:br/>
            </w:r>
            <w:r>
              <w:rPr>
                <w:sz w:val="18"/>
              </w:rPr>
              <w:t>130,799 milliards XOF</w:t>
            </w:r>
          </w:p>
        </w:tc>
        <w:tc>
          <w:tcPr>
            <w:tcW w:type="dxa" w:w="2160"/>
          </w:tcPr>
          <w:p>
            <w:r/>
            <w:r>
              <w:rPr>
                <w:b/>
                <w:sz w:val="16"/>
              </w:rPr>
              <w:t>chiffre_affaires</w:t>
              <w:br/>
            </w:r>
            <w:r>
              <w:rPr>
                <w:sz w:val="18"/>
              </w:rPr>
              <w:t>76,532 milliards XOF</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total bilan de 7,5% à 1 316,5 milliards XOF en 2021</w:t>
      </w:r>
    </w:p>
    <w:p>
      <w:pPr>
        <w:pStyle w:val="ListBullet"/>
        <w:spacing w:before="20" w:after="20"/>
        <w:ind w:left="700"/>
      </w:pPr>
      <w:r>
        <w:rPr>
          <w:sz w:val="18"/>
        </w:rPr>
        <w:t>Forte progression des dépôts clients de 13,8% à 1 099,7 milliards XOF</w:t>
      </w:r>
    </w:p>
    <w:p>
      <w:pPr>
        <w:pStyle w:val="ListBullet"/>
        <w:spacing w:before="20" w:after="20"/>
        <w:ind w:left="700"/>
      </w:pPr>
      <w:r>
        <w:rPr>
          <w:sz w:val="18"/>
        </w:rPr>
        <w:t>Amélioration significative du coût du risque de -78,7% à 1,3 milliard XOF</w:t>
      </w:r>
    </w:p>
    <w:p>
      <w:pPr>
        <w:pStyle w:val="ListBullet"/>
        <w:spacing w:before="20" w:after="20"/>
        <w:ind w:left="700"/>
      </w:pPr>
      <w:r>
        <w:rPr>
          <w:sz w:val="18"/>
        </w:rPr>
        <w:t>Résultat net en hausse de 12,5% à 34,031 milliards XOF</w:t>
      </w:r>
    </w:p>
    <w:p>
      <w:pPr>
        <w:pStyle w:val="ListBullet"/>
        <w:spacing w:before="20" w:after="20"/>
        <w:ind w:left="700"/>
      </w:pPr>
      <w:r>
        <w:rPr>
          <w:sz w:val="18"/>
        </w:rPr>
        <w:t>ROE excellent de 28,51% (+121 bps) parmi les meilleurs du marché</w:t>
      </w:r>
    </w:p>
    <w:p>
      <w:pPr>
        <w:pStyle w:val="ListBullet"/>
        <w:spacing w:before="20" w:after="20"/>
        <w:ind w:left="700"/>
      </w:pPr>
      <w:r>
        <w:rPr>
          <w:sz w:val="18"/>
        </w:rPr>
        <w:t>Ratio de solvabilité solide à 13,42% (+80 bps), bien au-dessus des 11,25% réglementaires</w:t>
      </w:r>
    </w:p>
    <w:p>
      <w:pPr>
        <w:spacing w:before="40"/>
        <w:ind w:left="400"/>
      </w:pPr>
      <w:r>
        <w:rPr>
          <w:b/>
          <w:color w:val="C05000"/>
          <w:sz w:val="18"/>
        </w:rPr>
        <w:t xml:space="preserve">⚠️ Risques : </w:t>
      </w:r>
      <w:r>
        <w:rPr>
          <w:sz w:val="18"/>
        </w:rPr>
        <w:t>["Exposition au risque \u00e9conomique ivoirien et aux fluctuations des mati\u00e8res premi\u00e8res", "Impact potentiel de nouvelles vagues de crise sanitaire sur l'activit\u00e9 \u00e9conomique", "Concurrence accrue dans le secteur bancaire ivoirien"]</w:t>
      </w:r>
    </w:p>
    <w:p>
      <w:pPr>
        <w:spacing w:before="40"/>
        <w:ind w:left="400"/>
      </w:pPr>
      <w:r>
        <w:rPr>
          <w:b/>
          <w:color w:val="0064A0"/>
          <w:sz w:val="18"/>
        </w:rPr>
        <w:t xml:space="preserve">🔮 Perspectives : </w:t>
      </w:r>
      <w:r>
        <w:rPr>
          <w:sz w:val="18"/>
        </w:rPr>
        <w:t>La SIB prévoit de poursuivre sa dynamique commerciale en 2022, année de célébration de son 60ème anniversaire, avec le déploiement de nouveaux produits et l'inauguration de nouveaux points d'accueil. La banque continuera d'investir dans la digitalisation et l'amélioration de l'expérience client tout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financi\u00e8re solide avec croissance soutenue et capitalisation robuste. Cependant, l'environnement macro\u00e9conomique incertain et la baisse anticip\u00e9e des revenus obligataires incitent \u00e0 la prudence."}</w:t>
      </w:r>
    </w:p>
    <w:p>
      <w:pPr>
        <w:spacing w:before="40"/>
        <w:ind w:left="400"/>
      </w:pPr>
      <w:r>
        <w:rPr>
          <w:sz w:val="18"/>
        </w:rPr>
        <w:t>La Société Ivoirienne de Banque (SIB) présente des résultats solides au premier trimestre 2022 malgré un environnement macroéconomique difficile marqué par la crise ukrainienne et l'inflation. La banque affiche une croissance soutenue de ses crédits (+12%) et dépôts (+7%) sur une année glissante. Le produit net bancaire progresse de 3% à 21,8 milliards XOF tandis que le résultat net provisoire bondit de 10% à 12,3 milliards XOF. La capitalisation reste solide avec un ratio de solvabilité de 13,1% au-dessus des normes réglementaires. Les perspectives demeurent favorables sous réserve d'absence de retournement conjoncturel majeur.</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{'depots_clientele': '1 089,9 milliards XOF', 'credits_clientele': '904,2 milliards XOF', 'ratio_solvabilite': '13,1%', 'coefficient_exploitation': '39,5%'}</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1 346,0 milliards XOF</w:t>
            </w:r>
          </w:p>
        </w:tc>
      </w:tr>
      <w:tr>
        <w:tc>
          <w:tcPr>
            <w:tcW w:type="dxa" w:w="2160"/>
          </w:tcPr>
          <w:p>
            <w:r/>
            <w:r>
              <w:rPr>
                <w:b/>
                <w:sz w:val="16"/>
              </w:rPr>
              <w:t>resultat_net</w:t>
              <w:br/>
            </w:r>
            <w:r>
              <w:rPr>
                <w:sz w:val="18"/>
              </w:rPr>
              <w:t>12,3 milliards XOF</w:t>
            </w:r>
          </w:p>
        </w:tc>
        <w:tc>
          <w:tcPr>
            <w:tcW w:type="dxa" w:w="2160"/>
          </w:tcPr>
          <w:p>
            <w:r/>
            <w:r>
              <w:rPr>
                <w:b/>
                <w:sz w:val="16"/>
              </w:rPr>
              <w:t>capitaux_propres</w:t>
              <w:br/>
            </w:r>
            <w:r>
              <w:rPr>
                <w:sz w:val="18"/>
              </w:rPr>
              <w:t>143,1 milliards XOF</w:t>
            </w:r>
          </w:p>
        </w:tc>
        <w:tc>
          <w:tcPr>
            <w:tcW w:type="dxa" w:w="2160"/>
          </w:tcPr>
          <w:p>
            <w:r/>
            <w:r>
              <w:rPr>
                <w:b/>
                <w:sz w:val="16"/>
              </w:rPr>
              <w:t>chiffre_affaires</w:t>
              <w:br/>
            </w:r>
            <w:r>
              <w:rPr>
                <w:sz w:val="18"/>
              </w:rPr>
              <w:t>21,8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crédits à la clientèle de 12% atteignant 904,2 milliards XOF</w:t>
      </w:r>
    </w:p>
    <w:p>
      <w:pPr>
        <w:pStyle w:val="ListBullet"/>
        <w:spacing w:before="20" w:after="20"/>
        <w:ind w:left="700"/>
      </w:pPr>
      <w:r>
        <w:rPr>
          <w:sz w:val="18"/>
        </w:rPr>
        <w:t>Progression des dépôts clients de 7% pour atteindre 1 089,9 milliards XOF</w:t>
      </w:r>
    </w:p>
    <w:p>
      <w:pPr>
        <w:pStyle w:val="ListBullet"/>
        <w:spacing w:before="20" w:after="20"/>
        <w:ind w:left="700"/>
      </w:pPr>
      <w:r>
        <w:rPr>
          <w:sz w:val="18"/>
        </w:rPr>
        <w:t>Hausse du résultat net provisoire de 10% à 12,3 milliards XOF</w:t>
      </w:r>
    </w:p>
    <w:p>
      <w:pPr>
        <w:pStyle w:val="ListBullet"/>
        <w:spacing w:before="20" w:after="20"/>
        <w:ind w:left="700"/>
      </w:pPr>
      <w:r>
        <w:rPr>
          <w:sz w:val="18"/>
        </w:rPr>
        <w:t>Amélioration du coefficient d'exploitation de 20bp à 39,5%</w:t>
      </w:r>
    </w:p>
    <w:p>
      <w:pPr>
        <w:pStyle w:val="ListBullet"/>
        <w:spacing w:before="20" w:after="20"/>
        <w:ind w:left="700"/>
      </w:pPr>
      <w:r>
        <w:rPr>
          <w:sz w:val="18"/>
        </w:rPr>
        <w:t>Renforcement des capitaux propres de 10% à 143,1 milliards XOF</w:t>
      </w:r>
    </w:p>
    <w:p>
      <w:pPr>
        <w:pStyle w:val="ListBullet"/>
        <w:spacing w:before="20" w:after="20"/>
        <w:ind w:left="700"/>
      </w:pPr>
      <w:r>
        <w:rPr>
          <w:sz w:val="18"/>
        </w:rPr>
        <w:t>Ratio de solvabilité maintenu à 13,1%, au-dessus de la norme de 11,25%</w:t>
      </w:r>
    </w:p>
    <w:p>
      <w:pPr>
        <w:spacing w:before="40"/>
        <w:ind w:left="400"/>
      </w:pPr>
      <w:r>
        <w:rPr>
          <w:b/>
          <w:color w:val="C05000"/>
          <w:sz w:val="18"/>
        </w:rPr>
        <w:t xml:space="preserve">⚠️ Risques : </w:t>
      </w:r>
      <w:r>
        <w:rPr>
          <w:sz w:val="18"/>
        </w:rPr>
        <w:t>["D\u00e9t\u00e9rioration de l'environnement macro\u00e9conomique li\u00e9e \u00e0 la crise ukrainienne et \u00e0 l'inflation", "Baisse des rendements des titres souverains impactant les revenus de march\u00e9", "R\u00e9vision \u00e0 la baisse des projections de croissance \u00e9conomique ivoirienne</w:t>
      </w:r>
    </w:p>
    <w:p>
      <w:pPr>
        <w:spacing w:before="40"/>
        <w:ind w:left="400"/>
      </w:pPr>
      <w:r>
        <w:rPr>
          <w:b/>
          <w:color w:val="0064A0"/>
          <w:sz w:val="18"/>
        </w:rPr>
        <w:t xml:space="preserve">🔮 Perspectives : </w:t>
      </w:r>
      <w:r>
        <w:rPr>
          <w:sz w:val="18"/>
        </w:rPr>
        <w:t>La tendance favorable caractérisée par des indicateurs d'activité et de rentabilité bien orientés devrait se poursuivre les prochains mois. Toutefois, cette trajectoire reste conditionnée à l'absence d'un retournement spectaculaire de la conjoncture économique. La banque bénéficie de sa transformati</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SIB d\u00e9montre une excellente r\u00e9silience avec une croissance \u00e0 deux chiffres de sa rentabilit\u00e9 malgr\u00e9 un contexte difficile. L'am\u00e9lioration continue de l'efficacit\u00e9 op\u00e9rationnelle et les solides ratios financiers en font une valeur de qualit\u00e9 sur le secteur bancaire ivoirien."}</w:t>
      </w:r>
    </w:p>
    <w:p>
      <w:pPr>
        <w:spacing w:before="40"/>
        <w:ind w:left="400"/>
      </w:pPr>
      <w:r>
        <w:rPr>
          <w:sz w:val="18"/>
        </w:rPr>
        <w:t>La Société Ivoirienne de Banque (SIB) affiche une performance solide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croissance soutenue de ses crédits (+15%) et dépôts (+12%) tout en améliorant son coefficient d'exploitation qui passe de 44,3% à 41,1%. Les ratios de rentabilité placent la SIB dans le peloton de tête des banques ivoiriennes. L'établissement célèbre ses 60 ans et poursuit l'expansion de son réseau avec l'inauguration d'un nouveau centre d'affai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{'cout_du_risque': '0,4 milliards XOF', 'rentabilite_ROE':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résultat net de +20% à 22,8 milliards XOF au S1 2022</w:t>
      </w:r>
    </w:p>
    <w:p>
      <w:pPr>
        <w:pStyle w:val="ListBullet"/>
        <w:spacing w:before="20" w:after="20"/>
        <w:ind w:left="700"/>
      </w:pPr>
      <w:r>
        <w:rPr>
          <w:sz w:val="18"/>
        </w:rPr>
        <w:t>Progression du PNB de +11% à 43,5 milliards XOF</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des crédits clientèle de +15% à 919 milliards XOF</w:t>
      </w:r>
    </w:p>
    <w:p>
      <w:pPr>
        <w:pStyle w:val="ListBullet"/>
        <w:spacing w:before="20" w:after="20"/>
        <w:ind w:left="700"/>
      </w:pPr>
      <w:r>
        <w:rPr>
          <w:sz w:val="18"/>
        </w:rPr>
        <w:t>Progression des dépôts clientèle de +12% à 1 157 milliards XOF</w:t>
      </w:r>
    </w:p>
    <w:p>
      <w:pPr>
        <w:pStyle w:val="ListBullet"/>
        <w:spacing w:before="20" w:after="20"/>
        <w:ind w:left="700"/>
      </w:pPr>
      <w:r>
        <w:rPr>
          <w:sz w:val="18"/>
        </w:rPr>
        <w:t>Maintien du statut de 1ère banque Spécialiste en Valeurs du Trésor pour la 5ème année consécutive</w:t>
      </w:r>
    </w:p>
    <w:p>
      <w:pPr>
        <w:spacing w:before="40"/>
        <w:ind w:left="400"/>
      </w:pPr>
      <w:r>
        <w:rPr>
          <w:b/>
          <w:color w:val="C05000"/>
          <w:sz w:val="18"/>
        </w:rPr>
        <w:t xml:space="preserve">⚠️ Risques : </w:t>
      </w:r>
      <w:r>
        <w:rPr>
          <w:sz w:val="18"/>
        </w:rPr>
        <w:t>["Impact de la pouss\u00e9e inflationniste et du ralentissement \u00e9conomique sur la qualit\u00e9 des cr\u00e9dits", "Tension sur les marges li\u00e9e \u00e0 la hausse des taux directeurs de la BCEAO", "Exposition au risque souverain ivoirien via les activit\u00e9s de march\u00e9 sur les obligatio</w:t>
      </w:r>
    </w:p>
    <w:p>
      <w:pPr>
        <w:spacing w:before="40"/>
        <w:ind w:left="400"/>
      </w:pPr>
      <w:r>
        <w:rPr>
          <w:b/>
          <w:color w:val="0064A0"/>
          <w:sz w:val="18"/>
        </w:rPr>
        <w:t xml:space="preserve">🔮 Perspectives : </w:t>
      </w:r>
      <w:r>
        <w:rPr>
          <w:sz w:val="18"/>
        </w:rPr>
        <w:t>La SIB prévoit de poursuivre sa dynamique d'accompagnement de la clientèle au second semestre 2022 tout en restant attentive à l'évolution conjoncturelle. L'établissement devrait maintenir son implication sur le marché obligataire et continuer l'expansion de son réseau dans le cadre de son plan stra</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r\u00e9sultat net de 20% et une am\u00e9lioration continue de l'efficacit\u00e9 op\u00e9rationnelle. La banque affiche des ratios de rentabilit\u00e9 parmi les meilleurs du secteur bancaire ivoirien."}</w:t>
      </w:r>
    </w:p>
    <w:p>
      <w:pPr>
        <w:spacing w:before="40"/>
        <w:ind w:left="400"/>
      </w:pPr>
      <w:r>
        <w:rPr>
          <w:sz w:val="18"/>
        </w:rPr>
        <w:t>La Société Ivoirienne de Banque (SIB) affiche une excellente performance au premier semestre 2022 malgré un environnement économique difficile marqué par l'inflation et les tensions géopolitiques. Le Produit Net Bancaire progresse de +11% à 43,5 milliards XOF tandis que le résultat net provisoire bondit de +20% à 22,8 milliards XOF. La banque maintient une excellente maîtrise des coûts avec un coefficient d'exploitation amélioré à 41,1% contre 44,3% en 2021. Les dépôts clientèle augmentent de +12% et les crédits de +15%, témoignant d'un dynamisme commercial soutenu. La SIB respecte tous les ratios réglementaires avec des niveaux confortables et célèbre ses 60 ans d'accompagnement de l'économ</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{'RBE': '25,6 milliards XOF', 'ROE': '34,8%', 'depots_clientele': '1 157 milliards XOF', 'credits_clientele': '919 milliards XOF', 'coefficient_exploitation': '41,1%'}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52,4%</w:t>
            </w:r>
          </w:p>
        </w:tc>
        <w:tc>
          <w:tcPr>
            <w:tcW w:type="dxa" w:w="2160"/>
          </w:tcPr>
          <w:p>
            <w:pPr>
              <w:ind w:left="100"/>
            </w:pPr>
            <w:r/>
            <w:r>
              <w:rPr>
                <w:b/>
                <w:sz w:val="16"/>
              </w:rPr>
              <w:t>total_actif</w:t>
              <w:br/>
            </w:r>
            <w:r>
              <w:rPr>
                <w:sz w:val="18"/>
              </w:rPr>
              <w:t>1 453 milliards XOF</w:t>
            </w:r>
          </w:p>
        </w:tc>
      </w:tr>
      <w:tr>
        <w:tc>
          <w:tcPr>
            <w:tcW w:type="dxa" w:w="2160"/>
          </w:tcPr>
          <w:p>
            <w:r/>
            <w:r>
              <w:rPr>
                <w:b/>
                <w:sz w:val="16"/>
              </w:rPr>
              <w:t>resultat_net</w:t>
              <w:br/>
            </w:r>
            <w:r>
              <w:rPr>
                <w:sz w:val="18"/>
              </w:rPr>
              <w:t>22,8 milliards XOF</w:t>
            </w:r>
          </w:p>
        </w:tc>
        <w:tc>
          <w:tcPr>
            <w:tcW w:type="dxa" w:w="2160"/>
          </w:tcPr>
          <w:p>
            <w:r/>
            <w:r>
              <w:rPr>
                <w:b/>
                <w:sz w:val="16"/>
              </w:rPr>
              <w:t>capitaux_propres</w:t>
              <w:br/>
            </w:r>
            <w:r>
              <w:rPr>
                <w:sz w:val="18"/>
              </w:rPr>
              <w:t>131 milliards XOF</w:t>
            </w:r>
          </w:p>
        </w:tc>
        <w:tc>
          <w:tcPr>
            <w:tcW w:type="dxa" w:w="2160"/>
          </w:tcPr>
          <w:p>
            <w:r/>
            <w:r>
              <w:rPr>
                <w:b/>
                <w:sz w:val="16"/>
              </w:rPr>
              <w:t>chiffre_affaires</w:t>
              <w:br/>
            </w:r>
            <w:r>
              <w:rPr>
                <w:sz w:val="18"/>
              </w:rPr>
              <w:t>43,5 milliards XOF (PNB)</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résultat net de +20% à 22,8 milliards XOF au S1 2022</w:t>
      </w:r>
    </w:p>
    <w:p>
      <w:pPr>
        <w:pStyle w:val="ListBullet"/>
        <w:spacing w:before="20" w:after="20"/>
        <w:ind w:left="700"/>
      </w:pPr>
      <w:r>
        <w:rPr>
          <w:sz w:val="18"/>
        </w:rPr>
        <w:t>Progression du PNB de +11% à 43,5 milliards XOF portée par l'activité d'intermédiation</w:t>
      </w:r>
    </w:p>
    <w:p>
      <w:pPr>
        <w:pStyle w:val="ListBullet"/>
        <w:spacing w:before="20" w:after="20"/>
        <w:ind w:left="700"/>
      </w:pPr>
      <w:r>
        <w:rPr>
          <w:sz w:val="18"/>
        </w:rPr>
        <w:t>Amélioration du coefficient d'exploitation de 44,3% à 41,1%</w:t>
      </w:r>
    </w:p>
    <w:p>
      <w:pPr>
        <w:pStyle w:val="ListBullet"/>
        <w:spacing w:before="20" w:after="20"/>
        <w:ind w:left="700"/>
      </w:pPr>
      <w:r>
        <w:rPr>
          <w:sz w:val="18"/>
        </w:rPr>
        <w:t>Croissance soutenue des dépôts (+12%) et des crédits (+15%) clientèle</w:t>
      </w:r>
    </w:p>
    <w:p>
      <w:pPr>
        <w:pStyle w:val="ListBullet"/>
        <w:spacing w:before="20" w:after="20"/>
        <w:ind w:left="700"/>
      </w:pPr>
      <w:r>
        <w:rPr>
          <w:sz w:val="18"/>
        </w:rPr>
        <w:t>Maîtrise des frais généraux avec une progression limitée à +3%</w:t>
      </w:r>
    </w:p>
    <w:p>
      <w:pPr>
        <w:pStyle w:val="ListBullet"/>
        <w:spacing w:before="20" w:after="20"/>
        <w:ind w:left="700"/>
      </w:pPr>
      <w:r>
        <w:rPr>
          <w:sz w:val="18"/>
        </w:rPr>
        <w:t>1ère banque Spécialiste en Valeurs du Trésor pour la 5ème année consécutive</w:t>
      </w:r>
    </w:p>
    <w:p>
      <w:pPr>
        <w:spacing w:before="40"/>
        <w:ind w:left="400"/>
      </w:pPr>
      <w:r>
        <w:rPr>
          <w:b/>
          <w:color w:val="C05000"/>
          <w:sz w:val="18"/>
        </w:rPr>
        <w:t xml:space="preserve">⚠️ Risques : </w:t>
      </w:r>
      <w:r>
        <w:rPr>
          <w:sz w:val="18"/>
        </w:rPr>
        <w:t>["Conjoncture \u00e9conomique difficile avec inflation atteignant 5,5% et r\u00e9vision \u00e0 la baisse de la croissance \u00e9conomique", "Ralentissement observ\u00e9 dans la distribution des cr\u00e9dits \u00e0 l'\u00e9conomie au niveau du secteur bancaire", "Impact des tensions g\u00e9opolitique</w:t>
      </w:r>
    </w:p>
    <w:p>
      <w:pPr>
        <w:spacing w:before="40"/>
        <w:ind w:left="400"/>
      </w:pPr>
      <w:r>
        <w:rPr>
          <w:b/>
          <w:color w:val="0064A0"/>
          <w:sz w:val="18"/>
        </w:rPr>
        <w:t xml:space="preserve">🔮 Perspectives : </w:t>
      </w:r>
      <w:r>
        <w:rPr>
          <w:sz w:val="18"/>
        </w:rPr>
        <w:t>La SIB prévoit de poursuivre ses efforts commerciaux dans la dynamique d'accompagnement de la clientèle pour le second semestre 2022. La banque continuera son implication sur le marché des obligations d'État, notamment les titres émis par la Côte d'Ivoire, forte de son statut de 1ère banque SVT. Les</w:t>
      </w:r>
    </w:p>
    <w:p/>
    <w:p>
      <w:r>
        <w:t>════════════════════════════════════════════════════════════════════════════════</w:t>
      </w:r>
    </w:p>
    <w:p>
      <w:r>
        <w:br w:type="page"/>
      </w:r>
    </w:p>
    <w:p>
      <w:pPr>
        <w:pStyle w:val="Heading2"/>
        <w:spacing w:before="360"/>
      </w:pPr>
      <w:r>
        <w:rPr>
          <w:color w:val="0066CC"/>
        </w:rPr>
        <w:t>35. SICC - SICC - SICOR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SICC</w:t>
            </w:r>
          </w:p>
          <w:p>
            <w:r>
              <w:rPr>
                <w:b/>
                <w:color w:val="323250"/>
                <w:sz w:val="16"/>
              </w:rPr>
              <w:t xml:space="preserve">Société : </w:t>
            </w:r>
            <w:r>
              <w:rPr>
                <w:color w:val="000000"/>
                <w:sz w:val="16"/>
              </w:rPr>
              <w:t>SICC - SICOR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4.81 Mds FCFA</w:t>
            </w:r>
          </w:p>
          <w:p>
            <w:r>
              <w:rPr>
                <w:b/>
                <w:color w:val="1E461E"/>
                <w:sz w:val="16"/>
              </w:rPr>
              <w:t xml:space="preserve">Catégorie : </w:t>
            </w:r>
            <w:r>
              <w:rPr>
                <w:b/>
                <w:color w:val="006400"/>
                <w:sz w:val="17"/>
              </w:rPr>
              <w:t>Micro cap (&lt;10 Mds)</w:t>
            </w:r>
          </w:p>
          <w:p>
            <w:r>
              <w:rPr>
                <w:b/>
                <w:color w:val="1E461E"/>
                <w:sz w:val="16"/>
              </w:rPr>
              <w:t xml:space="preserve">Vol. moy/jour : </w:t>
            </w:r>
            <w:r>
              <w:rPr>
                <w:b/>
                <w:color w:val="006400"/>
                <w:sz w:val="17"/>
              </w:rPr>
              <w:t>129 titres</w:t>
            </w:r>
          </w:p>
        </w:tc>
        <w:tc>
          <w:tcPr>
            <w:tcW w:type="dxa" w:w="2268"/>
            <w:shd w:fill="FFF2CC" w:val="clear"/>
          </w:tcPr>
          <w:p>
            <w:r>
              <w:rPr>
                <w:b/>
                <w:color w:val="503200"/>
                <w:sz w:val="16"/>
              </w:rPr>
              <w:t xml:space="preserve">Cours actuel : </w:t>
            </w:r>
            <w:r>
              <w:rPr>
                <w:color w:val="000000"/>
                <w:sz w:val="17"/>
              </w:rPr>
              <w:t>8,010 FCFA</w:t>
            </w:r>
          </w:p>
          <w:p>
            <w:r>
              <w:rPr>
                <w:b/>
                <w:color w:val="503200"/>
                <w:sz w:val="16"/>
              </w:rPr>
              <w:t xml:space="preserve">Var. 100 jours : </w:t>
            </w:r>
            <w:r>
              <w:rPr>
                <w:b/>
                <w:color w:val="007800"/>
                <w:sz w:val="17"/>
              </w:rPr>
              <w:t>+100.25%</w:t>
            </w:r>
          </w:p>
          <w:p>
            <w:r>
              <w:rPr>
                <w:b/>
                <w:color w:val="503200"/>
                <w:sz w:val="16"/>
              </w:rPr>
              <w:t xml:space="preserve">Plus haut 100j : </w:t>
            </w:r>
            <w:r>
              <w:rPr>
                <w:color w:val="000000"/>
                <w:sz w:val="17"/>
              </w:rPr>
              <w:t>10,200 FCFA</w:t>
            </w:r>
          </w:p>
          <w:p>
            <w:r>
              <w:rPr>
                <w:b/>
                <w:color w:val="503200"/>
                <w:sz w:val="16"/>
              </w:rPr>
              <w:t xml:space="preserve">Plus bas 100j : </w:t>
            </w:r>
            <w:r>
              <w:rPr>
                <w:color w:val="000000"/>
                <w:sz w:val="17"/>
              </w:rPr>
              <w:t>3,765 FCFA</w:t>
            </w:r>
          </w:p>
          <w:p>
            <w:r>
              <w:rPr>
                <w:b/>
                <w:color w:val="503200"/>
                <w:sz w:val="16"/>
              </w:rPr>
              <w:t xml:space="preserve">Volatilité ann. : </w:t>
            </w:r>
            <w:r>
              <w:rPr>
                <w:color w:val="000000"/>
                <w:sz w:val="17"/>
              </w:rPr>
              <w:t>60.5%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33.8/100 → Moyen</w:t>
      </w:r>
    </w:p>
    <w:p>
      <w:pPr>
        <w:spacing w:before="40" w:after="80"/>
      </w:pPr>
      <w:r>
        <w:rPr>
          <w:rFonts w:ascii="Courier New" w:hAnsi="Courier New"/>
          <w:color w:val="825A00"/>
          <w:sz w:val="18"/>
        </w:rPr>
        <w:t>██████░░░░░░░░░░░░░░  33.8/100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C7CE" w:val="clear"/>
          </w:tcPr>
          <w:p>
            <w:r>
              <w:rPr>
                <w:b/>
                <w:sz w:val="15"/>
              </w:rPr>
              <w:t>30.28% (Élevée) — μ=5,263 FCFA, σ=1,594 FCFA</w:t>
            </w:r>
          </w:p>
        </w:tc>
        <w:tc>
          <w:tcPr>
            <w:tcW w:type="dxa" w:w="1984"/>
            <w:shd w:fill="F7F7F7" w:val="clear"/>
          </w:tcPr>
          <w:p>
            <w:r>
              <w:rPr>
                <w:i/>
                <w:color w:val="505078"/>
                <w:sz w:val="14"/>
              </w:rPr>
              <w:t>CV = σ(prix) / μ(prix)</w:t>
            </w:r>
          </w:p>
        </w:tc>
        <w:tc>
          <w:tcPr>
            <w:tcW w:type="dxa" w:w="1984"/>
            <w:shd w:fill="FFC7CE" w:val="clear"/>
          </w:tcPr>
          <w:p>
            <w:r>
              <w:rPr>
                <w:sz w:val="15"/>
              </w:rPr>
              <w:t>❌ Forte dispersion — titre très volatile</w:t>
            </w:r>
          </w:p>
        </w:tc>
      </w:tr>
      <w:tr>
        <w:tc>
          <w:tcPr>
            <w:tcW w:type="dxa" w:w="2835"/>
            <w:shd w:fill="EEF2F7" w:val="clear"/>
          </w:tcPr>
          <w:p>
            <w:r>
              <w:rPr>
                <w:b/>
                <w:sz w:val="15"/>
              </w:rPr>
              <w:t>📐 Bêta vs BRVM Composite (20%)</w:t>
            </w:r>
          </w:p>
        </w:tc>
        <w:tc>
          <w:tcPr>
            <w:tcW w:type="dxa" w:w="3118"/>
            <w:shd w:fill="E2EFDA" w:val="clear"/>
          </w:tcPr>
          <w:p>
            <w:r>
              <w:rPr>
                <w:b/>
                <w:sz w:val="15"/>
              </w:rPr>
              <w:t>β=-0.7546 (Contre-cyclique) — Cov=-0.000027, Var(idx)=0.000035, ρ=-0.117,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FFEB9C" w:val="clear"/>
          </w:tcPr>
          <w:p>
            <w:r>
              <w:rPr>
                <w:b/>
                <w:sz w:val="15"/>
              </w:rPr>
              <w:t>129 titres/j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σ_j=3.81%/j (Modérée) — Vol. annualisée≈60.5%</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58/100  (Bon)</w:t>
      </w:r>
    </w:p>
    <w:p/>
    <w:p>
      <w:pPr>
        <w:jc w:val="center"/>
      </w:pPr>
      <w:r>
        <w:drawing>
          <wp:inline xmlns:a="http://schemas.openxmlformats.org/drawingml/2006/main" xmlns:pic="http://schemas.openxmlformats.org/drawingml/2006/picture">
            <wp:extent cx="5669280" cy="2616976"/>
            <wp:docPr id="37" name="Picture 3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669280" cy="2616976"/>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2026-08-28</w:t>
            </w:r>
          </w:p>
        </w:tc>
        <w:tc>
          <w:tcPr>
            <w:tcW w:type="dxa" w:w="1440"/>
            <w:shd w:fill="FFDCE0" w:val="clear"/>
          </w:tcPr>
          <w:p>
            <w:r>
              <w:rPr>
                <w:sz w:val="17"/>
              </w:rPr>
              <w:t>7,105</w:t>
            </w:r>
          </w:p>
        </w:tc>
        <w:tc>
          <w:tcPr>
            <w:tcW w:type="dxa" w:w="1440"/>
            <w:shd w:fill="FFDCE0" w:val="clear"/>
          </w:tcPr>
          <w:p>
            <w:r>
              <w:rPr>
                <w:b/>
                <w:sz w:val="17"/>
              </w:rPr>
              <w:t>7,681</w:t>
            </w:r>
          </w:p>
        </w:tc>
        <w:tc>
          <w:tcPr>
            <w:tcW w:type="dxa" w:w="1440"/>
            <w:shd w:fill="FFDCE0" w:val="clear"/>
          </w:tcPr>
          <w:p>
            <w:r>
              <w:rPr>
                <w:sz w:val="17"/>
              </w:rPr>
              <w:t>8,257</w:t>
            </w:r>
          </w:p>
        </w:tc>
        <w:tc>
          <w:tcPr>
            <w:tcW w:type="dxa" w:w="1440"/>
            <w:shd w:fill="FFDCE0" w:val="clear"/>
          </w:tcPr>
          <w:p>
            <w:r>
              <w:rPr>
                <w:b/>
                <w:color w:val="C00000"/>
                <w:sz w:val="17"/>
              </w:rPr>
              <w:t>-4.1%</w:t>
            </w:r>
          </w:p>
        </w:tc>
      </w:tr>
      <w:tr>
        <w:tc>
          <w:tcPr>
            <w:tcW w:type="dxa" w:w="1440"/>
            <w:shd w:fill="FFDCE0" w:val="clear"/>
          </w:tcPr>
          <w:p>
            <w:r>
              <w:rPr>
                <w:sz w:val="17"/>
              </w:rPr>
              <w:t>J+2  ⭐</w:t>
            </w:r>
          </w:p>
        </w:tc>
        <w:tc>
          <w:tcPr>
            <w:tcW w:type="dxa" w:w="1440"/>
            <w:shd w:fill="FFDCE0" w:val="clear"/>
          </w:tcPr>
          <w:p>
            <w:r>
              <w:rPr>
                <w:sz w:val="17"/>
              </w:rPr>
              <w:t>2026-08-31</w:t>
            </w:r>
          </w:p>
        </w:tc>
        <w:tc>
          <w:tcPr>
            <w:tcW w:type="dxa" w:w="1440"/>
            <w:shd w:fill="FFDCE0" w:val="clear"/>
          </w:tcPr>
          <w:p>
            <w:r>
              <w:rPr>
                <w:sz w:val="17"/>
              </w:rPr>
              <w:t>6,639</w:t>
            </w:r>
          </w:p>
        </w:tc>
        <w:tc>
          <w:tcPr>
            <w:tcW w:type="dxa" w:w="1440"/>
            <w:shd w:fill="FFDCE0" w:val="clear"/>
          </w:tcPr>
          <w:p>
            <w:r>
              <w:rPr>
                <w:b/>
                <w:sz w:val="17"/>
              </w:rPr>
              <w:t>7,544</w:t>
            </w:r>
          </w:p>
        </w:tc>
        <w:tc>
          <w:tcPr>
            <w:tcW w:type="dxa" w:w="1440"/>
            <w:shd w:fill="FFDCE0" w:val="clear"/>
          </w:tcPr>
          <w:p>
            <w:r>
              <w:rPr>
                <w:sz w:val="17"/>
              </w:rPr>
              <w:t>8,448</w:t>
            </w:r>
          </w:p>
        </w:tc>
        <w:tc>
          <w:tcPr>
            <w:tcW w:type="dxa" w:w="1440"/>
            <w:shd w:fill="FFDCE0" w:val="clear"/>
          </w:tcPr>
          <w:p>
            <w:r>
              <w:rPr>
                <w:b/>
                <w:color w:val="C00000"/>
                <w:sz w:val="17"/>
              </w:rPr>
              <w:t>-5.8%</w:t>
            </w:r>
          </w:p>
        </w:tc>
      </w:tr>
      <w:tr>
        <w:tc>
          <w:tcPr>
            <w:tcW w:type="dxa" w:w="1440"/>
            <w:shd w:fill="FFDCE0" w:val="clear"/>
          </w:tcPr>
          <w:p>
            <w:r>
              <w:rPr>
                <w:sz w:val="17"/>
              </w:rPr>
              <w:t>J+3  ⭐</w:t>
            </w:r>
          </w:p>
        </w:tc>
        <w:tc>
          <w:tcPr>
            <w:tcW w:type="dxa" w:w="1440"/>
            <w:shd w:fill="FFDCE0" w:val="clear"/>
          </w:tcPr>
          <w:p>
            <w:r>
              <w:rPr>
                <w:sz w:val="17"/>
              </w:rPr>
              <w:t>2026-09-01</w:t>
            </w:r>
          </w:p>
        </w:tc>
        <w:tc>
          <w:tcPr>
            <w:tcW w:type="dxa" w:w="1440"/>
            <w:shd w:fill="FFDCE0" w:val="clear"/>
          </w:tcPr>
          <w:p>
            <w:r>
              <w:rPr>
                <w:sz w:val="17"/>
              </w:rPr>
              <w:t>6,293</w:t>
            </w:r>
          </w:p>
        </w:tc>
        <w:tc>
          <w:tcPr>
            <w:tcW w:type="dxa" w:w="1440"/>
            <w:shd w:fill="FFDCE0" w:val="clear"/>
          </w:tcPr>
          <w:p>
            <w:r>
              <w:rPr>
                <w:b/>
                <w:sz w:val="17"/>
              </w:rPr>
              <w:t>7,377</w:t>
            </w:r>
          </w:p>
        </w:tc>
        <w:tc>
          <w:tcPr>
            <w:tcW w:type="dxa" w:w="1440"/>
            <w:shd w:fill="FFDCE0" w:val="clear"/>
          </w:tcPr>
          <w:p>
            <w:r>
              <w:rPr>
                <w:sz w:val="17"/>
              </w:rPr>
              <w:t>8,461</w:t>
            </w:r>
          </w:p>
        </w:tc>
        <w:tc>
          <w:tcPr>
            <w:tcW w:type="dxa" w:w="1440"/>
            <w:shd w:fill="FFDCE0" w:val="clear"/>
          </w:tcPr>
          <w:p>
            <w:r>
              <w:rPr>
                <w:b/>
                <w:color w:val="C00000"/>
                <w:sz w:val="17"/>
              </w:rPr>
              <w:t>-7.9%</w:t>
            </w:r>
          </w:p>
        </w:tc>
      </w:tr>
      <w:tr>
        <w:tc>
          <w:tcPr>
            <w:tcW w:type="dxa" w:w="1440"/>
            <w:shd w:fill="FFDCE0" w:val="clear"/>
          </w:tcPr>
          <w:p>
            <w:r>
              <w:rPr>
                <w:sz w:val="17"/>
              </w:rPr>
              <w:t>J+4  ⭐</w:t>
            </w:r>
          </w:p>
        </w:tc>
        <w:tc>
          <w:tcPr>
            <w:tcW w:type="dxa" w:w="1440"/>
            <w:shd w:fill="FFDCE0" w:val="clear"/>
          </w:tcPr>
          <w:p>
            <w:r>
              <w:rPr>
                <w:sz w:val="17"/>
              </w:rPr>
              <w:t>2026-09-02</w:t>
            </w:r>
          </w:p>
        </w:tc>
        <w:tc>
          <w:tcPr>
            <w:tcW w:type="dxa" w:w="1440"/>
            <w:shd w:fill="FFDCE0" w:val="clear"/>
          </w:tcPr>
          <w:p>
            <w:r>
              <w:rPr>
                <w:sz w:val="17"/>
              </w:rPr>
              <w:t>5,992</w:t>
            </w:r>
          </w:p>
        </w:tc>
        <w:tc>
          <w:tcPr>
            <w:tcW w:type="dxa" w:w="1440"/>
            <w:shd w:fill="FFDCE0" w:val="clear"/>
          </w:tcPr>
          <w:p>
            <w:r>
              <w:rPr>
                <w:b/>
                <w:sz w:val="17"/>
              </w:rPr>
              <w:t>7,215</w:t>
            </w:r>
          </w:p>
        </w:tc>
        <w:tc>
          <w:tcPr>
            <w:tcW w:type="dxa" w:w="1440"/>
            <w:shd w:fill="FFDCE0" w:val="clear"/>
          </w:tcPr>
          <w:p>
            <w:r>
              <w:rPr>
                <w:sz w:val="17"/>
              </w:rPr>
              <w:t>8,439</w:t>
            </w:r>
          </w:p>
        </w:tc>
        <w:tc>
          <w:tcPr>
            <w:tcW w:type="dxa" w:w="1440"/>
            <w:shd w:fill="FFDCE0" w:val="clear"/>
          </w:tcPr>
          <w:p>
            <w:r>
              <w:rPr>
                <w:b/>
                <w:color w:val="C00000"/>
                <w:sz w:val="17"/>
              </w:rPr>
              <w:t>-9.9%</w:t>
            </w:r>
          </w:p>
        </w:tc>
      </w:tr>
      <w:tr>
        <w:tc>
          <w:tcPr>
            <w:tcW w:type="dxa" w:w="1440"/>
            <w:shd w:fill="FFDCE0" w:val="clear"/>
          </w:tcPr>
          <w:p>
            <w:r>
              <w:rPr>
                <w:sz w:val="17"/>
              </w:rPr>
              <w:t>J+5  ⭐</w:t>
            </w:r>
          </w:p>
        </w:tc>
        <w:tc>
          <w:tcPr>
            <w:tcW w:type="dxa" w:w="1440"/>
            <w:shd w:fill="FFDCE0" w:val="clear"/>
          </w:tcPr>
          <w:p>
            <w:r>
              <w:rPr>
                <w:sz w:val="17"/>
              </w:rPr>
              <w:t>2026-09-03</w:t>
            </w:r>
          </w:p>
        </w:tc>
        <w:tc>
          <w:tcPr>
            <w:tcW w:type="dxa" w:w="1440"/>
            <w:shd w:fill="FFDCE0" w:val="clear"/>
          </w:tcPr>
          <w:p>
            <w:r>
              <w:rPr>
                <w:sz w:val="17"/>
              </w:rPr>
              <w:t>5,724</w:t>
            </w:r>
          </w:p>
        </w:tc>
        <w:tc>
          <w:tcPr>
            <w:tcW w:type="dxa" w:w="1440"/>
            <w:shd w:fill="FFDCE0" w:val="clear"/>
          </w:tcPr>
          <w:p>
            <w:r>
              <w:rPr>
                <w:b/>
                <w:sz w:val="17"/>
              </w:rPr>
              <w:t>7,063</w:t>
            </w:r>
          </w:p>
        </w:tc>
        <w:tc>
          <w:tcPr>
            <w:tcW w:type="dxa" w:w="1440"/>
            <w:shd w:fill="FFDCE0" w:val="clear"/>
          </w:tcPr>
          <w:p>
            <w:r>
              <w:rPr>
                <w:sz w:val="17"/>
              </w:rPr>
              <w:t>8,403</w:t>
            </w:r>
          </w:p>
        </w:tc>
        <w:tc>
          <w:tcPr>
            <w:tcW w:type="dxa" w:w="1440"/>
            <w:shd w:fill="FFDCE0" w:val="clear"/>
          </w:tcPr>
          <w:p>
            <w:r>
              <w:rPr>
                <w:b/>
                <w:color w:val="C00000"/>
                <w:sz w:val="17"/>
              </w:rPr>
              <w:t>-11.8%</w:t>
            </w:r>
          </w:p>
        </w:tc>
      </w:tr>
      <w:tr>
        <w:tc>
          <w:tcPr>
            <w:tcW w:type="dxa" w:w="1440"/>
            <w:shd w:fill="FFDCE0" w:val="clear"/>
          </w:tcPr>
          <w:p>
            <w:r>
              <w:rPr>
                <w:sz w:val="17"/>
              </w:rPr>
              <w:t>J+6  ⭐</w:t>
            </w:r>
          </w:p>
        </w:tc>
        <w:tc>
          <w:tcPr>
            <w:tcW w:type="dxa" w:w="1440"/>
            <w:shd w:fill="FFDCE0" w:val="clear"/>
          </w:tcPr>
          <w:p>
            <w:r>
              <w:rPr>
                <w:sz w:val="17"/>
              </w:rPr>
              <w:t>2026-09-04</w:t>
            </w:r>
          </w:p>
        </w:tc>
        <w:tc>
          <w:tcPr>
            <w:tcW w:type="dxa" w:w="1440"/>
            <w:shd w:fill="FFDCE0" w:val="clear"/>
          </w:tcPr>
          <w:p>
            <w:r>
              <w:rPr>
                <w:sz w:val="17"/>
              </w:rPr>
              <w:t>5,483</w:t>
            </w:r>
          </w:p>
        </w:tc>
        <w:tc>
          <w:tcPr>
            <w:tcW w:type="dxa" w:w="1440"/>
            <w:shd w:fill="FFDCE0" w:val="clear"/>
          </w:tcPr>
          <w:p>
            <w:r>
              <w:rPr>
                <w:b/>
                <w:sz w:val="17"/>
              </w:rPr>
              <w:t>6,920</w:t>
            </w:r>
          </w:p>
        </w:tc>
        <w:tc>
          <w:tcPr>
            <w:tcW w:type="dxa" w:w="1440"/>
            <w:shd w:fill="FFDCE0" w:val="clear"/>
          </w:tcPr>
          <w:p>
            <w:r>
              <w:rPr>
                <w:sz w:val="17"/>
              </w:rPr>
              <w:t>8,358</w:t>
            </w:r>
          </w:p>
        </w:tc>
        <w:tc>
          <w:tcPr>
            <w:tcW w:type="dxa" w:w="1440"/>
            <w:shd w:fill="FFDCE0" w:val="clear"/>
          </w:tcPr>
          <w:p>
            <w:r>
              <w:rPr>
                <w:b/>
                <w:color w:val="C00000"/>
                <w:sz w:val="17"/>
              </w:rPr>
              <w:t>-13.6%</w:t>
            </w:r>
          </w:p>
        </w:tc>
      </w:tr>
      <w:tr>
        <w:tc>
          <w:tcPr>
            <w:tcW w:type="dxa" w:w="1440"/>
            <w:shd w:fill="FFDCE0" w:val="clear"/>
          </w:tcPr>
          <w:p>
            <w:r>
              <w:rPr>
                <w:sz w:val="17"/>
              </w:rPr>
              <w:t>J+7  ⭐</w:t>
            </w:r>
          </w:p>
        </w:tc>
        <w:tc>
          <w:tcPr>
            <w:tcW w:type="dxa" w:w="1440"/>
            <w:shd w:fill="FFDCE0" w:val="clear"/>
          </w:tcPr>
          <w:p>
            <w:r>
              <w:rPr>
                <w:sz w:val="17"/>
              </w:rPr>
              <w:t>2026-09-07</w:t>
            </w:r>
          </w:p>
        </w:tc>
        <w:tc>
          <w:tcPr>
            <w:tcW w:type="dxa" w:w="1440"/>
            <w:shd w:fill="FFDCE0" w:val="clear"/>
          </w:tcPr>
          <w:p>
            <w:r>
              <w:rPr>
                <w:sz w:val="17"/>
              </w:rPr>
              <w:t>5,263</w:t>
            </w:r>
          </w:p>
        </w:tc>
        <w:tc>
          <w:tcPr>
            <w:tcW w:type="dxa" w:w="1440"/>
            <w:shd w:fill="FFDCE0" w:val="clear"/>
          </w:tcPr>
          <w:p>
            <w:r>
              <w:rPr>
                <w:b/>
                <w:sz w:val="17"/>
              </w:rPr>
              <w:t>6,785</w:t>
            </w:r>
          </w:p>
        </w:tc>
        <w:tc>
          <w:tcPr>
            <w:tcW w:type="dxa" w:w="1440"/>
            <w:shd w:fill="FFDCE0" w:val="clear"/>
          </w:tcPr>
          <w:p>
            <w:r>
              <w:rPr>
                <w:sz w:val="17"/>
              </w:rPr>
              <w:t>8,308</w:t>
            </w:r>
          </w:p>
        </w:tc>
        <w:tc>
          <w:tcPr>
            <w:tcW w:type="dxa" w:w="1440"/>
            <w:shd w:fill="FFDCE0" w:val="clear"/>
          </w:tcPr>
          <w:p>
            <w:r>
              <w:rPr>
                <w:b/>
                <w:color w:val="C00000"/>
                <w:sz w:val="17"/>
              </w:rPr>
              <w:t>-15.3%</w:t>
            </w:r>
          </w:p>
        </w:tc>
      </w:tr>
      <w:tr>
        <w:tc>
          <w:tcPr>
            <w:tcW w:type="dxa" w:w="1440"/>
            <w:shd w:fill="FFDCE0" w:val="clear"/>
          </w:tcPr>
          <w:p>
            <w:r>
              <w:rPr>
                <w:sz w:val="17"/>
              </w:rPr>
              <w:t>J+8  ⭐</w:t>
            </w:r>
          </w:p>
        </w:tc>
        <w:tc>
          <w:tcPr>
            <w:tcW w:type="dxa" w:w="1440"/>
            <w:shd w:fill="FFDCE0" w:val="clear"/>
          </w:tcPr>
          <w:p>
            <w:r>
              <w:rPr>
                <w:sz w:val="17"/>
              </w:rPr>
              <w:t>2026-09-08</w:t>
            </w:r>
          </w:p>
        </w:tc>
        <w:tc>
          <w:tcPr>
            <w:tcW w:type="dxa" w:w="1440"/>
            <w:shd w:fill="FFDCE0" w:val="clear"/>
          </w:tcPr>
          <w:p>
            <w:r>
              <w:rPr>
                <w:sz w:val="17"/>
              </w:rPr>
              <w:t>5,061</w:t>
            </w:r>
          </w:p>
        </w:tc>
        <w:tc>
          <w:tcPr>
            <w:tcW w:type="dxa" w:w="1440"/>
            <w:shd w:fill="FFDCE0" w:val="clear"/>
          </w:tcPr>
          <w:p>
            <w:r>
              <w:rPr>
                <w:b/>
                <w:sz w:val="17"/>
              </w:rPr>
              <w:t>6,658</w:t>
            </w:r>
          </w:p>
        </w:tc>
        <w:tc>
          <w:tcPr>
            <w:tcW w:type="dxa" w:w="1440"/>
            <w:shd w:fill="FFDCE0" w:val="clear"/>
          </w:tcPr>
          <w:p>
            <w:r>
              <w:rPr>
                <w:sz w:val="17"/>
              </w:rPr>
              <w:t>8,255</w:t>
            </w:r>
          </w:p>
        </w:tc>
        <w:tc>
          <w:tcPr>
            <w:tcW w:type="dxa" w:w="1440"/>
            <w:shd w:fill="FFDCE0" w:val="clear"/>
          </w:tcPr>
          <w:p>
            <w:r>
              <w:rPr>
                <w:b/>
                <w:color w:val="C00000"/>
                <w:sz w:val="17"/>
              </w:rPr>
              <w:t>-16.9%</w:t>
            </w:r>
          </w:p>
        </w:tc>
      </w:tr>
      <w:tr>
        <w:tc>
          <w:tcPr>
            <w:tcW w:type="dxa" w:w="1440"/>
            <w:shd w:fill="FFDCE0" w:val="clear"/>
          </w:tcPr>
          <w:p>
            <w:r>
              <w:rPr>
                <w:sz w:val="17"/>
              </w:rPr>
              <w:t>J+9  ⭐</w:t>
            </w:r>
          </w:p>
        </w:tc>
        <w:tc>
          <w:tcPr>
            <w:tcW w:type="dxa" w:w="1440"/>
            <w:shd w:fill="FFDCE0" w:val="clear"/>
          </w:tcPr>
          <w:p>
            <w:r>
              <w:rPr>
                <w:sz w:val="17"/>
              </w:rPr>
              <w:t>2026-09-09</w:t>
            </w:r>
          </w:p>
        </w:tc>
        <w:tc>
          <w:tcPr>
            <w:tcW w:type="dxa" w:w="1440"/>
            <w:shd w:fill="FFDCE0" w:val="clear"/>
          </w:tcPr>
          <w:p>
            <w:r>
              <w:rPr>
                <w:sz w:val="17"/>
              </w:rPr>
              <w:t>4,874</w:t>
            </w:r>
          </w:p>
        </w:tc>
        <w:tc>
          <w:tcPr>
            <w:tcW w:type="dxa" w:w="1440"/>
            <w:shd w:fill="FFDCE0" w:val="clear"/>
          </w:tcPr>
          <w:p>
            <w:r>
              <w:rPr>
                <w:b/>
                <w:sz w:val="17"/>
              </w:rPr>
              <w:t>6,538</w:t>
            </w:r>
          </w:p>
        </w:tc>
        <w:tc>
          <w:tcPr>
            <w:tcW w:type="dxa" w:w="1440"/>
            <w:shd w:fill="FFDCE0" w:val="clear"/>
          </w:tcPr>
          <w:p>
            <w:r>
              <w:rPr>
                <w:sz w:val="17"/>
              </w:rPr>
              <w:t>8,201</w:t>
            </w:r>
          </w:p>
        </w:tc>
        <w:tc>
          <w:tcPr>
            <w:tcW w:type="dxa" w:w="1440"/>
            <w:shd w:fill="FFDCE0" w:val="clear"/>
          </w:tcPr>
          <w:p>
            <w:r>
              <w:rPr>
                <w:b/>
                <w:color w:val="C00000"/>
                <w:sz w:val="17"/>
              </w:rPr>
              <w:t>-18.4%</w:t>
            </w:r>
          </w:p>
        </w:tc>
      </w:tr>
      <w:tr>
        <w:tc>
          <w:tcPr>
            <w:tcW w:type="dxa" w:w="1440"/>
            <w:shd w:fill="FFDCE0" w:val="clear"/>
          </w:tcPr>
          <w:p>
            <w:r>
              <w:rPr>
                <w:sz w:val="17"/>
              </w:rPr>
              <w:t>J+10  ⭐</w:t>
            </w:r>
          </w:p>
        </w:tc>
        <w:tc>
          <w:tcPr>
            <w:tcW w:type="dxa" w:w="1440"/>
            <w:shd w:fill="FFDCE0" w:val="clear"/>
          </w:tcPr>
          <w:p>
            <w:r>
              <w:rPr>
                <w:sz w:val="17"/>
              </w:rPr>
              <w:t>2026-09-10</w:t>
            </w:r>
          </w:p>
        </w:tc>
        <w:tc>
          <w:tcPr>
            <w:tcW w:type="dxa" w:w="1440"/>
            <w:shd w:fill="FFDCE0" w:val="clear"/>
          </w:tcPr>
          <w:p>
            <w:r>
              <w:rPr>
                <w:sz w:val="17"/>
              </w:rPr>
              <w:t>4,701</w:t>
            </w:r>
          </w:p>
        </w:tc>
        <w:tc>
          <w:tcPr>
            <w:tcW w:type="dxa" w:w="1440"/>
            <w:shd w:fill="FFDCE0" w:val="clear"/>
          </w:tcPr>
          <w:p>
            <w:r>
              <w:rPr>
                <w:b/>
                <w:sz w:val="17"/>
              </w:rPr>
              <w:t>6,424</w:t>
            </w:r>
          </w:p>
        </w:tc>
        <w:tc>
          <w:tcPr>
            <w:tcW w:type="dxa" w:w="1440"/>
            <w:shd w:fill="FFDCE0" w:val="clear"/>
          </w:tcPr>
          <w:p>
            <w:r>
              <w:rPr>
                <w:sz w:val="17"/>
              </w:rPr>
              <w:t>8,147</w:t>
            </w:r>
          </w:p>
        </w:tc>
        <w:tc>
          <w:tcPr>
            <w:tcW w:type="dxa" w:w="1440"/>
            <w:shd w:fill="FFDCE0" w:val="clear"/>
          </w:tcPr>
          <w:p>
            <w:r>
              <w:rPr>
                <w:b/>
                <w:color w:val="C00000"/>
                <w:sz w:val="17"/>
              </w:rPr>
              <w:t>-19.8%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SICOR (BRVM)**</w:t>
      </w:r>
    </w:p>
    <w:p>
      <w:pPr>
        <w:spacing w:after="120" w:line="276" w:lineRule="auto" w:before="240"/>
      </w:pPr>
      <w:r>
        <w:rPr>
          <w:b/>
          <w:color w:val="003366"/>
          <w:sz w:val="24"/>
        </w:rPr>
        <w:t>**PARTIE 0 : INDICATEURS DE VALORISATION BOURSIÈRE**</w:t>
      </w:r>
    </w:p>
    <w:p>
      <w:pPr>
        <w:spacing w:after="120" w:line="276" w:lineRule="auto"/>
      </w:pPr>
      <w:r>
        <w:t>La capitalisation boursière de la SICOR s'établit à 4,81 milliards FCFA, un niveau modeste qui la positionne comme une valeur de seconde ligne sur la BRVM, loin des grandes capitalisations du marché. Les ratios de valorisation (BPA, PER, P/B, EV/EBITDA) ne sont pas calculables, car les données financières structurées nécessaires à leur calcul ne sont pas disponibles dans la base de données. Cette absence est regrettable car elle prive l'investisseur d'une comparaison directe avec les moyennes du marché (PER BRVM moyen de 8 à 12 fois). Néanmoins, sur la base des derniers bénéfices publiés (19,25 millions FCFA en 2023), le PER implicite serait extrêmement élevé, suggérant que le marché anticipe une forte croissance future ou que le cours actuel intègre des perspectives de redressement très optimistes. La prudence est donc de mise en l'absence de ces indicateurs clés.</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SICOR a enregistré une performance spectaculaire de +100,25%, passant d'un plus bas de 3 765 FCFA à un plus haut de 10 200 FCFA, avant de se stabiliser à 8 010 FCFA. La variation sur la dernière séance est marginale (+0,19%), suggérant une phase de consolidation après un mouvement haussier violent. La moyenne du cours (5 263 FCFA) est nettement supérieure à la médiane (4 490 FCFA), ce qui indique une distribution asymétrique positive (skewness de 1,720) : la majorité des séances se sont déroulées sous la moyenne, mais quelques fortes hausses ont tiré le cours vers le haut. L'écart-type de 1 602 FCFA (CV de 30,4%) témoigne d'une dispersion importante. Le kurtosis élevé (1,927) signale un risque de pics extrêmes, confirmé par une volatilité annualisée de 60,5%, classant le titre comme extrêmement volatil et risqué.</w:t>
      </w:r>
    </w:p>
    <w:p>
      <w:pPr>
        <w:spacing w:after="120" w:line="276" w:lineRule="auto" w:before="240"/>
      </w:pPr>
      <w:r>
        <w:rPr>
          <w:b/>
          <w:color w:val="003366"/>
          <w:sz w:val="24"/>
        </w:rPr>
        <w:t>**PARTIE 2 : ANALYSE TECHNIQUE DÉTAILLÉE**</w:t>
      </w:r>
    </w:p>
    <w:p>
      <w:pPr>
        <w:spacing w:after="120" w:line="276" w:lineRule="auto"/>
      </w:pPr>
      <w:r>
        <w:t>Les **Moyennes Mobiles** sont en configuration haussière : le cours (8 010 FCFA) est au-dessus de la MM20 (8 110 FCFA) et très au-dessus de la MM50 (6 241,7 FCFA), signalant une dynamique positive à moyen terme. La décision d'achat est justifiée par cette structure, bien que le cours soit légèrement sous sa MM20, indiquant un possible essoufflement à court terme.</w:t>
      </w:r>
    </w:p>
    <w:p>
      <w:pPr>
        <w:spacing w:after="120" w:line="276" w:lineRule="auto"/>
      </w:pPr>
      <w:r>
        <w:t>Les **Bandes de Bollinger** montrent un cours positionné dans la partie médiane-haute de l'enveloppe (borne inférieure à 5 436 FCFA, borne supérieure à 10 783 FCFA). La décision "Neutre" est cohérente : le titre n'est ni suracheté ni survendu, mais la largeur des bandes reflète la forte volatilité actuelle. Un mouvement directionnel pourrait émerger à la cassure d'une des bornes.</w:t>
      </w:r>
    </w:p>
    <w:p>
      <w:pPr>
        <w:spacing w:after="120" w:line="276" w:lineRule="auto"/>
      </w:pPr>
      <w:r>
        <w:t>Le **MACD** affiche une valeur (723,14) inférieure à son signal (916,20), générant une décision de vente. Cette configuration indique un affaiblissement du momentum haussier, avec un possible retournement baissier à court terme. Les investisseurs doivent surveiller un croisement baissier pour confirmer cette tendance.</w:t>
      </w:r>
    </w:p>
    <w:p>
      <w:pPr>
        <w:spacing w:after="120" w:line="276" w:lineRule="auto"/>
      </w:pPr>
      <w:r>
        <w:t>Le **RSI** à 58,67 se situe en zone neutre (30-70), suggérant que le titre n'est ni suracheté ni survendu. Il y a encore de la marge avant d'atteindre des niveaux extrêmes, mais la dynamique haussière semble se modérer.</w:t>
      </w:r>
    </w:p>
    <w:p>
      <w:pPr>
        <w:spacing w:after="120" w:line="276" w:lineRule="auto"/>
      </w:pPr>
      <w:r>
        <w:t>Le **Stochastique** (%K à 29,70, %D à 29,48) est en zone de survente, indiquant un potentiel de rebond technique. Cependant, l'absence de croisement haussier entre %K et %D maintient la décision neutre.</w:t>
      </w:r>
    </w:p>
    <w:p>
      <w:pPr>
        <w:spacing w:after="120" w:line="276" w:lineRule="auto"/>
      </w:pPr>
      <w:r>
        <w:t>**Conclusion technique** : Les signaux sont mitigés. Les moyennes mobiles plaident pour une tendance haussière de fond, mais le MACD et la position sous la MM20 suggèrent une correction à court terme. La prudence est recommandée, avec un support majeur à la MM50 (6 242 FCFA) et une résistance à 10 200 FCFA.</w:t>
      </w:r>
    </w:p>
    <w:p>
      <w:pPr>
        <w:spacing w:after="120" w:line="276" w:lineRule="auto" w:before="240"/>
      </w:pPr>
      <w:r>
        <w:rPr>
          <w:b/>
          <w:color w:val="003366"/>
          <w:sz w:val="24"/>
        </w:rPr>
        <w:t>**PARTIE 3 : ANALYSE FONDAMENTALE (SECTION CRITIQUE)**</w:t>
      </w:r>
    </w:p>
    <w:p>
      <w:pPr>
        <w:spacing w:after="120" w:line="276" w:lineRule="auto"/>
      </w:pPr>
      <w:r>
        <w:t>Les rapports financiers disponibles, datant de décembre 2024 (donc anciens), couvrent les exercices 2015 à 2023. En 2023, la SICOR a réalisé un chiffre d'affaires de 701,09 millions FCFA, en forte baisse de 38,4% par rapport à 2022 (1 138,17 millions FCFA), mais a renoué avec les bénéfices, affichant un résultat net de +19,25 millions FCFA contre une perte de -39,95 millions en 2022. Cette amélioration résulte d'une réduction drastique des charges (-43,68%), notamment de personnel (-39,24% après transfert vers la SIPAL). La marge nette reste faible (2,75% en 2023), bien en dessous des standards sectoriels. Historiquement, la société a connu des exercices contrastés : bénéfice net de 434,87 millions FCFA en 2015, 53,3 millions en 2016, 100,6 millions en 2017, puis une perte en 2022. Les capitaux propres étaient de 3,01 milliards FCFA en 2020, mais le report à nouveau est négatif (-689,86 millions FCFA en 2023), interdisant tout dividende. Le niveau d'endettement est préoccupant, avec des dettes totales de 1,08 milliard FCFA en 2022 et des découverts bancaires en forte hausse en 2023. Les perspectives de redressement sont réelles mais fragiles, dépendantes de la maîtrise des coûts et de la reprise des volumes. La société convoque une AG le 22 mai 2026 pour approuver les comptes 2024, dont les résultats ne sont pas encore connus.</w:t>
      </w:r>
    </w:p>
    <w:p>
      <w:pPr>
        <w:spacing w:after="120" w:line="276" w:lineRule="auto" w:before="240"/>
      </w:pPr>
      <w:r>
        <w:rPr>
          <w:b/>
          <w:color w:val="003366"/>
          <w:sz w:val="24"/>
        </w:rPr>
        <w:t>**PARTIE 4 : CONCLUSION D'INVESTISSEMENT**</w:t>
      </w:r>
    </w:p>
    <w:p>
      <w:pPr>
        <w:spacing w:after="120" w:line="276" w:lineRule="auto"/>
      </w:pPr>
      <w:r>
        <w:t>La valorisation boursière de la SICOR (4,81 milliards FCFA) apparaît très élevée au regard des fondamentaux récents, avec un PER implicite extrêmement élevé et une absence de dividendes. Le comportement du cours (+100,25% en 100 jours) est spéculatif, avec une volatilité annualisée de 60,5% et un risque de pics (kurtosis élevé) qui rendent le titre très risqué. Les signaux techniques sont divergents : les moyennes mobiles sont haussières, mais le MACD et la position sous la MM20 suggèrent une correction. Les fondamentaux montrent un retour à la profitabilité en 2023, mais sur une base fragile et avec un endettement élevé. Les prédictions IA pour les 10 prochains jours (7 681 à 7 063 FCFA) confirment une tendance baissière à court terme, contredisant la dynamique haussière récente. En synthèse, la convergence entre la valorisation excessive, les signaux techniques mitigés et les prédictions baissières conduit à une recommandation de **VENTE** pour les investisseurs à court terme, avec un niveau de confiance **Moyen**. Le risque global est **Élevé**. Pour les investisseurs à long terme (&gt;1 an), une position de surveillance est conseillée, en attendant la publication des résultats 2024 et une éventuelle amélioration des fondamentaux. L'horizon d'investissement optimal est le **court terme (&lt;3 mois)** pour les traders, mais avec une grande prudence.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20260515   avis de convocation   assemblee generale ordinaire   sicor ci</w:t>
      </w:r>
    </w:p>
    <w:p>
      <w:pPr>
        <w:spacing w:before="20"/>
        <w:ind w:left="400"/>
      </w:pPr>
      <w:r>
        <w:rPr>
          <w:color w:val="505050"/>
          <w:sz w:val="17"/>
        </w:rPr>
        <w:t xml:space="preserve">Date : 16/05/2026  |  Catégorie : convocation AG  |  Impact : </w:t>
      </w:r>
      <w:r>
        <w:rPr>
          <w:b/>
          <w:color w:val="646464"/>
          <w:sz w:val="17"/>
        </w:rPr>
        <w:t>⚪ NEUTRE</w:t>
      </w:r>
    </w:p>
    <w:p>
      <w:pPr>
        <w:spacing w:before="40"/>
        <w:ind w:left="400"/>
      </w:pPr>
      <w:r>
        <w:rPr>
          <w:sz w:val="18"/>
        </w:rPr>
        <w:t>La Société Ivoirienne de Coco Râpé (SICOR) convoque ses actionnaires en Assemblée Générale Ordinaire le vendredi 22 mai 2026 à 09h au siège de Jacqueville. L'ordre du jour porte sur l'exercice clos le 31 décembre 2024 avec notamment l'approbation des comptes et diverses ratifications. Les actionnaires peuvent assister personnellement ou se faire représenter par mandataire.</w:t>
      </w:r>
    </w:p>
    <w:p>
      <w:pPr>
        <w:spacing w:before="60"/>
        <w:ind w:left="400"/>
      </w:pPr>
      <w:r>
        <w:rPr>
          <w:b/>
          <w:sz w:val="18"/>
        </w:rPr>
        <w:t>Points clés :</w:t>
      </w:r>
    </w:p>
    <w:p>
      <w:pPr>
        <w:pStyle w:val="ListBullet"/>
        <w:spacing w:before="20" w:after="20"/>
        <w:ind w:left="700"/>
      </w:pPr>
      <w:r>
        <w:rPr>
          <w:sz w:val="18"/>
        </w:rPr>
        <w:t>Convocation d'Assemblée Générale Ordinaire le 22 mai 2026 à 09h à Jacqueville</w:t>
      </w:r>
    </w:p>
    <w:p>
      <w:pPr>
        <w:pStyle w:val="ListBullet"/>
        <w:spacing w:before="20" w:after="20"/>
        <w:ind w:left="700"/>
      </w:pPr>
      <w:r>
        <w:rPr>
          <w:sz w:val="18"/>
        </w:rPr>
        <w:t>Exercice concerné : clôture au 31 décembre 2024</w:t>
      </w:r>
    </w:p>
    <w:p>
      <w:pPr>
        <w:pStyle w:val="ListBullet"/>
        <w:spacing w:before="20" w:after="20"/>
        <w:ind w:left="700"/>
      </w:pPr>
      <w:r>
        <w:rPr>
          <w:sz w:val="18"/>
        </w:rPr>
        <w:t>Ratification de la cooptation d'un nouvel Administrateur</w:t>
      </w:r>
    </w:p>
    <w:p>
      <w:pPr>
        <w:pStyle w:val="ListBullet"/>
        <w:spacing w:before="20" w:after="20"/>
        <w:ind w:left="700"/>
      </w:pPr>
      <w:r>
        <w:rPr>
          <w:sz w:val="18"/>
        </w:rPr>
        <w:t>Approbation des comptes de l'exercice 2024 et affectation du résultat</w:t>
      </w:r>
    </w:p>
    <w:p>
      <w:pPr>
        <w:pStyle w:val="ListBullet"/>
        <w:spacing w:before="20" w:after="20"/>
        <w:ind w:left="700"/>
      </w:pPr>
      <w:r>
        <w:rPr>
          <w:sz w:val="18"/>
        </w:rPr>
        <w:t>Possibilité de représentation par mandataire avec formulaires de pouvoir disponibles</w:t>
      </w:r>
    </w:p>
    <w:p/>
    <w:p>
      <w:pPr>
        <w:pStyle w:val="Heading3"/>
      </w:pPr>
      <w:r>
        <w:rPr>
          <w:color w:val="005A32"/>
        </w:rPr>
        <w:t>📋 RAPPORTS &amp; COMMUNIQUÉS OFFICIELS</w:t>
      </w:r>
    </w:p>
    <w:p>
      <w:r>
        <w:rPr>
          <w:i/>
          <w:color w:val="646464"/>
          <w:sz w:val="18"/>
        </w:rPr>
        <w:t>14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008000"/>
          <w:sz w:val="18"/>
        </w:rPr>
        <w:t>{"decision": "conserver", "justification": "La soci\u00e9t\u00e9 affiche une nette progression de son r\u00e9sultat net en 2015, mais l'absence de chiffre d'affaires et de donn\u00e9es boursi\u00e8res pr\u00e9cises incite \u00e0 la prudence. Une analyse plus approfondie est n\u00e9cessaire avant tout achat."}</w:t>
      </w:r>
    </w:p>
    <w:p>
      <w:pPr>
        <w:spacing w:before="40"/>
        <w:ind w:left="400"/>
      </w:pPr>
      <w:r>
        <w:rPr>
          <w:sz w:val="18"/>
        </w:rPr>
        <w:t>SICOR est une société ivoirienne spécialisée dans la transformation de cacao, avec un capital social de 1,5 milliard de FCFA. Les états financiers pour l'exercice 2015 montrent un total du bilan de 1,627 milliard de FCFA. Le projet d'affectation du résultat indique un résultat net de 434,87 millions de FCFA pour 2015, contre 68,24 millions en 2014, soit une forte progression. Les comptes ont été certifiés par les commissaires aux comptes. L'entreprise présente une situation financière saine avec une rentabilité en amélioration.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{'devise': 'FCFA', 'statut': 'Société Anonyme', 'exercice': '2015', 'capital_social': '1 500 000 000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1 627 179 217 FCFA</w:t>
            </w:r>
          </w:p>
        </w:tc>
      </w:tr>
      <w:tr>
        <w:tc>
          <w:tcPr>
            <w:tcW w:type="dxa" w:w="2160"/>
          </w:tcPr>
          <w:p>
            <w:r/>
            <w:r>
              <w:rPr>
                <w:b/>
                <w:sz w:val="16"/>
              </w:rPr>
              <w:t>resultat_net</w:t>
              <w:br/>
            </w:r>
            <w:r>
              <w:rPr>
                <w:sz w:val="18"/>
              </w:rPr>
              <w:t>434 869 656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Capital social de 1 500 000 000 FCFA.</w:t>
      </w:r>
    </w:p>
    <w:p>
      <w:pPr>
        <w:pStyle w:val="ListBullet"/>
        <w:spacing w:before="20" w:after="20"/>
        <w:ind w:left="700"/>
      </w:pPr>
      <w:r>
        <w:rPr>
          <w:sz w:val="18"/>
        </w:rPr>
        <w:t>Total du bilan au 31/12/2015 : 1 627 179 217 FCFA.</w:t>
      </w:r>
    </w:p>
    <w:p>
      <w:pPr>
        <w:pStyle w:val="ListBullet"/>
        <w:spacing w:before="20" w:after="20"/>
        <w:ind w:left="700"/>
      </w:pPr>
      <w:r>
        <w:rPr>
          <w:sz w:val="18"/>
        </w:rPr>
        <w:t>Résultat net 2015 : 434 869 656 FCFA selon le projet d'affectation.</w:t>
      </w:r>
    </w:p>
    <w:p>
      <w:pPr>
        <w:pStyle w:val="ListBullet"/>
        <w:spacing w:before="20" w:after="20"/>
        <w:ind w:left="700"/>
      </w:pPr>
      <w:r>
        <w:rPr>
          <w:sz w:val="18"/>
        </w:rPr>
        <w:t>Résultat net 2014 : 68 237 394 FCFA (en forte hausse en 2015).</w:t>
      </w:r>
    </w:p>
    <w:p>
      <w:pPr>
        <w:pStyle w:val="ListBullet"/>
        <w:spacing w:before="20" w:after="20"/>
        <w:ind w:left="700"/>
      </w:pPr>
      <w:r>
        <w:rPr>
          <w:sz w:val="18"/>
        </w:rPr>
        <w:t>Spécialisation dans la transformation du cacao (coco rapé).</w:t>
      </w:r>
    </w:p>
    <w:p>
      <w:pPr>
        <w:pStyle w:val="ListBullet"/>
        <w:spacing w:before="20" w:after="20"/>
        <w:ind w:left="700"/>
      </w:pPr>
      <w:r>
        <w:rPr>
          <w:sz w:val="18"/>
        </w:rPr>
        <w:t>Comptes certifiés par les commissaires aux comptes.</w:t>
      </w:r>
    </w:p>
    <w:p>
      <w:pPr>
        <w:spacing w:before="40"/>
        <w:ind w:left="400"/>
      </w:pPr>
      <w:r>
        <w:rPr>
          <w:b/>
          <w:color w:val="C05000"/>
          <w:sz w:val="18"/>
        </w:rPr>
        <w:t xml:space="preserve">⚠️ Risques : </w:t>
      </w:r>
      <w:r>
        <w:rPr>
          <w:sz w:val="18"/>
        </w:rPr>
        <w:t>["Volatilit\u00e9 des prix du cacao sur les march\u00e9s internationaux.", "Risque de change li\u00e9 aux exportations et aux fluctuations du FCFA.", "D\u00e9pendance \u00e0 la qualit\u00e9 et \u00e0 la disponibilit\u00e9 de la mati\u00e8re premi\u00e8re (cacao)."]</w:t>
      </w:r>
    </w:p>
    <w:p>
      <w:pPr>
        <w:spacing w:before="40"/>
        <w:ind w:left="400"/>
      </w:pPr>
      <w:r>
        <w:rPr>
          <w:b/>
          <w:color w:val="0064A0"/>
          <w:sz w:val="18"/>
        </w:rPr>
        <w:t xml:space="preserve">🔮 Perspectives : </w:t>
      </w:r>
      <w:r>
        <w:rPr>
          <w:sz w:val="18"/>
        </w:rPr>
        <w:t>Les perspectives 2016 sont favorables, portées par la bonne performance de l'exercice 2015 et la demande mondiale de cacao. La société pourrait continuer à améliorer sa rentabilité si les conditions de marché restent stables. Une attention particulière devra être portée à la gestion des coûts et aux</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affiche une rentabilit\u00e9 positive mais modeste, avec une situation financi\u00e8re globalement stable. Le niveau d'endettement \u00e9lev\u00e9 incite \u00e0 la prudence, malgr\u00e9 un exc\u00e9dent brut d'exploitation correct."}</w:t>
      </w:r>
    </w:p>
    <w:p>
      <w:pPr>
        <w:spacing w:before="40"/>
        <w:ind w:left="400"/>
      </w:pPr>
      <w:r>
        <w:rPr>
          <w:sz w:val="18"/>
        </w:rPr>
        <w:t>La SICOR (Société Ivoirienne de Coco Rapé) a réalisé un chiffre d'affaires de 1,57 milliard FCFA en 2016. Le résultat net s'établit à 53,3 millions FCFA, dégageant une marge nette d'environ 3,4%. Le total du bilan atteint 3,58 milliards FCFA, avec des capitaux propres de près de 870 millions FCFA. La société a vu son résultat net approuvé par l'assemblée générale mixte du 1er septembre 2017. Malgré un excédent brut d'exploitation de 210 millions FCFA, le niveau d'endettement reste élevé par rapport aux fonds propres.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'excédent_brut_d_exploitation': '210 481 010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3,39%</w:t>
            </w:r>
          </w:p>
        </w:tc>
        <w:tc>
          <w:tcPr>
            <w:tcW w:type="dxa" w:w="2160"/>
          </w:tcPr>
          <w:p>
            <w:pPr>
              <w:ind w:left="100"/>
            </w:pPr>
            <w:r/>
            <w:r>
              <w:rPr>
                <w:b/>
                <w:sz w:val="16"/>
              </w:rPr>
              <w:t>total_actif</w:t>
              <w:br/>
            </w:r>
            <w:r>
              <w:rPr>
                <w:sz w:val="18"/>
              </w:rPr>
              <w:t>3 576 424 374 FCFA</w:t>
            </w:r>
          </w:p>
        </w:tc>
      </w:tr>
      <w:tr>
        <w:tc>
          <w:tcPr>
            <w:tcW w:type="dxa" w:w="2160"/>
          </w:tcPr>
          <w:p>
            <w:r/>
            <w:r>
              <w:rPr>
                <w:b/>
                <w:sz w:val="16"/>
              </w:rPr>
              <w:t>resultat_net</w:t>
              <w:br/>
            </w:r>
            <w:r>
              <w:rPr>
                <w:sz w:val="18"/>
              </w:rPr>
              <w:t>53 308 264 FCFA</w:t>
            </w:r>
          </w:p>
        </w:tc>
        <w:tc>
          <w:tcPr>
            <w:tcW w:type="dxa" w:w="2160"/>
          </w:tcPr>
          <w:p>
            <w:r/>
            <w:r>
              <w:rPr>
                <w:b/>
                <w:sz w:val="16"/>
              </w:rPr>
              <w:t>capitaux_propres</w:t>
              <w:br/>
            </w:r>
            <w:r>
              <w:rPr>
                <w:sz w:val="18"/>
              </w:rPr>
              <w:t>869 975 561 FCFA</w:t>
            </w:r>
          </w:p>
        </w:tc>
        <w:tc>
          <w:tcPr>
            <w:tcW w:type="dxa" w:w="2160"/>
          </w:tcPr>
          <w:p>
            <w:r/>
            <w:r>
              <w:rPr>
                <w:b/>
                <w:sz w:val="16"/>
              </w:rPr>
              <w:t>chiffre_affaires</w:t>
              <w:br/>
            </w:r>
            <w:r>
              <w:rPr>
                <w:sz w:val="18"/>
              </w:rPr>
              <w:t>1 570 831 063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à 1 570 831 063 FCFA, avec une part à l'exportation très faible (342 925 FCFA).</w:t>
      </w:r>
    </w:p>
    <w:p>
      <w:pPr>
        <w:pStyle w:val="ListBullet"/>
        <w:spacing w:before="20" w:after="20"/>
        <w:ind w:left="700"/>
      </w:pPr>
      <w:r>
        <w:rPr>
          <w:sz w:val="18"/>
        </w:rPr>
        <w:t>Résultat net positif de 53 308 264 FCFA, reflétant une rentabilité modeste.</w:t>
      </w:r>
    </w:p>
    <w:p>
      <w:pPr>
        <w:pStyle w:val="ListBullet"/>
        <w:spacing w:before="20" w:after="20"/>
        <w:ind w:left="700"/>
      </w:pPr>
      <w:r>
        <w:rPr>
          <w:sz w:val="18"/>
        </w:rPr>
        <w:t>Marge nette de 3,39%, inférieure aux standards sectoriels.</w:t>
      </w:r>
    </w:p>
    <w:p>
      <w:pPr>
        <w:pStyle w:val="ListBullet"/>
        <w:spacing w:before="20" w:after="20"/>
        <w:ind w:left="700"/>
      </w:pPr>
      <w:r>
        <w:rPr>
          <w:sz w:val="18"/>
        </w:rPr>
        <w:t>Total du bilan de 3 576 424 374 FCFA, stable par rapport à l'exercice précédent.</w:t>
      </w:r>
    </w:p>
    <w:p>
      <w:pPr>
        <w:pStyle w:val="ListBullet"/>
        <w:spacing w:before="20" w:after="20"/>
        <w:ind w:left="700"/>
      </w:pPr>
      <w:r>
        <w:rPr>
          <w:sz w:val="18"/>
        </w:rPr>
        <w:t>Capitaux propres estimés à 869 975 561 FCFA (capital social de 1,5 milliard FCFA, réserves et résultat).</w:t>
      </w:r>
    </w:p>
    <w:p>
      <w:pPr>
        <w:pStyle w:val="ListBullet"/>
        <w:spacing w:before="20" w:after="20"/>
        <w:ind w:left="700"/>
      </w:pPr>
      <w:r>
        <w:rPr>
          <w:sz w:val="18"/>
        </w:rPr>
        <w:t>Excédent brut d'exploitation de 210 481 010 FCFA, indiquant une activité opérationnelle positive.</w:t>
      </w:r>
    </w:p>
    <w:p>
      <w:pPr>
        <w:spacing w:before="40"/>
        <w:ind w:left="400"/>
      </w:pPr>
      <w:r>
        <w:rPr>
          <w:b/>
          <w:color w:val="C05000"/>
          <w:sz w:val="18"/>
        </w:rPr>
        <w:t xml:space="preserve">⚠️ Risques : </w:t>
      </w:r>
      <w:r>
        <w:rPr>
          <w:sz w:val="18"/>
        </w:rPr>
        <w:t>["Endettement \u00e9lev\u00e9 par rapport aux capitaux propres (dettes estim\u00e9es \u00e0 2,7 milliards FCFA).", "Exposition aux fluctuations des prix du cacao, principale mati\u00e8re premi\u00e8re.", "D\u00e9pendance au march\u00e9 int\u00e9rieur, avec une part \u00e0 l'exportation tr\u00e8s mar</w:t>
      </w:r>
    </w:p>
    <w:p>
      <w:pPr>
        <w:spacing w:before="40"/>
        <w:ind w:left="400"/>
      </w:pPr>
      <w:r>
        <w:rPr>
          <w:b/>
          <w:color w:val="0064A0"/>
          <w:sz w:val="18"/>
        </w:rPr>
        <w:t xml:space="preserve">🔮 Perspectives : </w:t>
      </w:r>
      <w:r>
        <w:rPr>
          <w:sz w:val="18"/>
        </w:rPr>
        <w:t>Pour 2017, la SICOR devrait bénéficier d'une demande soutenue de cacao transformé, soutenant le chiffre d'affaires. Toutefois, la maîtrise de l'endettement et l'amélioration de la marge nette seront cruciales pour renforcer la rentabilité et rassurer les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soci\u00e9t\u00e9 d\u00e9gage un r\u00e9sultat net positif et un bilan solide. Toutefois, l'absence d'\u00e9l\u00e9ments de valorisation boursi\u00e8re incite \u00e0 la prudence."}</w:t>
      </w:r>
    </w:p>
    <w:p>
      <w:pPr>
        <w:spacing w:before="40"/>
        <w:ind w:left="400"/>
      </w:pPr>
      <w:r>
        <w:rPr>
          <w:sz w:val="18"/>
        </w:rPr>
        <w:t>SICOR est une société ivoirienne spécialisée dans la transformation du cacao (coco rapé). Au 31/12/2015, elle présente un total bilan d'environ 1,52 milliard FCFA pour un capital social de 1,5 milliard FCFA. Le chiffre d'affaires s'établit à environ 434,87 millions FCFA, tandis que le résultat net ressort à environ 68,24 millions FCFA, soit une marge nette d'environ 15,7%. Les états financiers ont été approuvés par l'assemblée générale mixte du 1er septembre 2017. La société affiche une rentabilité positive et une situation financière apparemment saine, mais les données disponibles sont partielles.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'1 500 000 000 FCFA', 'total_actif_2014': '1 627 179 217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15.69%</w:t>
            </w:r>
          </w:p>
        </w:tc>
        <w:tc>
          <w:tcPr>
            <w:tcW w:type="dxa" w:w="2160"/>
          </w:tcPr>
          <w:p>
            <w:pPr>
              <w:ind w:left="100"/>
            </w:pPr>
            <w:r/>
            <w:r>
              <w:rPr>
                <w:b/>
                <w:sz w:val="16"/>
              </w:rPr>
              <w:t>total_actif</w:t>
              <w:br/>
            </w:r>
            <w:r>
              <w:rPr>
                <w:sz w:val="18"/>
              </w:rPr>
              <w:t>1 521 953 318 FCFA</w:t>
            </w:r>
          </w:p>
        </w:tc>
      </w:tr>
      <w:tr>
        <w:tc>
          <w:tcPr>
            <w:tcW w:type="dxa" w:w="2160"/>
          </w:tcPr>
          <w:p>
            <w:r/>
            <w:r>
              <w:rPr>
                <w:b/>
                <w:sz w:val="16"/>
              </w:rPr>
              <w:t>resultat_net</w:t>
              <w:br/>
            </w:r>
            <w:r>
              <w:rPr>
                <w:sz w:val="18"/>
              </w:rPr>
              <w:t>68 237 394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434 869 656 FCFA</w:t>
            </w:r>
          </w:p>
        </w:tc>
        <w:tc>
          <w:tcPr>
            <w:tcW w:type="dxa" w:w="2160"/>
          </w:tcPr>
          <w:p/>
        </w:tc>
      </w:tr>
    </w:tbl>
    <w:p/>
    <w:p>
      <w:pPr>
        <w:spacing w:before="60"/>
        <w:ind w:left="400"/>
      </w:pPr>
      <w:r>
        <w:rPr>
          <w:b/>
          <w:sz w:val="18"/>
        </w:rPr>
        <w:t>Points clés :</w:t>
      </w:r>
    </w:p>
    <w:p>
      <w:pPr>
        <w:pStyle w:val="ListBullet"/>
        <w:spacing w:before="20" w:after="20"/>
        <w:ind w:left="700"/>
      </w:pPr>
      <w:r>
        <w:rPr>
          <w:sz w:val="18"/>
        </w:rPr>
        <w:t>SICOR est une société anonyme ivoirienne spécialisée dans la transformation de cacao (coco rapé).</w:t>
      </w:r>
    </w:p>
    <w:p>
      <w:pPr>
        <w:pStyle w:val="ListBullet"/>
        <w:spacing w:before="20" w:after="20"/>
        <w:ind w:left="700"/>
      </w:pPr>
      <w:r>
        <w:rPr>
          <w:sz w:val="18"/>
        </w:rPr>
        <w:t>Le capital social s'élève à 1,5 milliard FCFA.</w:t>
      </w:r>
    </w:p>
    <w:p>
      <w:pPr>
        <w:pStyle w:val="ListBullet"/>
        <w:spacing w:before="20" w:after="20"/>
        <w:ind w:left="700"/>
      </w:pPr>
      <w:r>
        <w:rPr>
          <w:sz w:val="18"/>
        </w:rPr>
        <w:t>Le total du bilan au 31/12/2015 atteint environ 1,52 milliard FCFA.</w:t>
      </w:r>
    </w:p>
    <w:p>
      <w:pPr>
        <w:pStyle w:val="ListBullet"/>
        <w:spacing w:before="20" w:after="20"/>
        <w:ind w:left="700"/>
      </w:pPr>
      <w:r>
        <w:rPr>
          <w:sz w:val="18"/>
        </w:rPr>
        <w:t>Le chiffre d'affaires de l'exercice s'établit à environ 434,87 millions FCFA.</w:t>
      </w:r>
    </w:p>
    <w:p>
      <w:pPr>
        <w:pStyle w:val="ListBullet"/>
        <w:spacing w:before="20" w:after="20"/>
        <w:ind w:left="700"/>
      </w:pPr>
      <w:r>
        <w:rPr>
          <w:sz w:val="18"/>
        </w:rPr>
        <w:t>Le résultat net de l'exercice est d'environ 68,24 millions FCFA.</w:t>
      </w:r>
    </w:p>
    <w:p>
      <w:pPr>
        <w:pStyle w:val="ListBullet"/>
        <w:spacing w:before="20" w:after="20"/>
        <w:ind w:left="700"/>
      </w:pPr>
      <w:r>
        <w:rPr>
          <w:sz w:val="18"/>
        </w:rPr>
        <w:t>La marge nette ressort à environ 15,7%.</w:t>
      </w:r>
    </w:p>
    <w:p>
      <w:pPr>
        <w:spacing w:before="40"/>
        <w:ind w:left="400"/>
      </w:pPr>
      <w:r>
        <w:rPr>
          <w:b/>
          <w:color w:val="C05000"/>
          <w:sz w:val="18"/>
        </w:rPr>
        <w:t xml:space="preserve">⚠️ Risques : </w:t>
      </w:r>
      <w:r>
        <w:rPr>
          <w:sz w:val="18"/>
        </w:rPr>
        <w:t>["D\u00e9pendance aux cours mondiaux du cacao", "Concentration g\u00e9ographique sur la C\u00f4te d'Ivoire", "Opacit\u00e9 ou incertitudes sur les donn\u00e9es financi\u00e8res extraites du document"]</w:t>
      </w:r>
    </w:p>
    <w:p>
      <w:pPr>
        <w:spacing w:before="40"/>
        <w:ind w:left="400"/>
      </w:pPr>
      <w:r>
        <w:rPr>
          <w:b/>
          <w:color w:val="0064A0"/>
          <w:sz w:val="18"/>
        </w:rPr>
        <w:t xml:space="preserve">🔮 Perspectives : </w:t>
      </w:r>
      <w:r>
        <w:rPr>
          <w:sz w:val="18"/>
        </w:rPr>
        <w:t>Pour l'exercice suivant, SICOR pourrait bénéficier d'une demande mondiale de cacao soutenue et de conditions climatiques favorables. L'entreprise devra toutefois gérer ses coûts et son endettement pour maintenir sa rentabilité.</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"La croissance du chiffre d'affaires est positive mais la chute du r\u00e9sultat net et de la marge indique des difficult\u00e9s de rentabilit\u00e9. Il est prudent de conserver le titre en attendant une am\u00e9lioration des marges."}</w:t>
      </w:r>
    </w:p>
    <w:p>
      <w:pPr>
        <w:spacing w:before="40"/>
        <w:ind w:left="400"/>
      </w:pPr>
      <w:r>
        <w:rPr>
          <w:sz w:val="18"/>
        </w:rPr>
        <w:t>La SICOR, société ivoirienne de transformation de cacao, affiche un chiffre d'affaires en hausse à 1,56 milliard FCFA en 2017, mais son résultat net chute de moitié à 100,6 millions FCFA, reflétant une détérioration de la rentabilité. La marge nette passe de 13,8% à 6,4%, sous l'effet de charges d'exploitation plus lourdes. L'actif total s'élève à 3,68 milliards FCFA, financé principalement par les capitaux propres et l'endettement. L'entreprise conserve un bilan solide mais doit améliorer son efficacité opérationnelle. Le dividende n'est pas précisé dans le document.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{'résultat_financier': '-17 049 332 FCFA', 'résultat_exploitation': '283 097 263 FCFA', 'excédent_brut_d_exploitation': '348 996 972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6.44%</w:t>
            </w:r>
          </w:p>
        </w:tc>
        <w:tc>
          <w:tcPr>
            <w:tcW w:type="dxa" w:w="2160"/>
          </w:tcPr>
          <w:p>
            <w:pPr>
              <w:ind w:left="100"/>
            </w:pPr>
            <w:r/>
            <w:r>
              <w:rPr>
                <w:b/>
                <w:sz w:val="16"/>
              </w:rPr>
              <w:t>total_actif</w:t>
              <w:br/>
            </w:r>
            <w:r>
              <w:rPr>
                <w:sz w:val="18"/>
              </w:rPr>
              <w:t>3 680 132 932 FCFA</w:t>
            </w:r>
          </w:p>
        </w:tc>
      </w:tr>
      <w:tr>
        <w:tc>
          <w:tcPr>
            <w:tcW w:type="dxa" w:w="2160"/>
          </w:tcPr>
          <w:p>
            <w:r/>
            <w:r>
              <w:rPr>
                <w:b/>
                <w:sz w:val="16"/>
              </w:rPr>
              <w:t>resultat_net</w:t>
              <w:br/>
            </w:r>
            <w:r>
              <w:rPr>
                <w:sz w:val="18"/>
              </w:rPr>
              <w:t>100 567 494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1 561 147 674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2017 en hausse de 7,4% à 1,56 milliard FCFA.</w:t>
      </w:r>
    </w:p>
    <w:p>
      <w:pPr>
        <w:pStyle w:val="ListBullet"/>
        <w:spacing w:before="20" w:after="20"/>
        <w:ind w:left="700"/>
      </w:pPr>
      <w:r>
        <w:rPr>
          <w:sz w:val="18"/>
        </w:rPr>
        <w:t>Résultat net divisé par deux de 200,8 à 100,6 millions FCFA.</w:t>
      </w:r>
    </w:p>
    <w:p>
      <w:pPr>
        <w:pStyle w:val="ListBullet"/>
        <w:spacing w:before="20" w:after="20"/>
        <w:ind w:left="700"/>
      </w:pPr>
      <w:r>
        <w:rPr>
          <w:sz w:val="18"/>
        </w:rPr>
        <w:t>Marge nette en forte baisse de 13,8% à 6,4%.</w:t>
      </w:r>
    </w:p>
    <w:p>
      <w:pPr>
        <w:pStyle w:val="ListBullet"/>
        <w:spacing w:before="20" w:after="20"/>
        <w:ind w:left="700"/>
      </w:pPr>
      <w:r>
        <w:rPr>
          <w:sz w:val="18"/>
        </w:rPr>
        <w:t>Total actif stable à environ 3,68 milliards FCFA.</w:t>
      </w:r>
    </w:p>
    <w:p>
      <w:pPr>
        <w:pStyle w:val="ListBullet"/>
        <w:spacing w:before="20" w:after="20"/>
        <w:ind w:left="700"/>
      </w:pPr>
      <w:r>
        <w:rPr>
          <w:sz w:val="18"/>
        </w:rPr>
        <w:t>Excédent brut d'exploitation de 349 millions FCFA.</w:t>
      </w:r>
    </w:p>
    <w:p>
      <w:pPr>
        <w:pStyle w:val="ListBullet"/>
        <w:spacing w:before="20" w:after="20"/>
        <w:ind w:left="700"/>
      </w:pPr>
      <w:r>
        <w:rPr>
          <w:sz w:val="18"/>
        </w:rPr>
        <w:t>Résultat financier négatif de -17 millions FCFA.</w:t>
      </w:r>
    </w:p>
    <w:p>
      <w:pPr>
        <w:spacing w:before="40"/>
        <w:ind w:left="400"/>
      </w:pPr>
      <w:r>
        <w:rPr>
          <w:b/>
          <w:color w:val="C05000"/>
          <w:sz w:val="18"/>
        </w:rPr>
        <w:t xml:space="preserve">⚠️ Risques : </w:t>
      </w:r>
      <w:r>
        <w:rPr>
          <w:sz w:val="18"/>
        </w:rPr>
        <w:t>["Baisse de la rentabilit\u00e9 li\u00e9e \u00e0 une hausse des charges d'exploitation.", "Volatilit\u00e9 des prix du cacao sur le march\u00e9 international.", "D\u00e9pendance aux conditions climatiques et sanitaires des plantations."]</w:t>
      </w:r>
    </w:p>
    <w:p>
      <w:pPr>
        <w:spacing w:before="40"/>
        <w:ind w:left="400"/>
      </w:pPr>
      <w:r>
        <w:rPr>
          <w:b/>
          <w:color w:val="0064A0"/>
          <w:sz w:val="18"/>
        </w:rPr>
        <w:t xml:space="preserve">🔮 Perspectives : </w:t>
      </w:r>
      <w:r>
        <w:rPr>
          <w:sz w:val="18"/>
        </w:rPr>
        <w:t>Pour 2018, la SICOR devrait bénéficier de la reprise de la demande mondiale de cacao, mais devra améliorer la gestion des coûts pour restaurer ses marges. La stabilité financière du bilan offre une base pour soutenir l'activité.</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2024  |  Type : document</w:t>
      </w:r>
    </w:p>
    <w:p>
      <w:pPr>
        <w:spacing w:before="20"/>
        <w:ind w:left="400"/>
      </w:pPr>
      <w:r>
        <w:rPr>
          <w:b/>
          <w:sz w:val="18"/>
        </w:rPr>
        <w:t xml:space="preserve">Recommandation source : </w:t>
      </w:r>
      <w:r>
        <w:rPr>
          <w:b/>
          <w:color w:val="646464"/>
          <w:sz w:val="18"/>
        </w:rPr>
        <w:t>{"decision": "conserver", "justification": "Bon exercice, rentable, avec une génération de cash solide (CAFG 278 M). Mais report à nouveau encore négatif interdisant tout dividende et trésorerie nette négative. À conserver."}</w:t>
      </w:r>
    </w:p>
    <w:p>
      <w:pPr>
        <w:spacing w:before="40"/>
        <w:ind w:left="400"/>
      </w:pPr>
      <w:r>
        <w:rPr>
          <w:sz w:val="18"/>
        </w:rPr>
        <w:t>SICOR réalise un bon exercice 2020 : bénéfice net de 109,8 M FCFA, en forte hausse par rapport aux 2,35 M de 2019. Le chiffre d'affaires progresse de 27 % à 2,36 Md, l'EBE grimpe à 281 M et le résultat financier redevient positif (+0,8 M). Le report à nouveau reste négatif (-879 M) mais s'améliore légèrement. La trésorerie nette demeure négative (-47 M) tout en se redressant. Exercice de redressement opérationnel confirmé.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'278 millions FCFA', 'resultat_exploitation': '109 millions FCFA', 'excedent_brut_exploitation': '281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4,65 %</w:t>
            </w:r>
          </w:p>
        </w:tc>
        <w:tc>
          <w:tcPr>
            <w:tcW w:type="dxa" w:w="2160"/>
          </w:tcPr>
          <w:p>
            <w:pPr>
              <w:ind w:left="100"/>
            </w:pPr>
            <w:r/>
            <w:r>
              <w:rPr>
                <w:b/>
                <w:sz w:val="16"/>
              </w:rPr>
              <w:t>total_actif</w:t>
              <w:br/>
            </w:r>
            <w:r>
              <w:rPr>
                <w:sz w:val="18"/>
              </w:rPr>
              <w:t>4,09 milliards FCFA</w:t>
            </w:r>
          </w:p>
        </w:tc>
      </w:tr>
      <w:tr>
        <w:tc>
          <w:tcPr>
            <w:tcW w:type="dxa" w:w="2160"/>
          </w:tcPr>
          <w:p>
            <w:r/>
            <w:r>
              <w:rPr>
                <w:b/>
                <w:sz w:val="16"/>
              </w:rPr>
              <w:t>resultat_net</w:t>
              <w:br/>
            </w:r>
            <w:r>
              <w:rPr>
                <w:sz w:val="18"/>
              </w:rPr>
              <w:t>109,8 millions FCFA (bénéfice)</w:t>
            </w:r>
          </w:p>
        </w:tc>
        <w:tc>
          <w:tcPr>
            <w:tcW w:type="dxa" w:w="2160"/>
          </w:tcPr>
          <w:p>
            <w:r/>
            <w:r>
              <w:rPr>
                <w:b/>
                <w:sz w:val="16"/>
              </w:rPr>
              <w:t>capitaux_propres</w:t>
              <w:br/>
            </w:r>
            <w:r>
              <w:rPr>
                <w:sz w:val="18"/>
              </w:rPr>
              <w:t>3,01 milliards FCFA</w:t>
            </w:r>
          </w:p>
        </w:tc>
        <w:tc>
          <w:tcPr>
            <w:tcW w:type="dxa" w:w="2160"/>
          </w:tcPr>
          <w:p>
            <w:r/>
            <w:r>
              <w:rPr>
                <w:b/>
                <w:sz w:val="16"/>
              </w:rPr>
              <w:t>chiffre_affaires</w:t>
              <w:br/>
            </w:r>
            <w:r>
              <w:rPr>
                <w:sz w:val="18"/>
              </w:rPr>
              <w:t>2,36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2,36 Md FCFA (+27 %)</w:t>
      </w:r>
    </w:p>
    <w:p>
      <w:pPr>
        <w:pStyle w:val="ListBullet"/>
        <w:spacing w:before="20" w:after="20"/>
        <w:ind w:left="700"/>
      </w:pPr>
      <w:r>
        <w:rPr>
          <w:sz w:val="18"/>
        </w:rPr>
        <w:t>EBE 281 M FCFA, en nette progression</w:t>
      </w:r>
    </w:p>
    <w:p>
      <w:pPr>
        <w:pStyle w:val="ListBullet"/>
        <w:spacing w:before="20" w:after="20"/>
        <w:ind w:left="700"/>
      </w:pPr>
      <w:r>
        <w:rPr>
          <w:sz w:val="18"/>
        </w:rPr>
        <w:t>Bénéfice net 109,8 M FCFA (contre 2,35 M en 2019)</w:t>
      </w:r>
    </w:p>
    <w:p>
      <w:pPr>
        <w:pStyle w:val="ListBullet"/>
        <w:spacing w:before="20" w:after="20"/>
        <w:ind w:left="700"/>
      </w:pPr>
      <w:r>
        <w:rPr>
          <w:sz w:val="18"/>
        </w:rPr>
        <w:t>Résultat financier redevenu positif (+0,8 M)</w:t>
      </w:r>
    </w:p>
    <w:p>
      <w:pPr>
        <w:pStyle w:val="ListBullet"/>
        <w:spacing w:before="20" w:after="20"/>
        <w:ind w:left="700"/>
      </w:pPr>
      <w:r>
        <w:rPr>
          <w:sz w:val="18"/>
        </w:rPr>
        <w:t>Report à nouveau encore négatif (-879 M), en légère amélioration</w:t>
      </w:r>
    </w:p>
    <w:p>
      <w:pPr>
        <w:pStyle w:val="ListBullet"/>
        <w:spacing w:before="20" w:after="20"/>
        <w:ind w:left="700"/>
      </w:pPr>
      <w:r>
        <w:rPr>
          <w:sz w:val="18"/>
        </w:rPr>
        <w:t>Trésorerie nette négative (-47 M) mais en amélioration</w:t>
      </w:r>
    </w:p>
    <w:p>
      <w:pPr>
        <w:spacing w:before="40"/>
        <w:ind w:left="400"/>
      </w:pPr>
      <w:r>
        <w:rPr>
          <w:b/>
          <w:color w:val="C05000"/>
          <w:sz w:val="18"/>
        </w:rPr>
        <w:t xml:space="preserve">⚠️ Risques : </w:t>
      </w:r>
      <w:r>
        <w:rPr>
          <w:sz w:val="18"/>
        </w:rPr>
        <w:t>["Report à nouveau toujours négatif (-879 M)", "Trésorerie nette négative (-47 M)", "Dépendance à un chiffre d'affaires volatil dans une activité agro-industrielle (coco)", "Pas de distribution possible tant que les pertes cumulées subsistent"]</w:t>
      </w:r>
    </w:p>
    <w:p>
      <w:pPr>
        <w:spacing w:before="40"/>
        <w:ind w:left="400"/>
      </w:pPr>
      <w:r>
        <w:rPr>
          <w:b/>
          <w:color w:val="0064A0"/>
          <w:sz w:val="18"/>
        </w:rPr>
        <w:t xml:space="preserve">🔮 Perspectives : </w:t>
      </w:r>
      <w:r>
        <w:rPr>
          <w:sz w:val="18"/>
        </w:rPr>
        <w:t>La forte génération de trésorerie (CAFG 278 M) et le retour à un résultat financier positif consolident le redressement. Si la dynamique se maintient, l'apurement progressif du report à nouveau devient envisageable.</w:t>
      </w:r>
    </w:p>
    <w:p/>
    <w:p>
      <w:r>
        <w:t>════════════════════════════════════════════════════════════════════════════════</w:t>
      </w:r>
    </w:p>
    <w:p>
      <w:r>
        <w:br w:type="page"/>
      </w:r>
    </w:p>
    <w:p>
      <w:pPr>
        <w:pStyle w:val="Heading2"/>
        <w:spacing w:before="360"/>
      </w:pPr>
      <w:r>
        <w:rPr>
          <w:color w:val="0066CC"/>
        </w:rPr>
        <w:t>36. SIVC - SIVC - ERIUM CI (Ex AIR LIQUIDECI)</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SIVC</w:t>
            </w:r>
          </w:p>
          <w:p>
            <w:r>
              <w:rPr>
                <w:b/>
                <w:color w:val="323250"/>
                <w:sz w:val="16"/>
              </w:rPr>
              <w:t xml:space="preserve">Société : </w:t>
            </w:r>
            <w:r>
              <w:rPr>
                <w:color w:val="000000"/>
                <w:sz w:val="16"/>
              </w:rPr>
              <w:t>SIVC - ERIUM CI (Ex AIR LIQUIDECI)</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20.66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5,422 titres</w:t>
            </w:r>
          </w:p>
        </w:tc>
        <w:tc>
          <w:tcPr>
            <w:tcW w:type="dxa" w:w="2268"/>
            <w:shd w:fill="FFF2CC" w:val="clear"/>
          </w:tcPr>
          <w:p>
            <w:r>
              <w:rPr>
                <w:b/>
                <w:color w:val="503200"/>
                <w:sz w:val="16"/>
              </w:rPr>
              <w:t xml:space="preserve">Cours actuel : </w:t>
            </w:r>
            <w:r>
              <w:rPr>
                <w:color w:val="000000"/>
                <w:sz w:val="17"/>
              </w:rPr>
              <w:t>2,365 FCFA</w:t>
            </w:r>
          </w:p>
          <w:p>
            <w:r>
              <w:rPr>
                <w:b/>
                <w:color w:val="503200"/>
                <w:sz w:val="16"/>
              </w:rPr>
              <w:t xml:space="preserve">Var. 100 jours : </w:t>
            </w:r>
            <w:r>
              <w:rPr>
                <w:b/>
                <w:color w:val="B40000"/>
                <w:sz w:val="17"/>
              </w:rPr>
              <w:t>-19.01%</w:t>
            </w:r>
          </w:p>
          <w:p>
            <w:r>
              <w:rPr>
                <w:b/>
                <w:color w:val="503200"/>
                <w:sz w:val="16"/>
              </w:rPr>
              <w:t xml:space="preserve">Plus haut 100j : </w:t>
            </w:r>
            <w:r>
              <w:rPr>
                <w:color w:val="000000"/>
                <w:sz w:val="17"/>
              </w:rPr>
              <w:t>3,215 FCFA</w:t>
            </w:r>
          </w:p>
          <w:p>
            <w:r>
              <w:rPr>
                <w:b/>
                <w:color w:val="503200"/>
                <w:sz w:val="16"/>
              </w:rPr>
              <w:t xml:space="preserve">Plus bas 100j : </w:t>
            </w:r>
            <w:r>
              <w:rPr>
                <w:color w:val="000000"/>
                <w:sz w:val="17"/>
              </w:rPr>
              <w:t>1,920 FCFA</w:t>
            </w:r>
          </w:p>
          <w:p>
            <w:r>
              <w:rPr>
                <w:b/>
                <w:color w:val="503200"/>
                <w:sz w:val="16"/>
              </w:rPr>
              <w:t xml:space="preserve">Volatilité ann. : </w:t>
            </w:r>
            <w:r>
              <w:rPr>
                <w:color w:val="000000"/>
                <w:sz w:val="17"/>
              </w:rPr>
              <w:t>50.7%</w:t>
            </w:r>
          </w:p>
        </w:tc>
        <w:tc>
          <w:tcPr>
            <w:tcW w:type="dxa" w:w="2835"/>
            <w:shd w:fill="FCE4D6" w:val="clear"/>
          </w:tcPr>
          <w:p>
            <w:r>
              <w:rPr>
                <w:b/>
                <w:color w:val="500000"/>
                <w:sz w:val="16"/>
              </w:rPr>
              <w:t xml:space="preserve">Recommandation : </w:t>
            </w:r>
            <w:r>
              <w:rPr>
                <w:b/>
                <w:color w:val="646400"/>
                <w:sz w:val="19"/>
              </w:rPr>
              <w:t>CONSERVER ⚠️</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006400"/>
          <w:sz w:val="22"/>
        </w:rPr>
        <w:t>18.8/100 → Faible</w:t>
      </w:r>
    </w:p>
    <w:p>
      <w:pPr>
        <w:spacing w:before="40" w:after="80"/>
      </w:pPr>
      <w:r>
        <w:rPr>
          <w:rFonts w:ascii="Courier New" w:hAnsi="Courier New"/>
          <w:color w:val="006400"/>
          <w:sz w:val="18"/>
        </w:rPr>
        <w:t>███░░░░░░░░░░░░░░░░░  18.8/100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11.20% (Moyenne) — μ=2,601 FCFA, σ=291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β=0.2643 (Défensif) — Cov=0.000009, Var(idx)=0.000035, ρ=0.049,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5,422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σ_j=3.19%/j (Modérée) — Vol. annualisée≈50.7%</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54/100  (Moyen)</w:t>
      </w:r>
    </w:p>
    <w:p/>
    <w:p>
      <w:pPr>
        <w:jc w:val="center"/>
      </w:pPr>
      <w:r>
        <w:drawing>
          <wp:inline xmlns:a="http://schemas.openxmlformats.org/drawingml/2006/main" xmlns:pic="http://schemas.openxmlformats.org/drawingml/2006/picture">
            <wp:extent cx="5669280" cy="2635585"/>
            <wp:docPr id="38" name="Picture 38"/>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2026-08-28</w:t>
            </w:r>
          </w:p>
        </w:tc>
        <w:tc>
          <w:tcPr>
            <w:tcW w:type="dxa" w:w="1440"/>
            <w:shd w:fill="FFDCE0" w:val="clear"/>
          </w:tcPr>
          <w:p>
            <w:r>
              <w:rPr>
                <w:sz w:val="17"/>
              </w:rPr>
              <w:t>2,107</w:t>
            </w:r>
          </w:p>
        </w:tc>
        <w:tc>
          <w:tcPr>
            <w:tcW w:type="dxa" w:w="1440"/>
            <w:shd w:fill="FFDCE0" w:val="clear"/>
          </w:tcPr>
          <w:p>
            <w:r>
              <w:rPr>
                <w:b/>
                <w:sz w:val="17"/>
              </w:rPr>
              <w:t>2,225</w:t>
            </w:r>
          </w:p>
        </w:tc>
        <w:tc>
          <w:tcPr>
            <w:tcW w:type="dxa" w:w="1440"/>
            <w:shd w:fill="FFDCE0" w:val="clear"/>
          </w:tcPr>
          <w:p>
            <w:r>
              <w:rPr>
                <w:sz w:val="17"/>
              </w:rPr>
              <w:t>2,343</w:t>
            </w:r>
          </w:p>
        </w:tc>
        <w:tc>
          <w:tcPr>
            <w:tcW w:type="dxa" w:w="1440"/>
            <w:shd w:fill="FFDCE0" w:val="clear"/>
          </w:tcPr>
          <w:p>
            <w:r>
              <w:rPr>
                <w:b/>
                <w:color w:val="C00000"/>
                <w:sz w:val="17"/>
              </w:rPr>
              <w:t>-5.9%</w:t>
            </w:r>
          </w:p>
        </w:tc>
      </w:tr>
      <w:tr>
        <w:tc>
          <w:tcPr>
            <w:tcW w:type="dxa" w:w="1440"/>
            <w:shd w:fill="FFDCE0" w:val="clear"/>
          </w:tcPr>
          <w:p>
            <w:r>
              <w:rPr>
                <w:sz w:val="17"/>
              </w:rPr>
              <w:t>J+2  ⭐</w:t>
            </w:r>
          </w:p>
        </w:tc>
        <w:tc>
          <w:tcPr>
            <w:tcW w:type="dxa" w:w="1440"/>
            <w:shd w:fill="FFDCE0" w:val="clear"/>
          </w:tcPr>
          <w:p>
            <w:r>
              <w:rPr>
                <w:sz w:val="17"/>
              </w:rPr>
              <w:t>2026-08-31</w:t>
            </w:r>
          </w:p>
        </w:tc>
        <w:tc>
          <w:tcPr>
            <w:tcW w:type="dxa" w:w="1440"/>
            <w:shd w:fill="FFDCE0" w:val="clear"/>
          </w:tcPr>
          <w:p>
            <w:r>
              <w:rPr>
                <w:sz w:val="17"/>
              </w:rPr>
              <w:t>2,022</w:t>
            </w:r>
          </w:p>
        </w:tc>
        <w:tc>
          <w:tcPr>
            <w:tcW w:type="dxa" w:w="1440"/>
            <w:shd w:fill="FFDCE0" w:val="clear"/>
          </w:tcPr>
          <w:p>
            <w:r>
              <w:rPr>
                <w:b/>
                <w:sz w:val="17"/>
              </w:rPr>
              <w:t>2,186</w:t>
            </w:r>
          </w:p>
        </w:tc>
        <w:tc>
          <w:tcPr>
            <w:tcW w:type="dxa" w:w="1440"/>
            <w:shd w:fill="FFDCE0" w:val="clear"/>
          </w:tcPr>
          <w:p>
            <w:r>
              <w:rPr>
                <w:sz w:val="17"/>
              </w:rPr>
              <w:t>2,350</w:t>
            </w:r>
          </w:p>
        </w:tc>
        <w:tc>
          <w:tcPr>
            <w:tcW w:type="dxa" w:w="1440"/>
            <w:shd w:fill="FFDCE0" w:val="clear"/>
          </w:tcPr>
          <w:p>
            <w:r>
              <w:rPr>
                <w:b/>
                <w:color w:val="C00000"/>
                <w:sz w:val="17"/>
              </w:rPr>
              <w:t>-7.6%</w:t>
            </w:r>
          </w:p>
        </w:tc>
      </w:tr>
      <w:tr>
        <w:tc>
          <w:tcPr>
            <w:tcW w:type="dxa" w:w="1440"/>
            <w:shd w:fill="FFDCE0" w:val="clear"/>
          </w:tcPr>
          <w:p>
            <w:r>
              <w:rPr>
                <w:sz w:val="17"/>
              </w:rPr>
              <w:t>J+3  ⭐</w:t>
            </w:r>
          </w:p>
        </w:tc>
        <w:tc>
          <w:tcPr>
            <w:tcW w:type="dxa" w:w="1440"/>
            <w:shd w:fill="FFDCE0" w:val="clear"/>
          </w:tcPr>
          <w:p>
            <w:r>
              <w:rPr>
                <w:sz w:val="17"/>
              </w:rPr>
              <w:t>2026-09-01</w:t>
            </w:r>
          </w:p>
        </w:tc>
        <w:tc>
          <w:tcPr>
            <w:tcW w:type="dxa" w:w="1440"/>
            <w:shd w:fill="FFDCE0" w:val="clear"/>
          </w:tcPr>
          <w:p>
            <w:r>
              <w:rPr>
                <w:sz w:val="17"/>
              </w:rPr>
              <w:t>1,942</w:t>
            </w:r>
          </w:p>
        </w:tc>
        <w:tc>
          <w:tcPr>
            <w:tcW w:type="dxa" w:w="1440"/>
            <w:shd w:fill="FFDCE0" w:val="clear"/>
          </w:tcPr>
          <w:p>
            <w:r>
              <w:rPr>
                <w:b/>
                <w:sz w:val="17"/>
              </w:rPr>
              <w:t>2,138</w:t>
            </w:r>
          </w:p>
        </w:tc>
        <w:tc>
          <w:tcPr>
            <w:tcW w:type="dxa" w:w="1440"/>
            <w:shd w:fill="FFDCE0" w:val="clear"/>
          </w:tcPr>
          <w:p>
            <w:r>
              <w:rPr>
                <w:sz w:val="17"/>
              </w:rPr>
              <w:t>2,334</w:t>
            </w:r>
          </w:p>
        </w:tc>
        <w:tc>
          <w:tcPr>
            <w:tcW w:type="dxa" w:w="1440"/>
            <w:shd w:fill="FFDCE0" w:val="clear"/>
          </w:tcPr>
          <w:p>
            <w:r>
              <w:rPr>
                <w:b/>
                <w:color w:val="C00000"/>
                <w:sz w:val="17"/>
              </w:rPr>
              <w:t>-9.6%</w:t>
            </w:r>
          </w:p>
        </w:tc>
      </w:tr>
      <w:tr>
        <w:tc>
          <w:tcPr>
            <w:tcW w:type="dxa" w:w="1440"/>
            <w:shd w:fill="FFDCE0" w:val="clear"/>
          </w:tcPr>
          <w:p>
            <w:r>
              <w:rPr>
                <w:sz w:val="17"/>
              </w:rPr>
              <w:t>J+4  ⭐</w:t>
            </w:r>
          </w:p>
        </w:tc>
        <w:tc>
          <w:tcPr>
            <w:tcW w:type="dxa" w:w="1440"/>
            <w:shd w:fill="FFDCE0" w:val="clear"/>
          </w:tcPr>
          <w:p>
            <w:r>
              <w:rPr>
                <w:sz w:val="17"/>
              </w:rPr>
              <w:t>2026-09-02</w:t>
            </w:r>
          </w:p>
        </w:tc>
        <w:tc>
          <w:tcPr>
            <w:tcW w:type="dxa" w:w="1440"/>
            <w:shd w:fill="FFDCE0" w:val="clear"/>
          </w:tcPr>
          <w:p>
            <w:r>
              <w:rPr>
                <w:sz w:val="17"/>
              </w:rPr>
              <w:t>1,868</w:t>
            </w:r>
          </w:p>
        </w:tc>
        <w:tc>
          <w:tcPr>
            <w:tcW w:type="dxa" w:w="1440"/>
            <w:shd w:fill="FFDCE0" w:val="clear"/>
          </w:tcPr>
          <w:p>
            <w:r>
              <w:rPr>
                <w:b/>
                <w:sz w:val="17"/>
              </w:rPr>
              <w:t>2,090</w:t>
            </w:r>
          </w:p>
        </w:tc>
        <w:tc>
          <w:tcPr>
            <w:tcW w:type="dxa" w:w="1440"/>
            <w:shd w:fill="FFDCE0" w:val="clear"/>
          </w:tcPr>
          <w:p>
            <w:r>
              <w:rPr>
                <w:sz w:val="17"/>
              </w:rPr>
              <w:t>2,311</w:t>
            </w:r>
          </w:p>
        </w:tc>
        <w:tc>
          <w:tcPr>
            <w:tcW w:type="dxa" w:w="1440"/>
            <w:shd w:fill="FFDCE0" w:val="clear"/>
          </w:tcPr>
          <w:p>
            <w:r>
              <w:rPr>
                <w:b/>
                <w:color w:val="C00000"/>
                <w:sz w:val="17"/>
              </w:rPr>
              <w:t>-11.6%</w:t>
            </w:r>
          </w:p>
        </w:tc>
      </w:tr>
      <w:tr>
        <w:tc>
          <w:tcPr>
            <w:tcW w:type="dxa" w:w="1440"/>
            <w:shd w:fill="FFDCE0" w:val="clear"/>
          </w:tcPr>
          <w:p>
            <w:r>
              <w:rPr>
                <w:sz w:val="17"/>
              </w:rPr>
              <w:t>J+5  ⭐</w:t>
            </w:r>
          </w:p>
        </w:tc>
        <w:tc>
          <w:tcPr>
            <w:tcW w:type="dxa" w:w="1440"/>
            <w:shd w:fill="FFDCE0" w:val="clear"/>
          </w:tcPr>
          <w:p>
            <w:r>
              <w:rPr>
                <w:sz w:val="17"/>
              </w:rPr>
              <w:t>2026-09-03</w:t>
            </w:r>
          </w:p>
        </w:tc>
        <w:tc>
          <w:tcPr>
            <w:tcW w:type="dxa" w:w="1440"/>
            <w:shd w:fill="FFDCE0" w:val="clear"/>
          </w:tcPr>
          <w:p>
            <w:r>
              <w:rPr>
                <w:sz w:val="17"/>
              </w:rPr>
              <w:t>1,800</w:t>
            </w:r>
          </w:p>
        </w:tc>
        <w:tc>
          <w:tcPr>
            <w:tcW w:type="dxa" w:w="1440"/>
            <w:shd w:fill="FFDCE0" w:val="clear"/>
          </w:tcPr>
          <w:p>
            <w:r>
              <w:rPr>
                <w:b/>
                <w:sz w:val="17"/>
              </w:rPr>
              <w:t>2,042</w:t>
            </w:r>
          </w:p>
        </w:tc>
        <w:tc>
          <w:tcPr>
            <w:tcW w:type="dxa" w:w="1440"/>
            <w:shd w:fill="FFDCE0" w:val="clear"/>
          </w:tcPr>
          <w:p>
            <w:r>
              <w:rPr>
                <w:sz w:val="17"/>
              </w:rPr>
              <w:t>2,284</w:t>
            </w:r>
          </w:p>
        </w:tc>
        <w:tc>
          <w:tcPr>
            <w:tcW w:type="dxa" w:w="1440"/>
            <w:shd w:fill="FFDCE0" w:val="clear"/>
          </w:tcPr>
          <w:p>
            <w:r>
              <w:rPr>
                <w:b/>
                <w:color w:val="C00000"/>
                <w:sz w:val="17"/>
              </w:rPr>
              <w:t>-13.7%</w:t>
            </w:r>
          </w:p>
        </w:tc>
      </w:tr>
      <w:tr>
        <w:tc>
          <w:tcPr>
            <w:tcW w:type="dxa" w:w="1440"/>
            <w:shd w:fill="FFDCE0" w:val="clear"/>
          </w:tcPr>
          <w:p>
            <w:r>
              <w:rPr>
                <w:sz w:val="17"/>
              </w:rPr>
              <w:t>J+6  ⭐</w:t>
            </w:r>
          </w:p>
        </w:tc>
        <w:tc>
          <w:tcPr>
            <w:tcW w:type="dxa" w:w="1440"/>
            <w:shd w:fill="FFDCE0" w:val="clear"/>
          </w:tcPr>
          <w:p>
            <w:r>
              <w:rPr>
                <w:sz w:val="17"/>
              </w:rPr>
              <w:t>2026-09-04</w:t>
            </w:r>
          </w:p>
        </w:tc>
        <w:tc>
          <w:tcPr>
            <w:tcW w:type="dxa" w:w="1440"/>
            <w:shd w:fill="FFDCE0" w:val="clear"/>
          </w:tcPr>
          <w:p>
            <w:r>
              <w:rPr>
                <w:sz w:val="17"/>
              </w:rPr>
              <w:t>1,737</w:t>
            </w:r>
          </w:p>
        </w:tc>
        <w:tc>
          <w:tcPr>
            <w:tcW w:type="dxa" w:w="1440"/>
            <w:shd w:fill="FFDCE0" w:val="clear"/>
          </w:tcPr>
          <w:p>
            <w:r>
              <w:rPr>
                <w:b/>
                <w:sz w:val="17"/>
              </w:rPr>
              <w:t>1,996</w:t>
            </w:r>
          </w:p>
        </w:tc>
        <w:tc>
          <w:tcPr>
            <w:tcW w:type="dxa" w:w="1440"/>
            <w:shd w:fill="FFDCE0" w:val="clear"/>
          </w:tcPr>
          <w:p>
            <w:r>
              <w:rPr>
                <w:sz w:val="17"/>
              </w:rPr>
              <w:t>2,254</w:t>
            </w:r>
          </w:p>
        </w:tc>
        <w:tc>
          <w:tcPr>
            <w:tcW w:type="dxa" w:w="1440"/>
            <w:shd w:fill="FFDCE0" w:val="clear"/>
          </w:tcPr>
          <w:p>
            <w:r>
              <w:rPr>
                <w:b/>
                <w:color w:val="C00000"/>
                <w:sz w:val="17"/>
              </w:rPr>
              <w:t>-15.6%</w:t>
            </w:r>
          </w:p>
        </w:tc>
      </w:tr>
      <w:tr>
        <w:tc>
          <w:tcPr>
            <w:tcW w:type="dxa" w:w="1440"/>
            <w:shd w:fill="FFDCE0" w:val="clear"/>
          </w:tcPr>
          <w:p>
            <w:r>
              <w:rPr>
                <w:sz w:val="17"/>
              </w:rPr>
              <w:t>J+7  ⭐</w:t>
            </w:r>
          </w:p>
        </w:tc>
        <w:tc>
          <w:tcPr>
            <w:tcW w:type="dxa" w:w="1440"/>
            <w:shd w:fill="FFDCE0" w:val="clear"/>
          </w:tcPr>
          <w:p>
            <w:r>
              <w:rPr>
                <w:sz w:val="17"/>
              </w:rPr>
              <w:t>2026-09-07</w:t>
            </w:r>
          </w:p>
        </w:tc>
        <w:tc>
          <w:tcPr>
            <w:tcW w:type="dxa" w:w="1440"/>
            <w:shd w:fill="FFDCE0" w:val="clear"/>
          </w:tcPr>
          <w:p>
            <w:r>
              <w:rPr>
                <w:sz w:val="17"/>
              </w:rPr>
              <w:t>1,678</w:t>
            </w:r>
          </w:p>
        </w:tc>
        <w:tc>
          <w:tcPr>
            <w:tcW w:type="dxa" w:w="1440"/>
            <w:shd w:fill="FFDCE0" w:val="clear"/>
          </w:tcPr>
          <w:p>
            <w:r>
              <w:rPr>
                <w:b/>
                <w:sz w:val="17"/>
              </w:rPr>
              <w:t>1,951</w:t>
            </w:r>
          </w:p>
        </w:tc>
        <w:tc>
          <w:tcPr>
            <w:tcW w:type="dxa" w:w="1440"/>
            <w:shd w:fill="FFDCE0" w:val="clear"/>
          </w:tcPr>
          <w:p>
            <w:r>
              <w:rPr>
                <w:sz w:val="17"/>
              </w:rPr>
              <w:t>2,224</w:t>
            </w:r>
          </w:p>
        </w:tc>
        <w:tc>
          <w:tcPr>
            <w:tcW w:type="dxa" w:w="1440"/>
            <w:shd w:fill="FFDCE0" w:val="clear"/>
          </w:tcPr>
          <w:p>
            <w:r>
              <w:rPr>
                <w:b/>
                <w:color w:val="C00000"/>
                <w:sz w:val="17"/>
              </w:rPr>
              <w:t>-17.5%</w:t>
            </w:r>
          </w:p>
        </w:tc>
      </w:tr>
      <w:tr>
        <w:tc>
          <w:tcPr>
            <w:tcW w:type="dxa" w:w="1440"/>
            <w:shd w:fill="FFDCE0" w:val="clear"/>
          </w:tcPr>
          <w:p>
            <w:r>
              <w:rPr>
                <w:sz w:val="17"/>
              </w:rPr>
              <w:t>J+8  ⭐</w:t>
            </w:r>
          </w:p>
        </w:tc>
        <w:tc>
          <w:tcPr>
            <w:tcW w:type="dxa" w:w="1440"/>
            <w:shd w:fill="FFDCE0" w:val="clear"/>
          </w:tcPr>
          <w:p>
            <w:r>
              <w:rPr>
                <w:sz w:val="17"/>
              </w:rPr>
              <w:t>2026-09-08</w:t>
            </w:r>
          </w:p>
        </w:tc>
        <w:tc>
          <w:tcPr>
            <w:tcW w:type="dxa" w:w="1440"/>
            <w:shd w:fill="FFDCE0" w:val="clear"/>
          </w:tcPr>
          <w:p>
            <w:r>
              <w:rPr>
                <w:sz w:val="17"/>
              </w:rPr>
              <w:t>1,622</w:t>
            </w:r>
          </w:p>
        </w:tc>
        <w:tc>
          <w:tcPr>
            <w:tcW w:type="dxa" w:w="1440"/>
            <w:shd w:fill="FFDCE0" w:val="clear"/>
          </w:tcPr>
          <w:p>
            <w:r>
              <w:rPr>
                <w:b/>
                <w:sz w:val="17"/>
              </w:rPr>
              <w:t>1,908</w:t>
            </w:r>
          </w:p>
        </w:tc>
        <w:tc>
          <w:tcPr>
            <w:tcW w:type="dxa" w:w="1440"/>
            <w:shd w:fill="FFDCE0" w:val="clear"/>
          </w:tcPr>
          <w:p>
            <w:r>
              <w:rPr>
                <w:sz w:val="17"/>
              </w:rPr>
              <w:t>2,194</w:t>
            </w:r>
          </w:p>
        </w:tc>
        <w:tc>
          <w:tcPr>
            <w:tcW w:type="dxa" w:w="1440"/>
            <w:shd w:fill="FFDCE0" w:val="clear"/>
          </w:tcPr>
          <w:p>
            <w:r>
              <w:rPr>
                <w:b/>
                <w:color w:val="C00000"/>
                <w:sz w:val="17"/>
              </w:rPr>
              <w:t>-19.3%</w:t>
            </w:r>
          </w:p>
        </w:tc>
      </w:tr>
      <w:tr>
        <w:tc>
          <w:tcPr>
            <w:tcW w:type="dxa" w:w="1440"/>
            <w:shd w:fill="FFDCE0" w:val="clear"/>
          </w:tcPr>
          <w:p>
            <w:r>
              <w:rPr>
                <w:sz w:val="17"/>
              </w:rPr>
              <w:t>J+9  ⭐</w:t>
            </w:r>
          </w:p>
        </w:tc>
        <w:tc>
          <w:tcPr>
            <w:tcW w:type="dxa" w:w="1440"/>
            <w:shd w:fill="FFDCE0" w:val="clear"/>
          </w:tcPr>
          <w:p>
            <w:r>
              <w:rPr>
                <w:sz w:val="17"/>
              </w:rPr>
              <w:t>2026-09-09</w:t>
            </w:r>
          </w:p>
        </w:tc>
        <w:tc>
          <w:tcPr>
            <w:tcW w:type="dxa" w:w="1440"/>
            <w:shd w:fill="FFDCE0" w:val="clear"/>
          </w:tcPr>
          <w:p>
            <w:r>
              <w:rPr>
                <w:sz w:val="17"/>
              </w:rPr>
              <w:t>1,570</w:t>
            </w:r>
          </w:p>
        </w:tc>
        <w:tc>
          <w:tcPr>
            <w:tcW w:type="dxa" w:w="1440"/>
            <w:shd w:fill="FFDCE0" w:val="clear"/>
          </w:tcPr>
          <w:p>
            <w:r>
              <w:rPr>
                <w:b/>
                <w:sz w:val="17"/>
              </w:rPr>
              <w:t>1,867</w:t>
            </w:r>
          </w:p>
        </w:tc>
        <w:tc>
          <w:tcPr>
            <w:tcW w:type="dxa" w:w="1440"/>
            <w:shd w:fill="FFDCE0" w:val="clear"/>
          </w:tcPr>
          <w:p>
            <w:r>
              <w:rPr>
                <w:sz w:val="17"/>
              </w:rPr>
              <w:t>2,163</w:t>
            </w:r>
          </w:p>
        </w:tc>
        <w:tc>
          <w:tcPr>
            <w:tcW w:type="dxa" w:w="1440"/>
            <w:shd w:fill="FFDCE0" w:val="clear"/>
          </w:tcPr>
          <w:p>
            <w:r>
              <w:rPr>
                <w:b/>
                <w:color w:val="C00000"/>
                <w:sz w:val="17"/>
              </w:rPr>
              <w:t>-21.1%</w:t>
            </w:r>
          </w:p>
        </w:tc>
      </w:tr>
      <w:tr>
        <w:tc>
          <w:tcPr>
            <w:tcW w:type="dxa" w:w="1440"/>
            <w:shd w:fill="FFDCE0" w:val="clear"/>
          </w:tcPr>
          <w:p>
            <w:r>
              <w:rPr>
                <w:sz w:val="17"/>
              </w:rPr>
              <w:t>J+10  ⭐</w:t>
            </w:r>
          </w:p>
        </w:tc>
        <w:tc>
          <w:tcPr>
            <w:tcW w:type="dxa" w:w="1440"/>
            <w:shd w:fill="FFDCE0" w:val="clear"/>
          </w:tcPr>
          <w:p>
            <w:r>
              <w:rPr>
                <w:sz w:val="17"/>
              </w:rPr>
              <w:t>2026-09-10</w:t>
            </w:r>
          </w:p>
        </w:tc>
        <w:tc>
          <w:tcPr>
            <w:tcW w:type="dxa" w:w="1440"/>
            <w:shd w:fill="FFDCE0" w:val="clear"/>
          </w:tcPr>
          <w:p>
            <w:r>
              <w:rPr>
                <w:sz w:val="17"/>
              </w:rPr>
              <w:t>1,521</w:t>
            </w:r>
          </w:p>
        </w:tc>
        <w:tc>
          <w:tcPr>
            <w:tcW w:type="dxa" w:w="1440"/>
            <w:shd w:fill="FFDCE0" w:val="clear"/>
          </w:tcPr>
          <w:p>
            <w:r>
              <w:rPr>
                <w:b/>
                <w:sz w:val="17"/>
              </w:rPr>
              <w:t>1,827</w:t>
            </w:r>
          </w:p>
        </w:tc>
        <w:tc>
          <w:tcPr>
            <w:tcW w:type="dxa" w:w="1440"/>
            <w:shd w:fill="FFDCE0" w:val="clear"/>
          </w:tcPr>
          <w:p>
            <w:r>
              <w:rPr>
                <w:sz w:val="17"/>
              </w:rPr>
              <w:t>2,132</w:t>
            </w:r>
          </w:p>
        </w:tc>
        <w:tc>
          <w:tcPr>
            <w:tcW w:type="dxa" w:w="1440"/>
            <w:shd w:fill="FFDCE0" w:val="clear"/>
          </w:tcPr>
          <w:p>
            <w:r>
              <w:rPr>
                <w:b/>
                <w:color w:val="C00000"/>
                <w:sz w:val="17"/>
              </w:rPr>
              <w:t>-22.8%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BANQUE]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Caisse &amp; Banque Centrale</w:t>
            </w:r>
          </w:p>
        </w:tc>
        <w:tc>
          <w:tcPr>
            <w:tcW w:type="dxa" w:w="1984"/>
            <w:shd w:fill="FFEB9C" w:val="clear"/>
          </w:tcPr>
          <w:p>
            <w:r>
              <w:rPr>
                <w:b/>
                <w:color w:val="006400"/>
                <w:sz w:val="17"/>
              </w:rPr>
              <w:t>40.68 M FCFA</w:t>
            </w:r>
          </w:p>
        </w:tc>
        <w:tc>
          <w:tcPr>
            <w:tcW w:type="dxa" w:w="5669"/>
            <w:shd w:fill="FFFFFF" w:val="clear"/>
          </w:tcPr>
          <w:p>
            <w:r>
              <w:rPr>
                <w:color w:val="282828"/>
                <w:sz w:val="15"/>
              </w:rPr>
              <w:t>Représente 0.3% du bilan. ⚠️ Part faible — vérifier la conformité aux réserves obligatoires BCEAO.</w:t>
            </w:r>
          </w:p>
        </w:tc>
      </w:tr>
      <w:tr>
        <w:tc>
          <w:tcPr>
            <w:tcW w:type="dxa" w:w="2268"/>
            <w:shd w:fill="EEF2F7" w:val="clear"/>
          </w:tcPr>
          <w:p>
            <w:r>
              <w:rPr>
                <w:b/>
                <w:color w:val="1E1E3C"/>
                <w:sz w:val="16"/>
              </w:rPr>
              <w:t>Créances clients</w:t>
            </w:r>
          </w:p>
        </w:tc>
        <w:tc>
          <w:tcPr>
            <w:tcW w:type="dxa" w:w="1984"/>
            <w:shd w:fill="C6EFCE" w:val="clear"/>
          </w:tcPr>
          <w:p>
            <w:r>
              <w:rPr>
                <w:b/>
                <w:color w:val="006400"/>
                <w:sz w:val="17"/>
              </w:rPr>
              <w:t>1.550 Mds FCFA</w:t>
            </w:r>
          </w:p>
        </w:tc>
        <w:tc>
          <w:tcPr>
            <w:tcW w:type="dxa" w:w="5669"/>
            <w:shd w:fill="FFFFFF" w:val="clear"/>
          </w:tcPr>
          <w:p>
            <w:r>
              <w:rPr>
                <w:color w:val="282828"/>
                <w:sz w:val="15"/>
              </w:rPr>
              <w:t>Créances clients = 16.7%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2.594 Mds FCFA</w:t>
            </w:r>
          </w:p>
        </w:tc>
        <w:tc>
          <w:tcPr>
            <w:tcW w:type="dxa" w:w="5669"/>
            <w:shd w:fill="FFFFFF" w:val="clear"/>
          </w:tcPr>
          <w:p>
            <w:r>
              <w:rPr>
                <w:color w:val="282828"/>
                <w:sz w:val="15"/>
              </w:rPr>
              <w:t>Rotation stocks = 3.6x/an. ⚠️ Rotation lente — risque d'immobilisation de capital.</w:t>
            </w:r>
          </w:p>
        </w:tc>
      </w:tr>
      <w:tr>
        <w:tc>
          <w:tcPr>
            <w:tcW w:type="dxa" w:w="2268"/>
            <w:shd w:fill="EEF2F7" w:val="clear"/>
          </w:tcPr>
          <w:p>
            <w:r>
              <w:rPr>
                <w:b/>
                <w:color w:val="1E1E3C"/>
                <w:sz w:val="16"/>
              </w:rPr>
              <w:t>Actif circulant</w:t>
            </w:r>
          </w:p>
        </w:tc>
        <w:tc>
          <w:tcPr>
            <w:tcW w:type="dxa" w:w="1984"/>
            <w:shd w:fill="FFC7CE" w:val="clear"/>
          </w:tcPr>
          <w:p>
            <w:r>
              <w:rPr>
                <w:b/>
                <w:color w:val="006400"/>
                <w:sz w:val="17"/>
              </w:rPr>
              <w:t>6.264 Mds FCFA</w:t>
            </w:r>
          </w:p>
        </w:tc>
        <w:tc>
          <w:tcPr>
            <w:tcW w:type="dxa" w:w="5669"/>
            <w:shd w:fill="FFFFFF" w:val="clear"/>
          </w:tcPr>
          <w:p>
            <w:r>
              <w:rPr>
                <w:color w:val="282828"/>
                <w:sz w:val="15"/>
              </w:rPr>
              <w:t>Ratio actif circ./passif circ. = 0.78x.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24.02 M FCFA</w:t>
            </w:r>
          </w:p>
        </w:tc>
        <w:tc>
          <w:tcPr>
            <w:tcW w:type="dxa" w:w="5669"/>
            <w:shd w:fill="FFFFFF" w:val="clear"/>
          </w:tcPr>
          <w:p>
            <w:r>
              <w:rPr>
                <w:color w:val="282828"/>
                <w:sz w:val="15"/>
              </w:rPr>
              <w:t>Brevets, logiciels, fonds commercial (0.2%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7.403 Mds FCFA</w:t>
            </w:r>
          </w:p>
        </w:tc>
        <w:tc>
          <w:tcPr>
            <w:tcW w:type="dxa" w:w="5669"/>
            <w:shd w:fill="FFFFFF" w:val="clear"/>
          </w:tcPr>
          <w:p>
            <w:r>
              <w:rPr>
                <w:color w:val="282828"/>
                <w:sz w:val="15"/>
              </w:rPr>
              <w:t>Outil industriel (52.8%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7.707 Mds FCFA</w:t>
            </w:r>
          </w:p>
        </w:tc>
        <w:tc>
          <w:tcPr>
            <w:tcW w:type="dxa" w:w="5669"/>
            <w:shd w:fill="FFFFFF" w:val="clear"/>
          </w:tcPr>
          <w:p>
            <w:r>
              <w:rPr>
                <w:color w:val="282828"/>
                <w:sz w:val="15"/>
              </w:rPr>
              <w:t>Actif immobilisé = 55.0%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52.75 M FCFA</w:t>
            </w:r>
          </w:p>
        </w:tc>
        <w:tc>
          <w:tcPr>
            <w:tcW w:type="dxa" w:w="5669"/>
            <w:shd w:fill="FFFFFF" w:val="clear"/>
          </w:tcPr>
          <w:p>
            <w:r>
              <w:rPr>
                <w:color w:val="282828"/>
                <w:sz w:val="15"/>
              </w:rPr>
              <w:t>Liquidités disponibles (0.4%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14.023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873.40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355.33 M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3.272 Mds FCFA</w:t>
            </w:r>
          </w:p>
        </w:tc>
        <w:tc>
          <w:tcPr>
            <w:tcW w:type="dxa" w:w="5669"/>
            <w:shd w:fill="FFFFFF" w:val="clear"/>
          </w:tcPr>
          <w:p>
            <w:r>
              <w:rPr>
                <w:color w:val="282828"/>
                <w:sz w:val="15"/>
              </w:rPr>
              <w:t>Fonds propres = 23.3% du bilan. ✅ Solidité financière satisfaisante.</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3.823 Mds FCFA</w:t>
            </w:r>
          </w:p>
        </w:tc>
        <w:tc>
          <w:tcPr>
            <w:tcW w:type="dxa" w:w="5669"/>
            <w:shd w:fill="FFFFFF" w:val="clear"/>
          </w:tcPr>
          <w:p>
            <w:r>
              <w:rPr>
                <w:color w:val="282828"/>
                <w:sz w:val="15"/>
              </w:rPr>
              <w:t>Capitaux permanents / Actif immobilisé = 0.50x. ⚠️ Une partie des actifs LT est financée par des dettes CT — risque de liquidité.</w:t>
            </w:r>
          </w:p>
        </w:tc>
      </w:tr>
      <w:tr>
        <w:tc>
          <w:tcPr>
            <w:tcW w:type="dxa" w:w="2268"/>
            <w:shd w:fill="EEF2F7" w:val="clear"/>
          </w:tcPr>
          <w:p>
            <w:r>
              <w:rPr>
                <w:b/>
                <w:color w:val="1E1E3C"/>
                <w:sz w:val="16"/>
              </w:rPr>
              <w:t>Dettes clientèle (dépôts)</w:t>
            </w:r>
          </w:p>
        </w:tc>
        <w:tc>
          <w:tcPr>
            <w:tcW w:type="dxa" w:w="1984"/>
            <w:shd w:fill="DEEAF1" w:val="clear"/>
          </w:tcPr>
          <w:p>
            <w:r>
              <w:rPr>
                <w:b/>
                <w:color w:val="006400"/>
                <w:sz w:val="17"/>
              </w:rPr>
              <w:t>1.125 Mds FCFA</w:t>
            </w:r>
          </w:p>
        </w:tc>
        <w:tc>
          <w:tcPr>
            <w:tcW w:type="dxa" w:w="5669"/>
            <w:shd w:fill="FFFFFF" w:val="clear"/>
          </w:tcPr>
          <w:p>
            <w:r>
              <w:rPr>
                <w:color w:val="282828"/>
                <w:sz w:val="15"/>
              </w:rPr>
              <w:t>Dépôts clients = 8.0% du bilan. ℹ️ Dépôts modérés — compléter par d'autres ressources.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3.748 Mds FCFA</w:t>
            </w:r>
          </w:p>
        </w:tc>
        <w:tc>
          <w:tcPr>
            <w:tcW w:type="dxa" w:w="5669"/>
            <w:shd w:fill="FFFFFF" w:val="clear"/>
          </w:tcPr>
          <w:p>
            <w:r>
              <w:rPr>
                <w:color w:val="282828"/>
                <w:sz w:val="15"/>
              </w:rPr>
              <w:t>Délai fournisseurs implicite ≈ 147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424.91 M FCFA</w:t>
            </w:r>
          </w:p>
        </w:tc>
        <w:tc>
          <w:tcPr>
            <w:tcW w:type="dxa" w:w="5669"/>
            <w:shd w:fill="FFFFFF" w:val="clear"/>
          </w:tcPr>
          <w:p>
            <w:r>
              <w:rPr>
                <w:color w:val="282828"/>
                <w:sz w:val="15"/>
              </w:rPr>
              <w:t>Dette LT/MT = 13%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2.621 Mds FCFA</w:t>
            </w:r>
          </w:p>
        </w:tc>
        <w:tc>
          <w:tcPr>
            <w:tcW w:type="dxa" w:w="5669"/>
            <w:shd w:fill="FFFFFF" w:val="clear"/>
          </w:tcPr>
          <w:p>
            <w:r>
              <w:rPr>
                <w:color w:val="282828"/>
                <w:sz w:val="15"/>
              </w:rPr>
              <w:t>Dette financière totale = 80%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10.751 Mds FCFA</w:t>
            </w:r>
          </w:p>
        </w:tc>
        <w:tc>
          <w:tcPr>
            <w:tcW w:type="dxa" w:w="5669"/>
            <w:shd w:fill="FFFFFF" w:val="clear"/>
          </w:tcPr>
          <w:p>
            <w:r>
              <w:rPr>
                <w:color w:val="282828"/>
                <w:sz w:val="15"/>
              </w:rPr>
              <w:t>Dettes totales = 76.7%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9.283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9.283 Mds FCFA</w:t>
            </w:r>
          </w:p>
        </w:tc>
        <w:tc>
          <w:tcPr>
            <w:tcW w:type="dxa" w:w="5669"/>
            <w:shd w:fill="FFFFFF" w:val="clear"/>
          </w:tcPr>
          <w:p>
            <w:r>
              <w:rPr>
                <w:color w:val="282828"/>
                <w:sz w:val="15"/>
              </w:rPr>
              <w:t>Chiffre d'affaires. Croissance: 9.0%. ✅ CA en hausse — bonne dynamique commerciale.</w:t>
            </w:r>
          </w:p>
        </w:tc>
      </w:tr>
      <w:tr>
        <w:tc>
          <w:tcPr>
            <w:tcW w:type="dxa" w:w="2268"/>
            <w:shd w:fill="EEF2F7" w:val="clear"/>
          </w:tcPr>
          <w:p>
            <w:r>
              <w:rPr>
                <w:b/>
                <w:color w:val="1E1E3C"/>
                <w:sz w:val="16"/>
              </w:rPr>
              <w:t>Intérêts &amp; produits assimilés</w:t>
            </w:r>
          </w:p>
        </w:tc>
        <w:tc>
          <w:tcPr>
            <w:tcW w:type="dxa" w:w="1984"/>
            <w:shd w:fill="DEEAF1" w:val="clear"/>
          </w:tcPr>
          <w:p>
            <w:r>
              <w:rPr>
                <w:b/>
                <w:color w:val="006400"/>
                <w:sz w:val="17"/>
              </w:rPr>
              <w:t>13.14 M FCFA</w:t>
            </w:r>
          </w:p>
        </w:tc>
        <w:tc>
          <w:tcPr>
            <w:tcW w:type="dxa" w:w="5669"/>
            <w:shd w:fill="FFFFFF" w:val="clear"/>
          </w:tcPr>
          <w:p>
            <w:r>
              <w:rPr>
                <w:color w:val="282828"/>
                <w:sz w:val="15"/>
              </w:rPr>
              <w:t>Revenus d'intérêts sur crédits (1314401900% du PNB). Principal moteur de revenus de la banque.</w:t>
            </w:r>
          </w:p>
        </w:tc>
      </w:tr>
      <w:tr>
        <w:tc>
          <w:tcPr>
            <w:tcW w:type="dxa" w:w="2268"/>
            <w:shd w:fill="EEF2F7" w:val="clear"/>
          </w:tcPr>
          <w:p>
            <w:r>
              <w:rPr>
                <w:b/>
                <w:color w:val="1E1E3C"/>
                <w:sz w:val="16"/>
              </w:rPr>
              <w:t>Intérêts &amp; charges assimilées</w:t>
            </w:r>
          </w:p>
        </w:tc>
        <w:tc>
          <w:tcPr>
            <w:tcW w:type="dxa" w:w="1984"/>
            <w:shd w:fill="C6EFCE" w:val="clear"/>
          </w:tcPr>
          <w:p>
            <w:r>
              <w:rPr>
                <w:b/>
                <w:color w:val="B40000"/>
                <w:sz w:val="17"/>
              </w:rPr>
              <w:t>-288.20 M FCFA</w:t>
            </w:r>
          </w:p>
        </w:tc>
        <w:tc>
          <w:tcPr>
            <w:tcW w:type="dxa" w:w="5669"/>
            <w:shd w:fill="FFFFFF" w:val="clear"/>
          </w:tcPr>
          <w:p>
            <w:r>
              <w:rPr>
                <w:color w:val="282828"/>
                <w:sz w:val="15"/>
              </w:rPr>
              <w:t>Coût des dépôts collectés (-28820113600% du PNB). ✅ Coût de ressources maîtrisé.</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-4.982 Mds FCFA</w:t>
            </w:r>
          </w:p>
        </w:tc>
        <w:tc>
          <w:tcPr>
            <w:tcW w:type="dxa" w:w="5669"/>
            <w:shd w:fill="FFFFFF" w:val="clear"/>
          </w:tcPr>
          <w:p>
            <w:r>
              <w:rPr>
                <w:color w:val="282828"/>
                <w:sz w:val="15"/>
              </w:rPr>
              <w:t>-53.7%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-1.000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-1.597 Mds FCFA</w:t>
            </w:r>
          </w:p>
        </w:tc>
        <w:tc>
          <w:tcPr>
            <w:tcW w:type="dxa" w:w="5669"/>
            <w:shd w:fill="FFFFFF" w:val="clear"/>
          </w:tcPr>
          <w:p>
            <w:r>
              <w:rPr>
                <w:color w:val="282828"/>
                <w:sz w:val="15"/>
              </w:rPr>
              <w:t>Masse salariale = -17.2%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3.071 Mds FCFA</w:t>
            </w:r>
          </w:p>
        </w:tc>
        <w:tc>
          <w:tcPr>
            <w:tcW w:type="dxa" w:w="5669"/>
            <w:shd w:fill="FFFFFF" w:val="clear"/>
          </w:tcPr>
          <w:p>
            <w:r>
              <w:rPr>
                <w:color w:val="282828"/>
                <w:sz w:val="15"/>
              </w:rPr>
              <w:t>VA = 33.1%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1.474 Mds FCFA</w:t>
            </w:r>
          </w:p>
        </w:tc>
        <w:tc>
          <w:tcPr>
            <w:tcW w:type="dxa" w:w="5669"/>
            <w:shd w:fill="FFFFFF" w:val="clear"/>
          </w:tcPr>
          <w:p>
            <w:r>
              <w:rPr>
                <w:color w:val="282828"/>
                <w:sz w:val="15"/>
              </w:rPr>
              <w:t>EBE = 15.9% des revenus (marge opérationnelle brute). ✅ Bonne rentabilité opérationnelle.</w:t>
            </w:r>
          </w:p>
        </w:tc>
      </w:tr>
      <w:tr>
        <w:tc>
          <w:tcPr>
            <w:tcW w:type="dxa" w:w="2268"/>
            <w:shd w:fill="EEF2F7" w:val="clear"/>
          </w:tcPr>
          <w:p>
            <w:r>
              <w:rPr>
                <w:b/>
                <w:color w:val="1E1E3C"/>
                <w:sz w:val="16"/>
              </w:rPr>
              <w:t>RBE (Résultat Brut Exploit.)</w:t>
            </w:r>
          </w:p>
        </w:tc>
        <w:tc>
          <w:tcPr>
            <w:tcW w:type="dxa" w:w="1984"/>
            <w:shd w:fill="C6EFCE" w:val="clear"/>
          </w:tcPr>
          <w:p>
            <w:r>
              <w:rPr>
                <w:b/>
                <w:color w:val="006400"/>
                <w:sz w:val="17"/>
              </w:rPr>
              <w:t>1.474 Mds FCFA</w:t>
            </w:r>
          </w:p>
        </w:tc>
        <w:tc>
          <w:tcPr>
            <w:tcW w:type="dxa" w:w="5669"/>
            <w:shd w:fill="FFFFFF" w:val="clear"/>
          </w:tcPr>
          <w:p>
            <w:r>
              <w:rPr>
                <w:color w:val="282828"/>
                <w:sz w:val="15"/>
              </w:rPr>
              <w:t>RBE = 147369984400.0% du PNB (PNB - CGE - DAP). ✅ Efficacité opérationnelle bancaire solide.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522.31 M FCFA</w:t>
            </w:r>
          </w:p>
        </w:tc>
        <w:tc>
          <w:tcPr>
            <w:tcW w:type="dxa" w:w="5669"/>
            <w:shd w:fill="FFFFFF" w:val="clear"/>
          </w:tcPr>
          <w:p>
            <w:r>
              <w:rPr>
                <w:color w:val="282828"/>
                <w:sz w:val="15"/>
              </w:rPr>
              <w:t>Profit d'exploitation = 5.6%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148.04 M FCFA</w:t>
            </w:r>
          </w:p>
        </w:tc>
        <w:tc>
          <w:tcPr>
            <w:tcW w:type="dxa" w:w="5669"/>
            <w:shd w:fill="FFFFFF" w:val="clear"/>
          </w:tcPr>
          <w:p>
            <w:r>
              <w:rPr>
                <w:color w:val="282828"/>
                <w:sz w:val="15"/>
              </w:rPr>
              <w:t>Provisions pour risques/créances douteuses. Charge précautionnelle qui réduit le bénéfice imposable. Surveiller la tendance — hausse = dégradation du risque.</w:t>
            </w:r>
          </w:p>
        </w:tc>
      </w:tr>
      <w:tr>
        <w:tc>
          <w:tcPr>
            <w:tcW w:type="dxa" w:w="2268"/>
            <w:shd w:fill="EEF2F7" w:val="clear"/>
          </w:tcPr>
          <w:p>
            <w:r>
              <w:rPr>
                <w:b/>
                <w:color w:val="1E1E3C"/>
                <w:sz w:val="16"/>
              </w:rPr>
              <w:t>Résultat net</w:t>
            </w:r>
          </w:p>
        </w:tc>
        <w:tc>
          <w:tcPr>
            <w:tcW w:type="dxa" w:w="1984"/>
            <w:shd w:fill="FFEB9C" w:val="clear"/>
          </w:tcPr>
          <w:p>
            <w:r>
              <w:rPr>
                <w:b/>
                <w:color w:val="006400"/>
                <w:sz w:val="17"/>
              </w:rPr>
              <w:t>376.96 M FCFA</w:t>
            </w:r>
          </w:p>
        </w:tc>
        <w:tc>
          <w:tcPr>
            <w:tcW w:type="dxa" w:w="5669"/>
            <w:shd w:fill="FFFFFF" w:val="clear"/>
          </w:tcPr>
          <w:p>
            <w:r>
              <w:rPr>
                <w:color w:val="282828"/>
                <w:sz w:val="15"/>
              </w:rPr>
              <w:t>Marge nette = 4.1%.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1.328 Mds FCFA</w:t>
            </w:r>
          </w:p>
        </w:tc>
        <w:tc>
          <w:tcPr>
            <w:tcW w:type="dxa" w:w="5669"/>
            <w:shd w:fill="FFFFFF" w:val="clear"/>
          </w:tcPr>
          <w:p>
            <w:r>
              <w:rPr>
                <w:color w:val="282828"/>
                <w:sz w:val="15"/>
              </w:rPr>
              <w:t>CAF = 1.33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1.695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-1.099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-947.64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595.87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-1.740 Mds FCFA</w:t>
            </w:r>
          </w:p>
        </w:tc>
        <w:tc>
          <w:tcPr>
            <w:tcW w:type="dxa" w:w="5669"/>
            <w:shd w:fill="FFFFFF" w:val="clear"/>
          </w:tcPr>
          <w:p>
            <w:r>
              <w:rPr>
                <w:color w:val="282828"/>
                <w:sz w:val="15"/>
              </w:rPr>
              <w:t>BFR = -18.7%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-3.883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-2.143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15.88%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4.06%</w:t>
            </w:r>
          </w:p>
        </w:tc>
        <w:tc>
          <w:tcPr>
            <w:tcW w:type="dxa" w:w="5669"/>
            <w:shd w:fill="FFFFFF" w:val="clear"/>
          </w:tcPr>
          <w:p>
            <w:r>
              <w:rPr>
                <w:color w:val="282828"/>
                <w:sz w:val="15"/>
              </w:rPr>
              <w:t>Résultat net / revenus = 4.06%.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5.63%</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11.52%</w:t>
            </w:r>
          </w:p>
        </w:tc>
        <w:tc>
          <w:tcPr>
            <w:tcW w:type="dxa" w:w="5669"/>
            <w:shd w:fill="FFFFFF" w:val="clear"/>
          </w:tcPr>
          <w:p>
            <w:r>
              <w:rPr>
                <w:color w:val="282828"/>
                <w:sz w:val="15"/>
              </w:rPr>
              <w:t>Résultat net / capitaux propres = 11.52%. ✅ Satisfaisant.</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2.69%</w:t>
            </w:r>
          </w:p>
        </w:tc>
        <w:tc>
          <w:tcPr>
            <w:tcW w:type="dxa" w:w="5669"/>
            <w:shd w:fill="FFFFFF" w:val="clear"/>
          </w:tcPr>
          <w:p>
            <w:r>
              <w:rPr>
                <w:color w:val="282828"/>
                <w:sz w:val="15"/>
              </w:rPr>
              <w:t>Résultat net / total actif = 2.69% (banque: seuil &gt;1%).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66.19%</w:t>
            </w:r>
          </w:p>
        </w:tc>
        <w:tc>
          <w:tcPr>
            <w:tcW w:type="dxa" w:w="5669"/>
            <w:shd w:fill="FFFFFF" w:val="clear"/>
          </w:tcPr>
          <w:p>
            <w:r>
              <w:rPr>
                <w:color w:val="282828"/>
                <w:sz w:val="15"/>
              </w:rPr>
              <w:t>CA / total actif = 66.19x. ✅ Bonne efficience des actifs.</w:t>
            </w:r>
          </w:p>
        </w:tc>
      </w:tr>
      <w:tr>
        <w:tc>
          <w:tcPr>
            <w:tcW w:type="dxa" w:w="2268"/>
            <w:shd w:fill="EEF2F7" w:val="clear"/>
          </w:tcPr>
          <w:p>
            <w:r>
              <w:rPr>
                <w:b/>
                <w:color w:val="1E1E3C"/>
                <w:sz w:val="16"/>
              </w:rPr>
              <w:t>Coeff. d'exploitation (banque)</w:t>
            </w:r>
          </w:p>
        </w:tc>
        <w:tc>
          <w:tcPr>
            <w:tcW w:type="dxa" w:w="1984"/>
            <w:shd w:fill="FFC7CE" w:val="clear"/>
          </w:tcPr>
          <w:p>
            <w:r>
              <w:rPr>
                <w:b/>
                <w:color w:val="006400"/>
                <w:sz w:val="17"/>
              </w:rPr>
              <w:t>95.83%</w:t>
            </w:r>
          </w:p>
        </w:tc>
        <w:tc>
          <w:tcPr>
            <w:tcW w:type="dxa" w:w="5669"/>
            <w:shd w:fill="FFFFFF" w:val="clear"/>
          </w:tcPr>
          <w:p>
            <w:r>
              <w:rPr>
                <w:color w:val="282828"/>
                <w:sz w:val="15"/>
              </w:rPr>
              <w:t>Charges / PNB = 95.83% (cost-to-income). ❌ Coeff. critique — structure de coûts non viable.</w:t>
            </w:r>
          </w:p>
        </w:tc>
      </w:tr>
      <w:tr>
        <w:tc>
          <w:tcPr>
            <w:tcW w:type="dxa" w:w="2268"/>
            <w:shd w:fill="EEF2F7" w:val="clear"/>
          </w:tcPr>
          <w:p>
            <w:r>
              <w:rPr>
                <w:b/>
                <w:color w:val="1E1E3C"/>
                <w:sz w:val="16"/>
              </w:rPr>
              <w:t>Coût du risque</w:t>
            </w:r>
          </w:p>
        </w:tc>
        <w:tc>
          <w:tcPr>
            <w:tcW w:type="dxa" w:w="1984"/>
            <w:shd w:fill="FFC7CE" w:val="clear"/>
          </w:tcPr>
          <w:p>
            <w:r>
              <w:rPr>
                <w:b/>
                <w:color w:val="006400"/>
                <w:sz w:val="17"/>
              </w:rPr>
              <w:t>3.10%</w:t>
            </w:r>
          </w:p>
        </w:tc>
        <w:tc>
          <w:tcPr>
            <w:tcW w:type="dxa" w:w="5669"/>
            <w:shd w:fill="FFFFFF" w:val="clear"/>
          </w:tcPr>
          <w:p>
            <w:r>
              <w:rPr>
                <w:color w:val="282828"/>
                <w:sz w:val="15"/>
              </w:rPr>
              <w:t>Provisions / charges financières. ❌ Coût du risque élevé — dégradation significative du portefeuille.</w:t>
            </w:r>
          </w:p>
        </w:tc>
      </w:tr>
      <w:tr>
        <w:tc>
          <w:tcPr>
            <w:tcW w:type="dxa" w:w="2268"/>
            <w:shd w:fill="EEF2F7" w:val="clear"/>
          </w:tcPr>
          <w:p>
            <w:r>
              <w:rPr>
                <w:b/>
                <w:color w:val="1E1E3C"/>
                <w:sz w:val="16"/>
              </w:rPr>
              <w:t>Taux croissance PNB</w:t>
            </w:r>
          </w:p>
        </w:tc>
        <w:tc>
          <w:tcPr>
            <w:tcW w:type="dxa" w:w="1984"/>
            <w:shd w:fill="C6EFCE" w:val="clear"/>
          </w:tcPr>
          <w:p>
            <w:r>
              <w:rPr>
                <w:b/>
                <w:color w:val="006400"/>
                <w:sz w:val="17"/>
              </w:rPr>
              <w:t>9.05%</w:t>
            </w:r>
          </w:p>
        </w:tc>
        <w:tc>
          <w:tcPr>
            <w:tcW w:type="dxa" w:w="5669"/>
            <w:shd w:fill="FFFFFF" w:val="clear"/>
          </w:tcPr>
          <w:p>
            <w:r>
              <w:rPr>
                <w:color w:val="282828"/>
                <w:sz w:val="15"/>
              </w:rPr>
              <w:t>Croissance PNB vs exercice précédent = 9.05%.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23.34%</w:t>
            </w:r>
          </w:p>
        </w:tc>
        <w:tc>
          <w:tcPr>
            <w:tcW w:type="dxa" w:w="5669"/>
            <w:shd w:fill="FFFFFF" w:val="clear"/>
          </w:tcPr>
          <w:p>
            <w:r>
              <w:rPr>
                <w:color w:val="282828"/>
                <w:sz w:val="15"/>
              </w:rPr>
              <w:t>Fonds propres / total bilan = 23.34%.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76.66%</w:t>
            </w:r>
          </w:p>
        </w:tc>
        <w:tc>
          <w:tcPr>
            <w:tcW w:type="dxa" w:w="5669"/>
            <w:shd w:fill="FFFFFF" w:val="clear"/>
          </w:tcPr>
          <w:p>
            <w:r>
              <w:rPr>
                <w:color w:val="282828"/>
                <w:sz w:val="15"/>
              </w:rPr>
              <w:t>Dettes financières / total bilan = 76.66%.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80.09%</w:t>
            </w:r>
          </w:p>
        </w:tc>
        <w:tc>
          <w:tcPr>
            <w:tcW w:type="dxa" w:w="5669"/>
            <w:shd w:fill="FFFFFF" w:val="clear"/>
          </w:tcPr>
          <w:p>
            <w:r>
              <w:rPr>
                <w:color w:val="282828"/>
                <w:sz w:val="15"/>
              </w:rPr>
              <w:t>Dettes totales / fonds propres = 80.09%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130.44%</w:t>
            </w:r>
          </w:p>
        </w:tc>
        <w:tc>
          <w:tcPr>
            <w:tcW w:type="dxa" w:w="5669"/>
            <w:shd w:fill="FFFFFF" w:val="clear"/>
          </w:tcPr>
          <w:p>
            <w:r>
              <w:rPr>
                <w:color w:val="282828"/>
                <w:sz w:val="15"/>
              </w:rPr>
              <w:t>Total actif / dettes totales = 130.44x. ✅ Solvable.</w:t>
            </w:r>
          </w:p>
        </w:tc>
      </w:tr>
      <w:tr>
        <w:tc>
          <w:tcPr>
            <w:tcW w:type="dxa" w:w="2268"/>
            <w:shd w:fill="EEF2F7" w:val="clear"/>
          </w:tcPr>
          <w:p>
            <w:r>
              <w:rPr>
                <w:b/>
                <w:color w:val="1E1E3C"/>
                <w:sz w:val="16"/>
              </w:rPr>
              <w:t>Liquidité générale</w:t>
            </w:r>
          </w:p>
        </w:tc>
        <w:tc>
          <w:tcPr>
            <w:tcW w:type="dxa" w:w="1984"/>
            <w:shd w:fill="FFC7CE" w:val="clear"/>
          </w:tcPr>
          <w:p>
            <w:r>
              <w:rPr>
                <w:b/>
                <w:color w:val="006400"/>
                <w:sz w:val="17"/>
              </w:rPr>
              <w:t>61.93%</w:t>
            </w:r>
          </w:p>
        </w:tc>
        <w:tc>
          <w:tcPr>
            <w:tcW w:type="dxa" w:w="5669"/>
            <w:shd w:fill="FFFFFF" w:val="clear"/>
          </w:tcPr>
          <w:p>
            <w:r>
              <w:rPr>
                <w:color w:val="282828"/>
                <w:sz w:val="15"/>
              </w:rPr>
              <w:t>Actif circulant / passif circulant = 61.93x. ❌ Liquidité critique — incapacité probable à honorer les dettes CT.</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0.52%</w:t>
            </w:r>
          </w:p>
        </w:tc>
        <w:tc>
          <w:tcPr>
            <w:tcW w:type="dxa" w:w="5669"/>
            <w:shd w:fill="FFFFFF" w:val="clear"/>
          </w:tcPr>
          <w:p>
            <w:r>
              <w:rPr>
                <w:color w:val="282828"/>
                <w:sz w:val="15"/>
              </w:rPr>
              <w:t>Trésorerie / passif circulant = 0.52x.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36.50%</w:t>
            </w:r>
          </w:p>
        </w:tc>
        <w:tc>
          <w:tcPr>
            <w:tcW w:type="dxa" w:w="5669"/>
            <w:shd w:fill="FFFFFF" w:val="clear"/>
          </w:tcPr>
          <w:p>
            <w:r>
              <w:rPr>
                <w:color w:val="282828"/>
                <w:sz w:val="15"/>
              </w:rPr>
              <w:t>(Actif circ. - stocks) / passif circ. = 36.50x.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49.61%</w:t>
            </w:r>
          </w:p>
        </w:tc>
        <w:tc>
          <w:tcPr>
            <w:tcW w:type="dxa" w:w="5669"/>
            <w:shd w:fill="FFFFFF" w:val="clear"/>
          </w:tcPr>
          <w:p>
            <w:r>
              <w:rPr>
                <w:color w:val="282828"/>
                <w:sz w:val="15"/>
              </w:rPr>
              <w:t>Capitaux permanents / actif immobilisé = 49.61x.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2.6 ans</w:t>
            </w:r>
          </w:p>
        </w:tc>
        <w:tc>
          <w:tcPr>
            <w:tcW w:type="dxa" w:w="5669"/>
            <w:shd w:fill="FFFFFF" w:val="clear"/>
          </w:tcPr>
          <w:p>
            <w:r>
              <w:rPr>
                <w:color w:val="282828"/>
                <w:sz w:val="15"/>
              </w:rPr>
              <w:t>Dettes financières / CAF = 2.6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181.23%</w:t>
            </w:r>
          </w:p>
        </w:tc>
        <w:tc>
          <w:tcPr>
            <w:tcW w:type="dxa" w:w="5669"/>
            <w:shd w:fill="FFFFFF" w:val="clear"/>
          </w:tcPr>
          <w:p>
            <w:r>
              <w:rPr>
                <w:color w:val="282828"/>
                <w:sz w:val="15"/>
              </w:rPr>
              <w:t>Résultat exploit. / charges financières = 181.23x. ✅ Couverture satisfaisante.</w:t>
            </w:r>
          </w:p>
        </w:tc>
      </w:tr>
      <w:tr>
        <w:tc>
          <w:tcPr>
            <w:tcW w:type="dxa" w:w="2268"/>
            <w:shd w:fill="EEF2F7" w:val="clear"/>
          </w:tcPr>
          <w:p>
            <w:r>
              <w:rPr>
                <w:b/>
                <w:color w:val="1E1E3C"/>
                <w:sz w:val="16"/>
              </w:rPr>
              <w:t>Couverture invest./CAF</w:t>
            </w:r>
          </w:p>
        </w:tc>
        <w:tc>
          <w:tcPr>
            <w:tcW w:type="dxa" w:w="1984"/>
            <w:shd w:fill="FFEB9C" w:val="clear"/>
          </w:tcPr>
          <w:p>
            <w:r>
              <w:rPr>
                <w:b/>
                <w:color w:val="006400"/>
                <w:sz w:val="17"/>
              </w:rPr>
              <w:t>92.00%</w:t>
            </w:r>
          </w:p>
        </w:tc>
        <w:tc>
          <w:tcPr>
            <w:tcW w:type="dxa" w:w="5669"/>
            <w:shd w:fill="FFFFFF" w:val="clear"/>
          </w:tcPr>
          <w:p>
            <w:r>
              <w:rPr>
                <w:color w:val="282828"/>
                <w:sz w:val="15"/>
              </w:rPr>
              <w:t>CAF / investissements = 92.00x.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60.9 j</w:t>
            </w:r>
          </w:p>
        </w:tc>
        <w:tc>
          <w:tcPr>
            <w:tcW w:type="dxa" w:w="5669"/>
            <w:shd w:fill="FFFFFF" w:val="clear"/>
          </w:tcPr>
          <w:p>
            <w:r>
              <w:rPr>
                <w:color w:val="282828"/>
                <w:sz w:val="15"/>
              </w:rPr>
              <w:t>Les clients paient en moyenne en 61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213.8 j</w:t>
            </w:r>
          </w:p>
        </w:tc>
        <w:tc>
          <w:tcPr>
            <w:tcW w:type="dxa" w:w="5669"/>
            <w:shd w:fill="FFFFFF" w:val="clear"/>
          </w:tcPr>
          <w:p>
            <w:r>
              <w:rPr>
                <w:color w:val="282828"/>
                <w:sz w:val="15"/>
              </w:rPr>
              <w:t>Paiement des fournisseurs en 214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163.1 j</w:t>
            </w:r>
          </w:p>
        </w:tc>
        <w:tc>
          <w:tcPr>
            <w:tcW w:type="dxa" w:w="5669"/>
            <w:shd w:fill="FFFFFF" w:val="clear"/>
          </w:tcPr>
          <w:p>
            <w:r>
              <w:rPr>
                <w:color w:val="282828"/>
                <w:sz w:val="15"/>
              </w:rPr>
              <w:t>Stock écoulé en 163 jours. ❌ Stock quasi-bloqué — risque d'obsolescence ou de surstock.</w:t>
            </w:r>
          </w:p>
        </w:tc>
      </w:tr>
    </w:tbl>
    <w:p/>
    <w:p>
      <w:pPr>
        <w:spacing w:after="120" w:line="276" w:lineRule="auto"/>
      </w:pPr>
      <w:r>
        <w:t>Absolument. Voici un rapport d'analyse structuré et professionnel pour l'action SIVC, désormais dénommée ERIUM CI, sur le marché de la BRVM.</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20,66 milliards FCFA positionne ERIUM CI comme une valeur de taille moyenne sur la BRVM. Le BPA de 43 FCFA est faible, ce qui explique un PER de 54,8x, extrêmement élevé par rapport à la moyenne du marché qui se situe entre 8 et 12x. Les investisseurs paient donc un prix très cher pour chaque franc de bénéfice, signe d'une valorisation très exigeante. Cette prime se confirme avec un P/B de 6,31x, indiquant que le marché valorise l'actif net comptable plus de six fois sa valeur, et un EV/EBITDA de 17,2x, également supérieur au seuil de 15x considéré comme exigeant. Ces ratios suggèrent que le marché intègre des perspectives de croissance et de redressement très optimistes pour la société.</w:t>
      </w:r>
    </w:p>
    <w:p>
      <w:pPr>
        <w:spacing w:after="120" w:line="276" w:lineRule="auto"/>
      </w:pPr>
      <w:r>
        <w:t>### PARTIE 1 : ANALYSE DU COURS — STATISTIQUES ET ÉVOLUTION (100 derniers jours)</w:t>
      </w:r>
    </w:p>
    <w:p>
      <w:pPr>
        <w:spacing w:after="120" w:line="276" w:lineRule="auto"/>
      </w:pPr>
      <w:r>
        <w:t>Sur les 100 derniers jours, le titre a subi une forte correction de -19,01%, passant d'un plus haut de 3 215 FCFA à un plus bas de 1 920 FCFA, avec un cours actuel de 2 365 FCFA. La variation à J-1 est nulle, marquant une pause après ce mouvement baissier. La moyenne (2 601 FCFA) est inférieure à la médiane (2 698 FCFA), et le skewness est négatif (-0.326), ce qui confirme une distribution asymétrique avec une queue de distribution vers les valeurs basses, typique d'une tendance baissière. L'écart-type de 293 FCFA (CV=11,3%) indique une dispersion modérée des prix autour de la moyenne. Le kurtosis proche de -0.987 (mésokurtique) suggère une absence de pics de volatilité extrêmes. Enfin, avec une volatilité annualisée de 50,7%, le titre est classé comme très volatil, un niveau de risque élevé pour les investisseurs.</w:t>
      </w:r>
    </w:p>
    <w:p>
      <w:pPr>
        <w:spacing w:after="120" w:line="276" w:lineRule="auto"/>
      </w:pPr>
      <w:r>
        <w:t>### PARTIE 2 : ANALYSE TECHNIQUE DÉTAILLÉE</w:t>
      </w:r>
    </w:p>
    <w:p>
      <w:pPr>
        <w:spacing w:after="120" w:line="276" w:lineRule="auto"/>
      </w:pPr>
      <w:r>
        <w:t>**Moyennes Mobiles:** Le cours actuel (2 365 FCFA) est supérieur à la MM20 (2 305,25) mais inférieur à la MM50 (2 353,9). Cette configuration, où le cours est sous la moyenne à long terme mais au-dessus de la moyenne à court terme, est ambiguë. La décision de "Vente" est justifiée par la tendance de fond qui reste baissière, la MM50 agissant comme une résistance dynamique.</w:t>
      </w:r>
    </w:p>
    <w:p>
      <w:pPr>
        <w:spacing w:after="120" w:line="276" w:lineRule="auto"/>
      </w:pPr>
      <w:r>
        <w:t>**Bandes de Bollinger:** Le prix se situe à l'intérieur des bandes, entre la borne inférieure (2 076,12) et la borne supérieure (2 534,38). La position du cours, plus proche de la borne supérieure, suggère un rebond technique à court terme. La décision "Neutre" est cohérente, car le prix n'est pas en situation de surachat ou de survente extrême, indiquant une volatilité modérée.</w:t>
      </w:r>
    </w:p>
    <w:p>
      <w:pPr>
        <w:spacing w:after="120" w:line="276" w:lineRule="auto"/>
      </w:pPr>
      <w:r>
        <w:t>**MACD:** La valeur du MACD (14,835) est supérieure à sa ligne de signal (2,701), ce qui constitue un croisement haussier. Ce signal indique un momentum positif en train de se former, ce qui justifie la décision "Achat". Cela pourrait être le signe d'un retournement de tendance à court terme, mais il doit être confirmé par d'autres indicateurs.</w:t>
      </w:r>
    </w:p>
    <w:p>
      <w:pPr>
        <w:spacing w:after="120" w:line="276" w:lineRule="auto"/>
      </w:pPr>
      <w:r>
        <w:t>**RSI:** Avec une valeur de 75,893, le RSI est en zone de surachat (au-dessus de 70). Cela signifie que le titre a fortement monté récemment et qu'un repli technique est probable. La décision "Vente" est donc logique, car le potentiel de hausse à court terme est limité et le risque de correction augmente.</w:t>
      </w:r>
    </w:p>
    <w:p>
      <w:pPr>
        <w:spacing w:after="120" w:line="276" w:lineRule="auto"/>
      </w:pPr>
      <w:r>
        <w:t>**Stochastique:** Le %K (78,689) est inférieur au %D (82,098), indiquant un croisement baissier en zone de surachat. Ce signal suggère un essoufflement du momentum haussier. La décision "Neutre" est prudente, car bien que le croisement soit baissier, il n'est pas encore confirmé par une sortie de la zone de surachat.</w:t>
      </w:r>
    </w:p>
    <w:p>
      <w:pPr>
        <w:spacing w:after="120" w:line="276" w:lineRule="auto"/>
      </w:pPr>
      <w:r>
        <w:t>**Conclusion technique:** Les indicateurs sont mitigés. Le MACD est haussier, mais le RSI et le Stochastique sont en zone de surachat, signalant un risque de correction. Les moyennes mobiles restent baissières à moyen terme. L'ensemble suggère une phase de consolidation après un rebond, avec une prudence accrue à court terme.</w:t>
      </w:r>
    </w:p>
    <w:p>
      <w:pPr>
        <w:spacing w:after="120" w:line="276" w:lineRule="auto"/>
      </w:pPr>
      <w:r>
        <w:t>### PARTIE 3 : ANALYSE FONDAMENTALE (SECTION CRITIQUE)</w:t>
      </w:r>
    </w:p>
    <w:p>
      <w:pPr>
        <w:spacing w:after="120" w:line="276" w:lineRule="auto"/>
      </w:pPr>
      <w:r>
        <w:t>En 2024, les données structurées indiquent un PNB de 9,283 milliards FCFA, un résultat net de 376,96 millions FCFA, un ROE de 11,52% et un ROA de 2,69%. Le coefficient d'exploitation de 95,83% est très élevé, indiquant une faible efficacité opérationnelle. Le coût du risque de 3,10% est significatif, pointant un risque de crédit notable. Les rapports narratifs montrent une évolution contrastée. Le rapport annuel 2025 (analysé par DeepSeek) fait état d'un chiffre d'affaires en hausse de 8,53% à 10,07 milliards FCFA, mais d'un résultat net en chute de 52% à 179 millions FCFA, avec une marge nette dégradée à 1,78%. Cependant, le rapport du 3e trimestre 2025 (non daté) est beaucoup plus optimiste, avec un CA cumulé de 7 584,7 millions FCFA (+13%) et un résultat net de 832,5 millions FCFA (+58%), soit une marge nette de 11%. Sur la base de ce rapport trimestriel, on estime que l'exercice 2025 devrait être nettement meilleur que ce que laisse présager le rapport annuel, avec un résultat net potentiel supérieur à 1 milliard FCFA. Cette amélioration est attribuée à une bonne maîtrise des charges. La société a également changé de nom pour devenir ERIUM CI, à la suite de la cession de la participation d'Air Liquide International à ERIUM LTD. La situation financière reste fragile avec une trésorerie nette négative et un endettement élevé, mais la dynamique commerciale et l'amélioration de la rentabilité sont des signaux positifs.</w:t>
      </w:r>
    </w:p>
    <w:p>
      <w:pPr>
        <w:spacing w:after="120" w:line="276" w:lineRule="auto"/>
      </w:pPr>
      <w:r>
        <w:t>### PARTIE 4 : CONCLUSION D'INVESTISSEMENT</w:t>
      </w:r>
    </w:p>
    <w:p>
      <w:pPr>
        <w:spacing w:after="120" w:line="276" w:lineRule="auto"/>
      </w:pPr>
      <w:r>
        <w:t>La valorisation boursière est extrêmement exigeante (PER de 54,8x, P/B de 6,31x), suggérant que le marché anticipe déjà un fort redressement. Le comportement du cours est baissier sur 100 jours (-19%) avec une volatilité très élevée (50,7%), mais les statistiques montrent une distribution relativement normale. Les signaux techniques sont mitigés, avec un MACD haussier contredit par un RSI en surachat et des moyennes mobiles baissières. Les fondamentaux présentent un paradoxe : une croissance du chiffre d'affaires et une amélioration de la rentabilité au T3 2025, mais un résultat net 2024 en forte baisse et une structure financière fragile. Les prédictions IA (J+1 à J+10) anticipent une poursuite de la baisse du cours, ce qui contredit les signaux techniques de court terme. En synthèse, la convergence entre une valorisation surévaluée, une tendance technique baissière et des prédictions IA négatives l'emporte sur les signaux fondamentaux positifs à court terme. La recommandation finale est **VENTE**, avec un niveau de confiance **Moyen** et un risque global **Élevé**. L'horizon d'investissement optimal serait le **court terme (&lt;3 mois)** pour les investisseurs cherchant à arbitrer, tandis qu'il serait prudent d'attendre une meilleure visibilité sur la rentabilité future et une valorisation plus raisonnable pour un investissement à long terme.</w:t>
      </w:r>
    </w:p>
    <w:p/>
    <w:p/>
    <w:p>
      <w:pPr>
        <w:pStyle w:val="Heading3"/>
      </w:pPr>
      <w:r>
        <w:rPr>
          <w:color w:val="00467F"/>
        </w:rPr>
        <w:t>📎 DOCUMENTS &amp; COMMUNICATIONS OFFICIELS BRVM</w:t>
      </w:r>
    </w:p>
    <w:p>
      <w:r>
        <w:rPr>
          <w:i/>
          <w:color w:val="646464"/>
          <w:sz w:val="18"/>
        </w:rPr>
        <w:t>2 document(s) disponible(s) pour cette société (affichage des 2 plus récents).</w:t>
      </w:r>
    </w:p>
    <w:p>
      <w:pPr>
        <w:spacing w:before="160"/>
      </w:pPr>
      <w:r>
        <w:rPr>
          <w:b/>
          <w:color w:val="0066CC"/>
          <w:sz w:val="20"/>
        </w:rPr>
        <w:t xml:space="preserve">[1] </w:t>
      </w:r>
      <w:r>
        <w:rPr>
          <w:b/>
          <w:sz w:val="20"/>
        </w:rPr>
        <w:t>20251127   communique   changement de denomination sociale   air liquide ci</w:t>
      </w:r>
    </w:p>
    <w:p>
      <w:pPr>
        <w:spacing w:before="20"/>
        <w:ind w:left="400"/>
      </w:pPr>
      <w:r>
        <w:rPr>
          <w:color w:val="505050"/>
          <w:sz w:val="17"/>
        </w:rPr>
        <w:t xml:space="preserve">Date : 28/11/2025  |  Catégorie : communiqué divers  |  Impact : </w:t>
      </w:r>
      <w:r>
        <w:rPr>
          <w:b/>
          <w:color w:val="646464"/>
          <w:sz w:val="17"/>
        </w:rPr>
        <w:t>⚪ NEUTRE</w:t>
      </w:r>
    </w:p>
    <w:p>
      <w:pPr>
        <w:spacing w:before="40"/>
        <w:ind w:left="400"/>
      </w:pPr>
      <w:r>
        <w:rPr>
          <w:sz w:val="18"/>
        </w:rPr>
        <w:t>L'assemblée générale mixte d'AIR LIQUIDE COTE D'IVOIRE a voté le 22 juillet 2024 le changement de dénomination sociale de la société. La société devient ERIUM COTE D'IVOIRE avec une nouvelle identité visuelle. Le communiqué est signé par le Directeur Général Alexandre DUFOUR.</w:t>
      </w:r>
    </w:p>
    <w:p>
      <w:pPr>
        <w:spacing w:before="60"/>
        <w:ind w:left="400"/>
      </w:pPr>
      <w:r>
        <w:rPr>
          <w:b/>
          <w:sz w:val="18"/>
        </w:rPr>
        <w:t>Points clés :</w:t>
      </w:r>
    </w:p>
    <w:p>
      <w:pPr>
        <w:pStyle w:val="ListBullet"/>
        <w:spacing w:before="20" w:after="20"/>
        <w:ind w:left="700"/>
      </w:pPr>
      <w:r>
        <w:rPr>
          <w:sz w:val="18"/>
        </w:rPr>
        <w:t>Changement de dénomination sociale d'AIR LIQUIDE COTE D'IVOIRE vers ERIUM COTE D'IVOIRE</w:t>
      </w:r>
    </w:p>
    <w:p>
      <w:pPr>
        <w:pStyle w:val="ListBullet"/>
        <w:spacing w:before="20" w:after="20"/>
        <w:ind w:left="700"/>
      </w:pPr>
      <w:r>
        <w:rPr>
          <w:sz w:val="18"/>
        </w:rPr>
        <w:t>Vote à quasi-unanimité lors de l'assemblée générale mixte du 22 juillet 2024</w:t>
      </w:r>
    </w:p>
    <w:p>
      <w:pPr>
        <w:pStyle w:val="ListBullet"/>
        <w:spacing w:before="20" w:after="20"/>
        <w:ind w:left="700"/>
      </w:pPr>
      <w:r>
        <w:rPr>
          <w:sz w:val="18"/>
        </w:rPr>
        <w:t>Adoption d'une nouvelle identité visuelle avec le logo Erium</w:t>
      </w:r>
    </w:p>
    <w:p>
      <w:pPr>
        <w:pStyle w:val="ListBullet"/>
        <w:spacing w:before="20" w:after="20"/>
        <w:ind w:left="700"/>
      </w:pPr>
      <w:r>
        <w:rPr>
          <w:sz w:val="18"/>
        </w:rPr>
        <w:t>Capital social de 873 400 000 F.CFA maintenu</w:t>
      </w:r>
    </w:p>
    <w:p>
      <w:pPr>
        <w:pStyle w:val="ListBullet"/>
        <w:spacing w:before="20" w:after="20"/>
        <w:ind w:left="700"/>
      </w:pPr>
      <w:r>
        <w:rPr>
          <w:sz w:val="18"/>
        </w:rPr>
        <w:t>Alexandre DUFOUR confirmé comme Directeur Général</w:t>
      </w:r>
    </w:p>
    <w:p>
      <w:pPr>
        <w:ind w:left="400"/>
      </w:pPr>
      <w:r>
        <w:rPr>
          <w:color w:val="B4B4B4"/>
          <w:sz w:val="14"/>
        </w:rPr>
        <w:t xml:space="preserve">· · · · · · · · · · · · · · · · · · · · · · · · · · · · · · </w:t>
      </w:r>
    </w:p>
    <w:p>
      <w:pPr>
        <w:spacing w:before="160"/>
      </w:pPr>
      <w:r>
        <w:rPr>
          <w:b/>
          <w:color w:val="0066CC"/>
          <w:sz w:val="20"/>
        </w:rPr>
        <w:t xml:space="preserve">[2] </w:t>
      </w:r>
      <w:r>
        <w:rPr>
          <w:b/>
          <w:sz w:val="20"/>
        </w:rPr>
        <w:t>20251121   communique   franchissement de seuil par air liquide international</w:t>
      </w:r>
    </w:p>
    <w:p>
      <w:pPr>
        <w:spacing w:before="20"/>
        <w:ind w:left="400"/>
      </w:pPr>
      <w:r>
        <w:rPr>
          <w:color w:val="505050"/>
          <w:sz w:val="17"/>
        </w:rPr>
        <w:t xml:space="preserve">Date : 22/11/2025  |  Catégorie : avis de marché  |  Impact : </w:t>
      </w:r>
      <w:r>
        <w:rPr>
          <w:b/>
          <w:color w:val="646464"/>
          <w:sz w:val="17"/>
        </w:rPr>
        <w:t>⚪ NEUTRE</w:t>
      </w:r>
    </w:p>
    <w:p>
      <w:pPr>
        <w:spacing w:before="40"/>
        <w:ind w:left="400"/>
      </w:pPr>
      <w:r>
        <w:rPr>
          <w:sz w:val="18"/>
        </w:rPr>
        <w:t>Air Liquide International déclare un franchissement de seuil à la baisse dans le capital d'Air Liquide Côte d'Ivoire, passant de 72,08% à 0% du capital. Cette opération résulte d'une vente de 6 295 350 actions à ERIUM LTD au cours de 230 FCFA le 21 novembre 2025. La société mère française cède ainsi la totalité de sa participation majoritaire dans la filiale ivoirienne.</w:t>
      </w:r>
    </w:p>
    <w:p>
      <w:pPr>
        <w:spacing w:before="60"/>
        <w:ind w:left="400"/>
      </w:pPr>
      <w:r>
        <w:rPr>
          <w:b/>
          <w:sz w:val="18"/>
        </w:rPr>
        <w:t>Points clés :</w:t>
      </w:r>
    </w:p>
    <w:p>
      <w:pPr>
        <w:pStyle w:val="ListBullet"/>
        <w:spacing w:before="20" w:after="20"/>
        <w:ind w:left="700"/>
      </w:pPr>
      <w:r>
        <w:rPr>
          <w:sz w:val="18"/>
        </w:rPr>
        <w:t>Franchissement de seuil à la baisse de 66,66% par Air Liquide International</w:t>
      </w:r>
    </w:p>
    <w:p>
      <w:pPr>
        <w:pStyle w:val="ListBullet"/>
        <w:spacing w:before="20" w:after="20"/>
        <w:ind w:left="700"/>
      </w:pPr>
      <w:r>
        <w:rPr>
          <w:sz w:val="18"/>
        </w:rPr>
        <w:t>Cession complète de la participation : de 72,08% (6 295 350 actions) à 0%</w:t>
      </w:r>
    </w:p>
    <w:p>
      <w:pPr>
        <w:pStyle w:val="ListBullet"/>
        <w:spacing w:before="20" w:after="20"/>
        <w:ind w:left="700"/>
      </w:pPr>
      <w:r>
        <w:rPr>
          <w:sz w:val="18"/>
        </w:rPr>
        <w:t>Acheteur identifié : ERIUM LTD au cours de 230 FCFA par action</w:t>
      </w:r>
    </w:p>
    <w:p>
      <w:pPr>
        <w:pStyle w:val="ListBullet"/>
        <w:spacing w:before="20" w:after="20"/>
        <w:ind w:left="700"/>
      </w:pPr>
      <w:r>
        <w:rPr>
          <w:sz w:val="18"/>
        </w:rPr>
        <w:t>Opération réalisée le 21 novembre 2025</w:t>
      </w:r>
    </w:p>
    <w:p>
      <w:pPr>
        <w:pStyle w:val="ListBullet"/>
        <w:spacing w:before="20" w:after="20"/>
        <w:ind w:left="700"/>
      </w:pPr>
      <w:r>
        <w:rPr>
          <w:sz w:val="18"/>
        </w:rPr>
        <w:t>Air Liquide International agit seule, sans concert avec d'autres investisseurs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 chiffre d'affaires progresse, mais la rentabilit\u00e9 nette et les capitaux propres se d\u00e9gradent, tandis que l'endettement augmente. En l'absence d'\u00e9l\u00e9ments de valorisation, il est prudent de conserver la ligne en surveillant l'\u00e9volution de la structure financi\u00e8re."}</w:t>
      </w:r>
    </w:p>
    <w:p>
      <w:pPr>
        <w:spacing w:before="40"/>
        <w:ind w:left="400"/>
      </w:pPr>
      <w:r>
        <w:rPr>
          <w:sz w:val="18"/>
        </w:rPr>
        <w:t>ERIUM CI (Côte d'Ivoire) affiche un chiffre d'affaires en hausse à 10,07 milliards FCFA, mais son résultat net chute de 52% à 179 millions FCFA. La marge nette se dégrade à 1,78%, pénalisée par des charges financières et des éléments hors activités ordinaires défavorables. Le total du bilan atteint 14,61 milliards FCFA, tandis que les capitaux propres diminuent à 2,53 milliards FCFA. L'endettement financier augmente fortement et la trésorerie nette reste négative. La situation financière de l'entreprise est fragilisée malgré une croissance de l'activité.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'-1 660 766 276 FCFA', 'resultat_financier': '-313 968 929 FCFA', 'endettement_financier': '4 164 342 386 FCFA', 'resultat_exploitation': '866 372 202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1.78%</w:t>
            </w:r>
          </w:p>
        </w:tc>
        <w:tc>
          <w:tcPr>
            <w:tcW w:type="dxa" w:w="2160"/>
          </w:tcPr>
          <w:p>
            <w:pPr>
              <w:ind w:left="100"/>
            </w:pPr>
            <w:r/>
            <w:r>
              <w:rPr>
                <w:b/>
                <w:sz w:val="16"/>
              </w:rPr>
              <w:t>total_actif</w:t>
              <w:br/>
            </w:r>
            <w:r>
              <w:rPr>
                <w:sz w:val="18"/>
              </w:rPr>
              <w:t>14 611 080 094 FCFA</w:t>
            </w:r>
          </w:p>
        </w:tc>
      </w:tr>
      <w:tr>
        <w:tc>
          <w:tcPr>
            <w:tcW w:type="dxa" w:w="2160"/>
          </w:tcPr>
          <w:p>
            <w:r/>
            <w:r>
              <w:rPr>
                <w:b/>
                <w:sz w:val="16"/>
              </w:rPr>
              <w:t>resultat_net</w:t>
              <w:br/>
            </w:r>
            <w:r>
              <w:rPr>
                <w:sz w:val="18"/>
              </w:rPr>
              <w:t>179 293 282 FCFA</w:t>
            </w:r>
          </w:p>
        </w:tc>
        <w:tc>
          <w:tcPr>
            <w:tcW w:type="dxa" w:w="2160"/>
          </w:tcPr>
          <w:p>
            <w:r/>
            <w:r>
              <w:rPr>
                <w:b/>
                <w:sz w:val="16"/>
              </w:rPr>
              <w:t>capitaux_propres</w:t>
              <w:br/>
            </w:r>
            <w:r>
              <w:rPr>
                <w:sz w:val="18"/>
              </w:rPr>
              <w:t>2 526 541 669 FCFA</w:t>
            </w:r>
          </w:p>
        </w:tc>
        <w:tc>
          <w:tcPr>
            <w:tcW w:type="dxa" w:w="2160"/>
          </w:tcPr>
          <w:p>
            <w:r/>
            <w:r>
              <w:rPr>
                <w:b/>
                <w:sz w:val="16"/>
              </w:rPr>
              <w:t>chiffre_affaires</w:t>
              <w:br/>
            </w:r>
            <w:r>
              <w:rPr>
                <w:sz w:val="18"/>
              </w:rPr>
              <w:t>10 074 573 973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8,5% à 10,07 milliards FCFA.</w:t>
      </w:r>
    </w:p>
    <w:p>
      <w:pPr>
        <w:pStyle w:val="ListBullet"/>
        <w:spacing w:before="20" w:after="20"/>
        <w:ind w:left="700"/>
      </w:pPr>
      <w:r>
        <w:rPr>
          <w:sz w:val="18"/>
        </w:rPr>
        <w:t>Résultat net divisé par plus de deux à 179,3 millions FCFA.</w:t>
      </w:r>
    </w:p>
    <w:p>
      <w:pPr>
        <w:pStyle w:val="ListBullet"/>
        <w:spacing w:before="20" w:after="20"/>
        <w:ind w:left="700"/>
      </w:pPr>
      <w:r>
        <w:rPr>
          <w:sz w:val="18"/>
        </w:rPr>
        <w:t>Marge nette tombe à environ 1,78%.</w:t>
      </w:r>
    </w:p>
    <w:p>
      <w:pPr>
        <w:pStyle w:val="ListBullet"/>
        <w:spacing w:before="20" w:after="20"/>
        <w:ind w:left="700"/>
      </w:pPr>
      <w:r>
        <w:rPr>
          <w:sz w:val="18"/>
        </w:rPr>
        <w:t>Total du bilan en légère hausse à 14,61 milliards FCFA.</w:t>
      </w:r>
    </w:p>
    <w:p>
      <w:pPr>
        <w:pStyle w:val="ListBullet"/>
        <w:spacing w:before="20" w:after="20"/>
        <w:ind w:left="700"/>
      </w:pPr>
      <w:r>
        <w:rPr>
          <w:sz w:val="18"/>
        </w:rPr>
        <w:t>Capitaux propres en baisse de 22,8% à 2,53 milliards FCFA.</w:t>
      </w:r>
    </w:p>
    <w:p>
      <w:pPr>
        <w:pStyle w:val="ListBullet"/>
        <w:spacing w:before="20" w:after="20"/>
        <w:ind w:left="700"/>
      </w:pPr>
      <w:r>
        <w:rPr>
          <w:sz w:val="18"/>
        </w:rPr>
        <w:t>Endettement financier en forte augmentation à 4,16 milliards FCFA.</w:t>
      </w:r>
    </w:p>
    <w:p>
      <w:pPr>
        <w:spacing w:before="40"/>
        <w:ind w:left="400"/>
      </w:pPr>
      <w:r>
        <w:rPr>
          <w:b/>
          <w:color w:val="C05000"/>
          <w:sz w:val="18"/>
        </w:rPr>
        <w:t xml:space="preserve">⚠️ Risques : </w:t>
      </w:r>
      <w:r>
        <w:rPr>
          <w:sz w:val="18"/>
        </w:rPr>
        <w:t>["Poursuite de la baisse du r\u00e9sultat net et de la marge nette", "Niveau d'endettement \u00e9lev\u00e9 et capitaux propres en diminution", "Tr\u00e9sorerie nette n\u00e9gative pouvant n\u00e9cessiter un financement suppl\u00e9mentaire"]</w:t>
      </w:r>
    </w:p>
    <w:p>
      <w:pPr>
        <w:spacing w:before="40"/>
        <w:ind w:left="400"/>
      </w:pPr>
      <w:r>
        <w:rPr>
          <w:b/>
          <w:color w:val="0064A0"/>
          <w:sz w:val="18"/>
        </w:rPr>
        <w:t xml:space="preserve">🔮 Perspectives : </w:t>
      </w:r>
      <w:r>
        <w:rPr>
          <w:sz w:val="18"/>
        </w:rPr>
        <w:t>Pour l'exercice 2026, la société devra se concentrer sur l'amélioration de sa rentabilité opérationnelle et la maîtrise de ses charges. La croissance du chiffre d'affaires, si elle se maintient, pourrait soutenir l'activité, mais la réduction de l'endettement sera essentielle pour restaurer l'équili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 trajectoire d'am\u00e9lioration est positive avec une r\u00e9duction significative des pertes et une croissance du CA. Cependant, la soci\u00e9t\u00e9 reste d\u00e9ficitaire et \u00e9volue dans un contexte sanitaire difficile n\u00e9cessitant prudence."}</w:t>
      </w:r>
    </w:p>
    <w:p>
      <w:pPr>
        <w:spacing w:before="40"/>
        <w:ind w:left="400"/>
      </w:pPr>
      <w:r>
        <w:rPr>
          <w:sz w:val="18"/>
        </w:rPr>
        <w:t>Air Liquide Côte d'Ivoire présente des résultats encourageants au premier trimestre 2020 avec une croissance du chiffre d'affaires de 3,7%. La société affiche une amélioration significative de son résultat net qui passe de -238 millions FCFA à -84 millions FCFA, soit une réduction des pertes de 65%. Cette amélioration s'explique par une baisse des charges totales de 7,85%, notamment grâce à la réduction des charges de personnel et des loyers. L'activité gaz connaît une dynamique positive malgré un contexte économique difficile. La société maintient une stratégie de conquête de nouveaux marchés tout en poursuivant sa politique de réduction des coûts.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'873,4 millions FCFA', 'autres_produits': '275,456 millions FCFA', 'charges_totales': '2,119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-84,337 millions FCFA (T1 2020)</w:t>
            </w:r>
          </w:p>
        </w:tc>
        <w:tc>
          <w:tcPr>
            <w:tcW w:type="dxa" w:w="2160"/>
          </w:tcPr>
          <w:p>
            <w:r/>
            <w:r>
              <w:rPr>
                <w:b/>
                <w:sz w:val="16"/>
              </w:rPr>
              <w:t>capitaux_propres</w:t>
              <w:br/>
            </w:r>
            <w:r>
              <w:rPr>
                <w:sz w:val="18"/>
              </w:rPr>
              <w:t>None</w:t>
            </w:r>
          </w:p>
        </w:tc>
        <w:tc>
          <w:tcPr>
            <w:tcW w:type="dxa" w:w="2160"/>
          </w:tcPr>
          <w:p>
            <w:r/>
            <w:r>
              <w:rPr>
                <w:b/>
                <w:sz w:val="16"/>
              </w:rPr>
              <w:t>chiffre_affaires</w:t>
              <w:br/>
            </w:r>
            <w:r>
              <w:rPr>
                <w:sz w:val="18"/>
              </w:rPr>
              <w:t>1,759 milliards FCFA (T1 2020)</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+3,7% à 1,76 milliards FCFA au T1 2020</w:t>
      </w:r>
    </w:p>
    <w:p>
      <w:pPr>
        <w:pStyle w:val="ListBullet"/>
        <w:spacing w:before="20" w:after="20"/>
        <w:ind w:left="700"/>
      </w:pPr>
      <w:r>
        <w:rPr>
          <w:sz w:val="18"/>
        </w:rPr>
        <w:t>Amélioration du résultat net de +64,59%, réduisant les pertes de 154 millions FCFA</w:t>
      </w:r>
    </w:p>
    <w:p>
      <w:pPr>
        <w:pStyle w:val="ListBullet"/>
        <w:spacing w:before="20" w:after="20"/>
        <w:ind w:left="700"/>
      </w:pPr>
      <w:r>
        <w:rPr>
          <w:sz w:val="18"/>
        </w:rPr>
        <w:t>Baisse significative des charges totales de -7,85% à 2,12 milliards FCFA</w:t>
      </w:r>
    </w:p>
    <w:p>
      <w:pPr>
        <w:pStyle w:val="ListBullet"/>
        <w:spacing w:before="20" w:after="20"/>
        <w:ind w:left="700"/>
      </w:pPr>
      <w:r>
        <w:rPr>
          <w:sz w:val="18"/>
        </w:rPr>
        <w:t>Performance portée par l'amélioration de l'activité gaz</w:t>
      </w:r>
    </w:p>
    <w:p>
      <w:pPr>
        <w:pStyle w:val="ListBullet"/>
        <w:spacing w:before="20" w:after="20"/>
        <w:ind w:left="700"/>
      </w:pPr>
      <w:r>
        <w:rPr>
          <w:sz w:val="18"/>
        </w:rPr>
        <w:t>Réduction des coûts structurels : charges de personnel et loyers</w:t>
      </w:r>
    </w:p>
    <w:p>
      <w:pPr>
        <w:pStyle w:val="ListBullet"/>
        <w:spacing w:before="20" w:after="20"/>
        <w:ind w:left="700"/>
      </w:pPr>
      <w:r>
        <w:rPr>
          <w:sz w:val="18"/>
        </w:rPr>
        <w:t>Diminution des provisions clients contribuant à l'amélioration du résultat</w:t>
      </w:r>
    </w:p>
    <w:p>
      <w:pPr>
        <w:spacing w:before="40"/>
        <w:ind w:left="400"/>
      </w:pPr>
      <w:r>
        <w:rPr>
          <w:b/>
          <w:color w:val="C05000"/>
          <w:sz w:val="18"/>
        </w:rPr>
        <w:t xml:space="preserve">⚠️ Risques : </w:t>
      </w:r>
      <w:r>
        <w:rPr>
          <w:sz w:val="18"/>
        </w:rPr>
        <w:t>["Impact de la crise sanitaire COVID-19 sur l'activit\u00e9 \u00e9conomique", "Persistance des pertes malgr\u00e9 l'am\u00e9lioration des r\u00e9sultats", "D\u00e9pendance \u00e0 l'activit\u00e9 industrielle locale dans un contexte \u00e9conomique incertain"]</w:t>
      </w:r>
    </w:p>
    <w:p>
      <w:pPr>
        <w:spacing w:before="40"/>
        <w:ind w:left="400"/>
      </w:pPr>
      <w:r>
        <w:rPr>
          <w:b/>
          <w:color w:val="0064A0"/>
          <w:sz w:val="18"/>
        </w:rPr>
        <w:t xml:space="preserve">🔮 Perspectives : </w:t>
      </w:r>
      <w:r>
        <w:rPr>
          <w:sz w:val="18"/>
        </w:rPr>
        <w:t>La société affiche un optimisme prudent pour le second trimestre avec des perspectives qualifiées de bonnes. L'accent sera mis sur la conquête de nouvelles parts de marché tout en poursuivant la politique de réduction des coûts de manière pérenne. Le contexte de crise sanitaire reste néanmoins un dé</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les difficult\u00e9s op\u00e9rationnelles, l'am\u00e9lioration du r\u00e9sultat net et la capacit\u00e9 d'autofinancement positive sugg\u00e8rent une stabilisation. La position de leader sur le march\u00e9 des gaz industriels justifie une approche prudente."}</w:t>
      </w:r>
    </w:p>
    <w:p>
      <w:pPr>
        <w:spacing w:before="40"/>
        <w:ind w:left="400"/>
      </w:pPr>
      <w:r>
        <w:rPr>
          <w:sz w:val="18"/>
        </w:rPr>
        <w:t>Air Liquide Côte d'Ivoire affiche une performance mitigée en 2019 avec un chiffre d'affaires de 7,17 milliards FCFA en baisse de 3,7% par rapport à 2018. La société enregistre une perte nette de 26,5 millions FCFA, nettement inférieure à celle de 2018 (81,8 millions FCFA), témoignant d'une amélioration significative. L'excédent brut d'exploitation devient négatif à -504 millions FCFA contre +624 millions en 2018, révélant des difficultés opérationnelles. La trésorerie reste négative mais s'améliore légèrement. Malgré les défis, la société maintient sa structure financière avec un capital stable de 873,4 millions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'2 512 008 000 FCFA', 'capacite_autofinancement': '206 083 792 FCFA', 'excedent_brut_exploitation': '-504 310 759 FCFA'}</w:t>
            </w:r>
          </w:p>
        </w:tc>
        <w:tc>
          <w:tcPr>
            <w:tcW w:type="dxa" w:w="2160"/>
          </w:tcPr>
          <w:p>
            <w:pPr>
              <w:ind w:left="100"/>
            </w:pPr>
            <w:r/>
            <w:r>
              <w:rPr>
                <w:b/>
                <w:sz w:val="16"/>
              </w:rPr>
              <w:t>dividende</w:t>
              <w:br/>
            </w:r>
            <w:r>
              <w:rPr>
                <w:sz w:val="18"/>
              </w:rPr>
              <w:t>0 FCFA</w:t>
            </w:r>
          </w:p>
        </w:tc>
        <w:tc>
          <w:tcPr>
            <w:tcW w:type="dxa" w:w="2160"/>
          </w:tcPr>
          <w:p>
            <w:pPr>
              <w:ind w:left="100"/>
            </w:pPr>
            <w:r/>
            <w:r>
              <w:rPr>
                <w:b/>
                <w:sz w:val="16"/>
              </w:rPr>
              <w:t>marge_nette</w:t>
              <w:br/>
            </w:r>
            <w:r>
              <w:rPr>
                <w:sz w:val="18"/>
              </w:rPr>
              <w:t>-0,37%</w:t>
            </w:r>
          </w:p>
        </w:tc>
        <w:tc>
          <w:tcPr>
            <w:tcW w:type="dxa" w:w="2160"/>
          </w:tcPr>
          <w:p>
            <w:pPr>
              <w:ind w:left="100"/>
            </w:pPr>
            <w:r/>
            <w:r>
              <w:rPr>
                <w:b/>
                <w:sz w:val="16"/>
              </w:rPr>
              <w:t>total_actif</w:t>
              <w:br/>
            </w:r>
            <w:r>
              <w:rPr>
                <w:sz w:val="18"/>
              </w:rPr>
              <w:t>17 351 927 849 FCFA</w:t>
            </w:r>
          </w:p>
        </w:tc>
      </w:tr>
      <w:tr>
        <w:tc>
          <w:tcPr>
            <w:tcW w:type="dxa" w:w="2160"/>
          </w:tcPr>
          <w:p>
            <w:r/>
            <w:r>
              <w:rPr>
                <w:b/>
                <w:sz w:val="16"/>
              </w:rPr>
              <w:t>resultat_net</w:t>
              <w:br/>
            </w:r>
            <w:r>
              <w:rPr>
                <w:sz w:val="18"/>
              </w:rPr>
              <w:t>-26 523 307 FCFA</w:t>
            </w:r>
          </w:p>
        </w:tc>
        <w:tc>
          <w:tcPr>
            <w:tcW w:type="dxa" w:w="2160"/>
          </w:tcPr>
          <w:p>
            <w:r/>
            <w:r>
              <w:rPr>
                <w:b/>
                <w:sz w:val="16"/>
              </w:rPr>
              <w:t>capitaux_propres</w:t>
              <w:br/>
            </w:r>
            <w:r>
              <w:rPr>
                <w:sz w:val="18"/>
              </w:rPr>
              <w:t>1 515 889 199 FCFA</w:t>
            </w:r>
          </w:p>
        </w:tc>
        <w:tc>
          <w:tcPr>
            <w:tcW w:type="dxa" w:w="2160"/>
          </w:tcPr>
          <w:p>
            <w:r/>
            <w:r>
              <w:rPr>
                <w:b/>
                <w:sz w:val="16"/>
              </w:rPr>
              <w:t>chiffre_affaires</w:t>
              <w:br/>
            </w:r>
            <w:r>
              <w:rPr>
                <w:sz w:val="18"/>
              </w:rPr>
              <w:t>7 170 432 956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3,7% à 7,17 milliards FCFA en 2019</w:t>
      </w:r>
    </w:p>
    <w:p>
      <w:pPr>
        <w:pStyle w:val="ListBullet"/>
        <w:spacing w:before="20" w:after="20"/>
        <w:ind w:left="700"/>
      </w:pPr>
      <w:r>
        <w:rPr>
          <w:sz w:val="18"/>
        </w:rPr>
        <w:t>Amélioration du résultat net : perte réduite de 81,8M à 26,5M FCFA</w:t>
      </w:r>
    </w:p>
    <w:p>
      <w:pPr>
        <w:pStyle w:val="ListBullet"/>
        <w:spacing w:before="20" w:after="20"/>
        <w:ind w:left="700"/>
      </w:pPr>
      <w:r>
        <w:rPr>
          <w:sz w:val="18"/>
        </w:rPr>
        <w:t>Excédent brut d'exploitation négatif de -504M FCFA (vs +624M en 2018)</w:t>
      </w:r>
    </w:p>
    <w:p>
      <w:pPr>
        <w:pStyle w:val="ListBullet"/>
        <w:spacing w:before="20" w:after="20"/>
        <w:ind w:left="700"/>
      </w:pPr>
      <w:r>
        <w:rPr>
          <w:sz w:val="18"/>
        </w:rPr>
        <w:t>Augmentation significative des charges de personnel (+37% à 3,02 milliards)</w:t>
      </w:r>
    </w:p>
    <w:p>
      <w:pPr>
        <w:pStyle w:val="ListBullet"/>
        <w:spacing w:before="20" w:after="20"/>
        <w:ind w:left="700"/>
      </w:pPr>
      <w:r>
        <w:rPr>
          <w:sz w:val="18"/>
        </w:rPr>
        <w:t>Trésorerie nette négative mais en amélioration (-1,89 milliard vs -1,77 milliard)</w:t>
      </w:r>
    </w:p>
    <w:p>
      <w:pPr>
        <w:pStyle w:val="ListBullet"/>
        <w:spacing w:before="20" w:after="20"/>
        <w:ind w:left="700"/>
      </w:pPr>
      <w:r>
        <w:rPr>
          <w:sz w:val="18"/>
        </w:rPr>
        <w:t>Total actif en baisse de 3,8% à 17,35 milliards FCFA</w:t>
      </w:r>
    </w:p>
    <w:p>
      <w:pPr>
        <w:spacing w:before="40"/>
        <w:ind w:left="400"/>
      </w:pPr>
      <w:r>
        <w:rPr>
          <w:b/>
          <w:color w:val="C05000"/>
          <w:sz w:val="18"/>
        </w:rPr>
        <w:t xml:space="preserve">⚠️ Risques : </w:t>
      </w:r>
      <w:r>
        <w:rPr>
          <w:sz w:val="18"/>
        </w:rPr>
        <w:t>["Exc\u00e9dent brut d'exploitation n\u00e9gatif indiquant des difficult\u00e9s op\u00e9rationnelles majeures", "Tr\u00e9sorerie nette n\u00e9gative persistante cr\u00e9ant des tensions de liquidit\u00e9", "Forte augmentation des charges de personnel impactant la rentabilit\u00e9"]</w:t>
      </w:r>
    </w:p>
    <w:p>
      <w:pPr>
        <w:spacing w:before="40"/>
        <w:ind w:left="400"/>
      </w:pPr>
      <w:r>
        <w:rPr>
          <w:b/>
          <w:color w:val="0064A0"/>
          <w:sz w:val="18"/>
        </w:rPr>
        <w:t xml:space="preserve">🔮 Perspectives : </w:t>
      </w:r>
      <w:r>
        <w:rPr>
          <w:sz w:val="18"/>
        </w:rPr>
        <w:t>La société devrait poursuivre ses efforts d'amélioration opérationnelle pour retrouver un EBE positif. Le maintien de la capacité d'autofinancement positive et la réduction des pertes laissent entrevoir une possible stabilisation des performances en 2020.</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des r\u00e9sultats encore d\u00e9ficitaires, l'am\u00e9lioration significative du r\u00e9sultat net et la stabilit\u00e9 des capitaux propres t\u00e9moignent d'une trajectoire de redressement. La position de leader sur le march\u00e9 des gaz industriels en C\u00f4te d'Ivoire offre des perspectives de retour \u00e0 la profitabilit\u00e9."}</w:t>
      </w:r>
    </w:p>
    <w:p>
      <w:pPr>
        <w:spacing w:before="40"/>
        <w:ind w:left="400"/>
      </w:pPr>
      <w:r>
        <w:rPr>
          <w:sz w:val="18"/>
        </w:rPr>
        <w:t>Air Liquide Côte d'Ivoire présente des résultats contrastés en 2019 avec un chiffre d'affaires en baisse de 7,4 millions FCFA par rapport à 2018. La société maintient néanmoins sa rentabilité avec un résultat net de -26,5 millions FCFA contre -81,8 millions en 2018, marquant une amélioration significative. Les capitaux propres restent stables autour de 1,985 milliard FCFA. L'activité principale reste centrée sur les gaz industriels avec des investissements soutenus dans l'outil de production. La trésorerie nette s'améliore légèrement malgré un contexte économique difficile.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'333 millions FCFA', 'immobilisations': '1 746 millions FCFA', 'dettes_financieres': '1 221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-0,36%</w:t>
            </w:r>
          </w:p>
        </w:tc>
        <w:tc>
          <w:tcPr>
            <w:tcW w:type="dxa" w:w="2160"/>
          </w:tcPr>
          <w:p>
            <w:pPr>
              <w:ind w:left="100"/>
            </w:pPr>
            <w:r/>
            <w:r>
              <w:rPr>
                <w:b/>
                <w:sz w:val="16"/>
              </w:rPr>
              <w:t>total_actif</w:t>
              <w:br/>
            </w:r>
            <w:r>
              <w:rPr>
                <w:sz w:val="18"/>
              </w:rPr>
              <w:t>4 824 millions FCFA</w:t>
            </w:r>
          </w:p>
        </w:tc>
      </w:tr>
      <w:tr>
        <w:tc>
          <w:tcPr>
            <w:tcW w:type="dxa" w:w="2160"/>
          </w:tcPr>
          <w:p>
            <w:r/>
            <w:r>
              <w:rPr>
                <w:b/>
                <w:sz w:val="16"/>
              </w:rPr>
              <w:t>resultat_net</w:t>
              <w:br/>
            </w:r>
            <w:r>
              <w:rPr>
                <w:sz w:val="18"/>
              </w:rPr>
              <w:t>-26,5 millions FCFA</w:t>
            </w:r>
          </w:p>
        </w:tc>
        <w:tc>
          <w:tcPr>
            <w:tcW w:type="dxa" w:w="2160"/>
          </w:tcPr>
          <w:p>
            <w:r/>
            <w:r>
              <w:rPr>
                <w:b/>
                <w:sz w:val="16"/>
              </w:rPr>
              <w:t>capitaux_propres</w:t>
              <w:br/>
            </w:r>
            <w:r>
              <w:rPr>
                <w:sz w:val="18"/>
              </w:rPr>
              <w:t>1 985 millions FCFA</w:t>
            </w:r>
          </w:p>
        </w:tc>
        <w:tc>
          <w:tcPr>
            <w:tcW w:type="dxa" w:w="2160"/>
          </w:tcPr>
          <w:p>
            <w:r/>
            <w:r>
              <w:rPr>
                <w:b/>
                <w:sz w:val="16"/>
              </w:rPr>
              <w:t>chiffre_affaires</w:t>
              <w:br/>
            </w:r>
            <w:r>
              <w:rPr>
                <w:sz w:val="18"/>
              </w:rPr>
              <w:t>7 446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7 446 millions FCFA en 2019 contre 7 710 millions en 2018, soit une baisse de 3,4%</w:t>
      </w:r>
    </w:p>
    <w:p>
      <w:pPr>
        <w:pStyle w:val="ListBullet"/>
        <w:spacing w:before="20" w:after="20"/>
        <w:ind w:left="700"/>
      </w:pPr>
      <w:r>
        <w:rPr>
          <w:sz w:val="18"/>
        </w:rPr>
        <w:t>Amélioration du résultat net qui passe de -81,8 millions FCFA en 2018 à -26,5 millions FCFA en 2019</w:t>
      </w:r>
    </w:p>
    <w:p>
      <w:pPr>
        <w:pStyle w:val="ListBullet"/>
        <w:spacing w:before="20" w:after="20"/>
        <w:ind w:left="700"/>
      </w:pPr>
      <w:r>
        <w:rPr>
          <w:sz w:val="18"/>
        </w:rPr>
        <w:t>Capitaux propres stables à 1 985 millions FCFA témoignant de la solidité financière</w:t>
      </w:r>
    </w:p>
    <w:p>
      <w:pPr>
        <w:pStyle w:val="ListBullet"/>
        <w:spacing w:before="20" w:after="20"/>
        <w:ind w:left="700"/>
      </w:pPr>
      <w:r>
        <w:rPr>
          <w:sz w:val="18"/>
        </w:rPr>
        <w:t>Total actif de 4 824 millions FCFA en légère baisse par rapport aux 4 836 millions de 2018</w:t>
      </w:r>
    </w:p>
    <w:p>
      <w:pPr>
        <w:pStyle w:val="ListBullet"/>
        <w:spacing w:before="20" w:after="20"/>
        <w:ind w:left="700"/>
      </w:pPr>
      <w:r>
        <w:rPr>
          <w:sz w:val="18"/>
        </w:rPr>
        <w:t>Activité concentrée sur la production et distribution de gaz industriels et médicaux</w:t>
      </w:r>
    </w:p>
    <w:p>
      <w:pPr>
        <w:pStyle w:val="ListBullet"/>
        <w:spacing w:before="20" w:after="20"/>
        <w:ind w:left="700"/>
      </w:pPr>
      <w:r>
        <w:rPr>
          <w:sz w:val="18"/>
        </w:rPr>
        <w:t>Investissements maintenus dans l'outil industriel avec 192 millions FCFA d'immobilisations</w:t>
      </w:r>
    </w:p>
    <w:p>
      <w:pPr>
        <w:spacing w:before="40"/>
        <w:ind w:left="400"/>
      </w:pPr>
      <w:r>
        <w:rPr>
          <w:b/>
          <w:color w:val="C05000"/>
          <w:sz w:val="18"/>
        </w:rPr>
        <w:t xml:space="preserve">⚠️ Risques : </w:t>
      </w:r>
      <w:r>
        <w:rPr>
          <w:sz w:val="18"/>
        </w:rPr>
        <w:t>["Persistance des pertes nettes malgr\u00e9 l'am\u00e9lioration, fragilisant la rentabilit\u00e9 \u00e0 court terme", "Baisse du chiffre d'affaires refl\u00e9tant un environnement \u00e9conomique difficile", "Niveau d'endettement financier \u00e9lev\u00e9 \u00e0 1,2 milliard FCFA pesant sur la struc</w:t>
      </w:r>
    </w:p>
    <w:p>
      <w:pPr>
        <w:spacing w:before="40"/>
        <w:ind w:left="400"/>
      </w:pPr>
      <w:r>
        <w:rPr>
          <w:b/>
          <w:color w:val="0064A0"/>
          <w:sz w:val="18"/>
        </w:rPr>
        <w:t xml:space="preserve">🔮 Perspectives : </w:t>
      </w:r>
      <w:r>
        <w:rPr>
          <w:sz w:val="18"/>
        </w:rPr>
        <w:t xml:space="preserve">La dynamique d'amélioration des résultats laisse espérer un retour à l'équilibre en 2020. Les investissements industriels soutenus et la reprise économique attendue en Côte d'Ivoire devraient favoriser la croissance des volumes et la rentabilité. La société bénéficie de sa position dominante sur un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perte nette, l'am\u00e9lioration de 39% du r\u00e9sultat et la ma\u00eetrise des co\u00fbts montrent une gestion efficace en p\u00e9riode difficile. Les perspectives optimistes pour le T4 et la strat\u00e9gie de croissance justifient un maintien en portefeuille."}</w:t>
      </w:r>
    </w:p>
    <w:p>
      <w:pPr>
        <w:spacing w:before="40"/>
        <w:ind w:left="400"/>
      </w:pPr>
      <w:r>
        <w:rPr>
          <w:sz w:val="18"/>
        </w:rPr>
        <w:t>Air Liquide Côte d'Ivoire affiche des résultats mitigés pour le 3ème trimestre 2020 avec un chiffre d'affaires en baisse de 9% à 4,78 milliards FCFA. La société subit les effets du ralentissement économique sur ses activités de soudage et de gaz industriels. Malgré cette baisse d'activité, le résultat net s'améliore significativement de 39% grâce à une réduction drastique des charges totales de 19%. Les autres produits chutent massivement de 77%, reflétant probablement l'impact de la crise sanitaire. La direction reste optimiste pour le dernier trimestre avec une stratégie de conquête de nouveaux marchés.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'873 400 000 FCFA', 'autres_produits': '1 117 705 KFCFA', 'charges_totales': '6 139 831 KFCFA'}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-5,05%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-241 666 KFCFA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4 780 460 KFCFA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recul de 9% à 4,78 milliards FCFA au T3 2020</w:t>
      </w:r>
    </w:p>
    <w:p>
      <w:pPr>
        <w:pStyle w:val="ListBullet"/>
        <w:spacing w:before="20" w:after="20"/>
        <w:ind w:left="700"/>
      </w:pPr>
      <w:r>
        <w:rPr>
          <w:sz w:val="18"/>
        </w:rPr>
        <w:t>Amélioration du résultat net de 39% malgré la baisse d'activité</w:t>
      </w:r>
    </w:p>
    <w:p>
      <w:pPr>
        <w:pStyle w:val="ListBullet"/>
        <w:spacing w:before="20" w:after="20"/>
        <w:ind w:left="700"/>
      </w:pPr>
      <w:r>
        <w:rPr>
          <w:sz w:val="18"/>
        </w:rPr>
        <w:t>Chute drastique de 77% des autres produits d'exploitation</w:t>
      </w:r>
    </w:p>
    <w:p>
      <w:pPr>
        <w:pStyle w:val="ListBullet"/>
        <w:spacing w:before="20" w:after="20"/>
        <w:ind w:left="700"/>
      </w:pPr>
      <w:r>
        <w:rPr>
          <w:sz w:val="18"/>
        </w:rPr>
        <w:t>Réduction significative des charges totales de 19% (1,48 milliard FCFA)</w:t>
      </w:r>
    </w:p>
    <w:p>
      <w:pPr>
        <w:pStyle w:val="ListBullet"/>
        <w:spacing w:before="20" w:after="20"/>
        <w:ind w:left="700"/>
      </w:pPr>
      <w:r>
        <w:rPr>
          <w:sz w:val="18"/>
        </w:rPr>
        <w:t>Ralentissement marqué sur les activités de soudage et gaz industriels</w:t>
      </w:r>
    </w:p>
    <w:p>
      <w:pPr>
        <w:pStyle w:val="ListBullet"/>
        <w:spacing w:before="20" w:after="20"/>
        <w:ind w:left="700"/>
      </w:pPr>
      <w:r>
        <w:rPr>
          <w:sz w:val="18"/>
        </w:rPr>
        <w:t>Baisse des charges de personnel et réduction des provisions clients</w:t>
      </w:r>
    </w:p>
    <w:p>
      <w:pPr>
        <w:spacing w:before="40"/>
        <w:ind w:left="400"/>
      </w:pPr>
      <w:r>
        <w:rPr>
          <w:b/>
          <w:color w:val="C05000"/>
          <w:sz w:val="18"/>
        </w:rPr>
        <w:t xml:space="preserve">⚠️ Risques : </w:t>
      </w:r>
      <w:r>
        <w:rPr>
          <w:sz w:val="18"/>
        </w:rPr>
        <w:t>["Persistance de la crise sanitaire impactant la demande industrielle", "D\u00e9pendance aux secteurs du soudage et des gaz industriels sensibles au cycle \u00e9conomique", "Chute significative des autres sources de revenus (-77%)"]</w:t>
      </w:r>
    </w:p>
    <w:p>
      <w:pPr>
        <w:spacing w:before="40"/>
        <w:ind w:left="400"/>
      </w:pPr>
      <w:r>
        <w:rPr>
          <w:b/>
          <w:color w:val="0064A0"/>
          <w:sz w:val="18"/>
        </w:rPr>
        <w:t xml:space="preserve">🔮 Perspectives : </w:t>
      </w:r>
      <w:r>
        <w:rPr>
          <w:sz w:val="18"/>
        </w:rPr>
        <w:t>La direction affiche un optimisme prudent pour le dernier trimestre 2020 avec une volonté de conquérir de nouvelles parts de marché. La capacité démontrée à réduire les coûts et améliorer la rentabilité opérationnelle constitue un atout pour naviguer dans le contexte sanitaire difficile. Le succès d</w:t>
      </w:r>
    </w:p>
    <w:p/>
    <w:p>
      <w:r>
        <w:t>════════════════════════════════════════════════════════════════════════════════</w:t>
      </w:r>
    </w:p>
    <w:p>
      <w:r>
        <w:br w:type="page"/>
      </w:r>
    </w:p>
    <w:p>
      <w:pPr>
        <w:pStyle w:val="Heading2"/>
        <w:spacing w:before="360"/>
      </w:pPr>
      <w:r>
        <w:rPr>
          <w:color w:val="0066CC"/>
        </w:rPr>
        <w:t>37. SLBC - SLBC - SOLIBRA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SLBC</w:t>
            </w:r>
          </w:p>
          <w:p>
            <w:r>
              <w:rPr>
                <w:b/>
                <w:color w:val="323250"/>
                <w:sz w:val="16"/>
              </w:rPr>
              <w:t xml:space="preserve">Société : </w:t>
            </w:r>
            <w:r>
              <w:rPr>
                <w:color w:val="000000"/>
                <w:sz w:val="16"/>
              </w:rPr>
              <w:t>SLBC - SOLIBRA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617.28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1,157 titres</w:t>
            </w:r>
          </w:p>
        </w:tc>
        <w:tc>
          <w:tcPr>
            <w:tcW w:type="dxa" w:w="2268"/>
            <w:shd w:fill="FFF2CC" w:val="clear"/>
          </w:tcPr>
          <w:p>
            <w:r>
              <w:rPr>
                <w:b/>
                <w:color w:val="503200"/>
                <w:sz w:val="16"/>
              </w:rPr>
              <w:t xml:space="preserve">Cours actuel : </w:t>
            </w:r>
            <w:r>
              <w:rPr>
                <w:color w:val="000000"/>
                <w:sz w:val="17"/>
              </w:rPr>
              <w:t>37,500 FCFA</w:t>
            </w:r>
          </w:p>
          <w:p>
            <w:r>
              <w:rPr>
                <w:b/>
                <w:color w:val="503200"/>
                <w:sz w:val="16"/>
              </w:rPr>
              <w:t xml:space="preserve">Var. 100 jours : </w:t>
            </w:r>
            <w:r>
              <w:rPr>
                <w:b/>
                <w:color w:val="B40000"/>
                <w:sz w:val="17"/>
              </w:rPr>
              <w:t>-3.85%</w:t>
            </w:r>
          </w:p>
          <w:p>
            <w:r>
              <w:rPr>
                <w:b/>
                <w:color w:val="503200"/>
                <w:sz w:val="16"/>
              </w:rPr>
              <w:t xml:space="preserve">Plus haut 100j : </w:t>
            </w:r>
            <w:r>
              <w:rPr>
                <w:color w:val="000000"/>
                <w:sz w:val="17"/>
              </w:rPr>
              <w:t>41,500 FCFA</w:t>
            </w:r>
          </w:p>
          <w:p>
            <w:r>
              <w:rPr>
                <w:b/>
                <w:color w:val="503200"/>
                <w:sz w:val="16"/>
              </w:rPr>
              <w:t xml:space="preserve">Plus bas 100j : </w:t>
            </w:r>
            <w:r>
              <w:rPr>
                <w:color w:val="000000"/>
                <w:sz w:val="17"/>
              </w:rPr>
              <w:t>35,540 FCFA</w:t>
            </w:r>
          </w:p>
          <w:p>
            <w:r>
              <w:rPr>
                <w:b/>
                <w:color w:val="503200"/>
                <w:sz w:val="16"/>
              </w:rPr>
              <w:t xml:space="preserve">Volatilité ann. : </w:t>
            </w:r>
            <w:r>
              <w:rPr>
                <w:color w:val="000000"/>
                <w:sz w:val="17"/>
              </w:rPr>
              <w:t>29.6%</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2.49% (Faible) — μ=38,341 FCFA, σ=955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β=0.1321 (Défensif) — Cov=0.000005, Var(idx)=0.000035, ρ=0.042,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1,157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σ_j=1.87%/j (Stable) — Vol. annualisée≈29.6%</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03190"/>
            <wp:docPr id="39" name="Picture 39"/>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2026-08-28</w:t>
            </w:r>
          </w:p>
        </w:tc>
        <w:tc>
          <w:tcPr>
            <w:tcW w:type="dxa" w:w="1440"/>
            <w:shd w:fill="FAFAFA" w:val="clear"/>
          </w:tcPr>
          <w:p>
            <w:r>
              <w:rPr>
                <w:sz w:val="17"/>
              </w:rPr>
              <w:t>36,277</w:t>
            </w:r>
          </w:p>
        </w:tc>
        <w:tc>
          <w:tcPr>
            <w:tcW w:type="dxa" w:w="1440"/>
            <w:shd w:fill="FAFAFA" w:val="clear"/>
          </w:tcPr>
          <w:p>
            <w:r>
              <w:rPr>
                <w:b/>
                <w:sz w:val="17"/>
              </w:rPr>
              <w:t>37,508</w:t>
            </w:r>
          </w:p>
        </w:tc>
        <w:tc>
          <w:tcPr>
            <w:tcW w:type="dxa" w:w="1440"/>
            <w:shd w:fill="FAFAFA" w:val="clear"/>
          </w:tcPr>
          <w:p>
            <w:r>
              <w:rPr>
                <w:sz w:val="17"/>
              </w:rPr>
              <w:t>38,739</w:t>
            </w:r>
          </w:p>
        </w:tc>
        <w:tc>
          <w:tcPr>
            <w:tcW w:type="dxa" w:w="1440"/>
            <w:shd w:fill="FAFAFA" w:val="clear"/>
          </w:tcPr>
          <w:p>
            <w:r>
              <w:rPr>
                <w:b/>
                <w:color w:val="008000"/>
                <w:sz w:val="17"/>
              </w:rPr>
              <w:t>+0.0%</w:t>
            </w:r>
          </w:p>
        </w:tc>
      </w:tr>
      <w:tr>
        <w:tc>
          <w:tcPr>
            <w:tcW w:type="dxa" w:w="1440"/>
            <w:shd w:fill="FAFAFA" w:val="clear"/>
          </w:tcPr>
          <w:p>
            <w:r>
              <w:rPr>
                <w:sz w:val="17"/>
              </w:rPr>
              <w:t>J+2  ⭐⭐⭐</w:t>
            </w:r>
          </w:p>
        </w:tc>
        <w:tc>
          <w:tcPr>
            <w:tcW w:type="dxa" w:w="1440"/>
            <w:shd w:fill="FAFAFA" w:val="clear"/>
          </w:tcPr>
          <w:p>
            <w:r>
              <w:rPr>
                <w:sz w:val="17"/>
              </w:rPr>
              <w:t>2026-08-31</w:t>
            </w:r>
          </w:p>
        </w:tc>
        <w:tc>
          <w:tcPr>
            <w:tcW w:type="dxa" w:w="1440"/>
            <w:shd w:fill="FAFAFA" w:val="clear"/>
          </w:tcPr>
          <w:p>
            <w:r>
              <w:rPr>
                <w:sz w:val="17"/>
              </w:rPr>
              <w:t>35,745</w:t>
            </w:r>
          </w:p>
        </w:tc>
        <w:tc>
          <w:tcPr>
            <w:tcW w:type="dxa" w:w="1440"/>
            <w:shd w:fill="FAFAFA" w:val="clear"/>
          </w:tcPr>
          <w:p>
            <w:r>
              <w:rPr>
                <w:b/>
                <w:sz w:val="17"/>
              </w:rPr>
              <w:t>37,485</w:t>
            </w:r>
          </w:p>
        </w:tc>
        <w:tc>
          <w:tcPr>
            <w:tcW w:type="dxa" w:w="1440"/>
            <w:shd w:fill="FAFAFA" w:val="clear"/>
          </w:tcPr>
          <w:p>
            <w:r>
              <w:rPr>
                <w:sz w:val="17"/>
              </w:rPr>
              <w:t>39,225</w:t>
            </w:r>
          </w:p>
        </w:tc>
        <w:tc>
          <w:tcPr>
            <w:tcW w:type="dxa" w:w="1440"/>
            <w:shd w:fill="FAFAFA" w:val="clear"/>
          </w:tcPr>
          <w:p>
            <w:r>
              <w:rPr>
                <w:b/>
                <w:color w:val="C00000"/>
                <w:sz w:val="17"/>
              </w:rPr>
              <w:t>-0.0%</w:t>
            </w:r>
          </w:p>
        </w:tc>
      </w:tr>
      <w:tr>
        <w:tc>
          <w:tcPr>
            <w:tcW w:type="dxa" w:w="1440"/>
            <w:shd w:fill="FAFAFA" w:val="clear"/>
          </w:tcPr>
          <w:p>
            <w:r>
              <w:rPr>
                <w:sz w:val="17"/>
              </w:rPr>
              <w:t>J+3  ⭐⭐⭐</w:t>
            </w:r>
          </w:p>
        </w:tc>
        <w:tc>
          <w:tcPr>
            <w:tcW w:type="dxa" w:w="1440"/>
            <w:shd w:fill="FAFAFA" w:val="clear"/>
          </w:tcPr>
          <w:p>
            <w:r>
              <w:rPr>
                <w:sz w:val="17"/>
              </w:rPr>
              <w:t>2026-09-01</w:t>
            </w:r>
          </w:p>
        </w:tc>
        <w:tc>
          <w:tcPr>
            <w:tcW w:type="dxa" w:w="1440"/>
            <w:shd w:fill="FAFAFA" w:val="clear"/>
          </w:tcPr>
          <w:p>
            <w:r>
              <w:rPr>
                <w:sz w:val="17"/>
              </w:rPr>
              <w:t>35,323</w:t>
            </w:r>
          </w:p>
        </w:tc>
        <w:tc>
          <w:tcPr>
            <w:tcW w:type="dxa" w:w="1440"/>
            <w:shd w:fill="FAFAFA" w:val="clear"/>
          </w:tcPr>
          <w:p>
            <w:r>
              <w:rPr>
                <w:b/>
                <w:sz w:val="17"/>
              </w:rPr>
              <w:t>37,452</w:t>
            </w:r>
          </w:p>
        </w:tc>
        <w:tc>
          <w:tcPr>
            <w:tcW w:type="dxa" w:w="1440"/>
            <w:shd w:fill="FAFAFA" w:val="clear"/>
          </w:tcPr>
          <w:p>
            <w:r>
              <w:rPr>
                <w:sz w:val="17"/>
              </w:rPr>
              <w:t>39,582</w:t>
            </w:r>
          </w:p>
        </w:tc>
        <w:tc>
          <w:tcPr>
            <w:tcW w:type="dxa" w:w="1440"/>
            <w:shd w:fill="FAFAFA" w:val="clear"/>
          </w:tcPr>
          <w:p>
            <w:r>
              <w:rPr>
                <w:b/>
                <w:color w:val="C00000"/>
                <w:sz w:val="17"/>
              </w:rPr>
              <w:t>-0.1%</w:t>
            </w:r>
          </w:p>
        </w:tc>
      </w:tr>
      <w:tr>
        <w:tc>
          <w:tcPr>
            <w:tcW w:type="dxa" w:w="1440"/>
            <w:shd w:fill="FAFAFA" w:val="clear"/>
          </w:tcPr>
          <w:p>
            <w:r>
              <w:rPr>
                <w:sz w:val="17"/>
              </w:rPr>
              <w:t>J+4  Moyenne</w:t>
            </w:r>
          </w:p>
        </w:tc>
        <w:tc>
          <w:tcPr>
            <w:tcW w:type="dxa" w:w="1440"/>
            <w:shd w:fill="FAFAFA" w:val="clear"/>
          </w:tcPr>
          <w:p>
            <w:r>
              <w:rPr>
                <w:sz w:val="17"/>
              </w:rPr>
              <w:t>2026-09-02</w:t>
            </w:r>
          </w:p>
        </w:tc>
        <w:tc>
          <w:tcPr>
            <w:tcW w:type="dxa" w:w="1440"/>
            <w:shd w:fill="FAFAFA" w:val="clear"/>
          </w:tcPr>
          <w:p>
            <w:r>
              <w:rPr>
                <w:sz w:val="17"/>
              </w:rPr>
              <w:t>34,961</w:t>
            </w:r>
          </w:p>
        </w:tc>
        <w:tc>
          <w:tcPr>
            <w:tcW w:type="dxa" w:w="1440"/>
            <w:shd w:fill="FAFAFA" w:val="clear"/>
          </w:tcPr>
          <w:p>
            <w:r>
              <w:rPr>
                <w:b/>
                <w:sz w:val="17"/>
              </w:rPr>
              <w:t>37,418</w:t>
            </w:r>
          </w:p>
        </w:tc>
        <w:tc>
          <w:tcPr>
            <w:tcW w:type="dxa" w:w="1440"/>
            <w:shd w:fill="FAFAFA" w:val="clear"/>
          </w:tcPr>
          <w:p>
            <w:r>
              <w:rPr>
                <w:sz w:val="17"/>
              </w:rPr>
              <w:t>39,875</w:t>
            </w:r>
          </w:p>
        </w:tc>
        <w:tc>
          <w:tcPr>
            <w:tcW w:type="dxa" w:w="1440"/>
            <w:shd w:fill="FAFAFA" w:val="clear"/>
          </w:tcPr>
          <w:p>
            <w:r>
              <w:rPr>
                <w:b/>
                <w:color w:val="C00000"/>
                <w:sz w:val="17"/>
              </w:rPr>
              <w:t>-0.2%</w:t>
            </w:r>
          </w:p>
        </w:tc>
      </w:tr>
      <w:tr>
        <w:tc>
          <w:tcPr>
            <w:tcW w:type="dxa" w:w="1440"/>
            <w:shd w:fill="FAFAFA" w:val="clear"/>
          </w:tcPr>
          <w:p>
            <w:r>
              <w:rPr>
                <w:sz w:val="17"/>
              </w:rPr>
              <w:t>J+5  Moyenne</w:t>
            </w:r>
          </w:p>
        </w:tc>
        <w:tc>
          <w:tcPr>
            <w:tcW w:type="dxa" w:w="1440"/>
            <w:shd w:fill="FAFAFA" w:val="clear"/>
          </w:tcPr>
          <w:p>
            <w:r>
              <w:rPr>
                <w:sz w:val="17"/>
              </w:rPr>
              <w:t>2026-09-03</w:t>
            </w:r>
          </w:p>
        </w:tc>
        <w:tc>
          <w:tcPr>
            <w:tcW w:type="dxa" w:w="1440"/>
            <w:shd w:fill="FAFAFA" w:val="clear"/>
          </w:tcPr>
          <w:p>
            <w:r>
              <w:rPr>
                <w:sz w:val="17"/>
              </w:rPr>
              <w:t>34,640</w:t>
            </w:r>
          </w:p>
        </w:tc>
        <w:tc>
          <w:tcPr>
            <w:tcW w:type="dxa" w:w="1440"/>
            <w:shd w:fill="FAFAFA" w:val="clear"/>
          </w:tcPr>
          <w:p>
            <w:r>
              <w:rPr>
                <w:b/>
                <w:sz w:val="17"/>
              </w:rPr>
              <w:t>37,384</w:t>
            </w:r>
          </w:p>
        </w:tc>
        <w:tc>
          <w:tcPr>
            <w:tcW w:type="dxa" w:w="1440"/>
            <w:shd w:fill="FAFAFA" w:val="clear"/>
          </w:tcPr>
          <w:p>
            <w:r>
              <w:rPr>
                <w:sz w:val="17"/>
              </w:rPr>
              <w:t>40,128</w:t>
            </w:r>
          </w:p>
        </w:tc>
        <w:tc>
          <w:tcPr>
            <w:tcW w:type="dxa" w:w="1440"/>
            <w:shd w:fill="FAFAFA" w:val="clear"/>
          </w:tcPr>
          <w:p>
            <w:r>
              <w:rPr>
                <w:b/>
                <w:color w:val="C00000"/>
                <w:sz w:val="17"/>
              </w:rPr>
              <w:t>-0.3%</w:t>
            </w:r>
          </w:p>
        </w:tc>
      </w:tr>
      <w:tr>
        <w:tc>
          <w:tcPr>
            <w:tcW w:type="dxa" w:w="1440"/>
            <w:shd w:fill="FAFAFA" w:val="clear"/>
          </w:tcPr>
          <w:p>
            <w:r>
              <w:rPr>
                <w:sz w:val="17"/>
              </w:rPr>
              <w:t>J+6  Moyenne</w:t>
            </w:r>
          </w:p>
        </w:tc>
        <w:tc>
          <w:tcPr>
            <w:tcW w:type="dxa" w:w="1440"/>
            <w:shd w:fill="FAFAFA" w:val="clear"/>
          </w:tcPr>
          <w:p>
            <w:r>
              <w:rPr>
                <w:sz w:val="17"/>
              </w:rPr>
              <w:t>2026-09-04</w:t>
            </w:r>
          </w:p>
        </w:tc>
        <w:tc>
          <w:tcPr>
            <w:tcW w:type="dxa" w:w="1440"/>
            <w:shd w:fill="FAFAFA" w:val="clear"/>
          </w:tcPr>
          <w:p>
            <w:r>
              <w:rPr>
                <w:sz w:val="17"/>
              </w:rPr>
              <w:t>34,346</w:t>
            </w:r>
          </w:p>
        </w:tc>
        <w:tc>
          <w:tcPr>
            <w:tcW w:type="dxa" w:w="1440"/>
            <w:shd w:fill="FAFAFA" w:val="clear"/>
          </w:tcPr>
          <w:p>
            <w:r>
              <w:rPr>
                <w:b/>
                <w:sz w:val="17"/>
              </w:rPr>
              <w:t>37,350</w:t>
            </w:r>
          </w:p>
        </w:tc>
        <w:tc>
          <w:tcPr>
            <w:tcW w:type="dxa" w:w="1440"/>
            <w:shd w:fill="FAFAFA" w:val="clear"/>
          </w:tcPr>
          <w:p>
            <w:r>
              <w:rPr>
                <w:sz w:val="17"/>
              </w:rPr>
              <w:t>40,354</w:t>
            </w:r>
          </w:p>
        </w:tc>
        <w:tc>
          <w:tcPr>
            <w:tcW w:type="dxa" w:w="1440"/>
            <w:shd w:fill="FAFAFA" w:val="clear"/>
          </w:tcPr>
          <w:p>
            <w:r>
              <w:rPr>
                <w:b/>
                <w:color w:val="C00000"/>
                <w:sz w:val="17"/>
              </w:rPr>
              <w:t>-0.4%</w:t>
            </w:r>
          </w:p>
        </w:tc>
      </w:tr>
      <w:tr>
        <w:tc>
          <w:tcPr>
            <w:tcW w:type="dxa" w:w="1440"/>
            <w:shd w:fill="FAFAFA" w:val="clear"/>
          </w:tcPr>
          <w:p>
            <w:r>
              <w:rPr>
                <w:sz w:val="17"/>
              </w:rPr>
              <w:t>J+7  Moyenne</w:t>
            </w:r>
          </w:p>
        </w:tc>
        <w:tc>
          <w:tcPr>
            <w:tcW w:type="dxa" w:w="1440"/>
            <w:shd w:fill="FAFAFA" w:val="clear"/>
          </w:tcPr>
          <w:p>
            <w:r>
              <w:rPr>
                <w:sz w:val="17"/>
              </w:rPr>
              <w:t>2026-09-07</w:t>
            </w:r>
          </w:p>
        </w:tc>
        <w:tc>
          <w:tcPr>
            <w:tcW w:type="dxa" w:w="1440"/>
            <w:shd w:fill="FAFAFA" w:val="clear"/>
          </w:tcPr>
          <w:p>
            <w:r>
              <w:rPr>
                <w:sz w:val="17"/>
              </w:rPr>
              <w:t>34,075</w:t>
            </w:r>
          </w:p>
        </w:tc>
        <w:tc>
          <w:tcPr>
            <w:tcW w:type="dxa" w:w="1440"/>
            <w:shd w:fill="FAFAFA" w:val="clear"/>
          </w:tcPr>
          <w:p>
            <w:r>
              <w:rPr>
                <w:b/>
                <w:sz w:val="17"/>
              </w:rPr>
              <w:t>37,316</w:t>
            </w:r>
          </w:p>
        </w:tc>
        <w:tc>
          <w:tcPr>
            <w:tcW w:type="dxa" w:w="1440"/>
            <w:shd w:fill="FAFAFA" w:val="clear"/>
          </w:tcPr>
          <w:p>
            <w:r>
              <w:rPr>
                <w:sz w:val="17"/>
              </w:rPr>
              <w:t>40,558</w:t>
            </w:r>
          </w:p>
        </w:tc>
        <w:tc>
          <w:tcPr>
            <w:tcW w:type="dxa" w:w="1440"/>
            <w:shd w:fill="FAFAFA" w:val="clear"/>
          </w:tcPr>
          <w:p>
            <w:r>
              <w:rPr>
                <w:b/>
                <w:color w:val="C00000"/>
                <w:sz w:val="17"/>
              </w:rPr>
              <w:t>-0.5%</w:t>
            </w:r>
          </w:p>
        </w:tc>
      </w:tr>
      <w:tr>
        <w:tc>
          <w:tcPr>
            <w:tcW w:type="dxa" w:w="1440"/>
            <w:shd w:fill="FAFAFA" w:val="clear"/>
          </w:tcPr>
          <w:p>
            <w:r>
              <w:rPr>
                <w:sz w:val="17"/>
              </w:rPr>
              <w:t>J+8  Moyenne</w:t>
            </w:r>
          </w:p>
        </w:tc>
        <w:tc>
          <w:tcPr>
            <w:tcW w:type="dxa" w:w="1440"/>
            <w:shd w:fill="FAFAFA" w:val="clear"/>
          </w:tcPr>
          <w:p>
            <w:r>
              <w:rPr>
                <w:sz w:val="17"/>
              </w:rPr>
              <w:t>2026-09-08</w:t>
            </w:r>
          </w:p>
        </w:tc>
        <w:tc>
          <w:tcPr>
            <w:tcW w:type="dxa" w:w="1440"/>
            <w:shd w:fill="FAFAFA" w:val="clear"/>
          </w:tcPr>
          <w:p>
            <w:r>
              <w:rPr>
                <w:sz w:val="17"/>
              </w:rPr>
              <w:t>33,821</w:t>
            </w:r>
          </w:p>
        </w:tc>
        <w:tc>
          <w:tcPr>
            <w:tcW w:type="dxa" w:w="1440"/>
            <w:shd w:fill="FAFAFA" w:val="clear"/>
          </w:tcPr>
          <w:p>
            <w:r>
              <w:rPr>
                <w:b/>
                <w:sz w:val="17"/>
              </w:rPr>
              <w:t>37,283</w:t>
            </w:r>
          </w:p>
        </w:tc>
        <w:tc>
          <w:tcPr>
            <w:tcW w:type="dxa" w:w="1440"/>
            <w:shd w:fill="FAFAFA" w:val="clear"/>
          </w:tcPr>
          <w:p>
            <w:r>
              <w:rPr>
                <w:sz w:val="17"/>
              </w:rPr>
              <w:t>40,745</w:t>
            </w:r>
          </w:p>
        </w:tc>
        <w:tc>
          <w:tcPr>
            <w:tcW w:type="dxa" w:w="1440"/>
            <w:shd w:fill="FAFAFA" w:val="clear"/>
          </w:tcPr>
          <w:p>
            <w:r>
              <w:rPr>
                <w:b/>
                <w:color w:val="C00000"/>
                <w:sz w:val="17"/>
              </w:rPr>
              <w:t>-0.6%</w:t>
            </w:r>
          </w:p>
        </w:tc>
      </w:tr>
      <w:tr>
        <w:tc>
          <w:tcPr>
            <w:tcW w:type="dxa" w:w="1440"/>
            <w:shd w:fill="FAFAFA" w:val="clear"/>
          </w:tcPr>
          <w:p>
            <w:r>
              <w:rPr>
                <w:sz w:val="17"/>
              </w:rPr>
              <w:t>J+9  Moyenne</w:t>
            </w:r>
          </w:p>
        </w:tc>
        <w:tc>
          <w:tcPr>
            <w:tcW w:type="dxa" w:w="1440"/>
            <w:shd w:fill="FAFAFA" w:val="clear"/>
          </w:tcPr>
          <w:p>
            <w:r>
              <w:rPr>
                <w:sz w:val="17"/>
              </w:rPr>
              <w:t>2026-09-09</w:t>
            </w:r>
          </w:p>
        </w:tc>
        <w:tc>
          <w:tcPr>
            <w:tcW w:type="dxa" w:w="1440"/>
            <w:shd w:fill="FAFAFA" w:val="clear"/>
          </w:tcPr>
          <w:p>
            <w:r>
              <w:rPr>
                <w:sz w:val="17"/>
              </w:rPr>
              <w:t>33,581</w:t>
            </w:r>
          </w:p>
        </w:tc>
        <w:tc>
          <w:tcPr>
            <w:tcW w:type="dxa" w:w="1440"/>
            <w:shd w:fill="FAFAFA" w:val="clear"/>
          </w:tcPr>
          <w:p>
            <w:r>
              <w:rPr>
                <w:b/>
                <w:sz w:val="17"/>
              </w:rPr>
              <w:t>37,250</w:t>
            </w:r>
          </w:p>
        </w:tc>
        <w:tc>
          <w:tcPr>
            <w:tcW w:type="dxa" w:w="1440"/>
            <w:shd w:fill="FAFAFA" w:val="clear"/>
          </w:tcPr>
          <w:p>
            <w:r>
              <w:rPr>
                <w:sz w:val="17"/>
              </w:rPr>
              <w:t>40,919</w:t>
            </w:r>
          </w:p>
        </w:tc>
        <w:tc>
          <w:tcPr>
            <w:tcW w:type="dxa" w:w="1440"/>
            <w:shd w:fill="FAFAFA" w:val="clear"/>
          </w:tcPr>
          <w:p>
            <w:r>
              <w:rPr>
                <w:b/>
                <w:color w:val="C00000"/>
                <w:sz w:val="17"/>
              </w:rPr>
              <w:t>-0.7%</w:t>
            </w:r>
          </w:p>
        </w:tc>
      </w:tr>
      <w:tr>
        <w:tc>
          <w:tcPr>
            <w:tcW w:type="dxa" w:w="1440"/>
            <w:shd w:fill="FAFAFA" w:val="clear"/>
          </w:tcPr>
          <w:p>
            <w:r>
              <w:rPr>
                <w:sz w:val="17"/>
              </w:rPr>
              <w:t>J+10  Moyenne</w:t>
            </w:r>
          </w:p>
        </w:tc>
        <w:tc>
          <w:tcPr>
            <w:tcW w:type="dxa" w:w="1440"/>
            <w:shd w:fill="FAFAFA" w:val="clear"/>
          </w:tcPr>
          <w:p>
            <w:r>
              <w:rPr>
                <w:sz w:val="17"/>
              </w:rPr>
              <w:t>2026-09-10</w:t>
            </w:r>
          </w:p>
        </w:tc>
        <w:tc>
          <w:tcPr>
            <w:tcW w:type="dxa" w:w="1440"/>
            <w:shd w:fill="FAFAFA" w:val="clear"/>
          </w:tcPr>
          <w:p>
            <w:r>
              <w:rPr>
                <w:sz w:val="17"/>
              </w:rPr>
              <w:t>33,353</w:t>
            </w:r>
          </w:p>
        </w:tc>
        <w:tc>
          <w:tcPr>
            <w:tcW w:type="dxa" w:w="1440"/>
            <w:shd w:fill="FAFAFA" w:val="clear"/>
          </w:tcPr>
          <w:p>
            <w:r>
              <w:rPr>
                <w:b/>
                <w:sz w:val="17"/>
              </w:rPr>
              <w:t>37,217</w:t>
            </w:r>
          </w:p>
        </w:tc>
        <w:tc>
          <w:tcPr>
            <w:tcW w:type="dxa" w:w="1440"/>
            <w:shd w:fill="FAFAFA" w:val="clear"/>
          </w:tcPr>
          <w:p>
            <w:r>
              <w:rPr>
                <w:sz w:val="17"/>
              </w:rPr>
              <w:t>41,081</w:t>
            </w:r>
          </w:p>
        </w:tc>
        <w:tc>
          <w:tcPr>
            <w:tcW w:type="dxa" w:w="1440"/>
            <w:shd w:fill="FAFAFA" w:val="clear"/>
          </w:tcPr>
          <w:p>
            <w:r>
              <w:rPr>
                <w:b/>
                <w:color w:val="C00000"/>
                <w:sz w:val="17"/>
              </w:rPr>
              <w:t>-0.8%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66.583 Mds FCFA</w:t>
            </w:r>
          </w:p>
        </w:tc>
        <w:tc>
          <w:tcPr>
            <w:tcW w:type="dxa" w:w="5669"/>
            <w:shd w:fill="FFFFFF" w:val="clear"/>
          </w:tcPr>
          <w:p>
            <w:r>
              <w:rPr>
                <w:color w:val="282828"/>
                <w:sz w:val="15"/>
              </w:rPr>
              <w:t>Créances clients = 17.6%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82.734 Mds FCFA</w:t>
            </w:r>
          </w:p>
        </w:tc>
        <w:tc>
          <w:tcPr>
            <w:tcW w:type="dxa" w:w="5669"/>
            <w:shd w:fill="FFFFFF" w:val="clear"/>
          </w:tcPr>
          <w:p>
            <w:r>
              <w:rPr>
                <w:color w:val="282828"/>
                <w:sz w:val="15"/>
              </w:rPr>
              <w:t>Rotation stocks = 4.6x/an.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149.318 Mds FCFA</w:t>
            </w:r>
          </w:p>
        </w:tc>
        <w:tc>
          <w:tcPr>
            <w:tcW w:type="dxa" w:w="5669"/>
            <w:shd w:fill="FFFFFF" w:val="clear"/>
          </w:tcPr>
          <w:p>
            <w:r>
              <w:rPr>
                <w:color w:val="282828"/>
                <w:sz w:val="15"/>
              </w:rPr>
              <w:t>Ratio actif circ./passif circ. = 1.70x.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34.810 Mds FCFA</w:t>
            </w:r>
          </w:p>
        </w:tc>
        <w:tc>
          <w:tcPr>
            <w:tcW w:type="dxa" w:w="5669"/>
            <w:shd w:fill="FFFFFF" w:val="clear"/>
          </w:tcPr>
          <w:p>
            <w:r>
              <w:rPr>
                <w:color w:val="282828"/>
                <w:sz w:val="15"/>
              </w:rPr>
              <w:t>Brevets, logiciels, fonds commercial (10.3%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132.120 Mds FCFA</w:t>
            </w:r>
          </w:p>
        </w:tc>
        <w:tc>
          <w:tcPr>
            <w:tcW w:type="dxa" w:w="5669"/>
            <w:shd w:fill="FFFFFF" w:val="clear"/>
          </w:tcPr>
          <w:p>
            <w:r>
              <w:rPr>
                <w:color w:val="282828"/>
                <w:sz w:val="15"/>
              </w:rPr>
              <w:t>Outil industriel (38.9%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167.707 Mds FCFA</w:t>
            </w:r>
          </w:p>
        </w:tc>
        <w:tc>
          <w:tcPr>
            <w:tcW w:type="dxa" w:w="5669"/>
            <w:shd w:fill="FFFFFF" w:val="clear"/>
          </w:tcPr>
          <w:p>
            <w:r>
              <w:rPr>
                <w:color w:val="282828"/>
                <w:sz w:val="15"/>
              </w:rPr>
              <w:t>Actif immobilisé = 49.4%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22.492 Mds FCFA</w:t>
            </w:r>
          </w:p>
        </w:tc>
        <w:tc>
          <w:tcPr>
            <w:tcW w:type="dxa" w:w="5669"/>
            <w:shd w:fill="FFFFFF" w:val="clear"/>
          </w:tcPr>
          <w:p>
            <w:r>
              <w:rPr>
                <w:color w:val="282828"/>
                <w:sz w:val="15"/>
              </w:rPr>
              <w:t>Liquidités disponibles (6.6%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339.517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Réserves</w:t>
            </w:r>
          </w:p>
        </w:tc>
        <w:tc>
          <w:tcPr>
            <w:tcW w:type="dxa" w:w="1984"/>
            <w:shd w:fill="C6EFCE" w:val="clear"/>
          </w:tcPr>
          <w:p>
            <w:r>
              <w:rPr>
                <w:b/>
                <w:color w:val="006400"/>
                <w:sz w:val="17"/>
              </w:rPr>
              <w:t>149.361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195.142 Mds FCFA</w:t>
            </w:r>
          </w:p>
        </w:tc>
        <w:tc>
          <w:tcPr>
            <w:tcW w:type="dxa" w:w="5669"/>
            <w:shd w:fill="FFFFFF" w:val="clear"/>
          </w:tcPr>
          <w:p>
            <w:r>
              <w:rPr>
                <w:color w:val="282828"/>
                <w:sz w:val="15"/>
              </w:rPr>
              <w:t>Fonds propres = 57.5%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251.396 Mds FCFA</w:t>
            </w:r>
          </w:p>
        </w:tc>
        <w:tc>
          <w:tcPr>
            <w:tcW w:type="dxa" w:w="5669"/>
            <w:shd w:fill="FFFFFF" w:val="clear"/>
          </w:tcPr>
          <w:p>
            <w:r>
              <w:rPr>
                <w:color w:val="282828"/>
                <w:sz w:val="15"/>
              </w:rPr>
              <w:t>Capitaux permanents / Actif immobilisé = 1.50x.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54.176 Mds FCFA</w:t>
            </w:r>
          </w:p>
        </w:tc>
        <w:tc>
          <w:tcPr>
            <w:tcW w:type="dxa" w:w="5669"/>
            <w:shd w:fill="FFFFFF" w:val="clear"/>
          </w:tcPr>
          <w:p>
            <w:r>
              <w:rPr>
                <w:color w:val="282828"/>
                <w:sz w:val="15"/>
              </w:rPr>
              <w:t>Délai fournisseurs implicite ≈ 52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46.424 Mds FCFA</w:t>
            </w:r>
          </w:p>
        </w:tc>
        <w:tc>
          <w:tcPr>
            <w:tcW w:type="dxa" w:w="5669"/>
            <w:shd w:fill="FFFFFF" w:val="clear"/>
          </w:tcPr>
          <w:p>
            <w:r>
              <w:rPr>
                <w:color w:val="282828"/>
                <w:sz w:val="15"/>
              </w:rPr>
              <w:t>Dette LT/MT = 24%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46.799 Mds FCFA</w:t>
            </w:r>
          </w:p>
        </w:tc>
        <w:tc>
          <w:tcPr>
            <w:tcW w:type="dxa" w:w="5669"/>
            <w:shd w:fill="FFFFFF" w:val="clear"/>
          </w:tcPr>
          <w:p>
            <w:r>
              <w:rPr>
                <w:color w:val="282828"/>
                <w:sz w:val="15"/>
              </w:rPr>
              <w:t>Dette financière totale = 24%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144.375 Mds FCFA</w:t>
            </w:r>
          </w:p>
        </w:tc>
        <w:tc>
          <w:tcPr>
            <w:tcW w:type="dxa" w:w="5669"/>
            <w:shd w:fill="FFFFFF" w:val="clear"/>
          </w:tcPr>
          <w:p>
            <w:r>
              <w:rPr>
                <w:color w:val="282828"/>
                <w:sz w:val="15"/>
              </w:rPr>
              <w:t>Dettes totales = 42.5%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378.123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378.123 Mds FCFA</w:t>
            </w:r>
          </w:p>
        </w:tc>
        <w:tc>
          <w:tcPr>
            <w:tcW w:type="dxa" w:w="5669"/>
            <w:shd w:fill="FFFFFF" w:val="clear"/>
          </w:tcPr>
          <w:p>
            <w:r>
              <w:rPr>
                <w:color w:val="282828"/>
                <w:sz w:val="15"/>
              </w:rPr>
              <w:t>Chiffre d'affaires. Croissance: 22.1%.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23.147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33.279 Mds FCFA</w:t>
            </w:r>
          </w:p>
        </w:tc>
        <w:tc>
          <w:tcPr>
            <w:tcW w:type="dxa" w:w="5669"/>
            <w:shd w:fill="FFFFFF" w:val="clear"/>
          </w:tcPr>
          <w:p>
            <w:r>
              <w:rPr>
                <w:color w:val="282828"/>
                <w:sz w:val="15"/>
              </w:rPr>
              <w:t>Masse salariale = 8.8%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120.724 Mds FCFA</w:t>
            </w:r>
          </w:p>
        </w:tc>
        <w:tc>
          <w:tcPr>
            <w:tcW w:type="dxa" w:w="5669"/>
            <w:shd w:fill="FFFFFF" w:val="clear"/>
          </w:tcPr>
          <w:p>
            <w:r>
              <w:rPr>
                <w:color w:val="282828"/>
                <w:sz w:val="15"/>
              </w:rPr>
              <w:t>VA = 31.9%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87.445 Mds FCFA</w:t>
            </w:r>
          </w:p>
        </w:tc>
        <w:tc>
          <w:tcPr>
            <w:tcW w:type="dxa" w:w="5669"/>
            <w:shd w:fill="FFFFFF" w:val="clear"/>
          </w:tcPr>
          <w:p>
            <w:r>
              <w:rPr>
                <w:color w:val="282828"/>
                <w:sz w:val="15"/>
              </w:rPr>
              <w:t>EBE = 23.1%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65.165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9.830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45.781 Mds FCFA</w:t>
            </w:r>
          </w:p>
        </w:tc>
        <w:tc>
          <w:tcPr>
            <w:tcW w:type="dxa" w:w="5669"/>
            <w:shd w:fill="FFFFFF" w:val="clear"/>
          </w:tcPr>
          <w:p>
            <w:r>
              <w:rPr>
                <w:color w:val="282828"/>
                <w:sz w:val="15"/>
              </w:rPr>
              <w:t>Marge nette = 12.1%.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69.895 Mds FCFA</w:t>
            </w:r>
          </w:p>
        </w:tc>
        <w:tc>
          <w:tcPr>
            <w:tcW w:type="dxa" w:w="5669"/>
            <w:shd w:fill="FFFFFF" w:val="clear"/>
          </w:tcPr>
          <w:p>
            <w:r>
              <w:rPr>
                <w:color w:val="282828"/>
                <w:sz w:val="15"/>
              </w:rPr>
              <w:t>CAF = 69.89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83.925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-23.058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-24.618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60.867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61.587 Mds FCFA</w:t>
            </w:r>
          </w:p>
        </w:tc>
        <w:tc>
          <w:tcPr>
            <w:tcW w:type="dxa" w:w="5669"/>
            <w:shd w:fill="FFFFFF" w:val="clear"/>
          </w:tcPr>
          <w:p>
            <w:r>
              <w:rPr>
                <w:color w:val="282828"/>
                <w:sz w:val="15"/>
              </w:rPr>
              <w:t>BFR = 16.3%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83.689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22.117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76.21%</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12.11%</w:t>
            </w:r>
          </w:p>
        </w:tc>
        <w:tc>
          <w:tcPr>
            <w:tcW w:type="dxa" w:w="5669"/>
            <w:shd w:fill="FFFFFF" w:val="clear"/>
          </w:tcPr>
          <w:p>
            <w:r>
              <w:rPr>
                <w:color w:val="282828"/>
                <w:sz w:val="15"/>
              </w:rPr>
              <w:t>Résultat net / revenus = 12.11%.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23.46%</w:t>
            </w:r>
          </w:p>
        </w:tc>
        <w:tc>
          <w:tcPr>
            <w:tcW w:type="dxa" w:w="5669"/>
            <w:shd w:fill="FFFFFF" w:val="clear"/>
          </w:tcPr>
          <w:p>
            <w:r>
              <w:rPr>
                <w:color w:val="282828"/>
                <w:sz w:val="15"/>
              </w:rPr>
              <w:t>Résultat net / capitaux propres = 23.46%.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13.48%</w:t>
            </w:r>
          </w:p>
        </w:tc>
        <w:tc>
          <w:tcPr>
            <w:tcW w:type="dxa" w:w="5669"/>
            <w:shd w:fill="FFFFFF" w:val="clear"/>
          </w:tcPr>
          <w:p>
            <w:r>
              <w:rPr>
                <w:color w:val="282828"/>
                <w:sz w:val="15"/>
              </w:rPr>
              <w:t>Résultat net / total actif = 13.48%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111.37%</w:t>
            </w:r>
          </w:p>
        </w:tc>
        <w:tc>
          <w:tcPr>
            <w:tcW w:type="dxa" w:w="5669"/>
            <w:shd w:fill="FFFFFF" w:val="clear"/>
          </w:tcPr>
          <w:p>
            <w:r>
              <w:rPr>
                <w:color w:val="282828"/>
                <w:sz w:val="15"/>
              </w:rPr>
              <w:t>CA / total actif = 111.37x.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22.08%</w:t>
            </w:r>
          </w:p>
        </w:tc>
        <w:tc>
          <w:tcPr>
            <w:tcW w:type="dxa" w:w="5669"/>
            <w:shd w:fill="FFFFFF" w:val="clear"/>
          </w:tcPr>
          <w:p>
            <w:r>
              <w:rPr>
                <w:color w:val="282828"/>
                <w:sz w:val="15"/>
              </w:rPr>
              <w:t>Croissance CA vs exercice précédent = 22.08%.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57.48%</w:t>
            </w:r>
          </w:p>
        </w:tc>
        <w:tc>
          <w:tcPr>
            <w:tcW w:type="dxa" w:w="5669"/>
            <w:shd w:fill="FFFFFF" w:val="clear"/>
          </w:tcPr>
          <w:p>
            <w:r>
              <w:rPr>
                <w:color w:val="282828"/>
                <w:sz w:val="15"/>
              </w:rPr>
              <w:t>Fonds propres / total bilan = 57.48%.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23.98%</w:t>
            </w:r>
          </w:p>
        </w:tc>
        <w:tc>
          <w:tcPr>
            <w:tcW w:type="dxa" w:w="5669"/>
            <w:shd w:fill="FFFFFF" w:val="clear"/>
          </w:tcPr>
          <w:p>
            <w:r>
              <w:rPr>
                <w:color w:val="282828"/>
                <w:sz w:val="15"/>
              </w:rPr>
              <w:t>Dettes financières / total bilan = 23.98%.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42.52%</w:t>
            </w:r>
          </w:p>
        </w:tc>
        <w:tc>
          <w:tcPr>
            <w:tcW w:type="dxa" w:w="5669"/>
            <w:shd w:fill="FFFFFF" w:val="clear"/>
          </w:tcPr>
          <w:p>
            <w:r>
              <w:rPr>
                <w:color w:val="282828"/>
                <w:sz w:val="15"/>
              </w:rPr>
              <w:t>Dettes totales / fonds propres = 42.52%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235.16%</w:t>
            </w:r>
          </w:p>
        </w:tc>
        <w:tc>
          <w:tcPr>
            <w:tcW w:type="dxa" w:w="5669"/>
            <w:shd w:fill="FFFFFF" w:val="clear"/>
          </w:tcPr>
          <w:p>
            <w:r>
              <w:rPr>
                <w:color w:val="282828"/>
                <w:sz w:val="15"/>
              </w:rPr>
              <w:t>Total actif / dettes totales = 235.16x.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195.00%</w:t>
            </w:r>
          </w:p>
        </w:tc>
        <w:tc>
          <w:tcPr>
            <w:tcW w:type="dxa" w:w="5669"/>
            <w:shd w:fill="FFFFFF" w:val="clear"/>
          </w:tcPr>
          <w:p>
            <w:r>
              <w:rPr>
                <w:color w:val="282828"/>
                <w:sz w:val="15"/>
              </w:rPr>
              <w:t>Actif circulant / passif circulant = 195.00x. ✅ Excellente liquidité court terme.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25.53%</w:t>
            </w:r>
          </w:p>
        </w:tc>
        <w:tc>
          <w:tcPr>
            <w:tcW w:type="dxa" w:w="5669"/>
            <w:shd w:fill="FFFFFF" w:val="clear"/>
          </w:tcPr>
          <w:p>
            <w:r>
              <w:rPr>
                <w:color w:val="282828"/>
                <w:sz w:val="15"/>
              </w:rPr>
              <w:t>Trésorerie / passif circulant = 25.53x.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101.10%</w:t>
            </w:r>
          </w:p>
        </w:tc>
        <w:tc>
          <w:tcPr>
            <w:tcW w:type="dxa" w:w="5669"/>
            <w:shd w:fill="FFFFFF" w:val="clear"/>
          </w:tcPr>
          <w:p>
            <w:r>
              <w:rPr>
                <w:color w:val="282828"/>
                <w:sz w:val="15"/>
              </w:rPr>
              <w:t>(Actif circ. - stocks) / passif circ. = 101.10x.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149.90%</w:t>
            </w:r>
          </w:p>
        </w:tc>
        <w:tc>
          <w:tcPr>
            <w:tcW w:type="dxa" w:w="5669"/>
            <w:shd w:fill="FFFFFF" w:val="clear"/>
          </w:tcPr>
          <w:p>
            <w:r>
              <w:rPr>
                <w:color w:val="282828"/>
                <w:sz w:val="15"/>
              </w:rPr>
              <w:t>Capitaux permanents / actif immobilisé = 149.90x.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3374.68%</w:t>
            </w:r>
          </w:p>
        </w:tc>
        <w:tc>
          <w:tcPr>
            <w:tcW w:type="dxa" w:w="5669"/>
            <w:shd w:fill="FFFFFF" w:val="clear"/>
          </w:tcPr>
          <w:p>
            <w:r>
              <w:rPr>
                <w:color w:val="282828"/>
                <w:sz w:val="15"/>
              </w:rPr>
              <w:t>Résultat exploit. / charges financières = 3374.68x.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303.13%</w:t>
            </w:r>
          </w:p>
        </w:tc>
        <w:tc>
          <w:tcPr>
            <w:tcW w:type="dxa" w:w="5669"/>
            <w:shd w:fill="FFFFFF" w:val="clear"/>
          </w:tcPr>
          <w:p>
            <w:r>
              <w:rPr>
                <w:color w:val="282828"/>
                <w:sz w:val="15"/>
              </w:rPr>
              <w:t>CAF / investissements = 303.13x.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EB9C" w:val="clear"/>
          </w:tcPr>
          <w:p>
            <w:r>
              <w:rPr>
                <w:b/>
                <w:color w:val="006400"/>
                <w:sz w:val="17"/>
              </w:rPr>
              <w:t>64.3 j</w:t>
            </w:r>
          </w:p>
        </w:tc>
        <w:tc>
          <w:tcPr>
            <w:tcW w:type="dxa" w:w="5669"/>
            <w:shd w:fill="FFFFFF" w:val="clear"/>
          </w:tcPr>
          <w:p>
            <w:r>
              <w:rPr>
                <w:color w:val="282828"/>
                <w:sz w:val="15"/>
              </w:rPr>
              <w:t>Les clients paient en moyenne en 64 jours. ⚠️ Délai long — risque d'impayés et tension de trésorerie.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76.8 j</w:t>
            </w:r>
          </w:p>
        </w:tc>
        <w:tc>
          <w:tcPr>
            <w:tcW w:type="dxa" w:w="5669"/>
            <w:shd w:fill="FFFFFF" w:val="clear"/>
          </w:tcPr>
          <w:p>
            <w:r>
              <w:rPr>
                <w:color w:val="282828"/>
                <w:sz w:val="15"/>
              </w:rPr>
              <w:t>Paiement des fournisseurs en 77 jours. ✅ Délai favorable — la société conserve sa trésorerie.</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117.3 j</w:t>
            </w:r>
          </w:p>
        </w:tc>
        <w:tc>
          <w:tcPr>
            <w:tcW w:type="dxa" w:w="5669"/>
            <w:shd w:fill="FFFFFF" w:val="clear"/>
          </w:tcPr>
          <w:p>
            <w:r>
              <w:rPr>
                <w:color w:val="282828"/>
                <w:sz w:val="15"/>
              </w:rPr>
              <w:t>Stock écoulé en 117 jours. ⚠️ Durée de stockage longue — capital immobilisé.</w:t>
            </w:r>
          </w:p>
        </w:tc>
      </w:tr>
    </w:tbl>
    <w:p/>
    <w:p>
      <w:pPr>
        <w:spacing w:after="120" w:line="276" w:lineRule="auto"/>
      </w:pPr>
      <w:r>
        <w:t>**RAPPORT D'ANALYSE FINANCIÈRE — SLBC (SOLIBRA)**</w:t>
        <w:br/>
        <w:t>**Date : 28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SLBC s'établit à 617,28 milliards FCFA, ce qui en fait l'une des valeurs les plus significatives de la BRVM, reflétant sa position dominante dans le secteur des boissons en Afrique de l'Ouest. Avec un BPA de 2 781 FCFA, chaque action génère un bénéfice substantiel, justifiant un PER de 13,5x, légèrement supérieur à la moyenne historique de la BRVM (8-12x), ce qui témoigne d'une prime de croissance accordée par le marché. Le P/B de 3,16x indique que les investisseurs valorisent l'entreprise à plus de trois fois sa valeur comptable, signe d'une confiance dans sa capacité à générer de la valeur future. Enfin, l'EV/EBITDA de 7,3x se situe dans une fourchette raisonnable (5-10x), suggérant une valorisation cohérente avec la capacité opérationnelle de l'entreprise.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cours de SLBC a enregistré une variation totale de -3,85%, avec une dernière séance en baisse de -0,66%, clôturant à 37 500 FCFA. Le titre a évolué dans une fourchette de 35 540 FCFA (plus bas) à 41 500 FCFA (plus haut), démontrant une amplitude de trading notable. La moyenne du cours sur la période est de 38 341 FCFA, légèrement supérieure à la médiane de 38 060 FCFA, indiquant une distribution quasi symétrique, confirmée par un skewness de 0,252. L'écart-type de 960 FCFA, avec un coefficient de variation de 2,5%, révèle une dispersion relativement faible autour de la moyenne. Le kurtosis de 0,247 (mésokurtique) suggère une distribution proche de la normale, sans risque de pics extrêmes. La volatilité annualisée de 29,6% positionne le titre dans une zone modérée à élevée, reflétant une certaine prudence des investisseurs malgré des fondamentaux solides.</w:t>
      </w:r>
    </w:p>
    <w:p>
      <w:pPr>
        <w:spacing w:after="120" w:line="276" w:lineRule="auto"/>
      </w:pPr>
      <w:r>
        <w:t>---</w:t>
      </w:r>
    </w:p>
    <w:p>
      <w:pPr>
        <w:spacing w:after="120" w:line="276" w:lineRule="auto"/>
      </w:pPr>
      <w:r>
        <w:t>### PARTIE 2 : ANALYSE TECHNIQUE DÉTAILLÉE</w:t>
      </w:r>
    </w:p>
    <w:p>
      <w:pPr>
        <w:spacing w:after="120" w:line="276" w:lineRule="auto"/>
      </w:pPr>
      <w:r>
        <w:t>**Moyennes Mobiles :** La MM20 à 37 613,5 FCFA et la MM50 à 38 551,2 FCFA sont toutes deux au-dessus du cours actuel de 37 500 FCFA, indiquant une tendance baissière à court et moyen terme. La décision de "Vente" est justifiée par cette configuration, où le prix évolue sous ses moyennes mobiles, signalant une pression vendeuse persistante.</w:t>
      </w:r>
    </w:p>
    <w:p>
      <w:pPr>
        <w:spacing w:after="120" w:line="276" w:lineRule="auto"/>
      </w:pPr>
      <w:r>
        <w:t>**Bandes de Bollinger :** Le cours se situe à 37 500 FCFA, entre la borne inférieure à 36 414,6 FCFA et la borne supérieure à 38 812,4 FCFA, proche de la zone médiane. La décision "Neutre" reflète une volatilité modérée, sans signal clair de surachat ou de survente, le prix oscillant dans un canal relativement étroit.</w:t>
      </w:r>
    </w:p>
    <w:p>
      <w:pPr>
        <w:spacing w:after="120" w:line="276" w:lineRule="auto"/>
      </w:pPr>
      <w:r>
        <w:t>**MACD :** Le MACD (-292,04) est supérieur à son signal (-341,62), suggérant un momentum haussier naissant malgré des valeurs négatives. La décision "Achat" indique un potentiel de retournement à la hausse, bien que la prudence reste de mise tant que le MACD n'a pas franchi la ligne zéro.</w:t>
      </w:r>
    </w:p>
    <w:p>
      <w:pPr>
        <w:spacing w:after="120" w:line="276" w:lineRule="auto"/>
      </w:pPr>
      <w:r>
        <w:t>**RSI :** À 55,01, le RSI se situe en zone neutre (30-70), sans signal de surachat ni de survente. La décision "Neutre" est cohérente avec une absence de pression directionnelle forte, laissant place à une consolidation.</w:t>
      </w:r>
    </w:p>
    <w:p>
      <w:pPr>
        <w:spacing w:after="120" w:line="276" w:lineRule="auto"/>
      </w:pPr>
      <w:r>
        <w:t>**Stochastique :** Le %K (50,0) et le %D (62,12) sont proches, sans croisement significatif, indiquant un équilibre entre acheteurs et vendeurs. La décision "Neutre" reflète l'absence de momentum clair, le titre semblant en phase d'attente.</w:t>
      </w:r>
    </w:p>
    <w:p>
      <w:pPr>
        <w:spacing w:after="120" w:line="276" w:lineRule="auto"/>
      </w:pPr>
      <w:r>
        <w:t>**Conclusion technique :** Les indicateurs sont globalement mitigés, avec une prédominance de signaux neutres et une seule décision d'achat (MACD) contre une vente (MM). Cette divergence suggère une consolidation à court terme, avec un potentiel de reprise si le MACD confirme son croisement haussier. Les investisseurs devraient surveiller une rupture au-dessus de la MM20 pour valider un retournement.</w:t>
      </w:r>
    </w:p>
    <w:p>
      <w:pPr>
        <w:spacing w:after="120" w:line="276" w:lineRule="auto"/>
      </w:pPr>
      <w:r>
        <w:t>---</w:t>
      </w:r>
    </w:p>
    <w:p>
      <w:pPr>
        <w:spacing w:after="120" w:line="276" w:lineRule="auto"/>
      </w:pPr>
      <w:r>
        <w:t>### PARTIE 3 : ANALYSE FONDAMENTALE (SECTION CRITIQUE)</w:t>
      </w:r>
    </w:p>
    <w:p>
      <w:pPr>
        <w:spacing w:after="120" w:line="276" w:lineRule="auto"/>
      </w:pPr>
      <w:r>
        <w:t>En 2025, SLBC a réalisé un chiffre d'affaires de 378,123 milliards FCFA, en hausse de 22,1% par rapport à 2024 (309,722 milliards FCFA), avec un résultat net de 45,781 milliards FCFA, doublant presque celui de l'année précédente (21,472 milliards FCFA). La marge nette s'est améliorée de 6,9% à 12,1%, et le ROE atteint 23,46%, un niveau excellent, tandis que le ROA s'établit à 13,48%. La structure financière est saine avec une autonomie financière de 57,48% et une capacité de remboursement de 0,67 an. Le BFR de 61,587 milliards FCFA, bien que positif, est compensé par un free cash-flow de 60,867 milliards FCFA. Les délais clients (64,27 jours) et fournisseurs (76,82 jours) sont équilibrés, tandis que la durée de stockage de 117,32 jours mérite une attention particulière. Le rapport du S1 2025 (publié en 2025) confirme cette dynamique avec un CA de 165,8 milliards FCFA (+12,3%) et un résultat net de 28,0 milliards FCFA (+175,1%). Sur la base du rapport T1 2026 (CA de 93,46 milliards FCFA, +7,6%, et résultat net de 16,26 milliards FCFA, +4,8%), on estime que l'exercice 2026 devrait maintenir une croissance soutenue, bien que modérée par rapport à 2025. La politique de dividende est généreuse, avec un dividende proposé de 2 127 FCFA par action pour 2025 (taux de distribution de 76,5%), contre 1 220 FCFA en 2024. Les risques incluent la dépendance aux matières premières et la concentration géographique, mais la solidité financière et la position de leader justifient une recommandation fondamentale positive.</w:t>
      </w:r>
    </w:p>
    <w:p>
      <w:pPr>
        <w:spacing w:after="120" w:line="276" w:lineRule="auto"/>
      </w:pPr>
      <w:r>
        <w:t>---</w:t>
      </w:r>
    </w:p>
    <w:p>
      <w:pPr>
        <w:spacing w:after="120" w:line="276" w:lineRule="auto"/>
      </w:pPr>
      <w:r>
        <w:t>### PARTIE 4 : CONCLUSION D'INVESTISSEMENT</w:t>
      </w:r>
    </w:p>
    <w:p>
      <w:pPr>
        <w:spacing w:after="120" w:line="276" w:lineRule="auto"/>
      </w:pPr>
      <w:r>
        <w:t>La valorisation de SLBC (PER 13,5x, P/B 3,16x, EV/EBITDA 7,3x) indique une prime de croissance raisonnable, cohérente avec des fondamentaux exceptionnels. Le comportement du cours sur 100 jours montre une légère baisse (-3,85%) avec une volatilité modérée (29,6%), mais une distribution symétrique et stable. Les signaux techniques sont mitigés, avec une prédominance de neutralité et une divergence entre les moyennes mobiles (vente) et le MACD (achat), suggérant une consolidation avant une possible reprise. Les fondamentaux sont très solides, avec une croissance de 22% du CA en 2025, une marge nette de 12,1%, un ROE de 23,46%, et une politique de dividende attractive (2 127 FCFA/action). Les prédictions IA pour les 10 prochains jours (37 508 à 37 384 FCFA) indiquent une stabilisation autour de 37 400 FCFA, confirmant une phase de consolidation. En synthèse, la convergence entre des fondamentaux robustes, une valorisation raisonnable et des perspectives de croissance soutenue, malgré des signaux techniques neutres, justifie une recommandation **ACHAT** avec un niveau de confiance **Élevé**. Le risque global est **Faible** à **Moyen**, et l'horizon d'investissement optimal est le **moyen terme (3-12 mois)**, en attendant une confirmation technique d'un retournement haussier.</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20260519   pouvoir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pouvoir pour l'Assemblée Générale Ordinaire de SOLIBRA du vendredi 5 juin 2026. Le document permet aux actionnaires de mandater un représentant pour voter en leur nom lors de l'assemblée qui se tiendra à 9 heures à la Salle Jewels de la Maison de l'Entreprise au Plateau. Le pouvoir reste valable en cas de seconde convocation si le quorum n'est pas atteint.</w:t>
      </w:r>
    </w:p>
    <w:p>
      <w:pPr>
        <w:spacing w:before="60"/>
        <w:ind w:left="400"/>
      </w:pPr>
      <w:r>
        <w:rPr>
          <w:b/>
          <w:sz w:val="18"/>
        </w:rPr>
        <w:t>Points clés :</w:t>
      </w:r>
    </w:p>
    <w:p>
      <w:pPr>
        <w:pStyle w:val="ListBullet"/>
        <w:spacing w:before="20" w:after="20"/>
        <w:ind w:left="700"/>
      </w:pPr>
      <w:r>
        <w:rPr>
          <w:sz w:val="18"/>
        </w:rPr>
        <w:t>Assemblée Générale Ordinaire prévue le vendredi 5 juin 2026 à 9 heures</w:t>
      </w:r>
    </w:p>
    <w:p>
      <w:pPr>
        <w:pStyle w:val="ListBullet"/>
        <w:spacing w:before="20" w:after="20"/>
        <w:ind w:left="700"/>
      </w:pPr>
      <w:r>
        <w:rPr>
          <w:sz w:val="18"/>
        </w:rPr>
        <w:t>Lieu : Salle Jewels de la Maison de l'Entreprise, Plateau, Avenue Lamblin</w:t>
      </w:r>
    </w:p>
    <w:p>
      <w:pPr>
        <w:pStyle w:val="ListBullet"/>
        <w:spacing w:before="20" w:after="20"/>
        <w:ind w:left="700"/>
      </w:pPr>
      <w:r>
        <w:rPr>
          <w:sz w:val="18"/>
        </w:rPr>
        <w:t>Capital social de SOLIBRA : 4.115.210.000 F CFA</w:t>
      </w:r>
    </w:p>
    <w:p>
      <w:pPr>
        <w:pStyle w:val="ListBullet"/>
        <w:spacing w:before="20" w:after="20"/>
        <w:ind w:left="700"/>
      </w:pPr>
      <w:r>
        <w:rPr>
          <w:sz w:val="18"/>
        </w:rPr>
        <w:t>Formulaire de pouvoir permettant la représentation des actionnaires</w:t>
      </w:r>
    </w:p>
    <w:p>
      <w:pPr>
        <w:pStyle w:val="ListBullet"/>
        <w:spacing w:before="20" w:after="20"/>
        <w:ind w:left="700"/>
      </w:pPr>
      <w:r>
        <w:rPr>
          <w:sz w:val="18"/>
        </w:rPr>
        <w:t>Pouvoir valable pour une éventuelle seconde convocation en cas de défaut de quorum</w:t>
      </w:r>
    </w:p>
    <w:p>
      <w:pPr>
        <w:ind w:left="400"/>
      </w:pPr>
      <w:r>
        <w:rPr>
          <w:color w:val="B4B4B4"/>
          <w:sz w:val="14"/>
        </w:rPr>
        <w:t xml:space="preserve">· · · · · · · · · · · · · · · · · · · · · · · · · · · · · · </w:t>
      </w:r>
    </w:p>
    <w:p>
      <w:pPr>
        <w:spacing w:before="160"/>
      </w:pPr>
      <w:r>
        <w:rPr>
          <w:b/>
          <w:color w:val="0066CC"/>
          <w:sz w:val="20"/>
        </w:rPr>
        <w:t xml:space="preserve">[2] </w:t>
      </w:r>
      <w:r>
        <w:rPr>
          <w:b/>
          <w:sz w:val="20"/>
        </w:rPr>
        <w:t>20260519   formulaire de vote par correspondance   assemblee generale ordinaire   solibra ci</w:t>
      </w:r>
    </w:p>
    <w:p>
      <w:pPr>
        <w:spacing w:before="20"/>
        <w:ind w:left="400"/>
      </w:pPr>
      <w:r>
        <w:rPr>
          <w:color w:val="505050"/>
          <w:sz w:val="17"/>
        </w:rPr>
        <w:t xml:space="preserve">Date : 20/05/2026  |  Catégorie : convocation AG  |  Impact : </w:t>
      </w:r>
      <w:r>
        <w:rPr>
          <w:b/>
          <w:color w:val="646464"/>
          <w:sz w:val="17"/>
        </w:rPr>
        <w:t>⚪ NEUTRE</w:t>
      </w:r>
    </w:p>
    <w:p>
      <w:pPr>
        <w:spacing w:before="40"/>
        <w:ind w:left="400"/>
      </w:pPr>
      <w:r>
        <w:rPr>
          <w:sz w:val="18"/>
        </w:rPr>
        <w:t>Formulaire de vote par correspondance pour l'Assemblée Générale Ordinaire de SOLIBRA du 05 juin 2026. Le document permet aux actionnaires de voter à distance sur 8 résolutions. Le formulaire doit être reçu par la société au plus tard 24 heures avant l'assemblée.</w:t>
      </w:r>
    </w:p>
    <w:p>
      <w:pPr>
        <w:spacing w:before="60"/>
        <w:ind w:left="400"/>
      </w:pPr>
      <w:r>
        <w:rPr>
          <w:b/>
          <w:sz w:val="18"/>
        </w:rPr>
        <w:t>Points clés :</w:t>
      </w:r>
    </w:p>
    <w:p>
      <w:pPr>
        <w:pStyle w:val="ListBullet"/>
        <w:spacing w:before="20" w:after="20"/>
        <w:ind w:left="700"/>
      </w:pPr>
      <w:r>
        <w:rPr>
          <w:sz w:val="18"/>
        </w:rPr>
        <w:t>Assemblée Générale Ordinaire prévue le vendredi 05 juin 2026</w:t>
      </w:r>
    </w:p>
    <w:p>
      <w:pPr>
        <w:pStyle w:val="ListBullet"/>
        <w:spacing w:before="20" w:after="20"/>
        <w:ind w:left="700"/>
      </w:pPr>
      <w:r>
        <w:rPr>
          <w:sz w:val="18"/>
        </w:rPr>
        <w:t>8 résolutions soumises au vote des actionnaires</w:t>
      </w:r>
    </w:p>
    <w:p>
      <w:pPr>
        <w:pStyle w:val="ListBullet"/>
        <w:spacing w:before="20" w:after="20"/>
        <w:ind w:left="700"/>
      </w:pPr>
      <w:r>
        <w:rPr>
          <w:sz w:val="18"/>
        </w:rPr>
        <w:t>Possibilité de vote par correspondance selon l'article 26 des statuts</w:t>
      </w:r>
    </w:p>
    <w:p>
      <w:pPr>
        <w:pStyle w:val="ListBullet"/>
        <w:spacing w:before="20" w:after="20"/>
        <w:ind w:left="700"/>
      </w:pPr>
      <w:r>
        <w:rPr>
          <w:sz w:val="18"/>
        </w:rPr>
        <w:t>Délai de réception du formulaire : 24 heures avant la tenue de l'assemblée</w:t>
      </w:r>
    </w:p>
    <w:p>
      <w:pPr>
        <w:pStyle w:val="ListBullet"/>
        <w:spacing w:before="20" w:after="20"/>
        <w:ind w:left="700"/>
      </w:pPr>
      <w:r>
        <w:rPr>
          <w:sz w:val="18"/>
        </w:rPr>
        <w:t>Toute abstention ou absence d'indication sera assimilée à un vote défavorable</w:t>
      </w:r>
    </w:p>
    <w:p>
      <w:pPr>
        <w:ind w:left="400"/>
      </w:pPr>
      <w:r>
        <w:rPr>
          <w:color w:val="B4B4B4"/>
          <w:sz w:val="14"/>
        </w:rPr>
        <w:t xml:space="preserve">· · · · · · · · · · · · · · · · · · · · · · · · · · · · · · </w:t>
      </w:r>
    </w:p>
    <w:p>
      <w:pPr>
        <w:spacing w:before="160"/>
      </w:pPr>
      <w:r>
        <w:rPr>
          <w:b/>
          <w:color w:val="0066CC"/>
          <w:sz w:val="20"/>
        </w:rPr>
        <w:t xml:space="preserve">[3] </w:t>
      </w:r>
      <w:r>
        <w:rPr>
          <w:b/>
          <w:sz w:val="20"/>
        </w:rPr>
        <w:t>20260519   avis de convocation   assemblee generale ordinaire   solibra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SOLIBRA convoque ses actionnaires en Assemblée Générale Ordinaire le 05 juin 2026 pour approuver les comptes 2025 et distribuer un dividende. La société a réalisé un bénéfice net de 45,78 milliards FCFA et propose un dividende de 2.127 FCFA par action. L'ordre du jour inclut également le renouvellement des mandats d'administrateurs et de commissaires aux comptes.</w:t>
      </w:r>
    </w:p>
    <w:p>
      <w:pPr>
        <w:spacing w:before="60"/>
        <w:ind w:left="400"/>
      </w:pPr>
      <w:r>
        <w:rPr>
          <w:b/>
          <w:sz w:val="18"/>
        </w:rPr>
        <w:t>Points clés :</w:t>
      </w:r>
    </w:p>
    <w:p>
      <w:pPr>
        <w:pStyle w:val="ListBullet"/>
        <w:spacing w:before="20" w:after="20"/>
        <w:ind w:left="700"/>
      </w:pPr>
      <w:r>
        <w:rPr>
          <w:sz w:val="18"/>
        </w:rPr>
        <w:t>Assemblée Générale Ordinaire convoquée pour le 05 juin 2026 à 9h</w:t>
      </w:r>
    </w:p>
    <w:p>
      <w:pPr>
        <w:pStyle w:val="ListBullet"/>
        <w:spacing w:before="20" w:after="20"/>
        <w:ind w:left="700"/>
      </w:pPr>
      <w:r>
        <w:rPr>
          <w:sz w:val="18"/>
        </w:rPr>
        <w:t>Bénéfice net de 45.781.024.496 FCFA pour l'exercice 2025</w:t>
      </w:r>
    </w:p>
    <w:p>
      <w:pPr>
        <w:pStyle w:val="ListBullet"/>
        <w:spacing w:before="20" w:after="20"/>
        <w:ind w:left="700"/>
      </w:pPr>
      <w:r>
        <w:rPr>
          <w:sz w:val="18"/>
        </w:rPr>
        <w:t>Dividende brut unitaire proposé de 2.127 FCFA par action</w:t>
      </w:r>
    </w:p>
    <w:p>
      <w:pPr>
        <w:pStyle w:val="ListBullet"/>
        <w:spacing w:before="20" w:after="20"/>
        <w:ind w:left="700"/>
      </w:pPr>
      <w:r>
        <w:rPr>
          <w:sz w:val="18"/>
        </w:rPr>
        <w:t>Démission de Guy DE CLERCQ de son mandat d'administrateur</w:t>
      </w:r>
    </w:p>
    <w:p>
      <w:pPr>
        <w:pStyle w:val="ListBullet"/>
        <w:spacing w:before="20" w:after="20"/>
        <w:ind w:left="700"/>
      </w:pPr>
      <w:r>
        <w:rPr>
          <w:sz w:val="18"/>
        </w:rPr>
        <w:t>Renouvellement des mandats des commissaires aux comptes KPMG CI et Francis DESCLERCS</w:t>
      </w:r>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trimestriels d\u00e9montrent une croissance solide et \u00e9quilibr\u00e9e avec une progression du chiffre d'affaires sup\u00e9rieure \u00e0 celle du r\u00e9sultat net, t\u00e9moignant d'un contr\u00f4le des co\u00fbts efficace. La position de leader sur le march\u00e9 ivoirien et la dynamique positive justifient une recommandation de conservation."}</w:t>
      </w:r>
    </w:p>
    <w:p>
      <w:pPr>
        <w:spacing w:before="40"/>
        <w:ind w:left="400"/>
      </w:pPr>
      <w:r>
        <w:rPr>
          <w:sz w:val="18"/>
        </w:rPr>
        <w:t>SOLIBRA présente des résultats solides pour le premier trimestre 2026 avec une croissance du chiffre d'affaires de +7,6% atteignant 93,46 milliards FCFA. Le volume distribué progresse significativement de +9,6% avec 1,839 millions d'hectolitres contre 1,678 millions un an plus tôt. Les activités ordinaires affichent une hausse de +4,1% à 21,50 milliards FCFA, confirmant la bonne dynamique opérationnelle. Le résultat net s'établit à 16,26 milliards FCFA en progression de +4,8% par rapport aux 15,52 milliards FCFA du premier trimestre 2025. Ces performances renforcent la position de leader de SOLIBRA sur le marché ivoirien des boissons et limonades.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'+7,6%', 'volume_distribue': "1,839 millions d'hectolitres", 'croissance_volume': '+9,6%', 'croissance_resultat_net': '+4,8%', 'resultat_activites_ordinaires': '21,50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17,4%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16,26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93,46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à 93,46 milliards FCFA au T1 2026</w:t>
      </w:r>
    </w:p>
    <w:p>
      <w:pPr>
        <w:pStyle w:val="ListBullet"/>
        <w:spacing w:before="20" w:after="20"/>
        <w:ind w:left="700"/>
      </w:pPr>
      <w:r>
        <w:rPr>
          <w:sz w:val="18"/>
        </w:rPr>
        <w:t>Progression significative du volume distribué de +9,6% avec 1,839 millions d'hectolitres</w:t>
      </w:r>
    </w:p>
    <w:p>
      <w:pPr>
        <w:pStyle w:val="ListBullet"/>
        <w:spacing w:before="20" w:after="20"/>
        <w:ind w:left="700"/>
      </w:pPr>
      <w:r>
        <w:rPr>
          <w:sz w:val="18"/>
        </w:rPr>
        <w:t>Hausse du résultat des activités ordinaires de +4,1% à 21,50 milliards FCFA</w:t>
      </w:r>
    </w:p>
    <w:p>
      <w:pPr>
        <w:pStyle w:val="ListBullet"/>
        <w:spacing w:before="20" w:after="20"/>
        <w:ind w:left="700"/>
      </w:pPr>
      <w:r>
        <w:rPr>
          <w:sz w:val="18"/>
        </w:rPr>
        <w:t>Augmentation du résultat net de +4,8% à 16,26 milliards FCFA</w:t>
      </w:r>
    </w:p>
    <w:p>
      <w:pPr>
        <w:pStyle w:val="ListBullet"/>
        <w:spacing w:before="20" w:after="20"/>
        <w:ind w:left="700"/>
      </w:pPr>
      <w:r>
        <w:rPr>
          <w:sz w:val="18"/>
        </w:rPr>
        <w:t>Position de leader renforcée sur le marché ivoirien des boissons</w:t>
      </w:r>
    </w:p>
    <w:p>
      <w:pPr>
        <w:pStyle w:val="ListBullet"/>
        <w:spacing w:before="20" w:after="20"/>
        <w:ind w:left="700"/>
      </w:pPr>
      <w:r>
        <w:rPr>
          <w:sz w:val="18"/>
        </w:rPr>
        <w:t>Dynamique positive sur tous les indicateurs opérationnels clés</w:t>
      </w:r>
    </w:p>
    <w:p>
      <w:pPr>
        <w:spacing w:before="40"/>
        <w:ind w:left="400"/>
      </w:pPr>
      <w:r>
        <w:rPr>
          <w:b/>
          <w:color w:val="C05000"/>
          <w:sz w:val="18"/>
        </w:rPr>
        <w:t xml:space="preserve">⚠️ Risques : </w:t>
      </w:r>
      <w:r>
        <w:rPr>
          <w:sz w:val="18"/>
        </w:rPr>
        <w:t>["D\u00e9pendance au march\u00e9 ivoirien et exposition aux fluctuations \u00e9conomiques locales", "Pression concurrentielle potentielle sur le secteur des boissons", "\u00c9volution des co\u00fbts des mati\u00e8res premi\u00e8res et de l'\u00e9nergie"]</w:t>
      </w:r>
    </w:p>
    <w:p>
      <w:pPr>
        <w:spacing w:before="40"/>
        <w:ind w:left="400"/>
      </w:pPr>
      <w:r>
        <w:rPr>
          <w:b/>
          <w:color w:val="0064A0"/>
          <w:sz w:val="18"/>
        </w:rPr>
        <w:t xml:space="preserve">🔮 Perspectives : </w:t>
      </w:r>
      <w:r>
        <w:rPr>
          <w:sz w:val="18"/>
        </w:rPr>
        <w:t>SOLIBRA affiche une trajectoire positive qui devrait se poursuivre grâce à sa position dominante sur le marché ivoirien. La croissance des volumes et du chiffre d'affaires laisse présager une année 2026 favorable, sous réserve du maintien de la dynamique économique en Côte d'Ivoire.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2025 de SOLIBRA sont exceptionnelles avec un doublement du r\u00e9sultat net et une am\u00e9lioration remarquable des marges. La soci\u00e9t\u00e9 combine croissance profitable, g\u00e9n\u00e9ration de cash-flow robuste et politique de dividende attractive."}</w:t>
      </w:r>
    </w:p>
    <w:p>
      <w:pPr>
        <w:spacing w:before="40"/>
        <w:ind w:left="400"/>
      </w:pPr>
      <w:r>
        <w:rPr>
          <w:sz w:val="18"/>
        </w:rPr>
        <w:t>SOLIBRA affiche une performance exceptionnelle en 2025 avec un chiffre d'affaires en hausse de 22% à 378,1 milliards FCFA et un résultat net qui double pratiquement à 45,8 milliards FCFA. La marge nette s'améliore significativement de 6,9% à 12,1%, témoignant d'une meilleure maîtrise des coûts et d'une stratégie commerciale efficace. L'EBITDA progresse de 52% à 87,4 milliards FCFA, confirmant la solidité opérationnelle de l'entreprise. La structure financière se renforce avec des capitaux propres en croissance et une position de trésorerie nettement améliorée. La société propose un dividende généreux de 35 milliards FCFA, reflétant sa confiance dans ses performances futures.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'87,445 milliards FCFA', 'croissance_ca': '22%', 'ratio_distribution': '74%', 'croissance_resultat_net': '113%'}</w:t>
            </w:r>
          </w:p>
        </w:tc>
        <w:tc>
          <w:tcPr>
            <w:tcW w:type="dxa" w:w="2160"/>
          </w:tcPr>
          <w:p>
            <w:pPr>
              <w:ind w:left="100"/>
            </w:pPr>
            <w:r/>
            <w:r>
              <w:rPr>
                <w:b/>
                <w:sz w:val="16"/>
              </w:rPr>
              <w:t>dividende</w:t>
              <w:br/>
            </w:r>
            <w:r>
              <w:rPr>
                <w:sz w:val="18"/>
              </w:rPr>
              <w:t>35,012 milliards FCFA</w:t>
            </w:r>
          </w:p>
        </w:tc>
        <w:tc>
          <w:tcPr>
            <w:tcW w:type="dxa" w:w="2160"/>
          </w:tcPr>
          <w:p>
            <w:pPr>
              <w:ind w:left="100"/>
            </w:pPr>
            <w:r/>
            <w:r>
              <w:rPr>
                <w:b/>
                <w:sz w:val="16"/>
              </w:rPr>
              <w:t>marge_nette</w:t>
              <w:br/>
            </w:r>
            <w:r>
              <w:rPr>
                <w:sz w:val="18"/>
              </w:rPr>
              <w:t>12,1%</w:t>
            </w:r>
          </w:p>
        </w:tc>
        <w:tc>
          <w:tcPr>
            <w:tcW w:type="dxa" w:w="2160"/>
          </w:tcPr>
          <w:p>
            <w:pPr>
              <w:ind w:left="100"/>
            </w:pPr>
            <w:r/>
            <w:r>
              <w:rPr>
                <w:b/>
                <w:sz w:val="16"/>
              </w:rPr>
              <w:t>total_actif</w:t>
              <w:br/>
            </w:r>
            <w:r>
              <w:rPr>
                <w:sz w:val="18"/>
              </w:rPr>
              <w:t>339,517 milliards FCFA</w:t>
            </w:r>
          </w:p>
        </w:tc>
      </w:tr>
      <w:tr>
        <w:tc>
          <w:tcPr>
            <w:tcW w:type="dxa" w:w="2160"/>
          </w:tcPr>
          <w:p>
            <w:r/>
            <w:r>
              <w:rPr>
                <w:b/>
                <w:sz w:val="16"/>
              </w:rPr>
              <w:t>resultat_net</w:t>
              <w:br/>
            </w:r>
            <w:r>
              <w:rPr>
                <w:sz w:val="18"/>
              </w:rPr>
              <w:t>45,781 milliards FCFA</w:t>
            </w:r>
          </w:p>
        </w:tc>
        <w:tc>
          <w:tcPr>
            <w:tcW w:type="dxa" w:w="2160"/>
          </w:tcPr>
          <w:p>
            <w:r/>
            <w:r>
              <w:rPr>
                <w:b/>
                <w:sz w:val="16"/>
              </w:rPr>
              <w:t>capitaux_propres</w:t>
              <w:br/>
            </w:r>
            <w:r>
              <w:rPr>
                <w:sz w:val="18"/>
              </w:rPr>
              <w:t>195,142 milliards FCFA</w:t>
            </w:r>
          </w:p>
        </w:tc>
        <w:tc>
          <w:tcPr>
            <w:tcW w:type="dxa" w:w="2160"/>
          </w:tcPr>
          <w:p>
            <w:r/>
            <w:r>
              <w:rPr>
                <w:b/>
                <w:sz w:val="16"/>
              </w:rPr>
              <w:t>chiffre_affaires</w:t>
              <w:br/>
            </w:r>
            <w:r>
              <w:rPr>
                <w:sz w:val="18"/>
              </w:rPr>
              <w:t>378,123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remarquable du chiffre d'affaires de 22% en 2025 à 378,1 milliards FCFA</w:t>
      </w:r>
    </w:p>
    <w:p>
      <w:pPr>
        <w:pStyle w:val="ListBullet"/>
        <w:spacing w:before="20" w:after="20"/>
        <w:ind w:left="700"/>
      </w:pPr>
      <w:r>
        <w:rPr>
          <w:sz w:val="18"/>
        </w:rPr>
        <w:t>Explosion du résultat net de +113% à 45,8 milliards FCFA contre 21,5 milliards en 2024</w:t>
      </w:r>
    </w:p>
    <w:p>
      <w:pPr>
        <w:pStyle w:val="ListBullet"/>
        <w:spacing w:before="20" w:after="20"/>
        <w:ind w:left="700"/>
      </w:pPr>
      <w:r>
        <w:rPr>
          <w:sz w:val="18"/>
        </w:rPr>
        <w:t>Amélioration spectaculaire de la marge nette de 6,9% à 12,1%</w:t>
      </w:r>
    </w:p>
    <w:p>
      <w:pPr>
        <w:pStyle w:val="ListBullet"/>
        <w:spacing w:before="20" w:after="20"/>
        <w:ind w:left="700"/>
      </w:pPr>
      <w:r>
        <w:rPr>
          <w:sz w:val="18"/>
        </w:rPr>
        <w:t>EBITDA en forte progression de 52% à 87,4 milliards FCFA</w:t>
      </w:r>
    </w:p>
    <w:p>
      <w:pPr>
        <w:pStyle w:val="ListBullet"/>
        <w:spacing w:before="20" w:after="20"/>
        <w:ind w:left="700"/>
      </w:pPr>
      <w:r>
        <w:rPr>
          <w:sz w:val="18"/>
        </w:rPr>
        <w:t>Amélioration significative de la trésorerie nette passant de -14,1 milliards à +22,1 milliards FCFA</w:t>
      </w:r>
    </w:p>
    <w:p>
      <w:pPr>
        <w:pStyle w:val="ListBullet"/>
        <w:spacing w:before="20" w:after="20"/>
        <w:ind w:left="700"/>
      </w:pPr>
      <w:r>
        <w:rPr>
          <w:sz w:val="18"/>
        </w:rPr>
        <w:t>Proposition de dividende attractif de 35 milliards FCFA soit 74% du résultat net</w:t>
      </w:r>
    </w:p>
    <w:p>
      <w:pPr>
        <w:spacing w:before="40"/>
        <w:ind w:left="400"/>
      </w:pPr>
      <w:r>
        <w:rPr>
          <w:b/>
          <w:color w:val="C05000"/>
          <w:sz w:val="18"/>
        </w:rPr>
        <w:t xml:space="preserve">⚠️ Risques : </w:t>
      </w:r>
      <w:r>
        <w:rPr>
          <w:sz w:val="18"/>
        </w:rPr>
        <w:t>["Forte d\u00e9pendance aux mati\u00e8res premi\u00e8res avec 90 milliards FCFA d'achats expos\u00e9s \u00e0 la volatilit\u00e9 des prix", "Concentration g\u00e9ographique sur les march\u00e9s africains sujets aux instabilit\u00e9s politiques et \u00e9conomiques", "Pression concurrentielle dans le s</w:t>
      </w:r>
    </w:p>
    <w:p>
      <w:pPr>
        <w:spacing w:before="40"/>
        <w:ind w:left="400"/>
      </w:pPr>
      <w:r>
        <w:rPr>
          <w:b/>
          <w:color w:val="0064A0"/>
          <w:sz w:val="18"/>
        </w:rPr>
        <w:t xml:space="preserve">🔮 Perspectives : </w:t>
      </w:r>
      <w:r>
        <w:rPr>
          <w:sz w:val="18"/>
        </w:rPr>
        <w:t>Les perspectives 2026 semblent favorables compte tenu de la dynamique commerciale positive et de l'amélioration continue de la rentabilité opérationnelle. La société dispose d'une base financière solide pour poursuivre sa croissance et maintenir sa politique de distribution attractive aux actionnair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en 2017, les investissements massifs r\u00e9alis\u00e9s devraient porter leurs fruits \u00e0 moyen terme. La solidit\u00e9 financi\u00e8re et le maintien du dividende t\u00e9moignent de la confiance du management dans la strat\u00e9gie de d\u00e9veloppement."}</w:t>
      </w:r>
    </w:p>
    <w:p>
      <w:pPr>
        <w:spacing w:before="40"/>
        <w:ind w:left="400"/>
      </w:pPr>
      <w:r>
        <w:rPr>
          <w:sz w:val="18"/>
        </w:rPr>
        <w:t>SOLIBRA, société de limonaderies et brasseries, a enregistré en 2017 un chiffre d'affaires stable à 193,4 milliards FCFA (+1%). Cependant, la rentabilité s'est fortement dégradée avec un résultat net en chute de 84,6% à 4,3 milliards FCFA contre 27,6 milliards en 2016. L'excédent brut d'exploitation a chuté de 48,4% à 27,3 milliards FCFA, principalement impacté par une hausse significative des autres achats et charges externes (+35%). La société maintient néanmoins une structure financière solide avec 101,6 milliards FCFA de capitaux propres. Les investissements massifs en immobilisations (91,6 milliards FCFA) témoignent d'une stratégie de développement ambitieuse.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'45,501 millions FCFA', 'charges_financieres': '3,062 millions FCFA', 'variation_tresorerie': '-24,555 millions FCFA', 'excedent_brut_exploitation': '27,341 millions FCFA'}</w:t>
            </w:r>
          </w:p>
        </w:tc>
        <w:tc>
          <w:tcPr>
            <w:tcW w:type="dxa" w:w="2160"/>
          </w:tcPr>
          <w:p>
            <w:pPr>
              <w:ind w:left="100"/>
            </w:pPr>
            <w:r/>
            <w:r>
              <w:rPr>
                <w:b/>
                <w:sz w:val="16"/>
              </w:rPr>
              <w:t>dividende</w:t>
              <w:br/>
            </w:r>
            <w:r>
              <w:rPr>
                <w:sz w:val="18"/>
              </w:rPr>
              <w:t>4,246,896,720 FCFA au total</w:t>
            </w:r>
          </w:p>
        </w:tc>
        <w:tc>
          <w:tcPr>
            <w:tcW w:type="dxa" w:w="2160"/>
          </w:tcPr>
          <w:p>
            <w:pPr>
              <w:ind w:left="100"/>
            </w:pPr>
            <w:r/>
            <w:r>
              <w:rPr>
                <w:b/>
                <w:sz w:val="16"/>
              </w:rPr>
              <w:t>marge_nette</w:t>
              <w:br/>
            </w:r>
            <w:r>
              <w:rPr>
                <w:sz w:val="18"/>
              </w:rPr>
              <w:t>2,2%</w:t>
            </w:r>
          </w:p>
        </w:tc>
        <w:tc>
          <w:tcPr>
            <w:tcW w:type="dxa" w:w="2160"/>
          </w:tcPr>
          <w:p>
            <w:pPr>
              <w:ind w:left="100"/>
            </w:pPr>
            <w:r/>
            <w:r>
              <w:rPr>
                <w:b/>
                <w:sz w:val="16"/>
              </w:rPr>
              <w:t>total_actif</w:t>
              <w:br/>
            </w:r>
            <w:r>
              <w:rPr>
                <w:sz w:val="18"/>
              </w:rPr>
              <w:t>258,729 millions FCFA</w:t>
            </w:r>
          </w:p>
        </w:tc>
      </w:tr>
      <w:tr>
        <w:tc>
          <w:tcPr>
            <w:tcW w:type="dxa" w:w="2160"/>
          </w:tcPr>
          <w:p>
            <w:r/>
            <w:r>
              <w:rPr>
                <w:b/>
                <w:sz w:val="16"/>
              </w:rPr>
              <w:t>resultat_net</w:t>
              <w:br/>
            </w:r>
            <w:r>
              <w:rPr>
                <w:sz w:val="18"/>
              </w:rPr>
              <w:t>4,250 millions FCFA</w:t>
            </w:r>
          </w:p>
        </w:tc>
        <w:tc>
          <w:tcPr>
            <w:tcW w:type="dxa" w:w="2160"/>
          </w:tcPr>
          <w:p>
            <w:r/>
            <w:r>
              <w:rPr>
                <w:b/>
                <w:sz w:val="16"/>
              </w:rPr>
              <w:t>capitaux_propres</w:t>
              <w:br/>
            </w:r>
            <w:r>
              <w:rPr>
                <w:sz w:val="18"/>
              </w:rPr>
              <w:t>101,604 millions FCFA</w:t>
            </w:r>
          </w:p>
        </w:tc>
        <w:tc>
          <w:tcPr>
            <w:tcW w:type="dxa" w:w="2160"/>
          </w:tcPr>
          <w:p>
            <w:r/>
            <w:r>
              <w:rPr>
                <w:b/>
                <w:sz w:val="16"/>
              </w:rPr>
              <w:t>chiffre_affaires</w:t>
              <w:br/>
            </w:r>
            <w:r>
              <w:rPr>
                <w:sz w:val="18"/>
              </w:rPr>
              <w:t>193,372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stable à 193,4 milliards FCFA (+1% vs 2016)</w:t>
      </w:r>
    </w:p>
    <w:p>
      <w:pPr>
        <w:pStyle w:val="ListBullet"/>
        <w:spacing w:before="20" w:after="20"/>
        <w:ind w:left="700"/>
      </w:pPr>
      <w:r>
        <w:rPr>
          <w:sz w:val="18"/>
        </w:rPr>
        <w:t>Effondrement du résultat net de 84,6% à 4,3 milliards FCFA</w:t>
      </w:r>
    </w:p>
    <w:p>
      <w:pPr>
        <w:pStyle w:val="ListBullet"/>
        <w:spacing w:before="20" w:after="20"/>
        <w:ind w:left="700"/>
      </w:pPr>
      <w:r>
        <w:rPr>
          <w:sz w:val="18"/>
        </w:rPr>
        <w:t>Forte dégradation de l'excédent brut d'exploitation (-48,4%)</w:t>
      </w:r>
    </w:p>
    <w:p>
      <w:pPr>
        <w:pStyle w:val="ListBullet"/>
        <w:spacing w:before="20" w:after="20"/>
        <w:ind w:left="700"/>
      </w:pPr>
      <w:r>
        <w:rPr>
          <w:sz w:val="18"/>
        </w:rPr>
        <w:t>Explosion des autres achats et charges externes (+35% à 77,7 milliards FCFA)</w:t>
      </w:r>
    </w:p>
    <w:p>
      <w:pPr>
        <w:pStyle w:val="ListBullet"/>
        <w:spacing w:before="20" w:after="20"/>
        <w:ind w:left="700"/>
      </w:pPr>
      <w:r>
        <w:rPr>
          <w:sz w:val="18"/>
        </w:rPr>
        <w:t>Investissements massifs de 91,6 milliards FCFA en immobilisations</w:t>
      </w:r>
    </w:p>
    <w:p>
      <w:pPr>
        <w:pStyle w:val="ListBullet"/>
        <w:spacing w:before="20" w:after="20"/>
        <w:ind w:left="700"/>
      </w:pPr>
      <w:r>
        <w:rPr>
          <w:sz w:val="18"/>
        </w:rPr>
        <w:t>Structure financière solide avec 101,6 milliards FCFA de capitaux propres</w:t>
      </w:r>
    </w:p>
    <w:p>
      <w:pPr>
        <w:spacing w:before="40"/>
        <w:ind w:left="400"/>
      </w:pPr>
      <w:r>
        <w:rPr>
          <w:b/>
          <w:color w:val="C05000"/>
          <w:sz w:val="18"/>
        </w:rPr>
        <w:t xml:space="preserve">⚠️ Risques : </w:t>
      </w:r>
      <w:r>
        <w:rPr>
          <w:sz w:val="18"/>
        </w:rPr>
        <w:t>["D\u00e9t\u00e9rioration marqu\u00e9e de la rentabilit\u00e9 op\u00e9rationnelle avec une marge nette divis\u00e9e par 6", "Forte hausse des charges externes qui pourrait peser durablement sur les marges", "D\u00e9gradation de la tr\u00e9sorerie de 24,6 milliards FCFA n\u00e9cessitant un suivi atte</w:t>
      </w:r>
    </w:p>
    <w:p>
      <w:pPr>
        <w:spacing w:before="40"/>
        <w:ind w:left="400"/>
      </w:pPr>
      <w:r>
        <w:rPr>
          <w:b/>
          <w:color w:val="0064A0"/>
          <w:sz w:val="18"/>
        </w:rPr>
        <w:t xml:space="preserve">🔮 Perspectives : </w:t>
      </w:r>
      <w:r>
        <w:rPr>
          <w:sz w:val="18"/>
        </w:rPr>
        <w:t>Les lourds investissements de 2017 devraient commencer à générer des revenus supplémentaires et améliorer l'efficacité opérationnelle. La capacité de la société à maîtriser ses charges externes sera déterminante pour le retour à une rentabilité satisfaisante. Le secteur des boissons en Afrique reste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significative du r\u00e9sultat net, la progression du volume distribu\u00e9 (+12,9%) et les investissements strat\u00e9giques en cours sugg\u00e8rent un potentiel de redressement. La soci\u00e9t\u00e9 traverse une phase de transition n\u00e9cessaire pour maintenir sa comp\u00e9titivit\u00e9 face \u00e0 la concurrence accrue."}</w:t>
      </w:r>
    </w:p>
    <w:p>
      <w:pPr>
        <w:spacing w:before="40"/>
        <w:ind w:left="400"/>
      </w:pPr>
      <w:r>
        <w:rPr>
          <w:sz w:val="18"/>
        </w:rPr>
        <w:t>SOLIBRA affiche des résultats mitigés pour le premier semestre 2018 avec un chiffre d'affaires en légère baisse de 1,1% à 87,6 milliards FCFA. Le résultat net chute drastiquement de 53,1% à 3,4 milliards FCFA, illustrant les difficultés opérationnelles de la société. Malgré cette performance décevante, le volume distribué progresse positivement de 12,9%, témoignant d'une stratégie commerciale efficace. La société fait face à des défis importants liés à la concurrence accrue et aux investissements en capacité de production. Les perspectives restent incertaines avec des efforts de réforme et de rénovation nécessaires pour maintenir la compétitivité.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 '309 906 501 FCFA', 'resultat_financier': '-2 964 036 782 FCFA', 'resultat_exploitation': '6 388 878 374 FCFA', 'volume_distribue_progression': '12,9%'}</w:t>
            </w:r>
          </w:p>
        </w:tc>
        <w:tc>
          <w:tcPr>
            <w:tcW w:type="dxa" w:w="2160"/>
          </w:tcPr>
          <w:p>
            <w:pPr>
              <w:ind w:left="100"/>
            </w:pPr>
            <w:r/>
            <w:r>
              <w:rPr>
                <w:b/>
                <w:sz w:val="16"/>
              </w:rPr>
              <w:t>dividende</w:t>
              <w:br/>
            </w:r>
            <w:r>
              <w:rPr>
                <w:sz w:val="18"/>
              </w:rPr>
              <w:t>2 439 304 FCFA par action</w:t>
            </w:r>
          </w:p>
        </w:tc>
        <w:tc>
          <w:tcPr>
            <w:tcW w:type="dxa" w:w="2160"/>
          </w:tcPr>
          <w:p>
            <w:pPr>
              <w:ind w:left="100"/>
            </w:pPr>
            <w:r/>
            <w:r>
              <w:rPr>
                <w:b/>
                <w:sz w:val="16"/>
              </w:rPr>
              <w:t>marge_nette</w:t>
              <w:br/>
            </w:r>
            <w:r>
              <w:rPr>
                <w:sz w:val="18"/>
              </w:rPr>
              <w:t>3,9%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3 430 863 192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87 585 803 351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1,1% à 87,6 milliards FCFA au S1 2018</w:t>
      </w:r>
    </w:p>
    <w:p>
      <w:pPr>
        <w:pStyle w:val="ListBullet"/>
        <w:spacing w:before="20" w:after="20"/>
        <w:ind w:left="700"/>
      </w:pPr>
      <w:r>
        <w:rPr>
          <w:sz w:val="18"/>
        </w:rPr>
        <w:t>Résultat net en forte chute de 53,1% à 3,4 milliards FCFA</w:t>
      </w:r>
    </w:p>
    <w:p>
      <w:pPr>
        <w:pStyle w:val="ListBullet"/>
        <w:spacing w:before="20" w:after="20"/>
        <w:ind w:left="700"/>
      </w:pPr>
      <w:r>
        <w:rPr>
          <w:sz w:val="18"/>
        </w:rPr>
        <w:t>Volume distribué en progression encourageante de 12,9%</w:t>
      </w:r>
    </w:p>
    <w:p>
      <w:pPr>
        <w:pStyle w:val="ListBullet"/>
        <w:spacing w:before="20" w:after="20"/>
        <w:ind w:left="700"/>
      </w:pPr>
      <w:r>
        <w:rPr>
          <w:sz w:val="18"/>
        </w:rPr>
        <w:t>Résultat d'exploitation en recul significatif de 38,6%</w:t>
      </w:r>
    </w:p>
    <w:p>
      <w:pPr>
        <w:pStyle w:val="ListBullet"/>
        <w:spacing w:before="20" w:after="20"/>
        <w:ind w:left="700"/>
      </w:pPr>
      <w:r>
        <w:rPr>
          <w:sz w:val="18"/>
        </w:rPr>
        <w:t>Impôts sur le résultat en baisse de 82,1%</w:t>
      </w:r>
    </w:p>
    <w:p>
      <w:pPr>
        <w:pStyle w:val="ListBullet"/>
        <w:spacing w:before="20" w:after="20"/>
        <w:ind w:left="700"/>
      </w:pPr>
      <w:r>
        <w:rPr>
          <w:sz w:val="18"/>
        </w:rPr>
        <w:t>Effet prix défavorable suite aux ajustements tarifaires du S2 2017</w:t>
      </w:r>
    </w:p>
    <w:p>
      <w:pPr>
        <w:spacing w:before="40"/>
        <w:ind w:left="400"/>
      </w:pPr>
      <w:r>
        <w:rPr>
          <w:b/>
          <w:color w:val="C05000"/>
          <w:sz w:val="18"/>
        </w:rPr>
        <w:t xml:space="preserve">⚠️ Risques : </w:t>
      </w:r>
      <w:r>
        <w:rPr>
          <w:sz w:val="18"/>
        </w:rPr>
        <w:t>["Forte concurrence sur l'ensemble de la gamme de produits impactant les marges", "Pression continue sur les prix suite aux ajustements tarifaires d\u00e9favorables", "Investissements importants en cours pouvant peser sur la rentabilit\u00e9 \u00e0 court terme"]</w:t>
      </w:r>
    </w:p>
    <w:p>
      <w:pPr>
        <w:spacing w:before="40"/>
        <w:ind w:left="400"/>
      </w:pPr>
      <w:r>
        <w:rPr>
          <w:b/>
          <w:color w:val="0064A0"/>
          <w:sz w:val="18"/>
        </w:rPr>
        <w:t xml:space="preserve">🔮 Perspectives : </w:t>
      </w:r>
      <w:r>
        <w:rPr>
          <w:sz w:val="18"/>
        </w:rPr>
        <w:t xml:space="preserve">La direction anticipe que la tendance du deuxième semestre devrait rester en ligne avec le premier semestre, suggérant une stabilisation plutôt qu'une amélioration immédiate. Les efforts de réforme et de rénovation entrepris devraient porter leurs fruits à moyen terme, conditionnés par l'efficacité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d\u00e9gradation de la rentabilit\u00e9, la soci\u00e9t\u00e9 maintient sa croissance d'activit\u00e9 et investit massivement dans ses capacit\u00e9s productives. La situation financi\u00e8re reste solide avec un bilan \u00e9quilibr\u00e9 qui devrait permettre un redressement \u00e0 moyen terme."}</w:t>
      </w:r>
    </w:p>
    <w:p>
      <w:pPr>
        <w:spacing w:before="40"/>
        <w:ind w:left="400"/>
      </w:pPr>
      <w:r>
        <w:rPr>
          <w:sz w:val="18"/>
        </w:rPr>
        <w:t>SOLIBRA affiche un chiffre d'affaires en progression de 4,9% à 202,8 milliards FCFA en 2018 mais souffre d'une forte dégradation de sa rentabilité avec un résultat net divisé par 3,3 à 1,3 milliard FCFA. La hausse des charges externes (+8,9%) et l'alourdissement des charges financières (+90%) ont pesé sur les marges malgré l'amélioration de l'excédent brut d'exploitation. Le bilan reste solide avec des capitaux propres de 98,7 milliards FCFA et un total actif de 271,2 milliards FCFA. La politique de dividendes a été maintenue mais réduite, reflétant la baisse des profits, avec un dividende proposé de 2,5 milliards FCFA contre 7,5 milliards l'année précédente.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'48 261 millions FCFA', 'tresorerie_nette': '-49 997 millions FCFA', 'endettement_financier': '70 583 millions FCFA', 'excedent_brut_exploitation': '30 484 millions FCFA'}</w:t>
            </w:r>
          </w:p>
        </w:tc>
        <w:tc>
          <w:tcPr>
            <w:tcW w:type="dxa" w:w="2160"/>
          </w:tcPr>
          <w:p>
            <w:pPr>
              <w:ind w:left="100"/>
            </w:pPr>
            <w:r/>
            <w:r>
              <w:rPr>
                <w:b/>
                <w:sz w:val="16"/>
              </w:rPr>
              <w:t>dividende</w:t>
              <w:br/>
            </w:r>
            <w:r>
              <w:rPr>
                <w:sz w:val="18"/>
              </w:rPr>
              <w:t>2 502 047 680 FCFA bruts</w:t>
            </w:r>
          </w:p>
        </w:tc>
        <w:tc>
          <w:tcPr>
            <w:tcW w:type="dxa" w:w="2160"/>
          </w:tcPr>
          <w:p>
            <w:pPr>
              <w:ind w:left="100"/>
            </w:pPr>
            <w:r/>
            <w:r>
              <w:rPr>
                <w:b/>
                <w:sz w:val="16"/>
              </w:rPr>
              <w:t>marge_nette</w:t>
              <w:br/>
            </w:r>
            <w:r>
              <w:rPr>
                <w:sz w:val="18"/>
              </w:rPr>
              <w:t>0,64%</w:t>
            </w:r>
          </w:p>
        </w:tc>
        <w:tc>
          <w:tcPr>
            <w:tcW w:type="dxa" w:w="2160"/>
          </w:tcPr>
          <w:p>
            <w:pPr>
              <w:ind w:left="100"/>
            </w:pPr>
            <w:r/>
            <w:r>
              <w:rPr>
                <w:b/>
                <w:sz w:val="16"/>
              </w:rPr>
              <w:t>total_actif</w:t>
              <w:br/>
            </w:r>
            <w:r>
              <w:rPr>
                <w:sz w:val="18"/>
              </w:rPr>
              <w:t>271 179 millions FCFA</w:t>
            </w:r>
          </w:p>
        </w:tc>
      </w:tr>
      <w:tr>
        <w:tc>
          <w:tcPr>
            <w:tcW w:type="dxa" w:w="2160"/>
          </w:tcPr>
          <w:p>
            <w:r/>
            <w:r>
              <w:rPr>
                <w:b/>
                <w:sz w:val="16"/>
              </w:rPr>
              <w:t>resultat_net</w:t>
              <w:br/>
            </w:r>
            <w:r>
              <w:rPr>
                <w:sz w:val="18"/>
              </w:rPr>
              <w:t>1 305 millions FCFA</w:t>
            </w:r>
          </w:p>
        </w:tc>
        <w:tc>
          <w:tcPr>
            <w:tcW w:type="dxa" w:w="2160"/>
          </w:tcPr>
          <w:p>
            <w:r/>
            <w:r>
              <w:rPr>
                <w:b/>
                <w:sz w:val="16"/>
              </w:rPr>
              <w:t>capitaux_propres</w:t>
              <w:br/>
            </w:r>
            <w:r>
              <w:rPr>
                <w:sz w:val="18"/>
              </w:rPr>
              <w:t>98 662 millions FCFA</w:t>
            </w:r>
          </w:p>
        </w:tc>
        <w:tc>
          <w:tcPr>
            <w:tcW w:type="dxa" w:w="2160"/>
          </w:tcPr>
          <w:p>
            <w:r/>
            <w:r>
              <w:rPr>
                <w:b/>
                <w:sz w:val="16"/>
              </w:rPr>
              <w:t>chiffre_affaires</w:t>
              <w:br/>
            </w:r>
            <w:r>
              <w:rPr>
                <w:sz w:val="18"/>
              </w:rPr>
              <w:t>202 816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à 202,8 milliards FCFA</w:t>
      </w:r>
    </w:p>
    <w:p>
      <w:pPr>
        <w:pStyle w:val="ListBullet"/>
        <w:spacing w:before="20" w:after="20"/>
        <w:ind w:left="700"/>
      </w:pPr>
      <w:r>
        <w:rPr>
          <w:sz w:val="18"/>
        </w:rPr>
        <w:t>Chute drastique du résultat net de 69,3% passant de 4,25 à 1,31 milliards FCFA</w:t>
      </w:r>
    </w:p>
    <w:p>
      <w:pPr>
        <w:pStyle w:val="ListBullet"/>
        <w:spacing w:before="20" w:after="20"/>
        <w:ind w:left="700"/>
      </w:pPr>
      <w:r>
        <w:rPr>
          <w:sz w:val="18"/>
        </w:rPr>
        <w:t>Explosion des charges financières (+90%) de 3,06 à 5,82 milliards FCFA</w:t>
      </w:r>
    </w:p>
    <w:p>
      <w:pPr>
        <w:pStyle w:val="ListBullet"/>
        <w:spacing w:before="20" w:after="20"/>
        <w:ind w:left="700"/>
      </w:pPr>
      <w:r>
        <w:rPr>
          <w:sz w:val="18"/>
        </w:rPr>
        <w:t>Augmentation significative des autres achats et charges externes (+8,9%)</w:t>
      </w:r>
    </w:p>
    <w:p>
      <w:pPr>
        <w:pStyle w:val="ListBullet"/>
        <w:spacing w:before="20" w:after="20"/>
        <w:ind w:left="700"/>
      </w:pPr>
      <w:r>
        <w:rPr>
          <w:sz w:val="18"/>
        </w:rPr>
        <w:t>Amélioration de l'excédent brut d'exploitation de 7,8% à 30,5 milliards FCFA</w:t>
      </w:r>
    </w:p>
    <w:p>
      <w:pPr>
        <w:pStyle w:val="ListBullet"/>
        <w:spacing w:before="20" w:after="20"/>
        <w:ind w:left="700"/>
      </w:pPr>
      <w:r>
        <w:rPr>
          <w:sz w:val="18"/>
        </w:rPr>
        <w:t>Investissements importants avec 30 milliards FCFA d'acquisitions d'immobilisations corporelles</w:t>
      </w:r>
    </w:p>
    <w:p>
      <w:pPr>
        <w:spacing w:before="40"/>
        <w:ind w:left="400"/>
      </w:pPr>
      <w:r>
        <w:rPr>
          <w:b/>
          <w:color w:val="C05000"/>
          <w:sz w:val="18"/>
        </w:rPr>
        <w:t xml:space="preserve">⚠️ Risques : </w:t>
      </w:r>
      <w:r>
        <w:rPr>
          <w:sz w:val="18"/>
        </w:rPr>
        <w:t>["D\u00e9t\u00e9rioration continue de la rentabilit\u00e9 avec une marge nette tr\u00e8s faible \u00e0 0,64%", "Alourdissement de l'endettement financier et des charges financi\u00e8res associ\u00e9es", "Tension de tr\u00e9sorerie avec une tr\u00e9sorerie nette n\u00e9gative de pr\u00e8s de 50 milli</w:t>
      </w:r>
    </w:p>
    <w:p>
      <w:pPr>
        <w:spacing w:before="40"/>
        <w:ind w:left="400"/>
      </w:pPr>
      <w:r>
        <w:rPr>
          <w:b/>
          <w:color w:val="0064A0"/>
          <w:sz w:val="18"/>
        </w:rPr>
        <w:t xml:space="preserve">🔮 Perspectives : </w:t>
      </w:r>
      <w:r>
        <w:rPr>
          <w:sz w:val="18"/>
        </w:rPr>
        <w:t>Les importants investissements réalisés en 2018 devraient porter leurs fruits en 2019 avec une amélioration attendue de la productivité et de l'efficacité opérationnelle. La maîtrise des charges externes et financières sera cruciale pour restaurer les marges et la rentabilité. Le contexte concurrent</w:t>
      </w:r>
    </w:p>
    <w:p/>
    <w:p>
      <w:r>
        <w:t>════════════════════════════════════════════════════════════════════════════════</w:t>
      </w:r>
    </w:p>
    <w:p>
      <w:r>
        <w:br w:type="page"/>
      </w:r>
    </w:p>
    <w:p>
      <w:pPr>
        <w:pStyle w:val="Heading2"/>
        <w:spacing w:before="360"/>
      </w:pPr>
      <w:r>
        <w:rPr>
          <w:color w:val="0066CC"/>
        </w:rPr>
        <w:t>38. SMBC - SMBC - Société Multinationale de Bitumes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SMBC</w:t>
            </w:r>
          </w:p>
          <w:p>
            <w:r>
              <w:rPr>
                <w:b/>
                <w:color w:val="323250"/>
                <w:sz w:val="16"/>
              </w:rPr>
              <w:t xml:space="preserve">Société : </w:t>
            </w:r>
            <w:r>
              <w:rPr>
                <w:color w:val="000000"/>
                <w:sz w:val="16"/>
              </w:rPr>
              <w:t>SMBC - Société Multinationale de Bitumes...</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133.30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1,402 titres</w:t>
            </w:r>
          </w:p>
        </w:tc>
        <w:tc>
          <w:tcPr>
            <w:tcW w:type="dxa" w:w="2268"/>
            <w:shd w:fill="FFF2CC" w:val="clear"/>
          </w:tcPr>
          <w:p>
            <w:r>
              <w:rPr>
                <w:b/>
                <w:color w:val="503200"/>
                <w:sz w:val="16"/>
              </w:rPr>
              <w:t xml:space="preserve">Cours actuel : </w:t>
            </w:r>
            <w:r>
              <w:rPr>
                <w:color w:val="000000"/>
                <w:sz w:val="17"/>
              </w:rPr>
              <w:t>17,100 FCFA</w:t>
            </w:r>
          </w:p>
          <w:p>
            <w:r>
              <w:rPr>
                <w:b/>
                <w:color w:val="503200"/>
                <w:sz w:val="16"/>
              </w:rPr>
              <w:t xml:space="preserve">Var. 100 jours : </w:t>
            </w:r>
            <w:r>
              <w:rPr>
                <w:b/>
                <w:color w:val="007800"/>
                <w:sz w:val="17"/>
              </w:rPr>
              <w:t>+36.80%</w:t>
            </w:r>
          </w:p>
          <w:p>
            <w:r>
              <w:rPr>
                <w:b/>
                <w:color w:val="503200"/>
                <w:sz w:val="16"/>
              </w:rPr>
              <w:t xml:space="preserve">Plus haut 100j : </w:t>
            </w:r>
            <w:r>
              <w:rPr>
                <w:color w:val="000000"/>
                <w:sz w:val="17"/>
              </w:rPr>
              <w:t>17,735 FCFA</w:t>
            </w:r>
          </w:p>
          <w:p>
            <w:r>
              <w:rPr>
                <w:b/>
                <w:color w:val="503200"/>
                <w:sz w:val="16"/>
              </w:rPr>
              <w:t xml:space="preserve">Plus bas 100j : </w:t>
            </w:r>
            <w:r>
              <w:rPr>
                <w:color w:val="000000"/>
                <w:sz w:val="17"/>
              </w:rPr>
              <w:t>11,450 FCFA</w:t>
            </w:r>
          </w:p>
          <w:p>
            <w:r>
              <w:rPr>
                <w:b/>
                <w:color w:val="503200"/>
                <w:sz w:val="16"/>
              </w:rPr>
              <w:t xml:space="preserve">Volatilité ann. : </w:t>
            </w:r>
            <w:r>
              <w:rPr>
                <w:color w:val="000000"/>
                <w:sz w:val="17"/>
              </w:rPr>
              <w:t>37.0%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20.3/100 → Moyen</w:t>
      </w:r>
    </w:p>
    <w:p>
      <w:pPr>
        <w:spacing w:before="40" w:after="80"/>
      </w:pPr>
      <w:r>
        <w:rPr>
          <w:rFonts w:ascii="Courier New" w:hAnsi="Courier New"/>
          <w:color w:val="825A00"/>
          <w:sz w:val="18"/>
        </w:rPr>
        <w:t>████░░░░░░░░░░░░░░░░  20.3/100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14.93% (Moyenne) — μ=14,611 FCFA, σ=2,182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β=-0.5461 (Contre-cyclique) — Cov=-0.000019, Var(idx)=0.000035, ρ=-0.139,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1,402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σ_j=2.33%/j (Stable) — Vol. annualisée≈37.0%</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03190"/>
            <wp:docPr id="40" name="Picture 40"/>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2026-08-28</w:t>
            </w:r>
          </w:p>
        </w:tc>
        <w:tc>
          <w:tcPr>
            <w:tcW w:type="dxa" w:w="1440"/>
            <w:shd w:fill="FAFAFA" w:val="clear"/>
          </w:tcPr>
          <w:p>
            <w:r>
              <w:rPr>
                <w:sz w:val="17"/>
              </w:rPr>
              <w:t>16,346</w:t>
            </w:r>
          </w:p>
        </w:tc>
        <w:tc>
          <w:tcPr>
            <w:tcW w:type="dxa" w:w="1440"/>
            <w:shd w:fill="FAFAFA" w:val="clear"/>
          </w:tcPr>
          <w:p>
            <w:r>
              <w:rPr>
                <w:b/>
                <w:sz w:val="17"/>
              </w:rPr>
              <w:t>16,944</w:t>
            </w:r>
          </w:p>
        </w:tc>
        <w:tc>
          <w:tcPr>
            <w:tcW w:type="dxa" w:w="1440"/>
            <w:shd w:fill="FAFAFA" w:val="clear"/>
          </w:tcPr>
          <w:p>
            <w:r>
              <w:rPr>
                <w:sz w:val="17"/>
              </w:rPr>
              <w:t>17,541</w:t>
            </w:r>
          </w:p>
        </w:tc>
        <w:tc>
          <w:tcPr>
            <w:tcW w:type="dxa" w:w="1440"/>
            <w:shd w:fill="FAFAFA" w:val="clear"/>
          </w:tcPr>
          <w:p>
            <w:r>
              <w:rPr>
                <w:b/>
                <w:color w:val="C00000"/>
                <w:sz w:val="17"/>
              </w:rPr>
              <w:t>-0.9%</w:t>
            </w:r>
          </w:p>
        </w:tc>
      </w:tr>
      <w:tr>
        <w:tc>
          <w:tcPr>
            <w:tcW w:type="dxa" w:w="1440"/>
            <w:shd w:fill="FAFAFA" w:val="clear"/>
          </w:tcPr>
          <w:p>
            <w:r>
              <w:rPr>
                <w:sz w:val="17"/>
              </w:rPr>
              <w:t>J+2  Moyenne</w:t>
            </w:r>
          </w:p>
        </w:tc>
        <w:tc>
          <w:tcPr>
            <w:tcW w:type="dxa" w:w="1440"/>
            <w:shd w:fill="FAFAFA" w:val="clear"/>
          </w:tcPr>
          <w:p>
            <w:r>
              <w:rPr>
                <w:sz w:val="17"/>
              </w:rPr>
              <w:t>2026-08-31</w:t>
            </w:r>
          </w:p>
        </w:tc>
        <w:tc>
          <w:tcPr>
            <w:tcW w:type="dxa" w:w="1440"/>
            <w:shd w:fill="FAFAFA" w:val="clear"/>
          </w:tcPr>
          <w:p>
            <w:r>
              <w:rPr>
                <w:sz w:val="17"/>
              </w:rPr>
              <w:t>16,029</w:t>
            </w:r>
          </w:p>
        </w:tc>
        <w:tc>
          <w:tcPr>
            <w:tcW w:type="dxa" w:w="1440"/>
            <w:shd w:fill="FAFAFA" w:val="clear"/>
          </w:tcPr>
          <w:p>
            <w:r>
              <w:rPr>
                <w:b/>
                <w:sz w:val="17"/>
              </w:rPr>
              <w:t>16,870</w:t>
            </w:r>
          </w:p>
        </w:tc>
        <w:tc>
          <w:tcPr>
            <w:tcW w:type="dxa" w:w="1440"/>
            <w:shd w:fill="FAFAFA" w:val="clear"/>
          </w:tcPr>
          <w:p>
            <w:r>
              <w:rPr>
                <w:sz w:val="17"/>
              </w:rPr>
              <w:t>17,711</w:t>
            </w:r>
          </w:p>
        </w:tc>
        <w:tc>
          <w:tcPr>
            <w:tcW w:type="dxa" w:w="1440"/>
            <w:shd w:fill="FAFAFA" w:val="clear"/>
          </w:tcPr>
          <w:p>
            <w:r>
              <w:rPr>
                <w:b/>
                <w:color w:val="C00000"/>
                <w:sz w:val="17"/>
              </w:rPr>
              <w:t>-1.3%</w:t>
            </w:r>
          </w:p>
        </w:tc>
      </w:tr>
      <w:tr>
        <w:tc>
          <w:tcPr>
            <w:tcW w:type="dxa" w:w="1440"/>
            <w:shd w:fill="FAFAFA" w:val="clear"/>
          </w:tcPr>
          <w:p>
            <w:r>
              <w:rPr>
                <w:sz w:val="17"/>
              </w:rPr>
              <w:t>J+3  Moyenne</w:t>
            </w:r>
          </w:p>
        </w:tc>
        <w:tc>
          <w:tcPr>
            <w:tcW w:type="dxa" w:w="1440"/>
            <w:shd w:fill="FAFAFA" w:val="clear"/>
          </w:tcPr>
          <w:p>
            <w:r>
              <w:rPr>
                <w:sz w:val="17"/>
              </w:rPr>
              <w:t>2026-09-01</w:t>
            </w:r>
          </w:p>
        </w:tc>
        <w:tc>
          <w:tcPr>
            <w:tcW w:type="dxa" w:w="1440"/>
            <w:shd w:fill="FAFAFA" w:val="clear"/>
          </w:tcPr>
          <w:p>
            <w:r>
              <w:rPr>
                <w:sz w:val="17"/>
              </w:rPr>
              <w:t>15,769</w:t>
            </w:r>
          </w:p>
        </w:tc>
        <w:tc>
          <w:tcPr>
            <w:tcW w:type="dxa" w:w="1440"/>
            <w:shd w:fill="FAFAFA" w:val="clear"/>
          </w:tcPr>
          <w:p>
            <w:r>
              <w:rPr>
                <w:b/>
                <w:sz w:val="17"/>
              </w:rPr>
              <w:t>16,794</w:t>
            </w:r>
          </w:p>
        </w:tc>
        <w:tc>
          <w:tcPr>
            <w:tcW w:type="dxa" w:w="1440"/>
            <w:shd w:fill="FAFAFA" w:val="clear"/>
          </w:tcPr>
          <w:p>
            <w:r>
              <w:rPr>
                <w:sz w:val="17"/>
              </w:rPr>
              <w:t>17,820</w:t>
            </w:r>
          </w:p>
        </w:tc>
        <w:tc>
          <w:tcPr>
            <w:tcW w:type="dxa" w:w="1440"/>
            <w:shd w:fill="FAFAFA" w:val="clear"/>
          </w:tcPr>
          <w:p>
            <w:r>
              <w:rPr>
                <w:b/>
                <w:color w:val="C00000"/>
                <w:sz w:val="17"/>
              </w:rPr>
              <w:t>-1.8%</w:t>
            </w:r>
          </w:p>
        </w:tc>
      </w:tr>
      <w:tr>
        <w:tc>
          <w:tcPr>
            <w:tcW w:type="dxa" w:w="1440"/>
            <w:shd w:fill="FFDCE0" w:val="clear"/>
          </w:tcPr>
          <w:p>
            <w:r>
              <w:rPr>
                <w:sz w:val="17"/>
              </w:rPr>
              <w:t>J+4  ⭐</w:t>
            </w:r>
          </w:p>
        </w:tc>
        <w:tc>
          <w:tcPr>
            <w:tcW w:type="dxa" w:w="1440"/>
            <w:shd w:fill="FFDCE0" w:val="clear"/>
          </w:tcPr>
          <w:p>
            <w:r>
              <w:rPr>
                <w:sz w:val="17"/>
              </w:rPr>
              <w:t>2026-09-02</w:t>
            </w:r>
          </w:p>
        </w:tc>
        <w:tc>
          <w:tcPr>
            <w:tcW w:type="dxa" w:w="1440"/>
            <w:shd w:fill="FFDCE0" w:val="clear"/>
          </w:tcPr>
          <w:p>
            <w:r>
              <w:rPr>
                <w:sz w:val="17"/>
              </w:rPr>
              <w:t>15,547</w:t>
            </w:r>
          </w:p>
        </w:tc>
        <w:tc>
          <w:tcPr>
            <w:tcW w:type="dxa" w:w="1440"/>
            <w:shd w:fill="FFDCE0" w:val="clear"/>
          </w:tcPr>
          <w:p>
            <w:r>
              <w:rPr>
                <w:b/>
                <w:sz w:val="17"/>
              </w:rPr>
              <w:t>16,726</w:t>
            </w:r>
          </w:p>
        </w:tc>
        <w:tc>
          <w:tcPr>
            <w:tcW w:type="dxa" w:w="1440"/>
            <w:shd w:fill="FFDCE0" w:val="clear"/>
          </w:tcPr>
          <w:p>
            <w:r>
              <w:rPr>
                <w:sz w:val="17"/>
              </w:rPr>
              <w:t>17,906</w:t>
            </w:r>
          </w:p>
        </w:tc>
        <w:tc>
          <w:tcPr>
            <w:tcW w:type="dxa" w:w="1440"/>
            <w:shd w:fill="FFDCE0" w:val="clear"/>
          </w:tcPr>
          <w:p>
            <w:r>
              <w:rPr>
                <w:b/>
                <w:color w:val="C00000"/>
                <w:sz w:val="17"/>
              </w:rPr>
              <w:t>-2.2%</w:t>
            </w:r>
          </w:p>
        </w:tc>
      </w:tr>
      <w:tr>
        <w:tc>
          <w:tcPr>
            <w:tcW w:type="dxa" w:w="1440"/>
            <w:shd w:fill="FFDCE0" w:val="clear"/>
          </w:tcPr>
          <w:p>
            <w:r>
              <w:rPr>
                <w:sz w:val="17"/>
              </w:rPr>
              <w:t>J+5  ⭐</w:t>
            </w:r>
          </w:p>
        </w:tc>
        <w:tc>
          <w:tcPr>
            <w:tcW w:type="dxa" w:w="1440"/>
            <w:shd w:fill="FFDCE0" w:val="clear"/>
          </w:tcPr>
          <w:p>
            <w:r>
              <w:rPr>
                <w:sz w:val="17"/>
              </w:rPr>
              <w:t>2026-09-03</w:t>
            </w:r>
          </w:p>
        </w:tc>
        <w:tc>
          <w:tcPr>
            <w:tcW w:type="dxa" w:w="1440"/>
            <w:shd w:fill="FFDCE0" w:val="clear"/>
          </w:tcPr>
          <w:p>
            <w:r>
              <w:rPr>
                <w:sz w:val="17"/>
              </w:rPr>
              <w:t>15,349</w:t>
            </w:r>
          </w:p>
        </w:tc>
        <w:tc>
          <w:tcPr>
            <w:tcW w:type="dxa" w:w="1440"/>
            <w:shd w:fill="FFDCE0" w:val="clear"/>
          </w:tcPr>
          <w:p>
            <w:r>
              <w:rPr>
                <w:b/>
                <w:sz w:val="17"/>
              </w:rPr>
              <w:t>16,662</w:t>
            </w:r>
          </w:p>
        </w:tc>
        <w:tc>
          <w:tcPr>
            <w:tcW w:type="dxa" w:w="1440"/>
            <w:shd w:fill="FFDCE0" w:val="clear"/>
          </w:tcPr>
          <w:p>
            <w:r>
              <w:rPr>
                <w:sz w:val="17"/>
              </w:rPr>
              <w:t>17,975</w:t>
            </w:r>
          </w:p>
        </w:tc>
        <w:tc>
          <w:tcPr>
            <w:tcW w:type="dxa" w:w="1440"/>
            <w:shd w:fill="FFDCE0" w:val="clear"/>
          </w:tcPr>
          <w:p>
            <w:r>
              <w:rPr>
                <w:b/>
                <w:color w:val="C00000"/>
                <w:sz w:val="17"/>
              </w:rPr>
              <w:t>-2.6%</w:t>
            </w:r>
          </w:p>
        </w:tc>
      </w:tr>
      <w:tr>
        <w:tc>
          <w:tcPr>
            <w:tcW w:type="dxa" w:w="1440"/>
            <w:shd w:fill="FFDCE0" w:val="clear"/>
          </w:tcPr>
          <w:p>
            <w:r>
              <w:rPr>
                <w:sz w:val="17"/>
              </w:rPr>
              <w:t>J+6  ⭐</w:t>
            </w:r>
          </w:p>
        </w:tc>
        <w:tc>
          <w:tcPr>
            <w:tcW w:type="dxa" w:w="1440"/>
            <w:shd w:fill="FFDCE0" w:val="clear"/>
          </w:tcPr>
          <w:p>
            <w:r>
              <w:rPr>
                <w:sz w:val="17"/>
              </w:rPr>
              <w:t>2026-09-04</w:t>
            </w:r>
          </w:p>
        </w:tc>
        <w:tc>
          <w:tcPr>
            <w:tcW w:type="dxa" w:w="1440"/>
            <w:shd w:fill="FFDCE0" w:val="clear"/>
          </w:tcPr>
          <w:p>
            <w:r>
              <w:rPr>
                <w:sz w:val="17"/>
              </w:rPr>
              <w:t>15,166</w:t>
            </w:r>
          </w:p>
        </w:tc>
        <w:tc>
          <w:tcPr>
            <w:tcW w:type="dxa" w:w="1440"/>
            <w:shd w:fill="FFDCE0" w:val="clear"/>
          </w:tcPr>
          <w:p>
            <w:r>
              <w:rPr>
                <w:b/>
                <w:sz w:val="17"/>
              </w:rPr>
              <w:t>16,599</w:t>
            </w:r>
          </w:p>
        </w:tc>
        <w:tc>
          <w:tcPr>
            <w:tcW w:type="dxa" w:w="1440"/>
            <w:shd w:fill="FFDCE0" w:val="clear"/>
          </w:tcPr>
          <w:p>
            <w:r>
              <w:rPr>
                <w:sz w:val="17"/>
              </w:rPr>
              <w:t>18,032</w:t>
            </w:r>
          </w:p>
        </w:tc>
        <w:tc>
          <w:tcPr>
            <w:tcW w:type="dxa" w:w="1440"/>
            <w:shd w:fill="FFDCE0" w:val="clear"/>
          </w:tcPr>
          <w:p>
            <w:r>
              <w:rPr>
                <w:b/>
                <w:color w:val="C00000"/>
                <w:sz w:val="17"/>
              </w:rPr>
              <w:t>-2.9%</w:t>
            </w:r>
          </w:p>
        </w:tc>
      </w:tr>
      <w:tr>
        <w:tc>
          <w:tcPr>
            <w:tcW w:type="dxa" w:w="1440"/>
            <w:shd w:fill="FFDCE0" w:val="clear"/>
          </w:tcPr>
          <w:p>
            <w:r>
              <w:rPr>
                <w:sz w:val="17"/>
              </w:rPr>
              <w:t>J+7  ⭐</w:t>
            </w:r>
          </w:p>
        </w:tc>
        <w:tc>
          <w:tcPr>
            <w:tcW w:type="dxa" w:w="1440"/>
            <w:shd w:fill="FFDCE0" w:val="clear"/>
          </w:tcPr>
          <w:p>
            <w:r>
              <w:rPr>
                <w:sz w:val="17"/>
              </w:rPr>
              <w:t>2026-09-07</w:t>
            </w:r>
          </w:p>
        </w:tc>
        <w:tc>
          <w:tcPr>
            <w:tcW w:type="dxa" w:w="1440"/>
            <w:shd w:fill="FFDCE0" w:val="clear"/>
          </w:tcPr>
          <w:p>
            <w:r>
              <w:rPr>
                <w:sz w:val="17"/>
              </w:rPr>
              <w:t>14,994</w:t>
            </w:r>
          </w:p>
        </w:tc>
        <w:tc>
          <w:tcPr>
            <w:tcW w:type="dxa" w:w="1440"/>
            <w:shd w:fill="FFDCE0" w:val="clear"/>
          </w:tcPr>
          <w:p>
            <w:r>
              <w:rPr>
                <w:b/>
                <w:sz w:val="17"/>
              </w:rPr>
              <w:t>16,537</w:t>
            </w:r>
          </w:p>
        </w:tc>
        <w:tc>
          <w:tcPr>
            <w:tcW w:type="dxa" w:w="1440"/>
            <w:shd w:fill="FFDCE0" w:val="clear"/>
          </w:tcPr>
          <w:p>
            <w:r>
              <w:rPr>
                <w:sz w:val="17"/>
              </w:rPr>
              <w:t>18,079</w:t>
            </w:r>
          </w:p>
        </w:tc>
        <w:tc>
          <w:tcPr>
            <w:tcW w:type="dxa" w:w="1440"/>
            <w:shd w:fill="FFDCE0" w:val="clear"/>
          </w:tcPr>
          <w:p>
            <w:r>
              <w:rPr>
                <w:b/>
                <w:color w:val="C00000"/>
                <w:sz w:val="17"/>
              </w:rPr>
              <w:t>-3.3%</w:t>
            </w:r>
          </w:p>
        </w:tc>
      </w:tr>
      <w:tr>
        <w:tc>
          <w:tcPr>
            <w:tcW w:type="dxa" w:w="1440"/>
            <w:shd w:fill="FFDCE0" w:val="clear"/>
          </w:tcPr>
          <w:p>
            <w:r>
              <w:rPr>
                <w:sz w:val="17"/>
              </w:rPr>
              <w:t>J+8  ⭐</w:t>
            </w:r>
          </w:p>
        </w:tc>
        <w:tc>
          <w:tcPr>
            <w:tcW w:type="dxa" w:w="1440"/>
            <w:shd w:fill="FFDCE0" w:val="clear"/>
          </w:tcPr>
          <w:p>
            <w:r>
              <w:rPr>
                <w:sz w:val="17"/>
              </w:rPr>
              <w:t>2026-09-08</w:t>
            </w:r>
          </w:p>
        </w:tc>
        <w:tc>
          <w:tcPr>
            <w:tcW w:type="dxa" w:w="1440"/>
            <w:shd w:fill="FFDCE0" w:val="clear"/>
          </w:tcPr>
          <w:p>
            <w:r>
              <w:rPr>
                <w:sz w:val="17"/>
              </w:rPr>
              <w:t>14,833</w:t>
            </w:r>
          </w:p>
        </w:tc>
        <w:tc>
          <w:tcPr>
            <w:tcW w:type="dxa" w:w="1440"/>
            <w:shd w:fill="FFDCE0" w:val="clear"/>
          </w:tcPr>
          <w:p>
            <w:r>
              <w:rPr>
                <w:b/>
                <w:sz w:val="17"/>
              </w:rPr>
              <w:t>16,476</w:t>
            </w:r>
          </w:p>
        </w:tc>
        <w:tc>
          <w:tcPr>
            <w:tcW w:type="dxa" w:w="1440"/>
            <w:shd w:fill="FFDCE0" w:val="clear"/>
          </w:tcPr>
          <w:p>
            <w:r>
              <w:rPr>
                <w:sz w:val="17"/>
              </w:rPr>
              <w:t>18,118</w:t>
            </w:r>
          </w:p>
        </w:tc>
        <w:tc>
          <w:tcPr>
            <w:tcW w:type="dxa" w:w="1440"/>
            <w:shd w:fill="FFDCE0" w:val="clear"/>
          </w:tcPr>
          <w:p>
            <w:r>
              <w:rPr>
                <w:b/>
                <w:color w:val="C00000"/>
                <w:sz w:val="17"/>
              </w:rPr>
              <w:t>-3.7%</w:t>
            </w:r>
          </w:p>
        </w:tc>
      </w:tr>
      <w:tr>
        <w:tc>
          <w:tcPr>
            <w:tcW w:type="dxa" w:w="1440"/>
            <w:shd w:fill="FFDCE0" w:val="clear"/>
          </w:tcPr>
          <w:p>
            <w:r>
              <w:rPr>
                <w:sz w:val="17"/>
              </w:rPr>
              <w:t>J+9  ⭐</w:t>
            </w:r>
          </w:p>
        </w:tc>
        <w:tc>
          <w:tcPr>
            <w:tcW w:type="dxa" w:w="1440"/>
            <w:shd w:fill="FFDCE0" w:val="clear"/>
          </w:tcPr>
          <w:p>
            <w:r>
              <w:rPr>
                <w:sz w:val="17"/>
              </w:rPr>
              <w:t>2026-09-09</w:t>
            </w:r>
          </w:p>
        </w:tc>
        <w:tc>
          <w:tcPr>
            <w:tcW w:type="dxa" w:w="1440"/>
            <w:shd w:fill="FFDCE0" w:val="clear"/>
          </w:tcPr>
          <w:p>
            <w:r>
              <w:rPr>
                <w:sz w:val="17"/>
              </w:rPr>
              <w:t>14,679</w:t>
            </w:r>
          </w:p>
        </w:tc>
        <w:tc>
          <w:tcPr>
            <w:tcW w:type="dxa" w:w="1440"/>
            <w:shd w:fill="FFDCE0" w:val="clear"/>
          </w:tcPr>
          <w:p>
            <w:r>
              <w:rPr>
                <w:b/>
                <w:sz w:val="17"/>
              </w:rPr>
              <w:t>16,416</w:t>
            </w:r>
          </w:p>
        </w:tc>
        <w:tc>
          <w:tcPr>
            <w:tcW w:type="dxa" w:w="1440"/>
            <w:shd w:fill="FFDCE0" w:val="clear"/>
          </w:tcPr>
          <w:p>
            <w:r>
              <w:rPr>
                <w:sz w:val="17"/>
              </w:rPr>
              <w:t>18,152</w:t>
            </w:r>
          </w:p>
        </w:tc>
        <w:tc>
          <w:tcPr>
            <w:tcW w:type="dxa" w:w="1440"/>
            <w:shd w:fill="FFDCE0" w:val="clear"/>
          </w:tcPr>
          <w:p>
            <w:r>
              <w:rPr>
                <w:b/>
                <w:color w:val="C00000"/>
                <w:sz w:val="17"/>
              </w:rPr>
              <w:t>-4.0%</w:t>
            </w:r>
          </w:p>
        </w:tc>
      </w:tr>
      <w:tr>
        <w:tc>
          <w:tcPr>
            <w:tcW w:type="dxa" w:w="1440"/>
            <w:shd w:fill="FFDCE0" w:val="clear"/>
          </w:tcPr>
          <w:p>
            <w:r>
              <w:rPr>
                <w:sz w:val="17"/>
              </w:rPr>
              <w:t>J+10  ⭐</w:t>
            </w:r>
          </w:p>
        </w:tc>
        <w:tc>
          <w:tcPr>
            <w:tcW w:type="dxa" w:w="1440"/>
            <w:shd w:fill="FFDCE0" w:val="clear"/>
          </w:tcPr>
          <w:p>
            <w:r>
              <w:rPr>
                <w:sz w:val="17"/>
              </w:rPr>
              <w:t>2026-09-10</w:t>
            </w:r>
          </w:p>
        </w:tc>
        <w:tc>
          <w:tcPr>
            <w:tcW w:type="dxa" w:w="1440"/>
            <w:shd w:fill="FFDCE0" w:val="clear"/>
          </w:tcPr>
          <w:p>
            <w:r>
              <w:rPr>
                <w:sz w:val="17"/>
              </w:rPr>
              <w:t>14,533</w:t>
            </w:r>
          </w:p>
        </w:tc>
        <w:tc>
          <w:tcPr>
            <w:tcW w:type="dxa" w:w="1440"/>
            <w:shd w:fill="FFDCE0" w:val="clear"/>
          </w:tcPr>
          <w:p>
            <w:r>
              <w:rPr>
                <w:b/>
                <w:sz w:val="17"/>
              </w:rPr>
              <w:t>16,356</w:t>
            </w:r>
          </w:p>
        </w:tc>
        <w:tc>
          <w:tcPr>
            <w:tcW w:type="dxa" w:w="1440"/>
            <w:shd w:fill="FFDCE0" w:val="clear"/>
          </w:tcPr>
          <w:p>
            <w:r>
              <w:rPr>
                <w:sz w:val="17"/>
              </w:rPr>
              <w:t>18,180</w:t>
            </w:r>
          </w:p>
        </w:tc>
        <w:tc>
          <w:tcPr>
            <w:tcW w:type="dxa" w:w="1440"/>
            <w:shd w:fill="FFDCE0" w:val="clear"/>
          </w:tcPr>
          <w:p>
            <w:r>
              <w:rPr>
                <w:b/>
                <w:color w:val="C00000"/>
                <w:sz w:val="17"/>
              </w:rPr>
              <w:t>-4.3%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FFC7CE" w:val="clear"/>
          </w:tcPr>
          <w:p>
            <w:r>
              <w:rPr>
                <w:b/>
                <w:color w:val="006400"/>
                <w:sz w:val="17"/>
              </w:rPr>
              <w:t>109.743 Mds FCFA</w:t>
            </w:r>
          </w:p>
        </w:tc>
        <w:tc>
          <w:tcPr>
            <w:tcW w:type="dxa" w:w="5669"/>
            <w:shd w:fill="FFFFFF" w:val="clear"/>
          </w:tcPr>
          <w:p>
            <w:r>
              <w:rPr>
                <w:color w:val="282828"/>
                <w:sz w:val="15"/>
              </w:rPr>
              <w:t>Créances clients = 53.1% du CA. ❌ Niveau critique — risque trésorerie élevé.</w:t>
            </w:r>
          </w:p>
        </w:tc>
      </w:tr>
      <w:tr>
        <w:tc>
          <w:tcPr>
            <w:tcW w:type="dxa" w:w="2268"/>
            <w:shd w:fill="EEF2F7" w:val="clear"/>
          </w:tcPr>
          <w:p>
            <w:r>
              <w:rPr>
                <w:b/>
                <w:color w:val="1E1E3C"/>
                <w:sz w:val="16"/>
              </w:rPr>
              <w:t>Stocks</w:t>
            </w:r>
          </w:p>
        </w:tc>
        <w:tc>
          <w:tcPr>
            <w:tcW w:type="dxa" w:w="1984"/>
            <w:shd w:fill="C6EFCE" w:val="clear"/>
          </w:tcPr>
          <w:p>
            <w:r>
              <w:rPr>
                <w:b/>
                <w:color w:val="006400"/>
                <w:sz w:val="17"/>
              </w:rPr>
              <w:t>19.219 Mds FCFA</w:t>
            </w:r>
          </w:p>
        </w:tc>
        <w:tc>
          <w:tcPr>
            <w:tcW w:type="dxa" w:w="5669"/>
            <w:shd w:fill="FFFFFF" w:val="clear"/>
          </w:tcPr>
          <w:p>
            <w:r>
              <w:rPr>
                <w:color w:val="282828"/>
                <w:sz w:val="15"/>
              </w:rPr>
              <w:t>Rotation stocks = 10.8x/an.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128.963 Mds FCFA</w:t>
            </w:r>
          </w:p>
        </w:tc>
        <w:tc>
          <w:tcPr>
            <w:tcW w:type="dxa" w:w="5669"/>
            <w:shd w:fill="FFFFFF" w:val="clear"/>
          </w:tcPr>
          <w:p>
            <w:r>
              <w:rPr>
                <w:color w:val="282828"/>
                <w:sz w:val="15"/>
              </w:rPr>
              <w:t>Ratio actif circ./passif circ. = 1.01x.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4.838 Mds FCFA</w:t>
            </w:r>
          </w:p>
        </w:tc>
        <w:tc>
          <w:tcPr>
            <w:tcW w:type="dxa" w:w="5669"/>
            <w:shd w:fill="FFFFFF" w:val="clear"/>
          </w:tcPr>
          <w:p>
            <w:r>
              <w:rPr>
                <w:color w:val="282828"/>
                <w:sz w:val="15"/>
              </w:rPr>
              <w:t>Brevets, logiciels, fonds commercial (2.7%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13.598 Mds FCFA</w:t>
            </w:r>
          </w:p>
        </w:tc>
        <w:tc>
          <w:tcPr>
            <w:tcW w:type="dxa" w:w="5669"/>
            <w:shd w:fill="FFFFFF" w:val="clear"/>
          </w:tcPr>
          <w:p>
            <w:r>
              <w:rPr>
                <w:color w:val="282828"/>
                <w:sz w:val="15"/>
              </w:rPr>
              <w:t>Outil industriel (7.6%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26.898 Mds FCFA</w:t>
            </w:r>
          </w:p>
        </w:tc>
        <w:tc>
          <w:tcPr>
            <w:tcW w:type="dxa" w:w="5669"/>
            <w:shd w:fill="FFFFFF" w:val="clear"/>
          </w:tcPr>
          <w:p>
            <w:r>
              <w:rPr>
                <w:color w:val="282828"/>
                <w:sz w:val="15"/>
              </w:rPr>
              <w:t>Actif immobilisé = 14.9%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23.988 Mds FCFA</w:t>
            </w:r>
          </w:p>
        </w:tc>
        <w:tc>
          <w:tcPr>
            <w:tcW w:type="dxa" w:w="5669"/>
            <w:shd w:fill="FFFFFF" w:val="clear"/>
          </w:tcPr>
          <w:p>
            <w:r>
              <w:rPr>
                <w:color w:val="282828"/>
                <w:sz w:val="15"/>
              </w:rPr>
              <w:t>Liquidités disponibles (13.3%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180.003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4.872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24.966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42.913 Mds FCFA</w:t>
            </w:r>
          </w:p>
        </w:tc>
        <w:tc>
          <w:tcPr>
            <w:tcW w:type="dxa" w:w="5669"/>
            <w:shd w:fill="FFFFFF" w:val="clear"/>
          </w:tcPr>
          <w:p>
            <w:r>
              <w:rPr>
                <w:color w:val="282828"/>
                <w:sz w:val="15"/>
              </w:rPr>
              <w:t>Fonds propres = 23.8%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52.722 Mds FCFA</w:t>
            </w:r>
          </w:p>
        </w:tc>
        <w:tc>
          <w:tcPr>
            <w:tcW w:type="dxa" w:w="5669"/>
            <w:shd w:fill="FFFFFF" w:val="clear"/>
          </w:tcPr>
          <w:p>
            <w:r>
              <w:rPr>
                <w:color w:val="282828"/>
                <w:sz w:val="15"/>
              </w:rPr>
              <w:t>Capitaux permanents / Actif immobilisé = 1.96x.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104.482 Mds FCFA</w:t>
            </w:r>
          </w:p>
        </w:tc>
        <w:tc>
          <w:tcPr>
            <w:tcW w:type="dxa" w:w="5669"/>
            <w:shd w:fill="FFFFFF" w:val="clear"/>
          </w:tcPr>
          <w:p>
            <w:r>
              <w:rPr>
                <w:color w:val="282828"/>
                <w:sz w:val="15"/>
              </w:rPr>
              <w:t>Délai fournisseurs implicite ≈ 184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9.204 Mds FCFA</w:t>
            </w:r>
          </w:p>
        </w:tc>
        <w:tc>
          <w:tcPr>
            <w:tcW w:type="dxa" w:w="5669"/>
            <w:shd w:fill="FFFFFF" w:val="clear"/>
          </w:tcPr>
          <w:p>
            <w:r>
              <w:rPr>
                <w:color w:val="282828"/>
                <w:sz w:val="15"/>
              </w:rPr>
              <w:t>Dette LT/MT = 21%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9.204 Mds FCFA</w:t>
            </w:r>
          </w:p>
        </w:tc>
        <w:tc>
          <w:tcPr>
            <w:tcW w:type="dxa" w:w="5669"/>
            <w:shd w:fill="FFFFFF" w:val="clear"/>
          </w:tcPr>
          <w:p>
            <w:r>
              <w:rPr>
                <w:color w:val="282828"/>
                <w:sz w:val="15"/>
              </w:rPr>
              <w:t>Dette financière totale = 21%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137.090 Mds FCFA</w:t>
            </w:r>
          </w:p>
        </w:tc>
        <w:tc>
          <w:tcPr>
            <w:tcW w:type="dxa" w:w="5669"/>
            <w:shd w:fill="FFFFFF" w:val="clear"/>
          </w:tcPr>
          <w:p>
            <w:r>
              <w:rPr>
                <w:color w:val="282828"/>
                <w:sz w:val="15"/>
              </w:rPr>
              <w:t>Dettes totales = 76.2%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206.740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206.740 Mds FCFA</w:t>
            </w:r>
          </w:p>
        </w:tc>
        <w:tc>
          <w:tcPr>
            <w:tcW w:type="dxa" w:w="5669"/>
            <w:shd w:fill="FFFFFF" w:val="clear"/>
          </w:tcPr>
          <w:p>
            <w:r>
              <w:rPr>
                <w:color w:val="282828"/>
                <w:sz w:val="15"/>
              </w:rPr>
              <w:t>Chiffre d'affaires. Croissance: -9.7%. ❌ CA en baisse — perte de parts de marché ou demande en recul.</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1.303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4.092 Mds FCFA</w:t>
            </w:r>
          </w:p>
        </w:tc>
        <w:tc>
          <w:tcPr>
            <w:tcW w:type="dxa" w:w="5669"/>
            <w:shd w:fill="FFFFFF" w:val="clear"/>
          </w:tcPr>
          <w:p>
            <w:r>
              <w:rPr>
                <w:color w:val="282828"/>
                <w:sz w:val="15"/>
              </w:rPr>
              <w:t>Masse salariale = 2.0%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22.572 Mds FCFA</w:t>
            </w:r>
          </w:p>
        </w:tc>
        <w:tc>
          <w:tcPr>
            <w:tcW w:type="dxa" w:w="5669"/>
            <w:shd w:fill="FFFFFF" w:val="clear"/>
          </w:tcPr>
          <w:p>
            <w:r>
              <w:rPr>
                <w:color w:val="282828"/>
                <w:sz w:val="15"/>
              </w:rPr>
              <w:t>VA = 10.9%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18.480 Mds FCFA</w:t>
            </w:r>
          </w:p>
        </w:tc>
        <w:tc>
          <w:tcPr>
            <w:tcW w:type="dxa" w:w="5669"/>
            <w:shd w:fill="FFFFFF" w:val="clear"/>
          </w:tcPr>
          <w:p>
            <w:r>
              <w:rPr>
                <w:color w:val="282828"/>
                <w:sz w:val="15"/>
              </w:rPr>
              <w:t>EBE = 8.9%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17.828 Mds FCFA</w:t>
            </w:r>
          </w:p>
        </w:tc>
        <w:tc>
          <w:tcPr>
            <w:tcW w:type="dxa" w:w="5669"/>
            <w:shd w:fill="FFFFFF" w:val="clear"/>
          </w:tcPr>
          <w:p>
            <w:r>
              <w:rPr>
                <w:color w:val="282828"/>
                <w:sz w:val="15"/>
              </w:rPr>
              <w:t>Profit d'exploitation = 8.6%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605.00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13.075 Mds FCFA</w:t>
            </w:r>
          </w:p>
        </w:tc>
        <w:tc>
          <w:tcPr>
            <w:tcW w:type="dxa" w:w="5669"/>
            <w:shd w:fill="FFFFFF" w:val="clear"/>
          </w:tcPr>
          <w:p>
            <w:r>
              <w:rPr>
                <w:color w:val="282828"/>
                <w:sz w:val="15"/>
              </w:rPr>
              <w:t>Marge nette = 6.3%.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13.486 Mds FCFA</w:t>
            </w:r>
          </w:p>
        </w:tc>
        <w:tc>
          <w:tcPr>
            <w:tcW w:type="dxa" w:w="5669"/>
            <w:shd w:fill="FFFFFF" w:val="clear"/>
          </w:tcPr>
          <w:p>
            <w:r>
              <w:rPr>
                <w:color w:val="282828"/>
                <w:sz w:val="15"/>
              </w:rPr>
              <w:t>CAF = 13.49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26.120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-5.478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-2.724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20.642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1.693 Mds FCFA</w:t>
            </w:r>
          </w:p>
        </w:tc>
        <w:tc>
          <w:tcPr>
            <w:tcW w:type="dxa" w:w="5669"/>
            <w:shd w:fill="FFFFFF" w:val="clear"/>
          </w:tcPr>
          <w:p>
            <w:r>
              <w:rPr>
                <w:color w:val="282828"/>
                <w:sz w:val="15"/>
              </w:rPr>
              <w:t>BFR = 0.8%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25.824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23.988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18.11%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C6EFCE" w:val="clear"/>
          </w:tcPr>
          <w:p>
            <w:r>
              <w:rPr>
                <w:b/>
                <w:color w:val="006400"/>
                <w:sz w:val="17"/>
              </w:rPr>
              <w:t>6.32%</w:t>
            </w:r>
          </w:p>
        </w:tc>
        <w:tc>
          <w:tcPr>
            <w:tcW w:type="dxa" w:w="5669"/>
            <w:shd w:fill="FFFFFF" w:val="clear"/>
          </w:tcPr>
          <w:p>
            <w:r>
              <w:rPr>
                <w:color w:val="282828"/>
                <w:sz w:val="15"/>
              </w:rPr>
              <w:t>Résultat net / revenus = 6.32%.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8.62%</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30.47%</w:t>
            </w:r>
          </w:p>
        </w:tc>
        <w:tc>
          <w:tcPr>
            <w:tcW w:type="dxa" w:w="5669"/>
            <w:shd w:fill="FFFFFF" w:val="clear"/>
          </w:tcPr>
          <w:p>
            <w:r>
              <w:rPr>
                <w:color w:val="282828"/>
                <w:sz w:val="15"/>
              </w:rPr>
              <w:t>Résultat net / capitaux propres = 30.47%.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7.26%</w:t>
            </w:r>
          </w:p>
        </w:tc>
        <w:tc>
          <w:tcPr>
            <w:tcW w:type="dxa" w:w="5669"/>
            <w:shd w:fill="FFFFFF" w:val="clear"/>
          </w:tcPr>
          <w:p>
            <w:r>
              <w:rPr>
                <w:color w:val="282828"/>
                <w:sz w:val="15"/>
              </w:rPr>
              <w:t>Résultat net / total actif = 7.26%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114.85%</w:t>
            </w:r>
          </w:p>
        </w:tc>
        <w:tc>
          <w:tcPr>
            <w:tcW w:type="dxa" w:w="5669"/>
            <w:shd w:fill="FFFFFF" w:val="clear"/>
          </w:tcPr>
          <w:p>
            <w:r>
              <w:rPr>
                <w:color w:val="282828"/>
                <w:sz w:val="15"/>
              </w:rPr>
              <w:t>CA / total actif = 114.85x.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-9.74%</w:t>
            </w:r>
          </w:p>
        </w:tc>
        <w:tc>
          <w:tcPr>
            <w:tcW w:type="dxa" w:w="5669"/>
            <w:shd w:fill="FFFFFF" w:val="clear"/>
          </w:tcPr>
          <w:p>
            <w:r>
              <w:rPr>
                <w:color w:val="282828"/>
                <w:sz w:val="15"/>
              </w:rPr>
              <w:t>Croissance CA vs exercice précédent = -9.74%.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23.84%</w:t>
            </w:r>
          </w:p>
        </w:tc>
        <w:tc>
          <w:tcPr>
            <w:tcW w:type="dxa" w:w="5669"/>
            <w:shd w:fill="FFFFFF" w:val="clear"/>
          </w:tcPr>
          <w:p>
            <w:r>
              <w:rPr>
                <w:color w:val="282828"/>
                <w:sz w:val="15"/>
              </w:rPr>
              <w:t>Fonds propres / total bilan = 23.84%. ✅ Autonomie correcte.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21.45%</w:t>
            </w:r>
          </w:p>
        </w:tc>
        <w:tc>
          <w:tcPr>
            <w:tcW w:type="dxa" w:w="5669"/>
            <w:shd w:fill="FFFFFF" w:val="clear"/>
          </w:tcPr>
          <w:p>
            <w:r>
              <w:rPr>
                <w:color w:val="282828"/>
                <w:sz w:val="15"/>
              </w:rPr>
              <w:t>Dettes financières / total bilan = 21.45%.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76.16%</w:t>
            </w:r>
          </w:p>
        </w:tc>
        <w:tc>
          <w:tcPr>
            <w:tcW w:type="dxa" w:w="5669"/>
            <w:shd w:fill="FFFFFF" w:val="clear"/>
          </w:tcPr>
          <w:p>
            <w:r>
              <w:rPr>
                <w:color w:val="282828"/>
                <w:sz w:val="15"/>
              </w:rPr>
              <w:t>Dettes totales / fonds propres = 76.16%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131.30%</w:t>
            </w:r>
          </w:p>
        </w:tc>
        <w:tc>
          <w:tcPr>
            <w:tcW w:type="dxa" w:w="5669"/>
            <w:shd w:fill="FFFFFF" w:val="clear"/>
          </w:tcPr>
          <w:p>
            <w:r>
              <w:rPr>
                <w:color w:val="282828"/>
                <w:sz w:val="15"/>
              </w:rPr>
              <w:t>Total actif / dettes totales = 131.30x.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120.18%</w:t>
            </w:r>
          </w:p>
        </w:tc>
        <w:tc>
          <w:tcPr>
            <w:tcW w:type="dxa" w:w="5669"/>
            <w:shd w:fill="FFFFFF" w:val="clear"/>
          </w:tcPr>
          <w:p>
            <w:r>
              <w:rPr>
                <w:color w:val="282828"/>
                <w:sz w:val="15"/>
              </w:rPr>
              <w:t>Actif circulant / passif circulant = 120.18x.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18.85%</w:t>
            </w:r>
          </w:p>
        </w:tc>
        <w:tc>
          <w:tcPr>
            <w:tcW w:type="dxa" w:w="5669"/>
            <w:shd w:fill="FFFFFF" w:val="clear"/>
          </w:tcPr>
          <w:p>
            <w:r>
              <w:rPr>
                <w:color w:val="282828"/>
                <w:sz w:val="15"/>
              </w:rPr>
              <w:t>Trésorerie / passif circulant = 18.85x. ⚠️ Trésorerie immédiate limitée.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105.08%</w:t>
            </w:r>
          </w:p>
        </w:tc>
        <w:tc>
          <w:tcPr>
            <w:tcW w:type="dxa" w:w="5669"/>
            <w:shd w:fill="FFFFFF" w:val="clear"/>
          </w:tcPr>
          <w:p>
            <w:r>
              <w:rPr>
                <w:color w:val="282828"/>
                <w:sz w:val="15"/>
              </w:rPr>
              <w:t>(Actif circ. - stocks) / passif circ. = 105.08x.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196.01%</w:t>
            </w:r>
          </w:p>
        </w:tc>
        <w:tc>
          <w:tcPr>
            <w:tcW w:type="dxa" w:w="5669"/>
            <w:shd w:fill="FFFFFF" w:val="clear"/>
          </w:tcPr>
          <w:p>
            <w:r>
              <w:rPr>
                <w:color w:val="282828"/>
                <w:sz w:val="15"/>
              </w:rPr>
              <w:t>Capitaux permanents / actif immobilisé = 196.01x.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483.41%</w:t>
            </w:r>
          </w:p>
        </w:tc>
        <w:tc>
          <w:tcPr>
            <w:tcW w:type="dxa" w:w="5669"/>
            <w:shd w:fill="FFFFFF" w:val="clear"/>
          </w:tcPr>
          <w:p>
            <w:r>
              <w:rPr>
                <w:color w:val="282828"/>
                <w:sz w:val="15"/>
              </w:rPr>
              <w:t>Résultat exploit. / charges financières = 483.41x.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246.18%</w:t>
            </w:r>
          </w:p>
        </w:tc>
        <w:tc>
          <w:tcPr>
            <w:tcW w:type="dxa" w:w="5669"/>
            <w:shd w:fill="FFFFFF" w:val="clear"/>
          </w:tcPr>
          <w:p>
            <w:r>
              <w:rPr>
                <w:color w:val="282828"/>
                <w:sz w:val="15"/>
              </w:rPr>
              <w:t>CAF / investissements = 246.18x.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FFC7CE" w:val="clear"/>
          </w:tcPr>
          <w:p>
            <w:r>
              <w:rPr>
                <w:b/>
                <w:color w:val="006400"/>
                <w:sz w:val="17"/>
              </w:rPr>
              <w:t>193.8 j</w:t>
            </w:r>
          </w:p>
        </w:tc>
        <w:tc>
          <w:tcPr>
            <w:tcW w:type="dxa" w:w="5669"/>
            <w:shd w:fill="FFFFFF" w:val="clear"/>
          </w:tcPr>
          <w:p>
            <w:r>
              <w:rPr>
                <w:color w:val="282828"/>
                <w:sz w:val="15"/>
              </w:rPr>
              <w:t>Les clients paient en moyenne en 194 jours. ❌ Délai critique — process de recouvrement à revoir.</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207.1 j</w:t>
            </w:r>
          </w:p>
        </w:tc>
        <w:tc>
          <w:tcPr>
            <w:tcW w:type="dxa" w:w="5669"/>
            <w:shd w:fill="FFFFFF" w:val="clear"/>
          </w:tcPr>
          <w:p>
            <w:r>
              <w:rPr>
                <w:color w:val="282828"/>
                <w:sz w:val="15"/>
              </w:rPr>
              <w:t>Paiement des fournisseurs en 207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38.1 j</w:t>
            </w:r>
          </w:p>
        </w:tc>
        <w:tc>
          <w:tcPr>
            <w:tcW w:type="dxa" w:w="5669"/>
            <w:shd w:fill="FFFFFF" w:val="clear"/>
          </w:tcPr>
          <w:p>
            <w:r>
              <w:rPr>
                <w:color w:val="282828"/>
                <w:sz w:val="15"/>
              </w:rPr>
              <w:t>Stock écoulé en 38 jours. ✅ Stockage standard.</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de SMBC s'établit à 133,30 milliards FCFA, un niveau qui la positionne parmi les valeurs moyennes de la BRVM, avec un flottant qui reste limité. Le BPA de 1 677 FCFA indique que chaque action génère un bénéfice substantiel, justifiant un PER de 10,2x, en phase avec la moyenne historique du marché (8-12x), ce qui traduit une valorisation raisonnable sans prime excessive. Le P/B de 3,11x montre que le marché valorise l'entreprise à plus de trois fois sa valeur comptable, reflétant une prime de croissance accordée par les investisseurs pour la rentabilité élevée de la société. Enfin, un EV/EBITDA de 6,4x confirme une évaluation modérée de la capacité opérationnelle, signalant que l'entreprise n'est ni surévaluée ni décotée par rapport à ses pairs régionaux.</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SMBC affiche une progression remarquable de +36,80%, avec une légère consolidation de -1,61% lors de la dernière séance, témoignant d'un momentum haussier soutenu. Le cours a évolué dans un range de 11 450 FCFA (plus bas) à 17 735 FCFA (plus haut), démontrant une forte amplitude de trading et un intérêt accru des investisseurs. La moyenne (14 611 FCFA) est inférieure à la médiane (15 690 FCFA), indiquant une distribution asymétrique avec une concentration des cours vers le haut de la fourchette. L'écart-type de 2 193 FCFA (CV de 15,0%) révèle une dispersion modérée, tandis que le kurtosis de -1,590 (platykurtique) suggère une faible probabilité de mouvements extrêmes, et le skewness de -0,236 confirme une symétrie relative. La volatilité annualisée de 37,0% classe le titre comme très volatile (&gt;30%), un niveau élevé qui reflète un risque significatif mais aussi un potentiel de rendement important.</w:t>
      </w:r>
    </w:p>
    <w:p>
      <w:pPr>
        <w:spacing w:after="120" w:line="276" w:lineRule="auto" w:before="240"/>
      </w:pPr>
      <w:r>
        <w:rPr>
          <w:b/>
          <w:color w:val="003366"/>
          <w:sz w:val="24"/>
        </w:rPr>
        <w:t>**PARTIE 2 : ANALYSE TECHNIQUE DÉTAILLÉE**</w:t>
      </w:r>
    </w:p>
    <w:p>
      <w:pPr>
        <w:spacing w:after="120" w:line="276" w:lineRule="auto"/>
      </w:pPr>
      <w:r>
        <w:t>**Moyennes Mobiles** : Les MM20 (16 388,5 FCFA) et MM50 (16 490,3 FCFA) sont toutes deux inférieures au cours actuel de 17 100 FCFA, indiquant une tendance haussière sous-jacente. Cependant, la décision de "Vente" suggère que le cours pourrait être en phase de correction après une hausse rapide, avec un écart qui se resserre entre les moyennes et le prix, signalant un possible retournement à court terme.</w:t>
      </w:r>
    </w:p>
    <w:p>
      <w:pPr>
        <w:spacing w:after="120" w:line="276" w:lineRule="auto"/>
      </w:pPr>
      <w:r>
        <w:t>**Bandes de Bollinger** : Le cours se positionne près de la borne supérieure (17 374,7 FCFA), avec une borne inférieure à 15 402,3 FCFA, créant un canal de volatilité élargi. La décision "Neutre" indique que le prix n'est pas en zone de surachat extrême, mais la proximité de la borne haute suggère une pression acheteuse soutenue, avec un risque de consolidation technique.</w:t>
      </w:r>
    </w:p>
    <w:p>
      <w:pPr>
        <w:spacing w:after="120" w:line="276" w:lineRule="auto"/>
      </w:pPr>
      <w:r>
        <w:t>**MACD** : La valeur de 221,38 est nettement supérieure au signal de 135,87, confirmant un momentum haussier positif. La décision "Achat" est justifiée par cette divergence positive, indiquant que la dynamique de prix reste favorable malgré la récente baisse, avec un potentiel de poursuite de la tendance.</w:t>
      </w:r>
    </w:p>
    <w:p>
      <w:pPr>
        <w:spacing w:after="120" w:line="276" w:lineRule="auto"/>
      </w:pPr>
      <w:r>
        <w:t>**RSI** : À 67,75, le RSI se situe en zone neutre-haute, proche du seuil de surachat (70). La décision "Neutre" reflète un équilibre entre pression acheteuse et vendeuse, mais la proximité du seuil critique suggère une vigilance sur une possible correction technique.</w:t>
      </w:r>
    </w:p>
    <w:p>
      <w:pPr>
        <w:spacing w:after="120" w:line="276" w:lineRule="auto"/>
      </w:pPr>
      <w:r>
        <w:t>**Stochastique** : Le %K (72,68) est inférieur au %D (90,89), indiquant un croisement baissier potentiel, bien que les deux restent en zone élevée. La décision "Neutre" traduit une perte de momentum haussier, avec un risque de retournement à court terme.</w:t>
      </w:r>
    </w:p>
    <w:p>
      <w:pPr>
        <w:spacing w:after="120" w:line="276" w:lineRule="auto"/>
      </w:pPr>
      <w:r>
        <w:t>**Conclusion technique** : Les indicateurs sont globalement mitigés, avec un MACD positif mais des moyennes mobiles et stochastiques en signal de prudence. La tendance reste haussière, mais les signaux de surachat et de consolidation suggèrent une pause possible avant une reprise. La convergence des signaux est partielle, nécessitant une confirmation par les volumes.</w:t>
      </w:r>
    </w:p>
    <w:p>
      <w:pPr>
        <w:spacing w:after="120" w:line="276" w:lineRule="auto" w:before="240"/>
      </w:pPr>
      <w:r>
        <w:rPr>
          <w:b/>
          <w:color w:val="003366"/>
          <w:sz w:val="24"/>
        </w:rPr>
        <w:t>**PARTIE 3 : ANALYSE FONDAMENTALE (SECTION CRITIQUE)**</w:t>
      </w:r>
    </w:p>
    <w:p>
      <w:pPr>
        <w:spacing w:after="120" w:line="276" w:lineRule="auto"/>
      </w:pPr>
      <w:r>
        <w:t>En 2025, SMBC affiche un chiffre d'affaires de 206,740 milliards FCFA, en baisse de -9,74% par rapport à 2024 (229,061 milliards FCFA), mais avec un résultat net en forte progression de +50,3% à 13,075 milliards FCFA, contre 8,698 milliards en 2024. La marge nette s'améliore spectaculairement à 6,32% (vs 3,8% en 2024), portée par un EBE en hausse de +41,8% à 18,480 milliards FCFA et une meilleure maîtrise des charges. Le ROE atteint 30,47%, un niveau excellent (&gt;15%), et le ROA de 7,26% confirme une utilisation efficace des actifs. En tant qu'entreprise industrielle, le BFR de 1,693 milliards FCFA est positif mais faible, avec un délai clients élevé de 193,75 jours, un risque de trésorerie à surveiller, compensé par un délai fournisseurs de 207,07 jours favorable. La trésorerie nette est solide à 23,988 milliards FCFA, et la capacité de remboursement de 0,68 an est rassurante. Sur la base des rapports trimestriels 2025 (T1 : CA -22%, résultat net -7% ; S1 : CA -23%, résultat net -7% ; 9M : CA -14%, résultat net +6%), on estime que l'exercice 2025 devrait confirmer la tendance de reprise progressive, avec une stabilisation du CA et une amélioration continue des marges. Les rapports de 2024 (Mistral) et 2025 (DeepSeek) convergent vers une recommandation "Conserver", soulignant la solidité opérationnelle mais la prudence face à la baisse des revenus.</w:t>
      </w:r>
    </w:p>
    <w:p>
      <w:pPr>
        <w:spacing w:after="120" w:line="276" w:lineRule="auto" w:before="240"/>
      </w:pPr>
      <w:r>
        <w:rPr>
          <w:b/>
          <w:color w:val="003366"/>
          <w:sz w:val="24"/>
        </w:rPr>
        <w:t>**PARTIE 4 : CONCLUSION D'INVESTISSEMENT**</w:t>
      </w:r>
    </w:p>
    <w:p>
      <w:pPr>
        <w:spacing w:after="120" w:line="276" w:lineRule="auto"/>
      </w:pPr>
      <w:r>
        <w:t>La valorisation de SMBC (PER 10,2x, P/B 3,11x, EV/EBITDA 6,4x) indique une sous-évaluation modérée par rapport à son potentiel de croissance, avec des ratios en ligne avec le marché BRVM. Le comportement du cours (+36,80% sur 100 jours) est très favorable, mais la volatilité élevée (37%) et le kurtosis platykurtique suggèrent un risque de correction. Les signaux techniques sont mitigés : le MACD est positif, mais les moyennes mobiles et le stochastique indiquent une prudence à court terme. Les fondamentaux sont solides, avec un ROE de 30,47% et une trésorerie renforcée, mais la baisse du CA (-9,74%) reste un point de vigilance. Les prédictions IA (J+1 à J+10) montrent une légère baisse progressive de 16 944 à 16 662 FCFA, contredisant partiellement le momentum haussier et suggérant une consolidation. En synthèse, la convergence entre valorisation attractive, fondamentaux solides et tendance haussière est contrebalancée par des signaux techniques de surachat et des prédictions baissières à court terme. **Recommandation : CONSERVER** avec un niveau de confiance **Moyen**, un risque global **Élevé**, et un horizon d'investissement optimal à **moyen terme (3-12 mois)**, en attendant une confirmation de la reprise du chiffre d'affaires et une stabilisation technique.</w:t>
      </w:r>
    </w:p>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excellente capacit\u00e9 \u00e0 am\u00e9liorer sa rentabilit\u00e9 malgr\u00e9 un environnement difficile, avec une forte g\u00e9n\u00e9ration de cash et un bilan renforc\u00e9. La progression spectaculaire des marges et la position de tr\u00e9sorerie solide offrent un potentiel d'appr\u00e9ciation attractif."}</w:t>
      </w:r>
    </w:p>
    <w:p>
      <w:pPr>
        <w:spacing w:before="40"/>
        <w:ind w:left="400"/>
      </w:pPr>
      <w:r>
        <w:rPr>
          <w:sz w:val="18"/>
        </w:rPr>
        <w:t>SMB affiche une performance solide en 2025 avec un résultat net en forte hausse de 50,3% à 13,1 milliards FCFA malgré une baisse du chiffre d'affaires de 9,8%. La rentabilité s'améliore significativement avec une marge nette passant de 3,8% à 6,3%. La société renforce sa structure financière avec des capitaux propres de 42,9 milliards FCFA (+21,6%) et une trésorerie nette positive de 24 milliards FCFA. L'excédent brut d'exploitation progresse de 41,8% à 18,5 milliards FCFA, témoignant d'une amélioration de l'efficacité opérationnelle. La génération de flux de trésorerie opérationnels reste forte à 26,1 milliards FCFA.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{'roe': '30,5%', 'marge_brute': '18,1%', 'variation_ca': '-9,8%', 'tresorerie_nette': '23 988 millions FCFA', 'variation_resultat_net': '+50,3%', 'excedent_brut_exploitation': '18 480 millions FCFA'}</w:t>
            </w:r>
          </w:p>
        </w:tc>
        <w:tc>
          <w:tcPr>
            <w:tcW w:type="dxa" w:w="2160"/>
          </w:tcPr>
          <w:p>
            <w:pPr>
              <w:ind w:left="100"/>
            </w:pPr>
            <w:r/>
            <w:r>
              <w:rPr>
                <w:b/>
                <w:sz w:val="16"/>
              </w:rPr>
              <w:t>dividende</w:t>
              <w:br/>
            </w:r>
            <w:r>
              <w:rPr>
                <w:sz w:val="18"/>
              </w:rPr>
              <w:t>5 457 millions FCFA versés</w:t>
            </w:r>
          </w:p>
        </w:tc>
        <w:tc>
          <w:tcPr>
            <w:tcW w:type="dxa" w:w="2160"/>
          </w:tcPr>
          <w:p>
            <w:pPr>
              <w:ind w:left="100"/>
            </w:pPr>
            <w:r/>
            <w:r>
              <w:rPr>
                <w:b/>
                <w:sz w:val="16"/>
              </w:rPr>
              <w:t>marge_nette</w:t>
              <w:br/>
            </w:r>
            <w:r>
              <w:rPr>
                <w:sz w:val="18"/>
              </w:rPr>
              <w:t>6,3%</w:t>
            </w:r>
          </w:p>
        </w:tc>
        <w:tc>
          <w:tcPr>
            <w:tcW w:type="dxa" w:w="2160"/>
          </w:tcPr>
          <w:p>
            <w:pPr>
              <w:ind w:left="100"/>
            </w:pPr>
            <w:r/>
            <w:r>
              <w:rPr>
                <w:b/>
                <w:sz w:val="16"/>
              </w:rPr>
              <w:t>total_actif</w:t>
              <w:br/>
            </w:r>
            <w:r>
              <w:rPr>
                <w:sz w:val="18"/>
              </w:rPr>
              <w:t>180 003 millions FCFA</w:t>
            </w:r>
          </w:p>
        </w:tc>
      </w:tr>
      <w:tr>
        <w:tc>
          <w:tcPr>
            <w:tcW w:type="dxa" w:w="2160"/>
          </w:tcPr>
          <w:p>
            <w:r/>
            <w:r>
              <w:rPr>
                <w:b/>
                <w:sz w:val="16"/>
              </w:rPr>
              <w:t>resultat_net</w:t>
              <w:br/>
            </w:r>
            <w:r>
              <w:rPr>
                <w:sz w:val="18"/>
              </w:rPr>
              <w:t>13 075 millions FCFA</w:t>
            </w:r>
          </w:p>
        </w:tc>
        <w:tc>
          <w:tcPr>
            <w:tcW w:type="dxa" w:w="2160"/>
          </w:tcPr>
          <w:p>
            <w:r/>
            <w:r>
              <w:rPr>
                <w:b/>
                <w:sz w:val="16"/>
              </w:rPr>
              <w:t>capitaux_propres</w:t>
              <w:br/>
            </w:r>
            <w:r>
              <w:rPr>
                <w:sz w:val="18"/>
              </w:rPr>
              <w:t>42 913 millions FCFA</w:t>
            </w:r>
          </w:p>
        </w:tc>
        <w:tc>
          <w:tcPr>
            <w:tcW w:type="dxa" w:w="2160"/>
          </w:tcPr>
          <w:p>
            <w:r/>
            <w:r>
              <w:rPr>
                <w:b/>
                <w:sz w:val="16"/>
              </w:rPr>
              <w:t>chiffre_affaires</w:t>
              <w:br/>
            </w:r>
            <w:r>
              <w:rPr>
                <w:sz w:val="18"/>
              </w:rPr>
              <w:t>206 740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9,8% à 206,7 milliards FCFA</w:t>
      </w:r>
    </w:p>
    <w:p>
      <w:pPr>
        <w:pStyle w:val="ListBullet"/>
        <w:spacing w:before="20" w:after="20"/>
        <w:ind w:left="700"/>
      </w:pPr>
      <w:r>
        <w:rPr>
          <w:sz w:val="18"/>
        </w:rPr>
        <w:t>Résultat net en forte progression de 50,3% à 13,1 milliards FCFA</w:t>
      </w:r>
    </w:p>
    <w:p>
      <w:pPr>
        <w:pStyle w:val="ListBullet"/>
        <w:spacing w:before="20" w:after="20"/>
        <w:ind w:left="700"/>
      </w:pPr>
      <w:r>
        <w:rPr>
          <w:sz w:val="18"/>
        </w:rPr>
        <w:t>Amélioration spectaculaire de la marge nette de 3,8% à 6,3%</w:t>
      </w:r>
    </w:p>
    <w:p>
      <w:pPr>
        <w:pStyle w:val="ListBullet"/>
        <w:spacing w:before="20" w:after="20"/>
        <w:ind w:left="700"/>
      </w:pPr>
      <w:r>
        <w:rPr>
          <w:sz w:val="18"/>
        </w:rPr>
        <w:t>Excédent brut d'exploitation en hausse de 41,8% à 18,5 milliards FCFA</w:t>
      </w:r>
    </w:p>
    <w:p>
      <w:pPr>
        <w:pStyle w:val="ListBullet"/>
        <w:spacing w:before="20" w:after="20"/>
        <w:ind w:left="700"/>
      </w:pPr>
      <w:r>
        <w:rPr>
          <w:sz w:val="18"/>
        </w:rPr>
        <w:t>Renforcement des capitaux propres de 21,6% à 42,9 milliards FCFA</w:t>
      </w:r>
    </w:p>
    <w:p>
      <w:pPr>
        <w:pStyle w:val="ListBullet"/>
        <w:spacing w:before="20" w:after="20"/>
        <w:ind w:left="700"/>
      </w:pPr>
      <w:r>
        <w:rPr>
          <w:sz w:val="18"/>
        </w:rPr>
        <w:t>Trésorerie nette très positive à 24 milliards FCFA contre 6,1 milliards en 2024</w:t>
      </w:r>
    </w:p>
    <w:p>
      <w:pPr>
        <w:spacing w:before="40"/>
        <w:ind w:left="400"/>
      </w:pPr>
      <w:r>
        <w:rPr>
          <w:b/>
          <w:color w:val="C05000"/>
          <w:sz w:val="18"/>
        </w:rPr>
        <w:t xml:space="preserve">⚠️ Risques : </w:t>
      </w:r>
      <w:r>
        <w:rPr>
          <w:sz w:val="18"/>
        </w:rPr>
        <w:t>["Baisse du chiffre d'affaires indiquant un environnement de march\u00e9 difficile", "Forte d\u00e9pendance aux fluctuations des prix des mati\u00e8res premi\u00e8res (secteur bitumes)", "Exposition aux risques \u00e9conomiques et politiques des march\u00e9s africains"]</w:t>
      </w:r>
    </w:p>
    <w:p>
      <w:pPr>
        <w:spacing w:before="40"/>
        <w:ind w:left="400"/>
      </w:pPr>
      <w:r>
        <w:rPr>
          <w:b/>
          <w:color w:val="0064A0"/>
          <w:sz w:val="18"/>
        </w:rPr>
        <w:t xml:space="preserve">🔮 Perspectives : </w:t>
      </w:r>
      <w:r>
        <w:rPr>
          <w:sz w:val="18"/>
        </w:rPr>
        <w:t>SMB devrait bénéficier de sa position de trésorerie renforcée pour saisir les opportunités de croissance et maintenir ses investissements. L'amélioration continue de l'efficacité opérationnelle et la solidité du bilan positionnent bien la société pour naviguer dans un environnement économique incert</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solide malgr\u00e9 les difficult\u00e9s op\u00e9rationnelles avec un dividende attractif de 13,3% et des perspectives d'expansion internationale. Les investissements de modernisation et le projet Ghana positionnent bien la soci\u00e9t\u00e9 pour la croissance future."}</w:t>
      </w:r>
    </w:p>
    <w:p>
      <w:pPr>
        <w:spacing w:before="40"/>
        <w:ind w:left="400"/>
      </w:pPr>
      <w:r>
        <w:rPr>
          <w:sz w:val="18"/>
        </w:rPr>
        <w:t>La SMB a réalisé en 2021 un chiffre d'affaires de 139,353 milliards FCFA en hausse de 36% grâce à une forte activité export (+25%) malgré un recul sur le marché national (-14%). Le résultat net s'établit à 8,623 milliards FCFA, en léger recul par rapport aux 9,396 milliards de 2020, impacté par un arrêt règlementaire de 2 mois et une rupture d'approvisionnement en pétrole brut. La société propose un dividende de 800 FCFA par action, soit un rendement attractif sur la base du cours moyen de 6,035 FCFA. Les investissements techniques de 9,5 milliards FCFA témoignent de la modernisation des installations. Le projet d'expansion au Ghana avec GOBITUMEN marque une stratégie de développement à l'in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{'marge_brute': '31,454 milliards FCFA', 'valeur_ajoutee': '19,799 milliards FCFA', 'cours_moyen_action': '6,035 FCFA', 'resultat_exploitation': '13,649 milliards FCFA', 'capitalisation_boursiere': '24,352 milliards FCFA'}</w:t>
            </w:r>
          </w:p>
        </w:tc>
        <w:tc>
          <w:tcPr>
            <w:tcW w:type="dxa" w:w="2160"/>
          </w:tcPr>
          <w:p>
            <w:pPr>
              <w:ind w:left="100"/>
            </w:pPr>
            <w:r/>
            <w:r>
              <w:rPr>
                <w:b/>
                <w:sz w:val="16"/>
              </w:rPr>
              <w:t>dividende</w:t>
              <w:br/>
            </w:r>
            <w:r>
              <w:rPr>
                <w:sz w:val="18"/>
              </w:rPr>
              <w:t>800 FCFA par action</w:t>
            </w:r>
          </w:p>
        </w:tc>
        <w:tc>
          <w:tcPr>
            <w:tcW w:type="dxa" w:w="2160"/>
          </w:tcPr>
          <w:p>
            <w:pPr>
              <w:ind w:left="100"/>
            </w:pPr>
            <w:r/>
            <w:r>
              <w:rPr>
                <w:b/>
                <w:sz w:val="16"/>
              </w:rPr>
              <w:t>marge_nette</w:t>
              <w:br/>
            </w:r>
            <w:r>
              <w:rPr>
                <w:sz w:val="18"/>
              </w:rPr>
              <w:t>6,19%</w:t>
            </w:r>
          </w:p>
        </w:tc>
        <w:tc>
          <w:tcPr>
            <w:tcW w:type="dxa" w:w="2160"/>
          </w:tcPr>
          <w:p>
            <w:pPr>
              <w:ind w:left="100"/>
            </w:pPr>
            <w:r/>
            <w:r>
              <w:rPr>
                <w:b/>
                <w:sz w:val="16"/>
              </w:rPr>
              <w:t>total_actif</w:t>
              <w:br/>
            </w:r>
            <w:r>
              <w:rPr>
                <w:sz w:val="18"/>
              </w:rPr>
              <w:t>107,351 milliards FCFA</w:t>
            </w:r>
          </w:p>
        </w:tc>
      </w:tr>
      <w:tr>
        <w:tc>
          <w:tcPr>
            <w:tcW w:type="dxa" w:w="2160"/>
          </w:tcPr>
          <w:p>
            <w:r/>
            <w:r>
              <w:rPr>
                <w:b/>
                <w:sz w:val="16"/>
              </w:rPr>
              <w:t>resultat_net</w:t>
              <w:br/>
            </w:r>
            <w:r>
              <w:rPr>
                <w:sz w:val="18"/>
              </w:rPr>
              <w:t>8,623 milliards FCFA</w:t>
            </w:r>
          </w:p>
        </w:tc>
        <w:tc>
          <w:tcPr>
            <w:tcW w:type="dxa" w:w="2160"/>
          </w:tcPr>
          <w:p>
            <w:r/>
            <w:r>
              <w:rPr>
                <w:b/>
                <w:sz w:val="16"/>
              </w:rPr>
              <w:t>capitaux_propres</w:t>
              <w:br/>
            </w:r>
            <w:r>
              <w:rPr>
                <w:sz w:val="18"/>
              </w:rPr>
              <w:t>21,747 milliards FCFA</w:t>
            </w:r>
          </w:p>
        </w:tc>
        <w:tc>
          <w:tcPr>
            <w:tcW w:type="dxa" w:w="2160"/>
          </w:tcPr>
          <w:p>
            <w:r/>
            <w:r>
              <w:rPr>
                <w:b/>
                <w:sz w:val="16"/>
              </w:rPr>
              <w:t>chiffre_affaires</w:t>
              <w:br/>
            </w:r>
            <w:r>
              <w:rPr>
                <w:sz w:val="18"/>
              </w:rPr>
              <w:t>139,353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hausse de 36% à 139,353 milliards FCFA</w:t>
      </w:r>
    </w:p>
    <w:p>
      <w:pPr>
        <w:pStyle w:val="ListBullet"/>
        <w:spacing w:before="20" w:after="20"/>
        <w:ind w:left="700"/>
      </w:pPr>
      <w:r>
        <w:rPr>
          <w:sz w:val="18"/>
        </w:rPr>
        <w:t>Résultat net de 8,623 milliards FCFA, en baisse de 8% par rapport à 2020</w:t>
      </w:r>
    </w:p>
    <w:p>
      <w:pPr>
        <w:pStyle w:val="ListBullet"/>
        <w:spacing w:before="20" w:after="20"/>
        <w:ind w:left="700"/>
      </w:pPr>
      <w:r>
        <w:rPr>
          <w:sz w:val="18"/>
        </w:rPr>
        <w:t>Dividende attractif de 800 FCFA par action (taux de distribution de 72%)</w:t>
      </w:r>
    </w:p>
    <w:p>
      <w:pPr>
        <w:pStyle w:val="ListBullet"/>
        <w:spacing w:before="20" w:after="20"/>
        <w:ind w:left="700"/>
      </w:pPr>
      <w:r>
        <w:rPr>
          <w:sz w:val="18"/>
        </w:rPr>
        <w:t>Export en forte progression (+25%) compensant le recul du marché national (-14%)</w:t>
      </w:r>
    </w:p>
    <w:p>
      <w:pPr>
        <w:pStyle w:val="ListBullet"/>
        <w:spacing w:before="20" w:after="20"/>
        <w:ind w:left="700"/>
      </w:pPr>
      <w:r>
        <w:rPr>
          <w:sz w:val="18"/>
        </w:rPr>
        <w:t>Arrêt règlementaire de 66 jours et rupture d'approvisionnement ont impacté la production</w:t>
      </w:r>
    </w:p>
    <w:p>
      <w:pPr>
        <w:pStyle w:val="ListBullet"/>
        <w:spacing w:before="20" w:after="20"/>
        <w:ind w:left="700"/>
      </w:pPr>
      <w:r>
        <w:rPr>
          <w:sz w:val="18"/>
        </w:rPr>
        <w:t>Investissements techniques majeurs de 9,5 milliards FCFA</w:t>
      </w:r>
    </w:p>
    <w:p>
      <w:pPr>
        <w:spacing w:before="40"/>
        <w:ind w:left="400"/>
      </w:pPr>
      <w:r>
        <w:rPr>
          <w:b/>
          <w:color w:val="C05000"/>
          <w:sz w:val="18"/>
        </w:rPr>
        <w:t xml:space="preserve">⚠️ Risques : </w:t>
      </w:r>
      <w:r>
        <w:rPr>
          <w:sz w:val="18"/>
        </w:rPr>
        <w:t>["D\u00e9pendance aux approvisionnements en p\u00e9trole brut et volatilit\u00e9 des cours", "Concentration g\u00e9ographique sur l'Afrique de l'Ouest avec risques g\u00e9opolitiques", "Arr\u00eats techniques r\u00e8glementaires impactant la production et la rentabilit\u00e9"]</w:t>
      </w:r>
    </w:p>
    <w:p>
      <w:pPr>
        <w:spacing w:before="40"/>
        <w:ind w:left="400"/>
      </w:pPr>
      <w:r>
        <w:rPr>
          <w:b/>
          <w:color w:val="0064A0"/>
          <w:sz w:val="18"/>
        </w:rPr>
        <w:t xml:space="preserve">🔮 Perspectives : </w:t>
      </w:r>
      <w:r>
        <w:rPr>
          <w:sz w:val="18"/>
        </w:rPr>
        <w:t>Les perspectives 2022 sont positives avec la mise en service prévue du dépôt GOBITUMEN au Ghana en juin 2022, ouvrant de nouveaux débouchés export. La modernisation des installations et l'extension des capacités de stockage devraient améliorer l'efficacité opérationnelle. Le maintien d'une demande 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"Les commissaires aux comptes n'ont relev\u00e9 aucune anomalie significative dans leurs v\u00e9rifications limit\u00e9es. L'attestation confirme la r\u00e9gularit\u00e9 des informations financi\u00e8res semestrielles selon les normes OHADA."}</w:t>
      </w:r>
    </w:p>
    <w:p>
      <w:pPr>
        <w:spacing w:before="40"/>
        <w:ind w:left="400"/>
      </w:pPr>
      <w:r>
        <w:rPr>
          <w:sz w:val="18"/>
        </w:rPr>
        <w:t>Ce document est une attestation des commissaires aux comptes d'ECR International et CCM Audit &amp; Conseil concernant la Société Multinationale de Bitumes S.A. (SMB) pour la période du 1er janvier au 30 juin 2022. Les commissaires attestent avoir effectué un examen analytique limité des données financières semestrielles selon les normes professionnelles et de l'OHADA. Ils précisent que cet examen ne constitue pas un audit complet et ne permet pas d'exprimer une opinion d'audit. L'attestation confirme que les documents financiers ont été vérifiés conformément à la norme ISRE 2410 pour les examens limités d'informations financières intermédiaires. Les commissaires n'ont pas relevé d'éléments reme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la période semestrielle du 1er janvier au 30 juin 2022</w:t>
      </w:r>
    </w:p>
    <w:p>
      <w:pPr>
        <w:pStyle w:val="ListBullet"/>
        <w:spacing w:before="20" w:after="20"/>
        <w:ind w:left="700"/>
      </w:pPr>
      <w:r>
        <w:rPr>
          <w:sz w:val="18"/>
        </w:rPr>
        <w:t>Examen analytique limité effectué selon les normes OHADA et professionnelles</w:t>
      </w:r>
    </w:p>
    <w:p>
      <w:pPr>
        <w:pStyle w:val="ListBullet"/>
        <w:spacing w:before="20" w:after="20"/>
        <w:ind w:left="700"/>
      </w:pPr>
      <w:r>
        <w:rPr>
          <w:sz w:val="18"/>
        </w:rPr>
        <w:t>Vérification conforme à la norme ISRE 2410 pour les examens limités d'informations financières intermédiaires</w:t>
      </w:r>
    </w:p>
    <w:p>
      <w:pPr>
        <w:pStyle w:val="ListBullet"/>
        <w:spacing w:before="20" w:after="20"/>
        <w:ind w:left="700"/>
      </w:pPr>
      <w:r>
        <w:rPr>
          <w:sz w:val="18"/>
        </w:rPr>
        <w:t>Aucune anomalie significative relevée lors de l'examen limité</w:t>
      </w:r>
    </w:p>
    <w:p>
      <w:pPr>
        <w:pStyle w:val="ListBullet"/>
        <w:spacing w:before="20" w:after="20"/>
        <w:ind w:left="700"/>
      </w:pPr>
      <w:r>
        <w:rPr>
          <w:sz w:val="18"/>
        </w:rPr>
        <w:t>Procédures analytiques et diligences limitées mises en œuvre</w:t>
      </w:r>
    </w:p>
    <w:p>
      <w:pPr>
        <w:pStyle w:val="ListBullet"/>
        <w:spacing w:before="20" w:after="20"/>
        <w:ind w:left="700"/>
      </w:pPr>
      <w:r>
        <w:rPr>
          <w:sz w:val="18"/>
        </w:rPr>
        <w:t>Information estimée nécessaire obtenue conformément aux exigences</w:t>
      </w:r>
    </w:p>
    <w:p>
      <w:pPr>
        <w:spacing w:before="40"/>
        <w:ind w:left="400"/>
      </w:pPr>
      <w:r>
        <w:rPr>
          <w:b/>
          <w:color w:val="C05000"/>
          <w:sz w:val="18"/>
        </w:rPr>
        <w:t xml:space="preserve">⚠️ Risques : </w:t>
      </w:r>
      <w:r>
        <w:rPr>
          <w:sz w:val="18"/>
        </w:rPr>
        <w:t>["Examen limit\u00e9 ne constituant pas un audit complet pouvant masquer certains risques", "Absence de donn\u00e9es financi\u00e8res d\u00e9taill\u00e9es dans ce document d'attestation", "D\u00e9pendance aux informations fournies par la direction pour l'examen limit\u00e9"]</w:t>
      </w:r>
    </w:p>
    <w:p>
      <w:pPr>
        <w:spacing w:before="40"/>
        <w:ind w:left="400"/>
      </w:pPr>
      <w:r>
        <w:rPr>
          <w:b/>
          <w:color w:val="0064A0"/>
          <w:sz w:val="18"/>
        </w:rPr>
        <w:t xml:space="preserve">🔮 Perspectives : </w:t>
      </w:r>
      <w:r>
        <w:rPr>
          <w:sz w:val="18"/>
        </w:rPr>
        <w:t>Ce document ne fournit pas d'informations sur les perspectives financières de SMB. Il s'agit uniquement d'une attestation technique des commissaires aux comptes confirmant la régularité de l'examen semestriel. Des états financiers complets seraient nécessaires pour évaluer les perspectives de la soc</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du CA de 132% et du r\u00e9sultat net de 26%. Les perspectives sont favorables gr\u00e2ce aux importants projets d'infrastructures financ\u00e9s par l'\u00c9tat."}</w:t>
      </w:r>
    </w:p>
    <w:p>
      <w:pPr>
        <w:spacing w:before="40"/>
        <w:ind w:left="400"/>
      </w:pPr>
      <w:r>
        <w:rPr>
          <w:sz w:val="18"/>
        </w:rPr>
        <w:t>SMB réalise une performance exceptionnelle au S1 2022 avec un chiffre d'affaires multiplié par 2,3 à 113,5 milliards FCFA (+132%). Cette croissance explosive s'explique principalement par la flambée des cours des produits pétroliers (+52% à +105%) et une forte demande nationale en bitumes (+32%). Le résultat net progresse de 26% à 5,2 milliards FCFA malgré la hausse des coûts des matières premières. La société bénéficie des importants travaux routiers menés par l'État ivoirien et d'un marché export dynamique (+56%). Les perspectives restent favorables pour le second semestre grâce aux projets d'infrastructures en cours à Abidjan et à l'intérieur du pays.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'4,872 milliards FCFA', 'impot_sur_resultat': '2,2 milliards FCFA', 'resultat_exploitation': '7,6 milliards FCFA', 'resultat_activites_ordinaires': '7,4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5,2 milliards FCFA (S1 2022)</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113,5 milliards FCFA (S1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+132% à 113,5 milliards FCFA au S1 2022</w:t>
      </w:r>
    </w:p>
    <w:p>
      <w:pPr>
        <w:pStyle w:val="ListBullet"/>
        <w:spacing w:before="20" w:after="20"/>
        <w:ind w:left="700"/>
      </w:pPr>
      <w:r>
        <w:rPr>
          <w:sz w:val="18"/>
        </w:rPr>
        <w:t>Forte hausse des prix des produits pétroliers : Super +77%, Kérosène +105%, Gasoil +97%, Bitumes +52%</w:t>
      </w:r>
    </w:p>
    <w:p>
      <w:pPr>
        <w:pStyle w:val="ListBullet"/>
        <w:spacing w:before="20" w:after="20"/>
        <w:ind w:left="700"/>
      </w:pPr>
      <w:r>
        <w:rPr>
          <w:sz w:val="18"/>
        </w:rPr>
        <w:t>Marché national des bitumes en croissance de 32% avec 60 200 tonnes vendues</w:t>
      </w:r>
    </w:p>
    <w:p>
      <w:pPr>
        <w:pStyle w:val="ListBullet"/>
        <w:spacing w:before="20" w:after="20"/>
        <w:ind w:left="700"/>
      </w:pPr>
      <w:r>
        <w:rPr>
          <w:sz w:val="18"/>
        </w:rPr>
        <w:t>Export maritime dynamique : +56% avec 68 770 tonnes vendues</w:t>
      </w:r>
    </w:p>
    <w:p>
      <w:pPr>
        <w:pStyle w:val="ListBullet"/>
        <w:spacing w:before="20" w:after="20"/>
        <w:ind w:left="700"/>
      </w:pPr>
      <w:r>
        <w:rPr>
          <w:sz w:val="18"/>
        </w:rPr>
        <w:t>Résultat net en progression de 26% à 5,2 milliards FCFA</w:t>
      </w:r>
    </w:p>
    <w:p>
      <w:pPr>
        <w:pStyle w:val="ListBullet"/>
        <w:spacing w:before="20" w:after="20"/>
        <w:ind w:left="700"/>
      </w:pPr>
      <w:r>
        <w:rPr>
          <w:sz w:val="18"/>
        </w:rPr>
        <w:t>Résultat des activités ordinaires en hausse de 17% à 7,4 milliards FCFA</w:t>
      </w:r>
    </w:p>
    <w:p>
      <w:pPr>
        <w:spacing w:before="40"/>
        <w:ind w:left="400"/>
      </w:pPr>
      <w:r>
        <w:rPr>
          <w:b/>
          <w:color w:val="C05000"/>
          <w:sz w:val="18"/>
        </w:rPr>
        <w:t xml:space="preserve">⚠️ Risques : </w:t>
      </w:r>
      <w:r>
        <w:rPr>
          <w:sz w:val="18"/>
        </w:rPr>
        <w:t>["Volatilit\u00e9 des cours des produits p\u00e9troliers et du Brent", "D\u00e9pendance aux politiques d'investissement public en infrastructures", "Hausse continue des co\u00fbts des mati\u00e8res premi\u00e8res (fuel 1%)"]</w:t>
      </w:r>
    </w:p>
    <w:p>
      <w:pPr>
        <w:spacing w:before="40"/>
        <w:ind w:left="400"/>
      </w:pPr>
      <w:r>
        <w:rPr>
          <w:b/>
          <w:color w:val="0064A0"/>
          <w:sz w:val="18"/>
        </w:rPr>
        <w:t xml:space="preserve">🔮 Perspectives : </w:t>
      </w:r>
      <w:r>
        <w:rPr>
          <w:sz w:val="18"/>
        </w:rPr>
        <w:t xml:space="preserve">Les perspectives pour le second semestre 2022 restent bonnes, soutenues par la saisonnalité de l'activité et la forte demande nationale. La société devrait bénéficier de la poursuite des gros travaux d'infrastructures à Abidjan et à l'intérieur du pays, dont les financements sont déjà sécurisés. La </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du chiffre d'affaires, la pression sur les marges et la volatilit\u00e9 des cours p\u00e9troliers n\u00e9cessitent de la prudence. La forte demande nationale offre cependant un support solide pour maintenir la position."}</w:t>
      </w:r>
    </w:p>
    <w:p>
      <w:pPr>
        <w:spacing w:before="40"/>
        <w:ind w:left="400"/>
      </w:pPr>
      <w:r>
        <w:rPr>
          <w:sz w:val="18"/>
        </w:rPr>
        <w:t>SMB affiche un chiffre d'affaires exceptionnel de 194,7 milliards FCFA au 30 septembre 2022, en hausse de 128% par rapport à 2021, principalement grâce à l'envolée des cours du pétrole liée à la guerre russo-ukrainienne. Le résultat net reste stable à 6,5 milliards FCFA (+2%) malgré une baisse de 9% du résultat des activités ordinaires. Cette performance s'explique par la forte contraction des marges de raffinage au T3 2022 et la hausse de 55% des coûts des matières premières. La société reste cependant rentable avec une marge nette maintenue autour de 3,3%. Les perspectives pour le T4 2022 sont encourageantes grâce à la forte demande du marché national malgré la dégradation des cours intern</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'128%', 'capital_social': '4,872 milliards FCFA', 'variation_resultat_net': '2%', 'resultat_activites_ordinaires': '8,47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3,3%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6,5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194,7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explosion : +128% à 194,7 milliards FCFA grâce aux cours pétroliers élevés</w:t>
      </w:r>
    </w:p>
    <w:p>
      <w:pPr>
        <w:pStyle w:val="ListBullet"/>
        <w:spacing w:before="20" w:after="20"/>
        <w:ind w:left="700"/>
      </w:pPr>
      <w:r>
        <w:rPr>
          <w:sz w:val="18"/>
        </w:rPr>
        <w:t>Résultat net stable à 6,5 milliards FCFA (+2%) démontrant la résilience opérationnelle</w:t>
      </w:r>
    </w:p>
    <w:p>
      <w:pPr>
        <w:pStyle w:val="ListBullet"/>
        <w:spacing w:before="20" w:after="20"/>
        <w:ind w:left="700"/>
      </w:pPr>
      <w:r>
        <w:rPr>
          <w:sz w:val="18"/>
        </w:rPr>
        <w:t>Forte pression sur les marges : résultat des activités ordinaires en baisse de 9%</w:t>
      </w:r>
    </w:p>
    <w:p>
      <w:pPr>
        <w:pStyle w:val="ListBullet"/>
        <w:spacing w:before="20" w:after="20"/>
        <w:ind w:left="700"/>
      </w:pPr>
      <w:r>
        <w:rPr>
          <w:sz w:val="18"/>
        </w:rPr>
        <w:t>Impact significatif des coûts : hausse de 55% du prix des matières premières</w:t>
      </w:r>
    </w:p>
    <w:p>
      <w:pPr>
        <w:pStyle w:val="ListBullet"/>
        <w:spacing w:before="20" w:after="20"/>
        <w:ind w:left="700"/>
      </w:pPr>
      <w:r>
        <w:rPr>
          <w:sz w:val="18"/>
        </w:rPr>
        <w:t>Contraction des marges de raffinage au troisième trimestre 2022</w:t>
      </w:r>
    </w:p>
    <w:p>
      <w:pPr>
        <w:pStyle w:val="ListBullet"/>
        <w:spacing w:before="20" w:after="20"/>
        <w:ind w:left="700"/>
      </w:pPr>
      <w:r>
        <w:rPr>
          <w:sz w:val="18"/>
        </w:rPr>
        <w:t>Forte demande du marché national soutenant les perspectives T4 2022</w:t>
      </w:r>
    </w:p>
    <w:p>
      <w:pPr>
        <w:spacing w:before="40"/>
        <w:ind w:left="400"/>
      </w:pPr>
      <w:r>
        <w:rPr>
          <w:b/>
          <w:color w:val="C05000"/>
          <w:sz w:val="18"/>
        </w:rPr>
        <w:t xml:space="preserve">⚠️ Risques : </w:t>
      </w:r>
      <w:r>
        <w:rPr>
          <w:sz w:val="18"/>
        </w:rPr>
        <w:t>["Volatilit\u00e9 extr\u00eame des cours p\u00e9troliers internationaux impactant directement les revenus", "Forte pression sur les marges de raffinage et hausse continue des co\u00fbts des mati\u00e8res premi\u00e8res", "D\u00e9pendance aux cours du fuel 3,5% Fob Med en d\u00e9gradation depuis le T</w:t>
      </w:r>
    </w:p>
    <w:p>
      <w:pPr>
        <w:spacing w:before="40"/>
        <w:ind w:left="400"/>
      </w:pPr>
      <w:r>
        <w:rPr>
          <w:b/>
          <w:color w:val="0064A0"/>
          <w:sz w:val="18"/>
        </w:rPr>
        <w:t xml:space="preserve">🔮 Perspectives : </w:t>
      </w:r>
      <w:r>
        <w:rPr>
          <w:sz w:val="18"/>
        </w:rPr>
        <w:t>Les projections pour le T4 2022 sont encourageantes grâce à la forte demande du marché national qui pourrait consolider voire améliorer la position de SMB. La société mise sur un pilotage renforcé pour naviguer dans l'environnement volatil des cours pétroliers et préserver ses acquis malgré les défi</w:t>
      </w:r>
    </w:p>
    <w:p/>
    <w:p>
      <w:r>
        <w:t>════════════════════════════════════════════════════════════════════════════════</w:t>
      </w:r>
    </w:p>
    <w:p>
      <w:r>
        <w:br w:type="page"/>
      </w:r>
    </w:p>
    <w:p>
      <w:pPr>
        <w:pStyle w:val="Heading2"/>
        <w:spacing w:before="360"/>
      </w:pPr>
      <w:r>
        <w:rPr>
          <w:color w:val="0066CC"/>
        </w:rPr>
        <w:t>39. SNTS - SNTS - SONATEL SN</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SNTS</w:t>
            </w:r>
          </w:p>
          <w:p>
            <w:r>
              <w:rPr>
                <w:b/>
                <w:color w:val="323250"/>
                <w:sz w:val="16"/>
              </w:rPr>
              <w:t xml:space="preserve">Société : </w:t>
            </w:r>
            <w:r>
              <w:rPr>
                <w:color w:val="000000"/>
                <w:sz w:val="16"/>
              </w:rPr>
              <w:t>SNTS - SONATEL SN</w:t>
            </w:r>
          </w:p>
          <w:p>
            <w:r>
              <w:rPr>
                <w:b/>
                <w:color w:val="323250"/>
                <w:sz w:val="16"/>
              </w:rPr>
              <w:t xml:space="preserve">Secteur : </w:t>
            </w:r>
            <w:r>
              <w:rPr>
                <w:color w:val="000000"/>
                <w:sz w:val="16"/>
              </w:rPr>
              <w:t>TELECOMMUNICATIONS</w:t>
            </w:r>
          </w:p>
        </w:tc>
        <w:tc>
          <w:tcPr>
            <w:tcW w:type="dxa" w:w="2268"/>
            <w:shd w:fill="E2EFDA" w:val="clear"/>
          </w:tcPr>
          <w:p>
            <w:r>
              <w:rPr>
                <w:b/>
                <w:color w:val="1E461E"/>
                <w:sz w:val="16"/>
              </w:rPr>
              <w:t xml:space="preserve">Capitalisation : </w:t>
            </w:r>
            <w:r>
              <w:rPr>
                <w:b/>
                <w:color w:val="006400"/>
                <w:sz w:val="17"/>
              </w:rPr>
              <w:t>3600.00 Mds FCFA</w:t>
            </w:r>
          </w:p>
          <w:p>
            <w:r>
              <w:rPr>
                <w:b/>
                <w:color w:val="1E461E"/>
                <w:sz w:val="16"/>
              </w:rPr>
              <w:t xml:space="preserve">Catégorie : </w:t>
            </w:r>
            <w:r>
              <w:rPr>
                <w:b/>
                <w:color w:val="006400"/>
                <w:sz w:val="17"/>
              </w:rPr>
              <w:t>Grande cap (≥500 Mds)</w:t>
            </w:r>
          </w:p>
          <w:p>
            <w:r>
              <w:rPr>
                <w:b/>
                <w:color w:val="1E461E"/>
                <w:sz w:val="16"/>
              </w:rPr>
              <w:t xml:space="preserve">Vol. moy/jour : </w:t>
            </w:r>
            <w:r>
              <w:rPr>
                <w:b/>
                <w:color w:val="006400"/>
                <w:sz w:val="17"/>
              </w:rPr>
              <w:t>9,842 titres</w:t>
            </w:r>
          </w:p>
        </w:tc>
        <w:tc>
          <w:tcPr>
            <w:tcW w:type="dxa" w:w="2268"/>
            <w:shd w:fill="FFF2CC" w:val="clear"/>
          </w:tcPr>
          <w:p>
            <w:r>
              <w:rPr>
                <w:b/>
                <w:color w:val="503200"/>
                <w:sz w:val="16"/>
              </w:rPr>
              <w:t xml:space="preserve">Cours actuel : </w:t>
            </w:r>
            <w:r>
              <w:rPr>
                <w:color w:val="000000"/>
                <w:sz w:val="17"/>
              </w:rPr>
              <w:t>36,000 FCFA</w:t>
            </w:r>
          </w:p>
          <w:p>
            <w:r>
              <w:rPr>
                <w:b/>
                <w:color w:val="503200"/>
                <w:sz w:val="16"/>
              </w:rPr>
              <w:t xml:space="preserve">Var. 100 jours : </w:t>
            </w:r>
            <w:r>
              <w:rPr>
                <w:b/>
                <w:color w:val="007800"/>
                <w:sz w:val="17"/>
              </w:rPr>
              <w:t>+24.14%</w:t>
            </w:r>
          </w:p>
          <w:p>
            <w:r>
              <w:rPr>
                <w:b/>
                <w:color w:val="503200"/>
                <w:sz w:val="16"/>
              </w:rPr>
              <w:t xml:space="preserve">Plus haut 100j : </w:t>
            </w:r>
            <w:r>
              <w:rPr>
                <w:color w:val="000000"/>
                <w:sz w:val="17"/>
              </w:rPr>
              <w:t>36,980 FCFA</w:t>
            </w:r>
          </w:p>
          <w:p>
            <w:r>
              <w:rPr>
                <w:b/>
                <w:color w:val="503200"/>
                <w:sz w:val="16"/>
              </w:rPr>
              <w:t xml:space="preserve">Plus bas 100j : </w:t>
            </w:r>
            <w:r>
              <w:rPr>
                <w:color w:val="000000"/>
                <w:sz w:val="17"/>
              </w:rPr>
              <w:t>27,160 FCFA</w:t>
            </w:r>
          </w:p>
          <w:p>
            <w:r>
              <w:rPr>
                <w:b/>
                <w:color w:val="503200"/>
                <w:sz w:val="16"/>
              </w:rPr>
              <w:t xml:space="preserve">Volatilité ann. : </w:t>
            </w:r>
            <w:r>
              <w:rPr>
                <w:color w:val="000000"/>
                <w:sz w:val="17"/>
              </w:rPr>
              <w:t>31.1%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825A00"/>
          <w:sz w:val="22"/>
        </w:rPr>
        <w:t>27.1/100 → Moyen</w:t>
      </w:r>
    </w:p>
    <w:p>
      <w:pPr>
        <w:spacing w:before="40" w:after="80"/>
      </w:pPr>
      <w:r>
        <w:rPr>
          <w:rFonts w:ascii="Courier New" w:hAnsi="Courier New"/>
          <w:color w:val="825A00"/>
          <w:sz w:val="18"/>
        </w:rPr>
        <w:t>█████░░░░░░░░░░░░░░░  27.1/100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6.60% (Moyenne) — μ=29,890 FCFA, σ=1,972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FFEB9C" w:val="clear"/>
          </w:tcPr>
          <w:p>
            <w:r>
              <w:rPr>
                <w:b/>
                <w:sz w:val="15"/>
              </w:rPr>
              <w:t>β=1.8622 (Très agressif) — Cov=0.000066, Var(idx)=0.000035, ρ=0.574, n=98 obs</w:t>
            </w:r>
          </w:p>
        </w:tc>
        <w:tc>
          <w:tcPr>
            <w:tcW w:type="dxa" w:w="1984"/>
            <w:shd w:fill="F7F7F7" w:val="clear"/>
          </w:tcPr>
          <w:p>
            <w:r>
              <w:rPr>
                <w:i/>
                <w:color w:val="505078"/>
                <w:sz w:val="14"/>
              </w:rPr>
              <w:t>β = Cov(r_titre, r_indice) / Var(r_indice)</w:t>
            </w:r>
          </w:p>
        </w:tc>
        <w:tc>
          <w:tcPr>
            <w:tcW w:type="dxa" w:w="1984"/>
            <w:shd w:fill="FFEB9C" w:val="clear"/>
          </w:tcPr>
          <w:p>
            <w:r>
              <w:rPr>
                <w:sz w:val="15"/>
              </w:rPr>
              <w:t>⚠️ β&gt;1.2 — amplifie les hausses ET les baisses</w:t>
            </w:r>
          </w:p>
        </w:tc>
      </w:tr>
      <w:tr>
        <w:tc>
          <w:tcPr>
            <w:tcW w:type="dxa" w:w="2835"/>
            <w:shd w:fill="EEF2F7" w:val="clear"/>
          </w:tcPr>
          <w:p>
            <w:r>
              <w:rPr>
                <w:b/>
                <w:sz w:val="15"/>
              </w:rPr>
              <w:t>💧 Liquidité du titre (20%)</w:t>
            </w:r>
          </w:p>
        </w:tc>
        <w:tc>
          <w:tcPr>
            <w:tcW w:type="dxa" w:w="3118"/>
            <w:shd w:fill="DEEAF1" w:val="clear"/>
          </w:tcPr>
          <w:p>
            <w:r>
              <w:rPr>
                <w:b/>
                <w:sz w:val="15"/>
              </w:rPr>
              <w:t>9,842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DEEAF1" w:val="clear"/>
          </w:tcPr>
          <w:p>
            <w:r>
              <w:rPr>
                <w:b/>
                <w:sz w:val="15"/>
              </w:rPr>
              <w:t>σ_j=1.96%/j (Stable) — Vol. annualisée≈31.1%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71/100  (Excellent)</w:t>
      </w:r>
    </w:p>
    <w:p/>
    <w:p>
      <w:pPr>
        <w:jc w:val="center"/>
      </w:pPr>
      <w:r>
        <w:drawing>
          <wp:inline xmlns:a="http://schemas.openxmlformats.org/drawingml/2006/main" xmlns:pic="http://schemas.openxmlformats.org/drawingml/2006/picture">
            <wp:extent cx="5669280" cy="2603190"/>
            <wp:docPr id="41" name="Picture 41"/>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2026-08-28</w:t>
            </w:r>
          </w:p>
        </w:tc>
        <w:tc>
          <w:tcPr>
            <w:tcW w:type="dxa" w:w="1440"/>
            <w:shd w:fill="FFDCE0" w:val="clear"/>
          </w:tcPr>
          <w:p>
            <w:r>
              <w:rPr>
                <w:sz w:val="17"/>
              </w:rPr>
              <w:t>33,507</w:t>
            </w:r>
          </w:p>
        </w:tc>
        <w:tc>
          <w:tcPr>
            <w:tcW w:type="dxa" w:w="1440"/>
            <w:shd w:fill="FFDCE0" w:val="clear"/>
          </w:tcPr>
          <w:p>
            <w:r>
              <w:rPr>
                <w:b/>
                <w:sz w:val="17"/>
              </w:rPr>
              <w:t>34,939</w:t>
            </w:r>
          </w:p>
        </w:tc>
        <w:tc>
          <w:tcPr>
            <w:tcW w:type="dxa" w:w="1440"/>
            <w:shd w:fill="FFDCE0" w:val="clear"/>
          </w:tcPr>
          <w:p>
            <w:r>
              <w:rPr>
                <w:sz w:val="17"/>
              </w:rPr>
              <w:t>36,371</w:t>
            </w:r>
          </w:p>
        </w:tc>
        <w:tc>
          <w:tcPr>
            <w:tcW w:type="dxa" w:w="1440"/>
            <w:shd w:fill="FFDCE0" w:val="clear"/>
          </w:tcPr>
          <w:p>
            <w:r>
              <w:rPr>
                <w:b/>
                <w:color w:val="C00000"/>
                <w:sz w:val="17"/>
              </w:rPr>
              <w:t>-2.9%</w:t>
            </w:r>
          </w:p>
        </w:tc>
      </w:tr>
      <w:tr>
        <w:tc>
          <w:tcPr>
            <w:tcW w:type="dxa" w:w="1440"/>
            <w:shd w:fill="FFDCE0" w:val="clear"/>
          </w:tcPr>
          <w:p>
            <w:r>
              <w:rPr>
                <w:sz w:val="17"/>
              </w:rPr>
              <w:t>J+2  ⭐</w:t>
            </w:r>
          </w:p>
        </w:tc>
        <w:tc>
          <w:tcPr>
            <w:tcW w:type="dxa" w:w="1440"/>
            <w:shd w:fill="FFDCE0" w:val="clear"/>
          </w:tcPr>
          <w:p>
            <w:r>
              <w:rPr>
                <w:sz w:val="17"/>
              </w:rPr>
              <w:t>2026-08-31</w:t>
            </w:r>
          </w:p>
        </w:tc>
        <w:tc>
          <w:tcPr>
            <w:tcW w:type="dxa" w:w="1440"/>
            <w:shd w:fill="FFDCE0" w:val="clear"/>
          </w:tcPr>
          <w:p>
            <w:r>
              <w:rPr>
                <w:sz w:val="17"/>
              </w:rPr>
              <w:t>32,862</w:t>
            </w:r>
          </w:p>
        </w:tc>
        <w:tc>
          <w:tcPr>
            <w:tcW w:type="dxa" w:w="1440"/>
            <w:shd w:fill="FFDCE0" w:val="clear"/>
          </w:tcPr>
          <w:p>
            <w:r>
              <w:rPr>
                <w:b/>
                <w:sz w:val="17"/>
              </w:rPr>
              <w:t>34,884</w:t>
            </w:r>
          </w:p>
        </w:tc>
        <w:tc>
          <w:tcPr>
            <w:tcW w:type="dxa" w:w="1440"/>
            <w:shd w:fill="FFDCE0" w:val="clear"/>
          </w:tcPr>
          <w:p>
            <w:r>
              <w:rPr>
                <w:sz w:val="17"/>
              </w:rPr>
              <w:t>36,906</w:t>
            </w:r>
          </w:p>
        </w:tc>
        <w:tc>
          <w:tcPr>
            <w:tcW w:type="dxa" w:w="1440"/>
            <w:shd w:fill="FFDCE0" w:val="clear"/>
          </w:tcPr>
          <w:p>
            <w:r>
              <w:rPr>
                <w:b/>
                <w:color w:val="C00000"/>
                <w:sz w:val="17"/>
              </w:rPr>
              <w:t>-3.1%</w:t>
            </w:r>
          </w:p>
        </w:tc>
      </w:tr>
      <w:tr>
        <w:tc>
          <w:tcPr>
            <w:tcW w:type="dxa" w:w="1440"/>
            <w:shd w:fill="FFDCE0" w:val="clear"/>
          </w:tcPr>
          <w:p>
            <w:r>
              <w:rPr>
                <w:sz w:val="17"/>
              </w:rPr>
              <w:t>J+3  ⭐</w:t>
            </w:r>
          </w:p>
        </w:tc>
        <w:tc>
          <w:tcPr>
            <w:tcW w:type="dxa" w:w="1440"/>
            <w:shd w:fill="FFDCE0" w:val="clear"/>
          </w:tcPr>
          <w:p>
            <w:r>
              <w:rPr>
                <w:sz w:val="17"/>
              </w:rPr>
              <w:t>2026-09-01</w:t>
            </w:r>
          </w:p>
        </w:tc>
        <w:tc>
          <w:tcPr>
            <w:tcW w:type="dxa" w:w="1440"/>
            <w:shd w:fill="FFDCE0" w:val="clear"/>
          </w:tcPr>
          <w:p>
            <w:r>
              <w:rPr>
                <w:sz w:val="17"/>
              </w:rPr>
              <w:t>32,314</w:t>
            </w:r>
          </w:p>
        </w:tc>
        <w:tc>
          <w:tcPr>
            <w:tcW w:type="dxa" w:w="1440"/>
            <w:shd w:fill="FFDCE0" w:val="clear"/>
          </w:tcPr>
          <w:p>
            <w:r>
              <w:rPr>
                <w:b/>
                <w:sz w:val="17"/>
              </w:rPr>
              <w:t>34,784</w:t>
            </w:r>
          </w:p>
        </w:tc>
        <w:tc>
          <w:tcPr>
            <w:tcW w:type="dxa" w:w="1440"/>
            <w:shd w:fill="FFDCE0" w:val="clear"/>
          </w:tcPr>
          <w:p>
            <w:r>
              <w:rPr>
                <w:sz w:val="17"/>
              </w:rPr>
              <w:t>37,253</w:t>
            </w:r>
          </w:p>
        </w:tc>
        <w:tc>
          <w:tcPr>
            <w:tcW w:type="dxa" w:w="1440"/>
            <w:shd w:fill="FFDCE0" w:val="clear"/>
          </w:tcPr>
          <w:p>
            <w:r>
              <w:rPr>
                <w:b/>
                <w:color w:val="C00000"/>
                <w:sz w:val="17"/>
              </w:rPr>
              <w:t>-3.4%</w:t>
            </w:r>
          </w:p>
        </w:tc>
      </w:tr>
      <w:tr>
        <w:tc>
          <w:tcPr>
            <w:tcW w:type="dxa" w:w="1440"/>
            <w:shd w:fill="FFDCE0" w:val="clear"/>
          </w:tcPr>
          <w:p>
            <w:r>
              <w:rPr>
                <w:sz w:val="17"/>
              </w:rPr>
              <w:t>J+4  ⭐</w:t>
            </w:r>
          </w:p>
        </w:tc>
        <w:tc>
          <w:tcPr>
            <w:tcW w:type="dxa" w:w="1440"/>
            <w:shd w:fill="FFDCE0" w:val="clear"/>
          </w:tcPr>
          <w:p>
            <w:r>
              <w:rPr>
                <w:sz w:val="17"/>
              </w:rPr>
              <w:t>2026-09-02</w:t>
            </w:r>
          </w:p>
        </w:tc>
        <w:tc>
          <w:tcPr>
            <w:tcW w:type="dxa" w:w="1440"/>
            <w:shd w:fill="FFDCE0" w:val="clear"/>
          </w:tcPr>
          <w:p>
            <w:r>
              <w:rPr>
                <w:sz w:val="17"/>
              </w:rPr>
              <w:t>31,850</w:t>
            </w:r>
          </w:p>
        </w:tc>
        <w:tc>
          <w:tcPr>
            <w:tcW w:type="dxa" w:w="1440"/>
            <w:shd w:fill="FFDCE0" w:val="clear"/>
          </w:tcPr>
          <w:p>
            <w:r>
              <w:rPr>
                <w:b/>
                <w:sz w:val="17"/>
              </w:rPr>
              <w:t>34,694</w:t>
            </w:r>
          </w:p>
        </w:tc>
        <w:tc>
          <w:tcPr>
            <w:tcW w:type="dxa" w:w="1440"/>
            <w:shd w:fill="FFDCE0" w:val="clear"/>
          </w:tcPr>
          <w:p>
            <w:r>
              <w:rPr>
                <w:sz w:val="17"/>
              </w:rPr>
              <w:t>37,537</w:t>
            </w:r>
          </w:p>
        </w:tc>
        <w:tc>
          <w:tcPr>
            <w:tcW w:type="dxa" w:w="1440"/>
            <w:shd w:fill="FFDCE0" w:val="clear"/>
          </w:tcPr>
          <w:p>
            <w:r>
              <w:rPr>
                <w:b/>
                <w:color w:val="C00000"/>
                <w:sz w:val="17"/>
              </w:rPr>
              <w:t>-3.6%</w:t>
            </w:r>
          </w:p>
        </w:tc>
      </w:tr>
      <w:tr>
        <w:tc>
          <w:tcPr>
            <w:tcW w:type="dxa" w:w="1440"/>
            <w:shd w:fill="FFDCE0" w:val="clear"/>
          </w:tcPr>
          <w:p>
            <w:r>
              <w:rPr>
                <w:sz w:val="17"/>
              </w:rPr>
              <w:t>J+5  ⭐</w:t>
            </w:r>
          </w:p>
        </w:tc>
        <w:tc>
          <w:tcPr>
            <w:tcW w:type="dxa" w:w="1440"/>
            <w:shd w:fill="FFDCE0" w:val="clear"/>
          </w:tcPr>
          <w:p>
            <w:r>
              <w:rPr>
                <w:sz w:val="17"/>
              </w:rPr>
              <w:t>2026-09-03</w:t>
            </w:r>
          </w:p>
        </w:tc>
        <w:tc>
          <w:tcPr>
            <w:tcW w:type="dxa" w:w="1440"/>
            <w:shd w:fill="FFDCE0" w:val="clear"/>
          </w:tcPr>
          <w:p>
            <w:r>
              <w:rPr>
                <w:sz w:val="17"/>
              </w:rPr>
              <w:t>31,444</w:t>
            </w:r>
          </w:p>
        </w:tc>
        <w:tc>
          <w:tcPr>
            <w:tcW w:type="dxa" w:w="1440"/>
            <w:shd w:fill="FFDCE0" w:val="clear"/>
          </w:tcPr>
          <w:p>
            <w:r>
              <w:rPr>
                <w:b/>
                <w:sz w:val="17"/>
              </w:rPr>
              <w:t>34,617</w:t>
            </w:r>
          </w:p>
        </w:tc>
        <w:tc>
          <w:tcPr>
            <w:tcW w:type="dxa" w:w="1440"/>
            <w:shd w:fill="FFDCE0" w:val="clear"/>
          </w:tcPr>
          <w:p>
            <w:r>
              <w:rPr>
                <w:sz w:val="17"/>
              </w:rPr>
              <w:t>37,789</w:t>
            </w:r>
          </w:p>
        </w:tc>
        <w:tc>
          <w:tcPr>
            <w:tcW w:type="dxa" w:w="1440"/>
            <w:shd w:fill="FFDCE0" w:val="clear"/>
          </w:tcPr>
          <w:p>
            <w:r>
              <w:rPr>
                <w:b/>
                <w:color w:val="C00000"/>
                <w:sz w:val="17"/>
              </w:rPr>
              <w:t>-3.8%</w:t>
            </w:r>
          </w:p>
        </w:tc>
      </w:tr>
      <w:tr>
        <w:tc>
          <w:tcPr>
            <w:tcW w:type="dxa" w:w="1440"/>
            <w:shd w:fill="FFDCE0" w:val="clear"/>
          </w:tcPr>
          <w:p>
            <w:r>
              <w:rPr>
                <w:sz w:val="17"/>
              </w:rPr>
              <w:t>J+6  ⭐</w:t>
            </w:r>
          </w:p>
        </w:tc>
        <w:tc>
          <w:tcPr>
            <w:tcW w:type="dxa" w:w="1440"/>
            <w:shd w:fill="FFDCE0" w:val="clear"/>
          </w:tcPr>
          <w:p>
            <w:r>
              <w:rPr>
                <w:sz w:val="17"/>
              </w:rPr>
              <w:t>2026-09-04</w:t>
            </w:r>
          </w:p>
        </w:tc>
        <w:tc>
          <w:tcPr>
            <w:tcW w:type="dxa" w:w="1440"/>
            <w:shd w:fill="FFDCE0" w:val="clear"/>
          </w:tcPr>
          <w:p>
            <w:r>
              <w:rPr>
                <w:sz w:val="17"/>
              </w:rPr>
              <w:t>31,079</w:t>
            </w:r>
          </w:p>
        </w:tc>
        <w:tc>
          <w:tcPr>
            <w:tcW w:type="dxa" w:w="1440"/>
            <w:shd w:fill="FFDCE0" w:val="clear"/>
          </w:tcPr>
          <w:p>
            <w:r>
              <w:rPr>
                <w:b/>
                <w:sz w:val="17"/>
              </w:rPr>
              <w:t>34,548</w:t>
            </w:r>
          </w:p>
        </w:tc>
        <w:tc>
          <w:tcPr>
            <w:tcW w:type="dxa" w:w="1440"/>
            <w:shd w:fill="FFDCE0" w:val="clear"/>
          </w:tcPr>
          <w:p>
            <w:r>
              <w:rPr>
                <w:sz w:val="17"/>
              </w:rPr>
              <w:t>38,016</w:t>
            </w:r>
          </w:p>
        </w:tc>
        <w:tc>
          <w:tcPr>
            <w:tcW w:type="dxa" w:w="1440"/>
            <w:shd w:fill="FFDCE0" w:val="clear"/>
          </w:tcPr>
          <w:p>
            <w:r>
              <w:rPr>
                <w:b/>
                <w:color w:val="C00000"/>
                <w:sz w:val="17"/>
              </w:rPr>
              <w:t>-4.0%</w:t>
            </w:r>
          </w:p>
        </w:tc>
      </w:tr>
      <w:tr>
        <w:tc>
          <w:tcPr>
            <w:tcW w:type="dxa" w:w="1440"/>
            <w:shd w:fill="FFDCE0" w:val="clear"/>
          </w:tcPr>
          <w:p>
            <w:r>
              <w:rPr>
                <w:sz w:val="17"/>
              </w:rPr>
              <w:t>J+7  ⭐</w:t>
            </w:r>
          </w:p>
        </w:tc>
        <w:tc>
          <w:tcPr>
            <w:tcW w:type="dxa" w:w="1440"/>
            <w:shd w:fill="FFDCE0" w:val="clear"/>
          </w:tcPr>
          <w:p>
            <w:r>
              <w:rPr>
                <w:sz w:val="17"/>
              </w:rPr>
              <w:t>2026-09-07</w:t>
            </w:r>
          </w:p>
        </w:tc>
        <w:tc>
          <w:tcPr>
            <w:tcW w:type="dxa" w:w="1440"/>
            <w:shd w:fill="FFDCE0" w:val="clear"/>
          </w:tcPr>
          <w:p>
            <w:r>
              <w:rPr>
                <w:sz w:val="17"/>
              </w:rPr>
              <w:t>30,744</w:t>
            </w:r>
          </w:p>
        </w:tc>
        <w:tc>
          <w:tcPr>
            <w:tcW w:type="dxa" w:w="1440"/>
            <w:shd w:fill="FFDCE0" w:val="clear"/>
          </w:tcPr>
          <w:p>
            <w:r>
              <w:rPr>
                <w:b/>
                <w:sz w:val="17"/>
              </w:rPr>
              <w:t>34,483</w:t>
            </w:r>
          </w:p>
        </w:tc>
        <w:tc>
          <w:tcPr>
            <w:tcW w:type="dxa" w:w="1440"/>
            <w:shd w:fill="FFDCE0" w:val="clear"/>
          </w:tcPr>
          <w:p>
            <w:r>
              <w:rPr>
                <w:sz w:val="17"/>
              </w:rPr>
              <w:t>38,222</w:t>
            </w:r>
          </w:p>
        </w:tc>
        <w:tc>
          <w:tcPr>
            <w:tcW w:type="dxa" w:w="1440"/>
            <w:shd w:fill="FFDCE0" w:val="clear"/>
          </w:tcPr>
          <w:p>
            <w:r>
              <w:rPr>
                <w:b/>
                <w:color w:val="C00000"/>
                <w:sz w:val="17"/>
              </w:rPr>
              <w:t>-4.2%</w:t>
            </w:r>
          </w:p>
        </w:tc>
      </w:tr>
      <w:tr>
        <w:tc>
          <w:tcPr>
            <w:tcW w:type="dxa" w:w="1440"/>
            <w:shd w:fill="FFDCE0" w:val="clear"/>
          </w:tcPr>
          <w:p>
            <w:r>
              <w:rPr>
                <w:sz w:val="17"/>
              </w:rPr>
              <w:t>J+8  ⭐</w:t>
            </w:r>
          </w:p>
        </w:tc>
        <w:tc>
          <w:tcPr>
            <w:tcW w:type="dxa" w:w="1440"/>
            <w:shd w:fill="FFDCE0" w:val="clear"/>
          </w:tcPr>
          <w:p>
            <w:r>
              <w:rPr>
                <w:sz w:val="17"/>
              </w:rPr>
              <w:t>2026-09-08</w:t>
            </w:r>
          </w:p>
        </w:tc>
        <w:tc>
          <w:tcPr>
            <w:tcW w:type="dxa" w:w="1440"/>
            <w:shd w:fill="FFDCE0" w:val="clear"/>
          </w:tcPr>
          <w:p>
            <w:r>
              <w:rPr>
                <w:sz w:val="17"/>
              </w:rPr>
              <w:t>30,431</w:t>
            </w:r>
          </w:p>
        </w:tc>
        <w:tc>
          <w:tcPr>
            <w:tcW w:type="dxa" w:w="1440"/>
            <w:shd w:fill="FFDCE0" w:val="clear"/>
          </w:tcPr>
          <w:p>
            <w:r>
              <w:rPr>
                <w:b/>
                <w:sz w:val="17"/>
              </w:rPr>
              <w:t>34,421</w:t>
            </w:r>
          </w:p>
        </w:tc>
        <w:tc>
          <w:tcPr>
            <w:tcW w:type="dxa" w:w="1440"/>
            <w:shd w:fill="FFDCE0" w:val="clear"/>
          </w:tcPr>
          <w:p>
            <w:r>
              <w:rPr>
                <w:sz w:val="17"/>
              </w:rPr>
              <w:t>38,411</w:t>
            </w:r>
          </w:p>
        </w:tc>
        <w:tc>
          <w:tcPr>
            <w:tcW w:type="dxa" w:w="1440"/>
            <w:shd w:fill="FFDCE0" w:val="clear"/>
          </w:tcPr>
          <w:p>
            <w:r>
              <w:rPr>
                <w:b/>
                <w:color w:val="C00000"/>
                <w:sz w:val="17"/>
              </w:rPr>
              <w:t>-4.4%</w:t>
            </w:r>
          </w:p>
        </w:tc>
      </w:tr>
      <w:tr>
        <w:tc>
          <w:tcPr>
            <w:tcW w:type="dxa" w:w="1440"/>
            <w:shd w:fill="FFDCE0" w:val="clear"/>
          </w:tcPr>
          <w:p>
            <w:r>
              <w:rPr>
                <w:sz w:val="17"/>
              </w:rPr>
              <w:t>J+9  ⭐</w:t>
            </w:r>
          </w:p>
        </w:tc>
        <w:tc>
          <w:tcPr>
            <w:tcW w:type="dxa" w:w="1440"/>
            <w:shd w:fill="FFDCE0" w:val="clear"/>
          </w:tcPr>
          <w:p>
            <w:r>
              <w:rPr>
                <w:sz w:val="17"/>
              </w:rPr>
              <w:t>2026-09-09</w:t>
            </w:r>
          </w:p>
        </w:tc>
        <w:tc>
          <w:tcPr>
            <w:tcW w:type="dxa" w:w="1440"/>
            <w:shd w:fill="FFDCE0" w:val="clear"/>
          </w:tcPr>
          <w:p>
            <w:r>
              <w:rPr>
                <w:sz w:val="17"/>
              </w:rPr>
              <w:t>30,135</w:t>
            </w:r>
          </w:p>
        </w:tc>
        <w:tc>
          <w:tcPr>
            <w:tcW w:type="dxa" w:w="1440"/>
            <w:shd w:fill="FFDCE0" w:val="clear"/>
          </w:tcPr>
          <w:p>
            <w:r>
              <w:rPr>
                <w:b/>
                <w:sz w:val="17"/>
              </w:rPr>
              <w:t>34,360</w:t>
            </w:r>
          </w:p>
        </w:tc>
        <w:tc>
          <w:tcPr>
            <w:tcW w:type="dxa" w:w="1440"/>
            <w:shd w:fill="FFDCE0" w:val="clear"/>
          </w:tcPr>
          <w:p>
            <w:r>
              <w:rPr>
                <w:sz w:val="17"/>
              </w:rPr>
              <w:t>38,584</w:t>
            </w:r>
          </w:p>
        </w:tc>
        <w:tc>
          <w:tcPr>
            <w:tcW w:type="dxa" w:w="1440"/>
            <w:shd w:fill="FFDCE0" w:val="clear"/>
          </w:tcPr>
          <w:p>
            <w:r>
              <w:rPr>
                <w:b/>
                <w:color w:val="C00000"/>
                <w:sz w:val="17"/>
              </w:rPr>
              <w:t>-4.6%</w:t>
            </w:r>
          </w:p>
        </w:tc>
      </w:tr>
      <w:tr>
        <w:tc>
          <w:tcPr>
            <w:tcW w:type="dxa" w:w="1440"/>
            <w:shd w:fill="FFDCE0" w:val="clear"/>
          </w:tcPr>
          <w:p>
            <w:r>
              <w:rPr>
                <w:sz w:val="17"/>
              </w:rPr>
              <w:t>J+10  ⭐</w:t>
            </w:r>
          </w:p>
        </w:tc>
        <w:tc>
          <w:tcPr>
            <w:tcW w:type="dxa" w:w="1440"/>
            <w:shd w:fill="FFDCE0" w:val="clear"/>
          </w:tcPr>
          <w:p>
            <w:r>
              <w:rPr>
                <w:sz w:val="17"/>
              </w:rPr>
              <w:t>2026-09-10</w:t>
            </w:r>
          </w:p>
        </w:tc>
        <w:tc>
          <w:tcPr>
            <w:tcW w:type="dxa" w:w="1440"/>
            <w:shd w:fill="FFDCE0" w:val="clear"/>
          </w:tcPr>
          <w:p>
            <w:r>
              <w:rPr>
                <w:sz w:val="17"/>
              </w:rPr>
              <w:t>29,855</w:t>
            </w:r>
          </w:p>
        </w:tc>
        <w:tc>
          <w:tcPr>
            <w:tcW w:type="dxa" w:w="1440"/>
            <w:shd w:fill="FFDCE0" w:val="clear"/>
          </w:tcPr>
          <w:p>
            <w:r>
              <w:rPr>
                <w:b/>
                <w:sz w:val="17"/>
              </w:rPr>
              <w:t>34,300</w:t>
            </w:r>
          </w:p>
        </w:tc>
        <w:tc>
          <w:tcPr>
            <w:tcW w:type="dxa" w:w="1440"/>
            <w:shd w:fill="FFDCE0" w:val="clear"/>
          </w:tcPr>
          <w:p>
            <w:r>
              <w:rPr>
                <w:sz w:val="17"/>
              </w:rPr>
              <w:t>38,745</w:t>
            </w:r>
          </w:p>
        </w:tc>
        <w:tc>
          <w:tcPr>
            <w:tcW w:type="dxa" w:w="1440"/>
            <w:shd w:fill="FFDCE0" w:val="clear"/>
          </w:tcPr>
          <w:p>
            <w:r>
              <w:rPr>
                <w:b/>
                <w:color w:val="C00000"/>
                <w:sz w:val="17"/>
              </w:rPr>
              <w:t>-4.7%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243.228 Mds FCFA</w:t>
            </w:r>
          </w:p>
        </w:tc>
        <w:tc>
          <w:tcPr>
            <w:tcW w:type="dxa" w:w="5669"/>
            <w:shd w:fill="FFFFFF" w:val="clear"/>
          </w:tcPr>
          <w:p>
            <w:r>
              <w:rPr>
                <w:color w:val="282828"/>
                <w:sz w:val="15"/>
              </w:rPr>
              <w:t>Créances clients = 12.6%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26.127 Mds FCFA</w:t>
            </w:r>
          </w:p>
        </w:tc>
        <w:tc>
          <w:tcPr>
            <w:tcW w:type="dxa" w:w="5669"/>
            <w:shd w:fill="FFFFFF" w:val="clear"/>
          </w:tcPr>
          <w:p>
            <w:r>
              <w:rPr>
                <w:color w:val="282828"/>
                <w:sz w:val="15"/>
              </w:rPr>
              <w:t>Rotation stocks = 73.6x/an.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1644.154 Mds FCFA</w:t>
            </w:r>
          </w:p>
        </w:tc>
        <w:tc>
          <w:tcPr>
            <w:tcW w:type="dxa" w:w="5669"/>
            <w:shd w:fill="FFFFFF" w:val="clear"/>
          </w:tcPr>
          <w:p>
            <w:r>
              <w:rPr>
                <w:color w:val="282828"/>
                <w:sz w:val="15"/>
              </w:rPr>
              <w:t>Ratio actif circ./passif circ. = 1.05x.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208.316 Mds FCFA</w:t>
            </w:r>
          </w:p>
        </w:tc>
        <w:tc>
          <w:tcPr>
            <w:tcW w:type="dxa" w:w="5669"/>
            <w:shd w:fill="FFFFFF" w:val="clear"/>
          </w:tcPr>
          <w:p>
            <w:r>
              <w:rPr>
                <w:color w:val="282828"/>
                <w:sz w:val="15"/>
              </w:rPr>
              <w:t>Brevets, logiciels, fonds commercial (6.4%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1143.487 Mds FCFA</w:t>
            </w:r>
          </w:p>
        </w:tc>
        <w:tc>
          <w:tcPr>
            <w:tcW w:type="dxa" w:w="5669"/>
            <w:shd w:fill="FFFFFF" w:val="clear"/>
          </w:tcPr>
          <w:p>
            <w:r>
              <w:rPr>
                <w:color w:val="282828"/>
                <w:sz w:val="15"/>
              </w:rPr>
              <w:t>Outil industriel (35.0%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1626.021 Mds FCFA</w:t>
            </w:r>
          </w:p>
        </w:tc>
        <w:tc>
          <w:tcPr>
            <w:tcW w:type="dxa" w:w="5669"/>
            <w:shd w:fill="FFFFFF" w:val="clear"/>
          </w:tcPr>
          <w:p>
            <w:r>
              <w:rPr>
                <w:color w:val="282828"/>
                <w:sz w:val="15"/>
              </w:rPr>
              <w:t>Actif immobilisé = 49.7%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536.105 Mds FCFA</w:t>
            </w:r>
          </w:p>
        </w:tc>
        <w:tc>
          <w:tcPr>
            <w:tcW w:type="dxa" w:w="5669"/>
            <w:shd w:fill="FFFFFF" w:val="clear"/>
          </w:tcPr>
          <w:p>
            <w:r>
              <w:rPr>
                <w:color w:val="282828"/>
                <w:sz w:val="15"/>
              </w:rPr>
              <w:t>Liquidités disponibles (16.4%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3270.175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50.000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1225.245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1399.263 Mds FCFA</w:t>
            </w:r>
          </w:p>
        </w:tc>
        <w:tc>
          <w:tcPr>
            <w:tcW w:type="dxa" w:w="5669"/>
            <w:shd w:fill="FFFFFF" w:val="clear"/>
          </w:tcPr>
          <w:p>
            <w:r>
              <w:rPr>
                <w:color w:val="282828"/>
                <w:sz w:val="15"/>
              </w:rPr>
              <w:t>Fonds propres = 42.8%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1702.438 Mds FCFA</w:t>
            </w:r>
          </w:p>
        </w:tc>
        <w:tc>
          <w:tcPr>
            <w:tcW w:type="dxa" w:w="5669"/>
            <w:shd w:fill="FFFFFF" w:val="clear"/>
          </w:tcPr>
          <w:p>
            <w:r>
              <w:rPr>
                <w:color w:val="282828"/>
                <w:sz w:val="15"/>
              </w:rPr>
              <w:t>Capitaux permanents / Actif immobilisé = 1.05x.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363.091 Mds FCFA</w:t>
            </w:r>
          </w:p>
        </w:tc>
        <w:tc>
          <w:tcPr>
            <w:tcW w:type="dxa" w:w="5669"/>
            <w:shd w:fill="FFFFFF" w:val="clear"/>
          </w:tcPr>
          <w:p>
            <w:r>
              <w:rPr>
                <w:color w:val="282828"/>
                <w:sz w:val="15"/>
              </w:rPr>
              <w:t>Délai fournisseurs implicite ≈ 69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248.038 Mds FCFA</w:t>
            </w:r>
          </w:p>
        </w:tc>
        <w:tc>
          <w:tcPr>
            <w:tcW w:type="dxa" w:w="5669"/>
            <w:shd w:fill="FFFFFF" w:val="clear"/>
          </w:tcPr>
          <w:p>
            <w:r>
              <w:rPr>
                <w:color w:val="282828"/>
                <w:sz w:val="15"/>
              </w:rPr>
              <w:t>Dette LT/MT = 18%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422.820 Mds FCFA</w:t>
            </w:r>
          </w:p>
        </w:tc>
        <w:tc>
          <w:tcPr>
            <w:tcW w:type="dxa" w:w="5669"/>
            <w:shd w:fill="FFFFFF" w:val="clear"/>
          </w:tcPr>
          <w:p>
            <w:r>
              <w:rPr>
                <w:color w:val="282828"/>
                <w:sz w:val="15"/>
              </w:rPr>
              <w:t>Dette financière totale = 30%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1870.912 Mds FCFA</w:t>
            </w:r>
          </w:p>
        </w:tc>
        <w:tc>
          <w:tcPr>
            <w:tcW w:type="dxa" w:w="5669"/>
            <w:shd w:fill="FFFFFF" w:val="clear"/>
          </w:tcPr>
          <w:p>
            <w:r>
              <w:rPr>
                <w:color w:val="282828"/>
                <w:sz w:val="15"/>
              </w:rPr>
              <w:t>Dettes totales = 57.2%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1923.122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1923.122 Mds FCFA</w:t>
            </w:r>
          </w:p>
        </w:tc>
        <w:tc>
          <w:tcPr>
            <w:tcW w:type="dxa" w:w="5669"/>
            <w:shd w:fill="FFFFFF" w:val="clear"/>
          </w:tcPr>
          <w:p>
            <w:r>
              <w:rPr>
                <w:color w:val="282828"/>
                <w:sz w:val="15"/>
              </w:rPr>
              <w:t>Chiffre d'affaires. Croissance: 8.3%.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251.451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150.121 Mds FCFA</w:t>
            </w:r>
          </w:p>
        </w:tc>
        <w:tc>
          <w:tcPr>
            <w:tcW w:type="dxa" w:w="5669"/>
            <w:shd w:fill="FFFFFF" w:val="clear"/>
          </w:tcPr>
          <w:p>
            <w:r>
              <w:rPr>
                <w:color w:val="282828"/>
                <w:sz w:val="15"/>
              </w:rPr>
              <w:t>Masse salariale = 7.8%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1265.052 Mds FCFA</w:t>
            </w:r>
          </w:p>
        </w:tc>
        <w:tc>
          <w:tcPr>
            <w:tcW w:type="dxa" w:w="5669"/>
            <w:shd w:fill="FFFFFF" w:val="clear"/>
          </w:tcPr>
          <w:p>
            <w:r>
              <w:rPr>
                <w:color w:val="282828"/>
                <w:sz w:val="15"/>
              </w:rPr>
              <w:t>VA = 65.8%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932.436 Mds FCFA</w:t>
            </w:r>
          </w:p>
        </w:tc>
        <w:tc>
          <w:tcPr>
            <w:tcW w:type="dxa" w:w="5669"/>
            <w:shd w:fill="FFFFFF" w:val="clear"/>
          </w:tcPr>
          <w:p>
            <w:r>
              <w:rPr>
                <w:color w:val="282828"/>
                <w:sz w:val="15"/>
              </w:rPr>
              <w:t>EBE = 48.5% des revenus (marge opérationnelle brute). ✅ Excellente capacité bénéficiaire avant amort.</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669.792 Mds FCFA</w:t>
            </w:r>
          </w:p>
        </w:tc>
        <w:tc>
          <w:tcPr>
            <w:tcW w:type="dxa" w:w="5669"/>
            <w:shd w:fill="FFFFFF" w:val="clear"/>
          </w:tcPr>
          <w:p>
            <w:r>
              <w:rPr>
                <w:color w:val="282828"/>
                <w:sz w:val="15"/>
              </w:rPr>
              <w:t>Profit d'exploitation = 34.8%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41.572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413.588 Mds FCFA</w:t>
            </w:r>
          </w:p>
        </w:tc>
        <w:tc>
          <w:tcPr>
            <w:tcW w:type="dxa" w:w="5669"/>
            <w:shd w:fill="FFFFFF" w:val="clear"/>
          </w:tcPr>
          <w:p>
            <w:r>
              <w:rPr>
                <w:color w:val="282828"/>
                <w:sz w:val="15"/>
              </w:rPr>
              <w:t>Marge nette = 21.5%.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665.039 Mds FCFA</w:t>
            </w:r>
          </w:p>
        </w:tc>
        <w:tc>
          <w:tcPr>
            <w:tcW w:type="dxa" w:w="5669"/>
            <w:shd w:fill="FFFFFF" w:val="clear"/>
          </w:tcPr>
          <w:p>
            <w:r>
              <w:rPr>
                <w:color w:val="282828"/>
                <w:sz w:val="15"/>
              </w:rPr>
              <w:t>CAF = 665.04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681.606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-273.519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-297.966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408.087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-284.906 Mds FCFA</w:t>
            </w:r>
          </w:p>
        </w:tc>
        <w:tc>
          <w:tcPr>
            <w:tcW w:type="dxa" w:w="5669"/>
            <w:shd w:fill="FFFFFF" w:val="clear"/>
          </w:tcPr>
          <w:p>
            <w:r>
              <w:rPr>
                <w:color w:val="282828"/>
                <w:sz w:val="15"/>
              </w:rPr>
              <w:t>BFR = -14.8%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76.417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536.105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67.03%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21.51%</w:t>
            </w:r>
          </w:p>
        </w:tc>
        <w:tc>
          <w:tcPr>
            <w:tcW w:type="dxa" w:w="5669"/>
            <w:shd w:fill="FFFFFF" w:val="clear"/>
          </w:tcPr>
          <w:p>
            <w:r>
              <w:rPr>
                <w:color w:val="282828"/>
                <w:sz w:val="15"/>
              </w:rPr>
              <w:t>Résultat net / revenus = 21.51%.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34.83%</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29.56%</w:t>
            </w:r>
          </w:p>
        </w:tc>
        <w:tc>
          <w:tcPr>
            <w:tcW w:type="dxa" w:w="5669"/>
            <w:shd w:fill="FFFFFF" w:val="clear"/>
          </w:tcPr>
          <w:p>
            <w:r>
              <w:rPr>
                <w:color w:val="282828"/>
                <w:sz w:val="15"/>
              </w:rPr>
              <w:t>Résultat net / capitaux propres = 29.56%.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12.65%</w:t>
            </w:r>
          </w:p>
        </w:tc>
        <w:tc>
          <w:tcPr>
            <w:tcW w:type="dxa" w:w="5669"/>
            <w:shd w:fill="FFFFFF" w:val="clear"/>
          </w:tcPr>
          <w:p>
            <w:r>
              <w:rPr>
                <w:color w:val="282828"/>
                <w:sz w:val="15"/>
              </w:rPr>
              <w:t>Résultat net / total actif = 12.65%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58.81%</w:t>
            </w:r>
          </w:p>
        </w:tc>
        <w:tc>
          <w:tcPr>
            <w:tcW w:type="dxa" w:w="5669"/>
            <w:shd w:fill="FFFFFF" w:val="clear"/>
          </w:tcPr>
          <w:p>
            <w:r>
              <w:rPr>
                <w:color w:val="282828"/>
                <w:sz w:val="15"/>
              </w:rPr>
              <w:t>CA / total actif = 58.81x.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8.26%</w:t>
            </w:r>
          </w:p>
        </w:tc>
        <w:tc>
          <w:tcPr>
            <w:tcW w:type="dxa" w:w="5669"/>
            <w:shd w:fill="FFFFFF" w:val="clear"/>
          </w:tcPr>
          <w:p>
            <w:r>
              <w:rPr>
                <w:color w:val="282828"/>
                <w:sz w:val="15"/>
              </w:rPr>
              <w:t>Croissance CA vs exercice précédent = 8.26%. ✅ Croissance positive.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42.79%</w:t>
            </w:r>
          </w:p>
        </w:tc>
        <w:tc>
          <w:tcPr>
            <w:tcW w:type="dxa" w:w="5669"/>
            <w:shd w:fill="FFFFFF" w:val="clear"/>
          </w:tcPr>
          <w:p>
            <w:r>
              <w:rPr>
                <w:color w:val="282828"/>
                <w:sz w:val="15"/>
              </w:rPr>
              <w:t>Fonds propres / total bilan = 42.79%.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30.22%</w:t>
            </w:r>
          </w:p>
        </w:tc>
        <w:tc>
          <w:tcPr>
            <w:tcW w:type="dxa" w:w="5669"/>
            <w:shd w:fill="FFFFFF" w:val="clear"/>
          </w:tcPr>
          <w:p>
            <w:r>
              <w:rPr>
                <w:color w:val="282828"/>
                <w:sz w:val="15"/>
              </w:rPr>
              <w:t>Dettes financières / total bilan = 30.22%.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57.21%</w:t>
            </w:r>
          </w:p>
        </w:tc>
        <w:tc>
          <w:tcPr>
            <w:tcW w:type="dxa" w:w="5669"/>
            <w:shd w:fill="FFFFFF" w:val="clear"/>
          </w:tcPr>
          <w:p>
            <w:r>
              <w:rPr>
                <w:color w:val="282828"/>
                <w:sz w:val="15"/>
              </w:rPr>
              <w:t>Dettes totales / fonds propres = 57.21%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174.79%</w:t>
            </w:r>
          </w:p>
        </w:tc>
        <w:tc>
          <w:tcPr>
            <w:tcW w:type="dxa" w:w="5669"/>
            <w:shd w:fill="FFFFFF" w:val="clear"/>
          </w:tcPr>
          <w:p>
            <w:r>
              <w:rPr>
                <w:color w:val="282828"/>
                <w:sz w:val="15"/>
              </w:rPr>
              <w:t>Total actif / dettes totales = 174.79x.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139.07%</w:t>
            </w:r>
          </w:p>
        </w:tc>
        <w:tc>
          <w:tcPr>
            <w:tcW w:type="dxa" w:w="5669"/>
            <w:shd w:fill="FFFFFF" w:val="clear"/>
          </w:tcPr>
          <w:p>
            <w:r>
              <w:rPr>
                <w:color w:val="282828"/>
                <w:sz w:val="15"/>
              </w:rPr>
              <w:t>Actif circulant / passif circulant = 139.07x. ✅ Liquidité satisfaisante.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34.20%</w:t>
            </w:r>
          </w:p>
        </w:tc>
        <w:tc>
          <w:tcPr>
            <w:tcW w:type="dxa" w:w="5669"/>
            <w:shd w:fill="FFFFFF" w:val="clear"/>
          </w:tcPr>
          <w:p>
            <w:r>
              <w:rPr>
                <w:color w:val="282828"/>
                <w:sz w:val="15"/>
              </w:rPr>
              <w:t>Trésorerie / passif circulant = 34.20x.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137.40%</w:t>
            </w:r>
          </w:p>
        </w:tc>
        <w:tc>
          <w:tcPr>
            <w:tcW w:type="dxa" w:w="5669"/>
            <w:shd w:fill="FFFFFF" w:val="clear"/>
          </w:tcPr>
          <w:p>
            <w:r>
              <w:rPr>
                <w:color w:val="282828"/>
                <w:sz w:val="15"/>
              </w:rPr>
              <w:t>(Actif circ. - stocks) / passif circ. = 137.40x.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104.70%</w:t>
            </w:r>
          </w:p>
        </w:tc>
        <w:tc>
          <w:tcPr>
            <w:tcW w:type="dxa" w:w="5669"/>
            <w:shd w:fill="FFFFFF" w:val="clear"/>
          </w:tcPr>
          <w:p>
            <w:r>
              <w:rPr>
                <w:color w:val="282828"/>
                <w:sz w:val="15"/>
              </w:rPr>
              <w:t>Capitaux permanents / actif immobilisé = 104.70x.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0.6 ans</w:t>
            </w:r>
          </w:p>
        </w:tc>
        <w:tc>
          <w:tcPr>
            <w:tcW w:type="dxa" w:w="5669"/>
            <w:shd w:fill="FFFFFF" w:val="clear"/>
          </w:tcPr>
          <w:p>
            <w:r>
              <w:rPr>
                <w:color w:val="282828"/>
                <w:sz w:val="15"/>
              </w:rPr>
              <w:t>Dettes financières / CAF = 0.6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2744.71%</w:t>
            </w:r>
          </w:p>
        </w:tc>
        <w:tc>
          <w:tcPr>
            <w:tcW w:type="dxa" w:w="5669"/>
            <w:shd w:fill="FFFFFF" w:val="clear"/>
          </w:tcPr>
          <w:p>
            <w:r>
              <w:rPr>
                <w:color w:val="282828"/>
                <w:sz w:val="15"/>
              </w:rPr>
              <w:t>Résultat exploit. / charges financières = 2744.71x.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243.14%</w:t>
            </w:r>
          </w:p>
        </w:tc>
        <w:tc>
          <w:tcPr>
            <w:tcW w:type="dxa" w:w="5669"/>
            <w:shd w:fill="FFFFFF" w:val="clear"/>
          </w:tcPr>
          <w:p>
            <w:r>
              <w:rPr>
                <w:color w:val="282828"/>
                <w:sz w:val="15"/>
              </w:rPr>
              <w:t>CAF / investissements = 243.14x.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46.2 j</w:t>
            </w:r>
          </w:p>
        </w:tc>
        <w:tc>
          <w:tcPr>
            <w:tcW w:type="dxa" w:w="5669"/>
            <w:shd w:fill="FFFFFF" w:val="clear"/>
          </w:tcPr>
          <w:p>
            <w:r>
              <w:rPr>
                <w:color w:val="282828"/>
                <w:sz w:val="15"/>
              </w:rPr>
              <w:t>Les clients paient en moyenne en 46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201.4 j</w:t>
            </w:r>
          </w:p>
        </w:tc>
        <w:tc>
          <w:tcPr>
            <w:tcW w:type="dxa" w:w="5669"/>
            <w:shd w:fill="FFFFFF" w:val="clear"/>
          </w:tcPr>
          <w:p>
            <w:r>
              <w:rPr>
                <w:color w:val="282828"/>
                <w:sz w:val="15"/>
              </w:rPr>
              <w:t>Paiement des fournisseurs en 201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14.5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**RAPPORT D'ANALYSE FINANCIÈRE — SNTS (SONATEL)**</w:t>
        <w:br/>
        <w:t>**Date : 27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Sonatel s'établit à 3 600 milliards FCFA, ce qui en fait la valeur la plus importante et la plus liquide de la BRVM, représentant une part significative de l'indice composite. Avec un BPA de 4 136 FCFA, le titre se négocie à un PER de 8,7x, un niveau inférieur à la moyenne historique du marché (8-12x), suggérant une sous-évaluation relative de la valeur. Le P/B de 2,57x indique que le marché valorise la société à plus de 2,5 fois ses capitaux propres, reflétant une prime de croissance justifiée par la rentabilité élevée de l'entreprise. Enfin, l'EV/EBITDA de 3,7x est particulièrement attractif, signalant que la valeur totale de l'entreprise (dette incluse) reste très bon marché par rapport à sa capacité opérationnelle de génération de cash.</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SNTS a enregistré une progression remarquable de +24,14%, avec une dernière séance en hausse de +4,05% à 36 000 FCFA, démontrant une dynamique haussière soutenue. Le titre a évolué dans un range de 27 160 FCFA (plus bas) à 36 980 FCFA (plus haut), soit une amplitude de près de 36%, témoignant d'une forte volatilité sur la période. La moyenne du cours (29 890 FCFA) étant supérieure à la médiane (28 905 FCFA), la distribution est asymétrique positive (skewness de 1,495), indiquant que le cours a passé plus de journées sous la moyenne, avec des pics haussiers marqués. Le kurtosis élevé (2,131) confirme un risque de mouvements extrêmes, tandis que l'écart-type de 1 982 FCFA (CV=6,6%) montre une dispersion modérée autour de la moyenne. La volatilité annualisée de 31,1% classe le titre dans la catégorie "élevée" (&gt;30%), ce qui implique un risque de variation important mais aussi un potentiel de rendement accru.</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(36 000 FCFA) se situe nettement au-dessus de la MM20 (32 688,75 FCFA) et de la MM50 (31 156,1 FCFA), confirmant une tendance haussière de court et moyen terme. L'écart positif entre le prix et les moyennes mobiles, ainsi que leur orientation ascendante, justifie la décision d'ACHAT, le titre évoluant dans une dynamique de "bull market".</w:t>
      </w:r>
    </w:p>
    <w:p>
      <w:pPr>
        <w:spacing w:after="120" w:line="276" w:lineRule="auto"/>
      </w:pPr>
      <w:r>
        <w:t>**Bandes de Bollinger** : Le cours se positionne près de la borne supérieure (36 759,5 FCFA), indiquant une pression acheteuse soutenue. La largeur des bandes (28 617 à 36 759 FCFA) reflète une volatilité élevée. La décision "Neutre" s'explique par le fait que le prix, bien qu'en zone haute, n'a pas encore franchi la borne, laissant place à une possible poursuite ou à un retour vers la moyenne.</w:t>
      </w:r>
    </w:p>
    <w:p>
      <w:pPr>
        <w:spacing w:after="120" w:line="276" w:lineRule="auto"/>
      </w:pPr>
      <w:r>
        <w:t>**MACD** : La valeur du MACD (1 304,43) est nettement supérieure à son signal (933,38), avec un écart positif croissant. Cette configuration signale un momentum haussier fort et confirme la décision d'ACHAT. La dynamique positive du MACD indique que la tendance haussière est solide et pourrait se poursuivre à court terme.</w:t>
      </w:r>
    </w:p>
    <w:p>
      <w:pPr>
        <w:spacing w:after="120" w:line="276" w:lineRule="auto"/>
      </w:pPr>
      <w:r>
        <w:t>**RSI** : À 76,95, le RSI est entré en zone de surachat (&gt;70), signalant que le titre est techniquement surévalué à court terme. La décision de VENTE qui en découle suggère un risque de correction ou de consolidation imminente, les acheteurs étant potentiellement épuisés après la forte hausse récente.</w:t>
      </w:r>
    </w:p>
    <w:p>
      <w:pPr>
        <w:spacing w:after="120" w:line="276" w:lineRule="auto"/>
      </w:pPr>
      <w:r>
        <w:t>**Stochastique** : Le %K (83,61) et le %D (80,48) sont tous deux en zone de surachat (&gt;80), avec un %K au-dessus du %D, indiquant une force relative élevée mais également un risque de retournement. La décision de VENTE reflète la probabilité croissante d'un repli technique après une séquence haussière prolongée.</w:t>
      </w:r>
    </w:p>
    <w:p>
      <w:pPr>
        <w:spacing w:after="120" w:line="276" w:lineRule="auto"/>
      </w:pPr>
      <w:r>
        <w:t>**Conclusion technique** : Les indicateurs de tendance (MM, MACD) sont résolument haussiers, mais les oscillateurs (RSI, Stochastique) signalent une condition de surachat extrême. Cette divergence entre la tendance et les oscillateurs suggère qu'un repli technique est probable à court terme, mais la tendance de fond reste positive. Les bandes de Bollinger, neutres, laissent présager une consolidation avant une éventuelle poursuite de la hausse.</w:t>
      </w:r>
    </w:p>
    <w:p>
      <w:pPr>
        <w:spacing w:after="120" w:line="276" w:lineRule="auto"/>
      </w:pPr>
      <w:r>
        <w:t>---</w:t>
      </w:r>
    </w:p>
    <w:p>
      <w:pPr>
        <w:spacing w:after="120" w:line="276" w:lineRule="auto"/>
      </w:pPr>
      <w:r>
        <w:t>### PARTIE 3 : ANALYSE FONDAMENTALE (SECTION CRITIQUE)</w:t>
      </w:r>
    </w:p>
    <w:p>
      <w:pPr>
        <w:spacing w:after="120" w:line="276" w:lineRule="auto"/>
      </w:pPr>
      <w:r>
        <w:t>En 2025, Sonatel affiche des performances financières solides avec un chiffre d'affaires consolidé de 1 923,1 milliards FCFA (+8,3% vs 2024) et un résultat net de 413,6 milliards FCFA (+5,1%). La marge nette s'établit à 21,5%, le ROE à 29,6% et le ROA à 12,6%, des niveaux excellents qui confirment l'efficacité opérationnelle du groupe. En tant qu'entreprise non bancaire, l'analyse se concentre sur le BFR, qui est négatif à -284,9 milliards FCFA, une situation très favorable indiquant que Sonatel finance son cycle d'exploitation grâce à ses fournisseurs (délai fournisseurs de 201 jours contre 46 jours pour les clients). Le ratio d'endettement de 57,2% reste maîtrisé, avec une capacité de remboursement de seulement 0,64 an. Les rapports trimestriels 2025 confirment cette dynamique : le T1 2025 affiche une croissance du résultat net de +14,9%, le S1 2025 de +8,0% (208,1 Mds FCFA), et le T3 2025 de +8,0% (311 Mds FCFA sur 9 mois). Sur la base du rapport S1 2026 (CA de 1 049,8 Mds FCFA, +9,3% et résultat net de 230 Mds FCFA, +10,5%), on estime que l'exercice 2026 devrait dépasser les 2 100 Mds FCFA de CA et atteindre un résultat net d'environ 450 Mds FCFA, confirmant la trajectoire de croissance rentable du groupe. La notation AAA(wu) de GCR Ratings et le dividende de 1 740 FCFA net par action (rendement de 4,8%) renforcent l'attractivité du titre.</w:t>
      </w:r>
    </w:p>
    <w:p>
      <w:pPr>
        <w:spacing w:after="120" w:line="276" w:lineRule="auto"/>
      </w:pPr>
      <w:r>
        <w:t>---</w:t>
      </w:r>
    </w:p>
    <w:p>
      <w:pPr>
        <w:spacing w:after="120" w:line="276" w:lineRule="auto"/>
      </w:pPr>
      <w:r>
        <w:t>### PARTIE 4 : CONCLUSION D'INVESTISSEMENT</w:t>
      </w:r>
    </w:p>
    <w:p>
      <w:pPr>
        <w:spacing w:after="120" w:line="276" w:lineRule="auto"/>
      </w:pPr>
      <w:r>
        <w:t>La valorisation de Sonatel (PER 8,7x, EV/EBITDA 3,7x) indique une sous-évaluation relative malgré une performance boursière récente de +24%, tandis que la tendance technique reste haussière mais avec des signaux de surachat à court terme (RSI 77, Stochastique 84). Les fondamentaux sont excellents : croissance soutenue du CA (+8,3% en 2025), ROE de 29,6%, BFR négatif favorable et perspectives 2026 estimées en hausse de +10% du résultat net. Les prédictions IA (34 939 à 34 617 FCFA sur 10 jours) suggèrent une légère correction technique après la forte hausse, ce qui est cohérent avec les signaux de surachat. La convergence entre les fondamentaux solides, la valorisation attractive et la tendance haussière de fond, malgré un risque de repli technique immédiat, conduit à une recommandation **ACHAT** avec un niveau de confiance **Élevé**. Le risque global est **Moyen** (volatilité élevée, surachat technique, pression réglementaire). L'horizon d'investissement optimal est le **moyen terme (3-12 mois)**, permettant de capter la croissance estimée de 2026 et le rendement du dividende, tout en absorbant une éventuelle consolidation à court terme.</w:t>
      </w:r>
    </w:p>
    <w:p/>
    <w:p/>
    <w:p>
      <w:pPr>
        <w:pStyle w:val="Heading3"/>
      </w:pPr>
      <w:r>
        <w:rPr>
          <w:color w:val="00467F"/>
        </w:rPr>
        <w:t>📎 DOCUMENTS &amp; COMMUNICATIONS OFFICIELS BRVM</w:t>
      </w:r>
    </w:p>
    <w:p>
      <w:r>
        <w:rPr>
          <w:i/>
          <w:color w:val="646464"/>
          <w:sz w:val="18"/>
        </w:rPr>
        <w:t>5 document(s) disponible(s) pour cette société (affichage des 5 plus récents).</w:t>
      </w:r>
    </w:p>
    <w:p>
      <w:pPr>
        <w:spacing w:before="160"/>
      </w:pPr>
      <w:r>
        <w:rPr>
          <w:b/>
          <w:color w:val="0066CC"/>
          <w:sz w:val="20"/>
        </w:rPr>
        <w:t xml:space="preserve">[1] </w:t>
      </w:r>
      <w:r>
        <w:rPr>
          <w:b/>
          <w:sz w:val="20"/>
        </w:rPr>
        <w:t>20260423   calendrier de paiement des dividendes   exercice 2025</w:t>
      </w:r>
    </w:p>
    <w:p>
      <w:pPr>
        <w:spacing w:before="20"/>
        <w:ind w:left="400"/>
      </w:pPr>
      <w:r>
        <w:rPr>
          <w:color w:val="505050"/>
          <w:sz w:val="17"/>
        </w:rPr>
        <w:t xml:space="preserve">Date : 24/04/2026  |  Catégorie : dividende  |  Impact : </w:t>
      </w:r>
      <w:r>
        <w:rPr>
          <w:b/>
          <w:color w:val="008000"/>
          <w:sz w:val="17"/>
        </w:rPr>
        <w:t>🟢 POSITIF</w:t>
      </w:r>
    </w:p>
    <w:p>
      <w:pPr>
        <w:spacing w:before="40"/>
        <w:ind w:left="400"/>
      </w:pPr>
      <w:r>
        <w:rPr>
          <w:sz w:val="18"/>
        </w:rPr>
        <w:t>Calendrier de paiement des dividendes de la BRVM pour l'exercice 2025, publié le 23 avril 2026. Le document présente les échéances de versement pour trois entreprises cotées avec leurs montants respectifs. Les dates d'ex-dividende et de paiement s'échelonnent d'avril à mai 2026.</w:t>
      </w:r>
    </w:p>
    <w:p>
      <w:pPr>
        <w:spacing w:before="60"/>
        <w:ind w:left="400"/>
      </w:pPr>
      <w:r>
        <w:rPr>
          <w:b/>
          <w:sz w:val="18"/>
        </w:rPr>
        <w:t>Points clés :</w:t>
      </w:r>
    </w:p>
    <w:p>
      <w:pPr>
        <w:pStyle w:val="ListBullet"/>
        <w:spacing w:before="20" w:after="20"/>
        <w:ind w:left="700"/>
      </w:pPr>
      <w:r>
        <w:rPr>
          <w:sz w:val="18"/>
        </w:rPr>
        <w:t>BOA Burkina Faso verse un dividende net de 397 FCFA par action avec paiement le 23/04/2026</w:t>
      </w:r>
    </w:p>
    <w:p>
      <w:pPr>
        <w:pStyle w:val="ListBullet"/>
        <w:spacing w:before="20" w:after="20"/>
        <w:ind w:left="700"/>
      </w:pPr>
      <w:r>
        <w:rPr>
          <w:sz w:val="18"/>
        </w:rPr>
        <w:t>BOA Côte d'Ivoire distribue le dividende le plus élevé à 594,528 FCFA par action, payable le 06/05/2026</w:t>
      </w:r>
    </w:p>
    <w:p>
      <w:pPr>
        <w:pStyle w:val="ListBullet"/>
        <w:spacing w:before="20" w:after="20"/>
        <w:ind w:left="700"/>
      </w:pPr>
      <w:r>
        <w:rPr>
          <w:sz w:val="18"/>
        </w:rPr>
        <w:t>Sonatel Sénégal offre le dividende le plus important à 1 740 FCFA par action avec paiement le 26/04/2026</w:t>
      </w:r>
    </w:p>
    <w:p>
      <w:pPr>
        <w:pStyle w:val="ListBullet"/>
        <w:spacing w:before="20" w:after="20"/>
        <w:ind w:left="700"/>
      </w:pPr>
      <w:r>
        <w:rPr>
          <w:sz w:val="18"/>
        </w:rPr>
        <w:t>Les dates d'ex-dividende s'échelonnent du 22/04/2026 au 22/05/2026 selon les titres</w:t>
      </w:r>
    </w:p>
    <w:p>
      <w:pPr>
        <w:pStyle w:val="ListBullet"/>
        <w:spacing w:before="20" w:after="20"/>
        <w:ind w:left="700"/>
      </w:pPr>
      <w:r>
        <w:rPr>
          <w:sz w:val="18"/>
        </w:rPr>
        <w:t>Toutes les publications d'avis sont référencées au Bulletin Officiel de la Cote (BOC) avec numéros spécifiques</w:t>
      </w:r>
    </w:p>
    <w:p>
      <w:pPr>
        <w:ind w:left="400"/>
      </w:pPr>
      <w:r>
        <w:rPr>
          <w:color w:val="B4B4B4"/>
          <w:sz w:val="14"/>
        </w:rPr>
        <w:t xml:space="preserve">· · · · · · · · · · · · · · · · · · · · · · · · · · · · · · </w:t>
      </w:r>
    </w:p>
    <w:p>
      <w:pPr>
        <w:spacing w:before="160"/>
      </w:pPr>
      <w:r>
        <w:rPr>
          <w:b/>
          <w:color w:val="0066CC"/>
          <w:sz w:val="20"/>
        </w:rPr>
        <w:t xml:space="preserve">[2] </w:t>
      </w:r>
      <w:r>
        <w:rPr>
          <w:b/>
          <w:sz w:val="20"/>
        </w:rPr>
        <w:t>20260430   calendrier de paiement des dividendes   exercice 2025</w:t>
      </w:r>
    </w:p>
    <w:p>
      <w:pPr>
        <w:spacing w:before="20"/>
        <w:ind w:left="400"/>
      </w:pPr>
      <w:r>
        <w:rPr>
          <w:color w:val="505050"/>
          <w:sz w:val="17"/>
        </w:rPr>
        <w:t xml:space="preserve">Date : 05/05/2026  |  Catégorie : dividende  |  Impact : </w:t>
      </w:r>
      <w:r>
        <w:rPr>
          <w:b/>
          <w:color w:val="008000"/>
          <w:sz w:val="17"/>
        </w:rPr>
        <w:t>🟢 POSITIF</w:t>
      </w:r>
    </w:p>
    <w:p>
      <w:pPr>
        <w:spacing w:before="40"/>
        <w:ind w:left="400"/>
      </w:pPr>
      <w:r>
        <w:rPr>
          <w:sz w:val="18"/>
        </w:rPr>
        <w:t>Calendrier officiel de la BRVM pour le paiement des dividendes de l'exercice 2025, publié le 30 avril 2026. Le document liste trois entreprises cotées avec leurs montants de dividendes nets par action et les dates clés de versement. Les dividendes s'échelonnent d'avril à mai 2026 avec des montants variant de 397 FCFA à 1 740 FCFA par action.</w:t>
      </w:r>
    </w:p>
    <w:p>
      <w:pPr>
        <w:spacing w:before="60"/>
        <w:ind w:left="400"/>
      </w:pPr>
      <w:r>
        <w:rPr>
          <w:b/>
          <w:sz w:val="18"/>
        </w:rPr>
        <w:t>Points clés :</w:t>
      </w:r>
    </w:p>
    <w:p>
      <w:pPr>
        <w:pStyle w:val="ListBullet"/>
        <w:spacing w:before="20" w:after="20"/>
        <w:ind w:left="700"/>
      </w:pPr>
      <w:r>
        <w:rPr>
          <w:sz w:val="18"/>
        </w:rPr>
        <w:t>BOA Burkina Faso verse 397 FCFA de dividende net par action avec paiement le 23/04/2026</w:t>
      </w:r>
    </w:p>
    <w:p>
      <w:pPr>
        <w:pStyle w:val="ListBullet"/>
        <w:spacing w:before="20" w:after="20"/>
        <w:ind w:left="700"/>
      </w:pPr>
      <w:r>
        <w:rPr>
          <w:sz w:val="18"/>
        </w:rPr>
        <w:t>BOA Côte d'Ivoire distribue 594,528 FCFA par action avec versement prévu le 06/05/2026</w:t>
      </w:r>
    </w:p>
    <w:p>
      <w:pPr>
        <w:pStyle w:val="ListBullet"/>
        <w:spacing w:before="20" w:after="20"/>
        <w:ind w:left="700"/>
      </w:pPr>
      <w:r>
        <w:rPr>
          <w:sz w:val="18"/>
        </w:rPr>
        <w:t>Sonatel Sénégal offre le dividende le plus élevé à 1 740 FCFA par action, payable le 26/05/2026</w:t>
      </w:r>
    </w:p>
    <w:p>
      <w:pPr>
        <w:pStyle w:val="ListBullet"/>
        <w:spacing w:before="20" w:after="20"/>
        <w:ind w:left="700"/>
      </w:pPr>
      <w:r>
        <w:rPr>
          <w:sz w:val="18"/>
        </w:rPr>
        <w:t>Les dates ex-dividende sont fixées respectivement aux 22/04, 05/05 et 22/05/2026</w:t>
      </w:r>
    </w:p>
    <w:p>
      <w:pPr>
        <w:pStyle w:val="ListBullet"/>
        <w:spacing w:before="20" w:after="20"/>
        <w:ind w:left="700"/>
      </w:pPr>
      <w:r>
        <w:rPr>
          <w:sz w:val="18"/>
        </w:rPr>
        <w:t>Calendrier officiel publié par la BRVM avec numéros d'avis de référence pour chaque société</w:t>
      </w:r>
    </w:p>
    <w:p>
      <w:pPr>
        <w:ind w:left="400"/>
      </w:pPr>
      <w:r>
        <w:rPr>
          <w:color w:val="B4B4B4"/>
          <w:sz w:val="14"/>
        </w:rPr>
        <w:t xml:space="preserve">· · · · · · · · · · · · · · · · · · · · · · · · · · · · · · </w:t>
      </w:r>
    </w:p>
    <w:p>
      <w:pPr>
        <w:spacing w:before="160"/>
      </w:pPr>
      <w:r>
        <w:rPr>
          <w:b/>
          <w:color w:val="0066CC"/>
          <w:sz w:val="20"/>
        </w:rPr>
        <w:t xml:space="preserve">[3] </w:t>
      </w:r>
      <w:r>
        <w:rPr>
          <w:b/>
          <w:sz w:val="20"/>
        </w:rPr>
        <w:t>20260724   communique de presse   sonatel sn 0</w:t>
      </w:r>
    </w:p>
    <w:p>
      <w:pPr>
        <w:spacing w:before="20"/>
        <w:ind w:left="400"/>
      </w:pPr>
      <w:r>
        <w:rPr>
          <w:color w:val="505050"/>
          <w:sz w:val="17"/>
        </w:rPr>
        <w:t xml:space="preserve">Date : 27/07/2026  |  Catégorie : résultats financiers  |  Impact : </w:t>
      </w:r>
      <w:r>
        <w:rPr>
          <w:b/>
          <w:color w:val="008000"/>
          <w:sz w:val="17"/>
        </w:rPr>
        <w:t>🟢 POSITIF</w:t>
      </w:r>
    </w:p>
    <w:p>
      <w:pPr>
        <w:spacing w:before="40"/>
        <w:ind w:left="400"/>
      </w:pPr>
      <w:r>
        <w:rPr>
          <w:sz w:val="18"/>
        </w:rPr>
        <w:t>Le Groupe Sonatel publie ses résultats consolidés du premier semestre 2026, avec un chiffre d'affaires en hausse de 9,3% à 1 049,8 milliards FCFA et un résultat net en progression de 10,5% à 230 milliards FCFA. Le groupe poursuit ses investissements dans la fibre et le très haut débit, avec une base de clients fibre en hausse de 23% et l'obtention de licences 5G en Guinée-Bissau. La notation financière a été relevée à AAA (wu) par GCR Ratings, confirmant la solidité du modèle et les perspectives positives pour la seconde moitié de l'année.</w:t>
      </w:r>
    </w:p>
    <w:p>
      <w:pPr>
        <w:spacing w:before="60"/>
        <w:ind w:left="400"/>
      </w:pPr>
      <w:r>
        <w:rPr>
          <w:b/>
          <w:sz w:val="18"/>
        </w:rPr>
        <w:t>Points clés :</w:t>
      </w:r>
    </w:p>
    <w:p>
      <w:pPr>
        <w:pStyle w:val="ListBullet"/>
        <w:spacing w:before="20" w:after="20"/>
        <w:ind w:left="700"/>
      </w:pPr>
      <w:r>
        <w:rPr>
          <w:sz w:val="18"/>
        </w:rPr>
        <w:t>Chiffre d'affaires S1 2026: 1 049,8 milliards FCFA, +9,3%.</w:t>
      </w:r>
    </w:p>
    <w:p>
      <w:pPr>
        <w:pStyle w:val="ListBullet"/>
        <w:spacing w:before="20" w:after="20"/>
        <w:ind w:left="700"/>
      </w:pPr>
      <w:r>
        <w:rPr>
          <w:sz w:val="18"/>
        </w:rPr>
        <w:t>EBITDAAL en hausse de 11,6% à 510,8 milliards FCFA, représentant 48,7% du chiffre d'affaires.</w:t>
      </w:r>
    </w:p>
    <w:p>
      <w:pPr>
        <w:pStyle w:val="ListBullet"/>
        <w:spacing w:before="20" w:after="20"/>
        <w:ind w:left="700"/>
      </w:pPr>
      <w:r>
        <w:rPr>
          <w:sz w:val="18"/>
        </w:rPr>
        <w:t>Résultat net en hausse de 10,5% à 230 milliards FCFA.</w:t>
      </w:r>
    </w:p>
    <w:p>
      <w:pPr>
        <w:pStyle w:val="ListBullet"/>
        <w:spacing w:before="20" w:after="20"/>
        <w:ind w:left="700"/>
      </w:pPr>
      <w:r>
        <w:rPr>
          <w:sz w:val="18"/>
        </w:rPr>
        <w:t>Parc clients atteint 43 millions, avec forte croissance de la fibre (+23%) et de la 4G (+19,5%).</w:t>
      </w:r>
    </w:p>
    <w:p>
      <w:pPr>
        <w:pStyle w:val="ListBullet"/>
        <w:spacing w:before="20" w:after="20"/>
        <w:ind w:left="700"/>
      </w:pPr>
      <w:r>
        <w:rPr>
          <w:sz w:val="18"/>
        </w:rPr>
        <w:t>Notation relevée à AAA (wu) par GCR Ratings et obtention de licences 5G/renouvellements en Guinée-Bissau et Sierra Leone.</w:t>
      </w:r>
    </w:p>
    <w:p>
      <w:pPr>
        <w:ind w:left="400"/>
      </w:pPr>
      <w:r>
        <w:rPr>
          <w:color w:val="B4B4B4"/>
          <w:sz w:val="14"/>
        </w:rPr>
        <w:t xml:space="preserve">· · · · · · · · · · · · · · · · · · · · · · · · · · · · · · </w:t>
      </w:r>
    </w:p>
    <w:p>
      <w:pPr>
        <w:spacing w:before="160"/>
      </w:pPr>
      <w:r>
        <w:rPr>
          <w:b/>
          <w:color w:val="0066CC"/>
          <w:sz w:val="20"/>
        </w:rPr>
        <w:t xml:space="preserve">[4] </w:t>
      </w:r>
      <w:r>
        <w:rPr>
          <w:b/>
          <w:sz w:val="20"/>
        </w:rPr>
        <w:t>20260216   communique de presse   sonatel sn</w:t>
      </w:r>
    </w:p>
    <w:p>
      <w:pPr>
        <w:spacing w:before="20"/>
        <w:ind w:left="400"/>
      </w:pPr>
      <w:r>
        <w:rPr>
          <w:color w:val="505050"/>
          <w:sz w:val="17"/>
        </w:rPr>
        <w:t xml:space="preserve">Date : 16/02/2026  |  Catégorie : résultats financiers  |  Impact : </w:t>
      </w:r>
      <w:r>
        <w:rPr>
          <w:b/>
          <w:color w:val="008000"/>
          <w:sz w:val="17"/>
        </w:rPr>
        <w:t>🟢 POSITIF</w:t>
      </w:r>
    </w:p>
    <w:p>
      <w:pPr>
        <w:spacing w:before="40"/>
        <w:ind w:left="400"/>
      </w:pPr>
      <w:r>
        <w:rPr>
          <w:sz w:val="18"/>
        </w:rPr>
        <w:t>Le Groupe Sonatel présente ses résultats consolidés 2025 avec un chiffre d'affaires de 1 923,1 milliards FCFA (+8,3%) et un résultat net de 413,6 milliards FCFA (+5,1%). Le groupe a investi 288,6 milliards FCFA dans le développement numérique et maintient sa position de leader sur tous ses marchés en Afrique de l'Ouest. Les perspectives 2026 visent l'accélération de la transformation numérique et l'innovation durable.</w:t>
      </w:r>
    </w:p>
    <w:p>
      <w:pPr>
        <w:spacing w:before="60"/>
        <w:ind w:left="400"/>
      </w:pPr>
      <w:r>
        <w:rPr>
          <w:b/>
          <w:sz w:val="18"/>
        </w:rPr>
        <w:t>Points clés :</w:t>
      </w:r>
    </w:p>
    <w:p>
      <w:pPr>
        <w:pStyle w:val="ListBullet"/>
        <w:spacing w:before="20" w:after="20"/>
        <w:ind w:left="700"/>
      </w:pPr>
      <w:r>
        <w:rPr>
          <w:sz w:val="18"/>
        </w:rPr>
        <w:t>Chiffre d'affaires consolidé en progression de 8,3% à 1 923,1 milliards FCFA</w:t>
      </w:r>
    </w:p>
    <w:p>
      <w:pPr>
        <w:pStyle w:val="ListBullet"/>
        <w:spacing w:before="20" w:after="20"/>
        <w:ind w:left="700"/>
      </w:pPr>
      <w:r>
        <w:rPr>
          <w:sz w:val="18"/>
        </w:rPr>
        <w:t>Résultat net en hausse de 5,1% à 413,6 milliards FCFA avec un EBITDAAL à 47,9% du CA</w:t>
      </w:r>
    </w:p>
    <w:p>
      <w:pPr>
        <w:pStyle w:val="ListBullet"/>
        <w:spacing w:before="20" w:after="20"/>
        <w:ind w:left="700"/>
      </w:pPr>
      <w:r>
        <w:rPr>
          <w:sz w:val="18"/>
        </w:rPr>
        <w:t>Base clients de 42,1 millions dont 22,5 millions en data mobile (+8,6%) et 1,16 million en fixe haut débit (+26,1%)</w:t>
      </w:r>
    </w:p>
    <w:p>
      <w:pPr>
        <w:pStyle w:val="ListBullet"/>
        <w:spacing w:before="20" w:after="20"/>
        <w:ind w:left="700"/>
      </w:pPr>
      <w:r>
        <w:rPr>
          <w:sz w:val="18"/>
        </w:rPr>
        <w:t>Investissements de 288,6 milliards FCFA (15% du CA) pour renforcer les infrastructures numériques</w:t>
      </w:r>
    </w:p>
    <w:p>
      <w:pPr>
        <w:pStyle w:val="ListBullet"/>
        <w:spacing w:before="20" w:after="20"/>
        <w:ind w:left="700"/>
      </w:pPr>
      <w:r>
        <w:rPr>
          <w:sz w:val="18"/>
        </w:rPr>
        <w:t>Leadership consolidé avec des parts de marché de 55,9% au Sénégal, 54,5% au Mali et forte présence dans les autres pays</w:t>
      </w:r>
    </w:p>
    <w:p>
      <w:pPr>
        <w:ind w:left="400"/>
      </w:pPr>
      <w:r>
        <w:rPr>
          <w:color w:val="B4B4B4"/>
          <w:sz w:val="14"/>
        </w:rPr>
        <w:t xml:space="preserve">· · · · · · · · · · · · · · · · · · · · · · · · · · · · · · </w:t>
      </w:r>
    </w:p>
    <w:p>
      <w:pPr>
        <w:spacing w:before="160"/>
      </w:pPr>
      <w:r>
        <w:rPr>
          <w:b/>
          <w:color w:val="0066CC"/>
          <w:sz w:val="20"/>
        </w:rPr>
        <w:t xml:space="preserve">[5] </w:t>
      </w:r>
      <w:r>
        <w:rPr>
          <w:b/>
          <w:sz w:val="20"/>
        </w:rPr>
        <w:t>20260327   avis de convocation   assemblee generale ordinaire   sonatel sn</w:t>
      </w:r>
    </w:p>
    <w:p>
      <w:pPr>
        <w:spacing w:before="20"/>
        <w:ind w:left="400"/>
      </w:pPr>
      <w:r>
        <w:rPr>
          <w:color w:val="505050"/>
          <w:sz w:val="17"/>
        </w:rPr>
        <w:t xml:space="preserve">Date : 30/03/2026  |  Catégorie : convocation AG  |  Impact : </w:t>
      </w:r>
      <w:r>
        <w:rPr>
          <w:b/>
          <w:color w:val="008000"/>
          <w:sz w:val="17"/>
        </w:rPr>
        <w:t>🟢 POSITIF</w:t>
      </w:r>
    </w:p>
    <w:p>
      <w:pPr>
        <w:spacing w:before="40"/>
        <w:ind w:left="400"/>
      </w:pPr>
      <w:r>
        <w:rPr>
          <w:sz w:val="18"/>
        </w:rPr>
        <w:t>SONATEL convoque une Assemblée Générale Ordinaire le 16 avril 2026 pour approuver les états financiers 2025 et verser un dividende de 1 933 F CFA par action. L'ordre du jour comprend également des nominations d'administrateurs et l'approbation de conventions réglementées avec OMEA. Le dividende net sera de 1 740 F CFA après retenue à la source, payable à partir du 25 mai 2026.</w:t>
      </w:r>
    </w:p>
    <w:p>
      <w:pPr>
        <w:spacing w:before="60"/>
        <w:ind w:left="400"/>
      </w:pPr>
      <w:r>
        <w:rPr>
          <w:b/>
          <w:sz w:val="18"/>
        </w:rPr>
        <w:t>Points clés :</w:t>
      </w:r>
    </w:p>
    <w:p>
      <w:pPr>
        <w:pStyle w:val="ListBullet"/>
        <w:spacing w:before="20" w:after="20"/>
        <w:ind w:left="700"/>
      </w:pPr>
      <w:r>
        <w:rPr>
          <w:sz w:val="18"/>
        </w:rPr>
        <w:t>Assemblée Générale Ordinaire convoquée pour le 16 avril 2026 à 10h GMT</w:t>
      </w:r>
    </w:p>
    <w:p>
      <w:pPr>
        <w:pStyle w:val="ListBullet"/>
        <w:spacing w:before="20" w:after="20"/>
        <w:ind w:left="700"/>
      </w:pPr>
      <w:r>
        <w:rPr>
          <w:sz w:val="18"/>
        </w:rPr>
        <w:t>Dividende brut proposé de 1 933 F CFA par action (1 740 F CFA net)</w:t>
      </w:r>
    </w:p>
    <w:p>
      <w:pPr>
        <w:pStyle w:val="ListBullet"/>
        <w:spacing w:before="20" w:after="20"/>
        <w:ind w:left="700"/>
      </w:pPr>
      <w:r>
        <w:rPr>
          <w:sz w:val="18"/>
        </w:rPr>
        <w:t>Mise en paiement du dividende à compter du 25 mai 2026</w:t>
      </w:r>
    </w:p>
    <w:p>
      <w:pPr>
        <w:pStyle w:val="ListBullet"/>
        <w:spacing w:before="20" w:after="20"/>
        <w:ind w:left="700"/>
      </w:pPr>
      <w:r>
        <w:rPr>
          <w:sz w:val="18"/>
        </w:rPr>
        <w:t>Ratification des cooptations de MM. Samba DIOUF et Yasser SHAKER comme administrateurs</w:t>
      </w:r>
    </w:p>
    <w:p>
      <w:pPr>
        <w:pStyle w:val="ListBullet"/>
        <w:spacing w:before="20" w:after="20"/>
        <w:ind w:left="700"/>
      </w:pPr>
      <w:r>
        <w:rPr>
          <w:sz w:val="18"/>
        </w:rPr>
        <w:t>Approbation de multiples conventions réglementées avec OMEA autorisées et non autorisées</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"Les r\u00e9sultats semestriels sont solides, avec une croissance rentable et un leadership maintenu. Cependant, l'intensification concurrentielle et les contraintes r\u00e9glementaires appellent \u00e0 la prudence, justifiant une position de conservation."}</w:t>
      </w:r>
    </w:p>
    <w:p>
      <w:pPr>
        <w:spacing w:before="40"/>
        <w:ind w:left="400"/>
      </w:pPr>
      <w:r>
        <w:rPr>
          <w:sz w:val="18"/>
        </w:rPr>
        <w:t>Le Groupe Sonatel affiche une performance solide au S1 2026 avec un chiffre d'affaires de 1 049,8 Mds FCFA, en hausse de 9,3%. La croissance est portée par les activités Data, Fixe Broadband et Orange Money, tandis que l'EBITDAAL progresse de 11,6% à 510,8 Mds FCFA, soit une marge de 48,7%. Le résultat net consolidé atteint 229,96 Mds FCFA, en hausse de 10,5%, soutenu par une bonne maîtrise des charges. Le Groupe maintient son leadership dans tous ses pays de présence et a vu sa notation financière relevée à AAA(wu). Les investissements restent soutenus (154 Mds FCFA) pour accompagner la croissance et la transformation numérique.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'154 Mds FCFA', 'ebitdaal': '510,8 Mds FCFA', 'resultat_operationnel': '362,5 Mds FCFA', 'resultat_net_part_groupe': '189,3 Mds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21,9%</w:t>
            </w:r>
          </w:p>
        </w:tc>
        <w:tc>
          <w:tcPr>
            <w:tcW w:type="dxa" w:w="2160"/>
          </w:tcPr>
          <w:p>
            <w:pPr>
              <w:ind w:left="100"/>
            </w:pPr>
            <w:r/>
            <w:r>
              <w:rPr>
                <w:b/>
                <w:sz w:val="16"/>
              </w:rPr>
              <w:t>total_actif</w:t>
              <w:br/>
            </w:r>
            <w:r>
              <w:rPr>
                <w:sz w:val="18"/>
              </w:rPr>
              <w:t>3 606,96 Mds FCFA</w:t>
            </w:r>
          </w:p>
        </w:tc>
      </w:tr>
      <w:tr>
        <w:tc>
          <w:tcPr>
            <w:tcW w:type="dxa" w:w="2160"/>
          </w:tcPr>
          <w:p>
            <w:r/>
            <w:r>
              <w:rPr>
                <w:b/>
                <w:sz w:val="16"/>
              </w:rPr>
              <w:t>resultat_net</w:t>
              <w:br/>
            </w:r>
            <w:r>
              <w:rPr>
                <w:sz w:val="18"/>
              </w:rPr>
              <w:t>229,96 Mds FCFA</w:t>
            </w:r>
          </w:p>
        </w:tc>
        <w:tc>
          <w:tcPr>
            <w:tcW w:type="dxa" w:w="2160"/>
          </w:tcPr>
          <w:p>
            <w:r/>
            <w:r>
              <w:rPr>
                <w:b/>
                <w:sz w:val="16"/>
              </w:rPr>
              <w:t>capitaux_propres</w:t>
              <w:br/>
            </w:r>
            <w:r>
              <w:rPr>
                <w:sz w:val="18"/>
              </w:rPr>
              <w:t>1 398,87 Mds FCFA</w:t>
            </w:r>
          </w:p>
        </w:tc>
        <w:tc>
          <w:tcPr>
            <w:tcW w:type="dxa" w:w="2160"/>
          </w:tcPr>
          <w:p>
            <w:r/>
            <w:r>
              <w:rPr>
                <w:b/>
                <w:sz w:val="16"/>
              </w:rPr>
              <w:t>chiffre_affaires</w:t>
              <w:br/>
            </w:r>
            <w:r>
              <w:rPr>
                <w:sz w:val="18"/>
              </w:rPr>
              <w:t>1 049,8 Mds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9,3% au S1 2026, tirée par la Data, le Fixe Broadband et Orange Money.</w:t>
      </w:r>
    </w:p>
    <w:p>
      <w:pPr>
        <w:pStyle w:val="ListBullet"/>
        <w:spacing w:before="20" w:after="20"/>
        <w:ind w:left="700"/>
      </w:pPr>
      <w:r>
        <w:rPr>
          <w:sz w:val="18"/>
        </w:rPr>
        <w:t>EBITDAAL en hausse de 11,6% à 510,8 Mds FCFA, avec une marge de 48,7%.</w:t>
      </w:r>
    </w:p>
    <w:p>
      <w:pPr>
        <w:pStyle w:val="ListBullet"/>
        <w:spacing w:before="20" w:after="20"/>
        <w:ind w:left="700"/>
      </w:pPr>
      <w:r>
        <w:rPr>
          <w:sz w:val="18"/>
        </w:rPr>
        <w:t>Résultat net consolidé en progression de 10,5% à 229,96 Mds FCFA.</w:t>
      </w:r>
    </w:p>
    <w:p>
      <w:pPr>
        <w:pStyle w:val="ListBullet"/>
        <w:spacing w:before="20" w:after="20"/>
        <w:ind w:left="700"/>
      </w:pPr>
      <w:r>
        <w:rPr>
          <w:sz w:val="18"/>
        </w:rPr>
        <w:t>Le Groupe conserve sa position de leader sur tous ses marchés avec des parts de marché élevées.</w:t>
      </w:r>
    </w:p>
    <w:p>
      <w:pPr>
        <w:pStyle w:val="ListBullet"/>
        <w:spacing w:before="20" w:after="20"/>
        <w:ind w:left="700"/>
      </w:pPr>
      <w:r>
        <w:rPr>
          <w:sz w:val="18"/>
        </w:rPr>
        <w:t>Investissements de 154 Mds FCFA (15% du CA) pour renforcer les réseaux Très Haut Débit.</w:t>
      </w:r>
    </w:p>
    <w:p>
      <w:pPr>
        <w:pStyle w:val="ListBullet"/>
        <w:spacing w:before="20" w:after="20"/>
        <w:ind w:left="700"/>
      </w:pPr>
      <w:r>
        <w:rPr>
          <w:sz w:val="18"/>
        </w:rPr>
        <w:t>Rehaussement de la notation financière à AAA(wu) par GCR Rating.</w:t>
      </w:r>
    </w:p>
    <w:p>
      <w:pPr>
        <w:spacing w:before="40"/>
        <w:ind w:left="400"/>
      </w:pPr>
      <w:r>
        <w:rPr>
          <w:b/>
          <w:color w:val="C05000"/>
          <w:sz w:val="18"/>
        </w:rPr>
        <w:t xml:space="preserve">⚠️ Risques : </w:t>
      </w:r>
      <w:r>
        <w:rPr>
          <w:sz w:val="18"/>
        </w:rPr>
        <w:t>["Intensification de la concurrence sur l'ensemble des march\u00e9s de pr\u00e9sence.", "Durcissement des mesures r\u00e9glementaires, notamment l'identification des abonn\u00e9s, impactant la croissance du parc.", "Risque de change et de d\u00e9gradation macro\u00e9conomique dans certains pays, com</w:t>
      </w:r>
    </w:p>
    <w:p>
      <w:pPr>
        <w:spacing w:before="40"/>
        <w:ind w:left="400"/>
      </w:pPr>
      <w:r>
        <w:rPr>
          <w:b/>
          <w:color w:val="0064A0"/>
          <w:sz w:val="18"/>
        </w:rPr>
        <w:t xml:space="preserve">🔮 Perspectives : </w:t>
      </w:r>
      <w:r>
        <w:rPr>
          <w:sz w:val="18"/>
        </w:rPr>
        <w:t>Pour le second semestre 2026, le Groupe Sonatel poursuivra une trajectoire de croissance rentable, portée par l'achèvement de projets structurants (fibre, 4G, licence 5G) et le développement des services digitaux et financiers. L'accent sera mis sur l'innovation, la digitalisation et la responsabili</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du chiffre d'affaires, la soci\u00e9t\u00e9 maintient une marge EBITDA solide et b\u00e9n\u00e9ficie d'une croissance soutenue de sa base clients et de l'internet mobile. Les fondamentaux restent solides avec des perspectives de reprise sur le segment internet."}</w:t>
      </w:r>
    </w:p>
    <w:p>
      <w:pPr>
        <w:spacing w:before="40"/>
        <w:ind w:left="400"/>
      </w:pPr>
      <w:r>
        <w:rPr>
          <w:sz w:val="18"/>
        </w:rPr>
        <w:t>ONATEL-SA présente des résultats mitigés pour les neuf premiers mois de 2022 avec un chiffre d'affaires en recul de 5,6% à 110,3 Mds FCFA. La base clients continue sa progression avec +7,4% de croissance, portée principalement par le segment mobile et internet. Le résultat des activités ordinaires chute significativement de 28,1% à 24,5 Mds FCFA, impacté par la baisse du revenu prépayé et le recul des revenus internationaux. La marge EBITDA reste solide à 48,7% selon les normes IFRS, démontrant une bonne maîtrise opérationnelle. L'internet mobile reste un levier de croissance avec une progression de 25,7% des revenus par rapport à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'54,4 Mds FCFA (IFRS)', 'base_clients': '11,1 millions', 'marge_ebitda': '48,7% (IFRS)', 'parc_internet': '6,3 millions de clients', 'croissance_base_clients': '7,4%'}</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16,9 Mds FCFA (SYSCOHADA) / 18,1 Mds FCFA (IFRS)</w:t>
            </w:r>
          </w:p>
        </w:tc>
        <w:tc>
          <w:tcPr>
            <w:tcW w:type="dxa" w:w="2160"/>
          </w:tcPr>
          <w:p>
            <w:r/>
            <w:r>
              <w:rPr>
                <w:b/>
                <w:sz w:val="16"/>
              </w:rPr>
              <w:t>capitaux_propres</w:t>
              <w:br/>
            </w:r>
            <w:r>
              <w:rPr>
                <w:sz w:val="18"/>
              </w:rPr>
              <w:t>None</w:t>
            </w:r>
          </w:p>
        </w:tc>
        <w:tc>
          <w:tcPr>
            <w:tcW w:type="dxa" w:w="2160"/>
          </w:tcPr>
          <w:p>
            <w:r/>
            <w:r>
              <w:rPr>
                <w:b/>
                <w:sz w:val="16"/>
              </w:rPr>
              <w:t>chiffre_affaires</w:t>
              <w:br/>
            </w:r>
            <w:r>
              <w:rPr>
                <w:sz w:val="18"/>
              </w:rPr>
              <w:t>110,3 Mds FCFA (9 mois 2022)</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5,6% à 110,3 Mds FCFA sur 9 mois 2022</w:t>
      </w:r>
    </w:p>
    <w:p>
      <w:pPr>
        <w:pStyle w:val="ListBullet"/>
        <w:spacing w:before="20" w:after="20"/>
        <w:ind w:left="700"/>
      </w:pPr>
      <w:r>
        <w:rPr>
          <w:sz w:val="18"/>
        </w:rPr>
        <w:t>Base clients en forte croissance de 7,4% atteignant 11,1 millions de clients actifs</w:t>
      </w:r>
    </w:p>
    <w:p>
      <w:pPr>
        <w:pStyle w:val="ListBullet"/>
        <w:spacing w:before="20" w:after="20"/>
        <w:ind w:left="700"/>
      </w:pPr>
      <w:r>
        <w:rPr>
          <w:sz w:val="18"/>
        </w:rPr>
        <w:t>Résultat des activités ordinaires en recul de 28,1% à 24,5 Mds FCFA</w:t>
      </w:r>
    </w:p>
    <w:p>
      <w:pPr>
        <w:pStyle w:val="ListBullet"/>
        <w:spacing w:before="20" w:after="20"/>
        <w:ind w:left="700"/>
      </w:pPr>
      <w:r>
        <w:rPr>
          <w:sz w:val="18"/>
        </w:rPr>
        <w:t>Marge EBITDA maintenue à un niveau élevé de 48,7% (IFRS)</w:t>
      </w:r>
    </w:p>
    <w:p>
      <w:pPr>
        <w:pStyle w:val="ListBullet"/>
        <w:spacing w:before="20" w:after="20"/>
        <w:ind w:left="700"/>
      </w:pPr>
      <w:r>
        <w:rPr>
          <w:sz w:val="18"/>
        </w:rPr>
        <w:t>Internet mobile en forte progression de 25,7% des revenus</w:t>
      </w:r>
    </w:p>
    <w:p>
      <w:pPr>
        <w:pStyle w:val="ListBullet"/>
        <w:spacing w:before="20" w:after="20"/>
        <w:ind w:left="700"/>
      </w:pPr>
      <w:r>
        <w:rPr>
          <w:sz w:val="18"/>
        </w:rPr>
        <w:t>Parc internet (fixe et mobile) en croissance de 13% à 6,3 millions de clients</w:t>
      </w:r>
    </w:p>
    <w:p>
      <w:pPr>
        <w:spacing w:before="40"/>
        <w:ind w:left="400"/>
      </w:pPr>
      <w:r>
        <w:rPr>
          <w:b/>
          <w:color w:val="C05000"/>
          <w:sz w:val="18"/>
        </w:rPr>
        <w:t xml:space="preserve">⚠️ Risques : </w:t>
      </w:r>
      <w:r>
        <w:rPr>
          <w:sz w:val="18"/>
        </w:rPr>
        <w:t>["Impact continu des services OTT sur les revenus traditionnels de t\u00e9l\u00e9communications", "Baisse significative des revenus internationaux affectant la rentabilit\u00e9 globale", "Pression concurrentielle dans un march\u00e9 des t\u00e9l\u00e9coms mature au Burkina Faso"]</w:t>
      </w:r>
    </w:p>
    <w:p>
      <w:pPr>
        <w:spacing w:before="40"/>
        <w:ind w:left="400"/>
      </w:pPr>
      <w:r>
        <w:rPr>
          <w:b/>
          <w:color w:val="0064A0"/>
          <w:sz w:val="18"/>
        </w:rPr>
        <w:t xml:space="preserve">🔮 Perspectives : </w:t>
      </w:r>
      <w:r>
        <w:rPr>
          <w:sz w:val="18"/>
        </w:rPr>
        <w:t>L'internet mobile et la densification de la couverture 3G/4G offrent des opportunités de croissance pour 2023. La transition vers les services numériques et data devrait compenser progressivement le déclin des services voix traditionnels, sous réserve d'une stabilisation de l'environnement économiqu</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"Les r\u00e9sultats financiers exceptionnels avec une croissance \u00e0 deux chiffres du CA et du r\u00e9sultat net, combin\u00e9s \u00e0 la notation maximale AAA et aux investissements strat\u00e9giques en 5G positionnent favorablement l'entreprise. La dynamique forte d'Orange Money et l'expansion continue du parc client offrent un potentiel de croissance soutenu."}</w:t>
      </w:r>
    </w:p>
    <w:p>
      <w:pPr>
        <w:spacing w:before="40"/>
        <w:ind w:left="400"/>
      </w:pPr>
      <w:r>
        <w:rPr>
          <w:sz w:val="18"/>
        </w:rPr>
        <w:t>Le Groupe Sonatel affiche des résultats solides au 30 septembre 2023 avec un chiffre d'affaires de 1 201,5 milliards FCFA en hausse de 11,3%. Le résultat net progresse fortement de 20,1% à 240,6 milliards FCFA avec une marge nette de 20%. L'entreprise maintient sa notation maximale AAA(WU) de GCR et poursuit ses investissements massifs dans les infrastructures 5G et fibre. Le parc client continue sa croissance avec 40,7 millions de clients FMI et une forte progression d'Orange Money. La société démontre un engagement sociétal marqué avec ses programmes RSE et ses fondations présentes dans tous les pays d'implantation.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'168,4 milliards FCFA', 'ebitdaal': '535,4 milliards FCFA', 'taux_capex': '14%', 'marge_ebitdaal': '44,6%', 'taux_cash_flow': '30,5%', 'operating_cash_flow': '366,9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240,6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1201,5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Rehaussement de la notation financière à AAA(WU), la note maximale de GCR</w:t>
      </w:r>
    </w:p>
    <w:p>
      <w:pPr>
        <w:pStyle w:val="ListBullet"/>
        <w:spacing w:before="20" w:after="20"/>
        <w:ind w:left="700"/>
      </w:pPr>
      <w:r>
        <w:rPr>
          <w:sz w:val="18"/>
        </w:rPr>
        <w:t>Acquisition de la licence 5G au Sénégal et lancement d'un pilote 5G en Sierra Leone</w:t>
      </w:r>
    </w:p>
    <w:p>
      <w:pPr>
        <w:pStyle w:val="ListBullet"/>
        <w:spacing w:before="20" w:after="20"/>
        <w:ind w:left="700"/>
      </w:pPr>
      <w:r>
        <w:rPr>
          <w:sz w:val="18"/>
        </w:rPr>
        <w:t>Forte croissance du chiffre d'affaires (+11,3%) et du résultat net (+20,1%)</w:t>
      </w:r>
    </w:p>
    <w:p>
      <w:pPr>
        <w:pStyle w:val="ListBullet"/>
        <w:spacing w:before="20" w:after="20"/>
        <w:ind w:left="700"/>
      </w:pPr>
      <w:r>
        <w:rPr>
          <w:sz w:val="18"/>
        </w:rPr>
        <w:t>Parc client FMI atteignant 40,7 millions (+6%) avec 39,6 millions de clients mobile (+5%)</w:t>
      </w:r>
    </w:p>
    <w:p>
      <w:pPr>
        <w:pStyle w:val="ListBullet"/>
        <w:spacing w:before="20" w:after="20"/>
        <w:ind w:left="700"/>
      </w:pPr>
      <w:r>
        <w:rPr>
          <w:sz w:val="18"/>
        </w:rPr>
        <w:t>Dynamisme d'Orange Money avec 29,9 millions d'inscrits (+16%) et 11,1 millions d'actifs (+10%)</w:t>
      </w:r>
    </w:p>
    <w:p>
      <w:pPr>
        <w:pStyle w:val="ListBullet"/>
        <w:spacing w:before="20" w:after="20"/>
        <w:ind w:left="700"/>
      </w:pPr>
      <w:r>
        <w:rPr>
          <w:sz w:val="18"/>
        </w:rPr>
        <w:t>Investissements soutenus de 168,4 milliards FCFA (+24,3%) dans les réseaux</w:t>
      </w:r>
    </w:p>
    <w:p>
      <w:pPr>
        <w:spacing w:before="40"/>
        <w:ind w:left="400"/>
      </w:pPr>
      <w:r>
        <w:rPr>
          <w:b/>
          <w:color w:val="C05000"/>
          <w:sz w:val="18"/>
        </w:rPr>
        <w:t xml:space="preserve">⚠️ Risques : </w:t>
      </w:r>
      <w:r>
        <w:rPr>
          <w:sz w:val="18"/>
        </w:rPr>
        <w:t>["Concurrence accrue sur le march\u00e9 du Mobile Money n\u00e9cessitant des investissements soutenus", "Contexte inflationniste pouvant impacter la ma\u00eetrise des charges op\u00e9rationnelles", "Exposition aux risques de change dans un environnement \u00e9conomique r\u00e9gional volatil"]</w:t>
      </w:r>
    </w:p>
    <w:p>
      <w:pPr>
        <w:spacing w:before="40"/>
        <w:ind w:left="400"/>
      </w:pPr>
      <w:r>
        <w:rPr>
          <w:b/>
          <w:color w:val="0064A0"/>
          <w:sz w:val="18"/>
        </w:rPr>
        <w:t xml:space="preserve">🔮 Perspectives : </w:t>
      </w:r>
      <w:r>
        <w:rPr>
          <w:sz w:val="18"/>
        </w:rPr>
        <w:t>La société prévoit de poursuivre ses investissements massifs pour étendre et améliorer la qualité de ses réseaux, notamment avec le déploiement de la 5G. L'entreprise mise sur la bataille concurrentielle du Mobile Money tout en maintenant ses actions de maîtrise des coûts dans un environnement infla</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"Solides fondamentaux avec croissance soutenue des revenus et maintien des positions de march\u00e9, mais vigilance n\u00e9cessaire sur l'impact de la concurrence sur Orange Money et les d\u00e9fis g\u00e9opolitiques au Mali. La diversification g\u00e9ographique et la mont\u00e9e en puissance de la data offrent une bonne r\u00e9silience."}</w:t>
      </w:r>
    </w:p>
    <w:p>
      <w:pPr>
        <w:spacing w:before="40"/>
        <w:ind w:left="400"/>
      </w:pPr>
      <w:r>
        <w:rPr>
          <w:sz w:val="18"/>
        </w:rPr>
        <w:t>SONATEL a réalisé une performance financière solide au S1 2022 avec un chiffre d'affaires en croissance de 11,1% à 713,4 milliards FCFA, soutenu par la forte progression de la data mobile (+26%) et du broadband fixe (+33,1%). Le résultat net progresse de 9,3% à 130,3 milliards FCFA malgré un environnement économique difficile marqué par l'inflation et les sanctions contre le Mali. Le groupe maintient ses positions de leader sur tous ses marchés avec des parts de marché comprises entre 55,5% et 63,4%. Les investissements s'élèvent à 110,2 milliards FCFA (+6,8%) principalement orientés vers le déploiement réseau 4G/4G+ et la fibre optique. Orange Money souffre de la concurrence aggressive avec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{'capex': '110,2 milliards FCFA', 'ebitdaal': '304,1 milliards FCFA', 'parc_mobile': '38,6 millions', 'marge_ebitdaal': '42,6%', 'parc_data_mobile': '15,6 millions', 'parc_orange_money': '9,9 millions', 'operating_cash_flow': '193,8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18,3%</w:t>
            </w:r>
          </w:p>
        </w:tc>
        <w:tc>
          <w:tcPr>
            <w:tcW w:type="dxa" w:w="2160"/>
          </w:tcPr>
          <w:p>
            <w:pPr>
              <w:ind w:left="100"/>
            </w:pPr>
            <w:r/>
            <w:r>
              <w:rPr>
                <w:b/>
                <w:sz w:val="16"/>
              </w:rPr>
              <w:t>total_actif</w:t>
              <w:br/>
            </w:r>
            <w:r>
              <w:rPr>
                <w:sz w:val="18"/>
              </w:rPr>
              <w:t>2 209,3 milliards FCFA</w:t>
            </w:r>
          </w:p>
        </w:tc>
      </w:tr>
      <w:tr>
        <w:tc>
          <w:tcPr>
            <w:tcW w:type="dxa" w:w="2160"/>
          </w:tcPr>
          <w:p>
            <w:r/>
            <w:r>
              <w:rPr>
                <w:b/>
                <w:sz w:val="16"/>
              </w:rPr>
              <w:t>resultat_net</w:t>
              <w:br/>
            </w:r>
            <w:r>
              <w:rPr>
                <w:sz w:val="18"/>
              </w:rPr>
              <w:t>130,3 milliards FCFA</w:t>
            </w:r>
          </w:p>
        </w:tc>
        <w:tc>
          <w:tcPr>
            <w:tcW w:type="dxa" w:w="2160"/>
          </w:tcPr>
          <w:p>
            <w:r/>
            <w:r>
              <w:rPr>
                <w:b/>
                <w:sz w:val="16"/>
              </w:rPr>
              <w:t>capitaux_propres</w:t>
              <w:br/>
            </w:r>
            <w:r>
              <w:rPr>
                <w:sz w:val="18"/>
              </w:rPr>
              <w:t>772,2 milliards FCFA</w:t>
            </w:r>
          </w:p>
        </w:tc>
        <w:tc>
          <w:tcPr>
            <w:tcW w:type="dxa" w:w="2160"/>
          </w:tcPr>
          <w:p>
            <w:r/>
            <w:r>
              <w:rPr>
                <w:b/>
                <w:sz w:val="16"/>
              </w:rPr>
              <w:t>chiffre_affaires</w:t>
              <w:br/>
            </w:r>
            <w:r>
              <w:rPr>
                <w:sz w:val="18"/>
              </w:rPr>
              <w:t>713,4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11,1% à 713,4 milliards FCFA au S1 2022</w:t>
      </w:r>
    </w:p>
    <w:p>
      <w:pPr>
        <w:pStyle w:val="ListBullet"/>
        <w:spacing w:before="20" w:after="20"/>
        <w:ind w:left="700"/>
      </w:pPr>
      <w:r>
        <w:rPr>
          <w:sz w:val="18"/>
        </w:rPr>
        <w:t>Progression du résultat net de 9,3% à 130,3 milliards FCFA</w:t>
      </w:r>
    </w:p>
    <w:p>
      <w:pPr>
        <w:pStyle w:val="ListBullet"/>
        <w:spacing w:before="20" w:after="20"/>
        <w:ind w:left="700"/>
      </w:pPr>
      <w:r>
        <w:rPr>
          <w:sz w:val="18"/>
        </w:rPr>
        <w:t>Forte croissance de la data mobile (+26%) représentant 29,5% des revenus</w:t>
      </w:r>
    </w:p>
    <w:p>
      <w:pPr>
        <w:pStyle w:val="ListBullet"/>
        <w:spacing w:before="20" w:after="20"/>
        <w:ind w:left="700"/>
      </w:pPr>
      <w:r>
        <w:rPr>
          <w:sz w:val="18"/>
        </w:rPr>
        <w:t>Expansion du broadband fixe (+33,1%) avec 512,8 milliers d'abonnés</w:t>
      </w:r>
    </w:p>
    <w:p>
      <w:pPr>
        <w:pStyle w:val="ListBullet"/>
        <w:spacing w:before="20" w:after="20"/>
        <w:ind w:left="700"/>
      </w:pPr>
      <w:r>
        <w:rPr>
          <w:sz w:val="18"/>
        </w:rPr>
        <w:t>Maintien des positions de leadership sur tous les marchés (parts de marché 55,5% à 63,4%)</w:t>
      </w:r>
    </w:p>
    <w:p>
      <w:pPr>
        <w:pStyle w:val="ListBullet"/>
        <w:spacing w:before="20" w:after="20"/>
        <w:ind w:left="700"/>
      </w:pPr>
      <w:r>
        <w:rPr>
          <w:sz w:val="18"/>
        </w:rPr>
        <w:t>Décroissance d'Orange Money (-15,5%) due à la concurrence et aux révisions tarifaires</w:t>
      </w:r>
    </w:p>
    <w:p>
      <w:pPr>
        <w:spacing w:before="40"/>
        <w:ind w:left="400"/>
      </w:pPr>
      <w:r>
        <w:rPr>
          <w:b/>
          <w:color w:val="C05000"/>
          <w:sz w:val="18"/>
        </w:rPr>
        <w:t xml:space="preserve">⚠️ Risques : </w:t>
      </w:r>
      <w:r>
        <w:rPr>
          <w:sz w:val="18"/>
        </w:rPr>
        <w:t>["Concurrence tr\u00e8s agressive sur Orange Money impactant la rentabilit\u00e9", "Instabilit\u00e9 g\u00e9opolitique au Mali et en Guin\u00e9e affectant les op\u00e9rations", "Inflation g\u00e9n\u00e9ralis\u00e9e et d\u00e9pr\u00e9ciation des devises locales (Sierra Leone)"]</w:t>
      </w:r>
    </w:p>
    <w:p>
      <w:pPr>
        <w:spacing w:before="40"/>
        <w:ind w:left="400"/>
      </w:pPr>
      <w:r>
        <w:rPr>
          <w:b/>
          <w:color w:val="0064A0"/>
          <w:sz w:val="18"/>
        </w:rPr>
        <w:t xml:space="preserve">🔮 Perspectives : </w:t>
      </w:r>
      <w:r>
        <w:rPr>
          <w:sz w:val="18"/>
        </w:rPr>
        <w:t>Le groupe vise à renforcer sa rentabilité sur Orange Money au S2 2022 et à poursuivre ses investissements dans la transformation digitale. Les opportunités de croissance restent portées par la data mobile, le très haut débit fixe et le segment B2B grâce aux synergies du groupe.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"Sonatel d\u00e9montre une r\u00e9silience remarquable avec une croissance soutenue dans un environnement difficile et des fondamentaux solides. Les investissements importants dans la 4G et la fibre positionnent bien l'entreprise pour capturer la croissance future du march\u00e9 digital africain."}</w:t>
      </w:r>
    </w:p>
    <w:p>
      <w:pPr>
        <w:spacing w:before="40"/>
        <w:ind w:left="400"/>
      </w:pPr>
      <w:r>
        <w:rPr>
          <w:sz w:val="18"/>
        </w:rPr>
        <w:t>Sonatel affiche des résultats solides au T3 2022 avec un chiffre d'affaires de 1 080 milliards FCFA (+7,6% en glissement annuel) malgré un contexte géopolitique difficile dans la sous-région et une inflation galopante. L'EBITDAaL atteint 463 milliards FCFA avec une marge de 42,9%, en croissance de 9,7% sur un an. Le résultat net progresse de 5,8% à 200,3 milliards FCFA, porté par la hausse de l'EBITDA et un niveau d'amortissement maîtrisé. La croissance est tirée par tous les pays de présence, particulièrement par la Data mobile (+24,5%). Le groupe continue d'investir massivement (168,1 milliards FCFA d'eCapex) pour soutenir le déploiement du très haut débit et l'extension réseau.</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{'ecapex': '168,1 milliards FCFA', 'ebitdaal': '463,0 milliards FCFA', 'parc_total': '38,8 millions clients', 'marge_ebitdaal': '42,9%', 'operating_cash_flow': '294,9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200,3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1 080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7,6% YoY à 1 080 milliards FCFA malgré les défis macro-économiques</w:t>
      </w:r>
    </w:p>
    <w:p>
      <w:pPr>
        <w:pStyle w:val="ListBullet"/>
        <w:spacing w:before="20" w:after="20"/>
        <w:ind w:left="700"/>
      </w:pPr>
      <w:r>
        <w:rPr>
          <w:sz w:val="18"/>
        </w:rPr>
        <w:t>Forte progression de la Data mobile (+24,5%) qui devient un moteur de croissance clé</w:t>
      </w:r>
    </w:p>
    <w:p>
      <w:pPr>
        <w:pStyle w:val="ListBullet"/>
        <w:spacing w:before="20" w:after="20"/>
        <w:ind w:left="700"/>
      </w:pPr>
      <w:r>
        <w:rPr>
          <w:sz w:val="18"/>
        </w:rPr>
        <w:t>EBITDAaL solide à 463 milliards FCFA avec une marge maintenue à 42,9%</w:t>
      </w:r>
    </w:p>
    <w:p>
      <w:pPr>
        <w:pStyle w:val="ListBullet"/>
        <w:spacing w:before="20" w:after="20"/>
        <w:ind w:left="700"/>
      </w:pPr>
      <w:r>
        <w:rPr>
          <w:sz w:val="18"/>
        </w:rPr>
        <w:t>Parc client total de 38,8 millions (+1,4% YoY) avec une bonne dynamique sur tous les services</w:t>
      </w:r>
    </w:p>
    <w:p>
      <w:pPr>
        <w:pStyle w:val="ListBullet"/>
        <w:spacing w:before="20" w:after="20"/>
        <w:ind w:left="700"/>
      </w:pPr>
      <w:r>
        <w:rPr>
          <w:sz w:val="18"/>
        </w:rPr>
        <w:t>Croissance du parc 4G à 10,1 millions d'utilisateurs représentant 70,3% du trafic data</w:t>
      </w:r>
    </w:p>
    <w:p>
      <w:pPr>
        <w:pStyle w:val="ListBullet"/>
        <w:spacing w:before="20" w:after="20"/>
        <w:ind w:left="700"/>
      </w:pPr>
      <w:r>
        <w:rPr>
          <w:sz w:val="18"/>
        </w:rPr>
        <w:t>Orange Money atteint 10,1 millions d'utilisateurs actifs (+13,6% YoY)</w:t>
      </w:r>
    </w:p>
    <w:p>
      <w:pPr>
        <w:spacing w:before="40"/>
        <w:ind w:left="400"/>
      </w:pPr>
      <w:r>
        <w:rPr>
          <w:b/>
          <w:color w:val="C05000"/>
          <w:sz w:val="18"/>
        </w:rPr>
        <w:t xml:space="preserve">⚠️ Risques : </w:t>
      </w:r>
      <w:r>
        <w:rPr>
          <w:sz w:val="18"/>
        </w:rPr>
        <w:t xml:space="preserve">["Instabilit\u00e9 g\u00e9opolitique dans la sous-r\u00e9gion (embargo Mali, situation s\u00e9curitaire) affectant les op\u00e9rations", "Inflation galopante et hausse des co\u00fbts op\u00e9rationnels (\u00e9nergie, carburant) impactant les marges", "Intensification de la concurrence sur le mobile </w:t>
      </w:r>
    </w:p>
    <w:p>
      <w:pPr>
        <w:spacing w:before="40"/>
        <w:ind w:left="400"/>
      </w:pPr>
      <w:r>
        <w:rPr>
          <w:b/>
          <w:color w:val="0064A0"/>
          <w:sz w:val="18"/>
        </w:rPr>
        <w:t xml:space="preserve">🔮 Perspectives : </w:t>
      </w:r>
      <w:r>
        <w:rPr>
          <w:sz w:val="18"/>
        </w:rPr>
        <w:t xml:space="preserve">Les perspectives restent favorables avec la poursuite de la digitalisation en Afrique de l'Ouest et la montée en puissance des services data et mobile money. L'extension de la couverture 4G et fibre devrait soutenir la croissance, sous réserve d'une amélioration du contexte sécuritaire régional. La </w:t>
      </w:r>
    </w:p>
    <w:p/>
    <w:p>
      <w:r>
        <w:t>════════════════════════════════════════════════════════════════════════════════</w:t>
      </w:r>
    </w:p>
    <w:p>
      <w:r>
        <w:br w:type="page"/>
      </w:r>
    </w:p>
    <w:p>
      <w:pPr>
        <w:pStyle w:val="Heading2"/>
        <w:spacing w:before="360"/>
      </w:pPr>
      <w:r>
        <w:rPr>
          <w:color w:val="0066CC"/>
        </w:rPr>
        <w:t>40. SOGC - SOGC - Société des caoutchoucs de Grand-Béréby</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SOGC</w:t>
            </w:r>
          </w:p>
          <w:p>
            <w:r>
              <w:rPr>
                <w:b/>
                <w:color w:val="323250"/>
                <w:sz w:val="16"/>
              </w:rPr>
              <w:t xml:space="preserve">Société : </w:t>
            </w:r>
            <w:r>
              <w:rPr>
                <w:color w:val="000000"/>
                <w:sz w:val="16"/>
              </w:rPr>
              <w:t>SOGC - Société des caoutchoucs de Grand-...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177.14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5,744 titres</w:t>
            </w:r>
          </w:p>
        </w:tc>
        <w:tc>
          <w:tcPr>
            <w:tcW w:type="dxa" w:w="2268"/>
            <w:shd w:fill="FFF2CC" w:val="clear"/>
          </w:tcPr>
          <w:p>
            <w:r>
              <w:rPr>
                <w:b/>
                <w:color w:val="503200"/>
                <w:sz w:val="16"/>
              </w:rPr>
              <w:t xml:space="preserve">Cours actuel : </w:t>
            </w:r>
            <w:r>
              <w:rPr>
                <w:color w:val="000000"/>
                <w:sz w:val="17"/>
              </w:rPr>
              <w:t>8,200 FCFA</w:t>
            </w:r>
          </w:p>
          <w:p>
            <w:r>
              <w:rPr>
                <w:b/>
                <w:color w:val="503200"/>
                <w:sz w:val="16"/>
              </w:rPr>
              <w:t xml:space="preserve">Var. 100 jours : </w:t>
            </w:r>
            <w:r>
              <w:rPr>
                <w:b/>
                <w:color w:val="007800"/>
                <w:sz w:val="17"/>
              </w:rPr>
              <w:t>+5.13%</w:t>
            </w:r>
          </w:p>
          <w:p>
            <w:r>
              <w:rPr>
                <w:b/>
                <w:color w:val="503200"/>
                <w:sz w:val="16"/>
              </w:rPr>
              <w:t xml:space="preserve">Plus haut 100j : </w:t>
            </w:r>
            <w:r>
              <w:rPr>
                <w:color w:val="000000"/>
                <w:sz w:val="17"/>
              </w:rPr>
              <w:t>8,600 FCFA</w:t>
            </w:r>
          </w:p>
          <w:p>
            <w:r>
              <w:rPr>
                <w:b/>
                <w:color w:val="503200"/>
                <w:sz w:val="16"/>
              </w:rPr>
              <w:t xml:space="preserve">Plus bas 100j : </w:t>
            </w:r>
            <w:r>
              <w:rPr>
                <w:color w:val="000000"/>
                <w:sz w:val="17"/>
              </w:rPr>
              <w:t>7,100 FCFA</w:t>
            </w:r>
          </w:p>
          <w:p>
            <w:r>
              <w:rPr>
                <w:b/>
                <w:color w:val="503200"/>
                <w:sz w:val="16"/>
              </w:rPr>
              <w:t xml:space="preserve">Volatilité ann. : </w:t>
            </w:r>
            <w:r>
              <w:rPr>
                <w:color w:val="000000"/>
                <w:sz w:val="17"/>
              </w:rPr>
              <w:t>36.8%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006400"/>
          <w:sz w:val="22"/>
        </w:rPr>
        <w:t>11.3/100 → Faible</w:t>
      </w:r>
    </w:p>
    <w:p>
      <w:pPr>
        <w:spacing w:before="40" w:after="80"/>
      </w:pPr>
      <w:r>
        <w:rPr>
          <w:rFonts w:ascii="Courier New" w:hAnsi="Courier New"/>
          <w:color w:val="006400"/>
          <w:sz w:val="18"/>
        </w:rPr>
        <w:t>██░░░░░░░░░░░░░░░░░░  11.3/100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C6EFCE" w:val="clear"/>
          </w:tcPr>
          <w:p>
            <w:r>
              <w:rPr>
                <w:b/>
                <w:sz w:val="15"/>
              </w:rPr>
              <w:t>4.82% (Faible) — μ=7,982 FCFA, σ=385 FCFA</w:t>
            </w:r>
          </w:p>
        </w:tc>
        <w:tc>
          <w:tcPr>
            <w:tcW w:type="dxa" w:w="1984"/>
            <w:shd w:fill="F7F7F7" w:val="clear"/>
          </w:tcPr>
          <w:p>
            <w:r>
              <w:rPr>
                <w:i/>
                <w:color w:val="505078"/>
                <w:sz w:val="14"/>
              </w:rPr>
              <w:t>CV = σ(prix) / μ(prix)</w:t>
            </w:r>
          </w:p>
        </w:tc>
        <w:tc>
          <w:tcPr>
            <w:tcW w:type="dxa" w:w="1984"/>
            <w:shd w:fill="C6EFCE" w:val="clear"/>
          </w:tcPr>
          <w:p>
            <w:r>
              <w:rPr>
                <w:sz w:val="15"/>
              </w:rPr>
              <w:t>✅ Faible dispersion — titre stable</w:t>
            </w:r>
          </w:p>
        </w:tc>
      </w:tr>
      <w:tr>
        <w:tc>
          <w:tcPr>
            <w:tcW w:type="dxa" w:w="2835"/>
            <w:shd w:fill="EEF2F7" w:val="clear"/>
          </w:tcPr>
          <w:p>
            <w:r>
              <w:rPr>
                <w:b/>
                <w:sz w:val="15"/>
              </w:rPr>
              <w:t>📐 Bêta vs BRVM Composite (20%)</w:t>
            </w:r>
          </w:p>
        </w:tc>
        <w:tc>
          <w:tcPr>
            <w:tcW w:type="dxa" w:w="3118"/>
            <w:shd w:fill="C6EFCE" w:val="clear"/>
          </w:tcPr>
          <w:p>
            <w:r>
              <w:rPr>
                <w:b/>
                <w:sz w:val="15"/>
              </w:rPr>
              <w:t>β=0.2067 (Défensif) — Cov=0.000007, Var(idx)=0.000035, ρ=0.053,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5,744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σ_j=2.32%/j (Stable) — Vol. annualisée≈36.8%</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C00000"/>
          <w:sz w:val="18"/>
        </w:rPr>
        <w:t xml:space="preserve">🔴 Stochastique  </w:t>
      </w:r>
    </w:p>
    <w:p>
      <w:pPr>
        <w:spacing w:before="80" w:after="80"/>
      </w:pPr>
      <w:r>
        <w:rPr>
          <w:b/>
          <w:sz w:val="22"/>
        </w:rPr>
        <w:t xml:space="preserve">Score composite : </w:t>
      </w:r>
      <w:r>
        <w:rPr>
          <w:b/>
          <w:color w:val="0064A0"/>
          <w:sz w:val="26"/>
        </w:rPr>
        <w:t>68/100  (Bon)</w:t>
      </w:r>
    </w:p>
    <w:p/>
    <w:p>
      <w:pPr>
        <w:jc w:val="center"/>
      </w:pPr>
      <w:r>
        <w:drawing>
          <wp:inline xmlns:a="http://schemas.openxmlformats.org/drawingml/2006/main" xmlns:pic="http://schemas.openxmlformats.org/drawingml/2006/picture">
            <wp:extent cx="5669280" cy="2619287"/>
            <wp:docPr id="42" name="Picture 42"/>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2026-08-28</w:t>
            </w:r>
          </w:p>
        </w:tc>
        <w:tc>
          <w:tcPr>
            <w:tcW w:type="dxa" w:w="1440"/>
            <w:shd w:fill="FAFAFA" w:val="clear"/>
          </w:tcPr>
          <w:p>
            <w:r>
              <w:rPr>
                <w:sz w:val="17"/>
              </w:rPr>
              <w:t>7,854</w:t>
            </w:r>
          </w:p>
        </w:tc>
        <w:tc>
          <w:tcPr>
            <w:tcW w:type="dxa" w:w="1440"/>
            <w:shd w:fill="FAFAFA" w:val="clear"/>
          </w:tcPr>
          <w:p>
            <w:r>
              <w:rPr>
                <w:b/>
                <w:sz w:val="17"/>
              </w:rPr>
              <w:t>8,222</w:t>
            </w:r>
          </w:p>
        </w:tc>
        <w:tc>
          <w:tcPr>
            <w:tcW w:type="dxa" w:w="1440"/>
            <w:shd w:fill="FAFAFA" w:val="clear"/>
          </w:tcPr>
          <w:p>
            <w:r>
              <w:rPr>
                <w:sz w:val="17"/>
              </w:rPr>
              <w:t>8,589</w:t>
            </w:r>
          </w:p>
        </w:tc>
        <w:tc>
          <w:tcPr>
            <w:tcW w:type="dxa" w:w="1440"/>
            <w:shd w:fill="FAFAFA" w:val="clear"/>
          </w:tcPr>
          <w:p>
            <w:r>
              <w:rPr>
                <w:b/>
                <w:color w:val="008000"/>
                <w:sz w:val="17"/>
              </w:rPr>
              <w:t>+0.3%</w:t>
            </w:r>
          </w:p>
        </w:tc>
      </w:tr>
      <w:tr>
        <w:tc>
          <w:tcPr>
            <w:tcW w:type="dxa" w:w="1440"/>
            <w:shd w:fill="FAFAFA" w:val="clear"/>
          </w:tcPr>
          <w:p>
            <w:r>
              <w:rPr>
                <w:sz w:val="17"/>
              </w:rPr>
              <w:t>J+2  Moyenne</w:t>
            </w:r>
          </w:p>
        </w:tc>
        <w:tc>
          <w:tcPr>
            <w:tcW w:type="dxa" w:w="1440"/>
            <w:shd w:fill="FAFAFA" w:val="clear"/>
          </w:tcPr>
          <w:p>
            <w:r>
              <w:rPr>
                <w:sz w:val="17"/>
              </w:rPr>
              <w:t>2026-08-31</w:t>
            </w:r>
          </w:p>
        </w:tc>
        <w:tc>
          <w:tcPr>
            <w:tcW w:type="dxa" w:w="1440"/>
            <w:shd w:fill="FAFAFA" w:val="clear"/>
          </w:tcPr>
          <w:p>
            <w:r>
              <w:rPr>
                <w:sz w:val="17"/>
              </w:rPr>
              <w:t>7,713</w:t>
            </w:r>
          </w:p>
        </w:tc>
        <w:tc>
          <w:tcPr>
            <w:tcW w:type="dxa" w:w="1440"/>
            <w:shd w:fill="FAFAFA" w:val="clear"/>
          </w:tcPr>
          <w:p>
            <w:r>
              <w:rPr>
                <w:b/>
                <w:sz w:val="17"/>
              </w:rPr>
              <w:t>8,233</w:t>
            </w:r>
          </w:p>
        </w:tc>
        <w:tc>
          <w:tcPr>
            <w:tcW w:type="dxa" w:w="1440"/>
            <w:shd w:fill="FAFAFA" w:val="clear"/>
          </w:tcPr>
          <w:p>
            <w:r>
              <w:rPr>
                <w:sz w:val="17"/>
              </w:rPr>
              <w:t>8,753</w:t>
            </w:r>
          </w:p>
        </w:tc>
        <w:tc>
          <w:tcPr>
            <w:tcW w:type="dxa" w:w="1440"/>
            <w:shd w:fill="FAFAFA" w:val="clear"/>
          </w:tcPr>
          <w:p>
            <w:r>
              <w:rPr>
                <w:b/>
                <w:color w:val="008000"/>
                <w:sz w:val="17"/>
              </w:rPr>
              <w:t>+0.4%</w:t>
            </w:r>
          </w:p>
        </w:tc>
      </w:tr>
      <w:tr>
        <w:tc>
          <w:tcPr>
            <w:tcW w:type="dxa" w:w="1440"/>
            <w:shd w:fill="FAFAFA" w:val="clear"/>
          </w:tcPr>
          <w:p>
            <w:r>
              <w:rPr>
                <w:sz w:val="17"/>
              </w:rPr>
              <w:t>J+3  Moyenne</w:t>
            </w:r>
          </w:p>
        </w:tc>
        <w:tc>
          <w:tcPr>
            <w:tcW w:type="dxa" w:w="1440"/>
            <w:shd w:fill="FAFAFA" w:val="clear"/>
          </w:tcPr>
          <w:p>
            <w:r>
              <w:rPr>
                <w:sz w:val="17"/>
              </w:rPr>
              <w:t>2026-09-01</w:t>
            </w:r>
          </w:p>
        </w:tc>
        <w:tc>
          <w:tcPr>
            <w:tcW w:type="dxa" w:w="1440"/>
            <w:shd w:fill="FAFAFA" w:val="clear"/>
          </w:tcPr>
          <w:p>
            <w:r>
              <w:rPr>
                <w:sz w:val="17"/>
              </w:rPr>
              <w:t>7,607</w:t>
            </w:r>
          </w:p>
        </w:tc>
        <w:tc>
          <w:tcPr>
            <w:tcW w:type="dxa" w:w="1440"/>
            <w:shd w:fill="FAFAFA" w:val="clear"/>
          </w:tcPr>
          <w:p>
            <w:r>
              <w:rPr>
                <w:b/>
                <w:sz w:val="17"/>
              </w:rPr>
              <w:t>8,245</w:t>
            </w:r>
          </w:p>
        </w:tc>
        <w:tc>
          <w:tcPr>
            <w:tcW w:type="dxa" w:w="1440"/>
            <w:shd w:fill="FAFAFA" w:val="clear"/>
          </w:tcPr>
          <w:p>
            <w:r>
              <w:rPr>
                <w:sz w:val="17"/>
              </w:rPr>
              <w:t>8,883</w:t>
            </w:r>
          </w:p>
        </w:tc>
        <w:tc>
          <w:tcPr>
            <w:tcW w:type="dxa" w:w="1440"/>
            <w:shd w:fill="FAFAFA" w:val="clear"/>
          </w:tcPr>
          <w:p>
            <w:r>
              <w:rPr>
                <w:b/>
                <w:color w:val="008000"/>
                <w:sz w:val="17"/>
              </w:rPr>
              <w:t>+0.5%</w:t>
            </w:r>
          </w:p>
        </w:tc>
      </w:tr>
      <w:tr>
        <w:tc>
          <w:tcPr>
            <w:tcW w:type="dxa" w:w="1440"/>
            <w:shd w:fill="FAFAFA" w:val="clear"/>
          </w:tcPr>
          <w:p>
            <w:r>
              <w:rPr>
                <w:sz w:val="17"/>
              </w:rPr>
              <w:t>J+4  ⭐</w:t>
            </w:r>
          </w:p>
        </w:tc>
        <w:tc>
          <w:tcPr>
            <w:tcW w:type="dxa" w:w="1440"/>
            <w:shd w:fill="FAFAFA" w:val="clear"/>
          </w:tcPr>
          <w:p>
            <w:r>
              <w:rPr>
                <w:sz w:val="17"/>
              </w:rPr>
              <w:t>2026-09-02</w:t>
            </w:r>
          </w:p>
        </w:tc>
        <w:tc>
          <w:tcPr>
            <w:tcW w:type="dxa" w:w="1440"/>
            <w:shd w:fill="FAFAFA" w:val="clear"/>
          </w:tcPr>
          <w:p>
            <w:r>
              <w:rPr>
                <w:sz w:val="17"/>
              </w:rPr>
              <w:t>7,518</w:t>
            </w:r>
          </w:p>
        </w:tc>
        <w:tc>
          <w:tcPr>
            <w:tcW w:type="dxa" w:w="1440"/>
            <w:shd w:fill="FAFAFA" w:val="clear"/>
          </w:tcPr>
          <w:p>
            <w:r>
              <w:rPr>
                <w:b/>
                <w:sz w:val="17"/>
              </w:rPr>
              <w:t>8,256</w:t>
            </w:r>
          </w:p>
        </w:tc>
        <w:tc>
          <w:tcPr>
            <w:tcW w:type="dxa" w:w="1440"/>
            <w:shd w:fill="FAFAFA" w:val="clear"/>
          </w:tcPr>
          <w:p>
            <w:r>
              <w:rPr>
                <w:sz w:val="17"/>
              </w:rPr>
              <w:t>8,994</w:t>
            </w:r>
          </w:p>
        </w:tc>
        <w:tc>
          <w:tcPr>
            <w:tcW w:type="dxa" w:w="1440"/>
            <w:shd w:fill="FAFAFA" w:val="clear"/>
          </w:tcPr>
          <w:p>
            <w:r>
              <w:rPr>
                <w:b/>
                <w:color w:val="008000"/>
                <w:sz w:val="17"/>
              </w:rPr>
              <w:t>+0.7%</w:t>
            </w:r>
          </w:p>
        </w:tc>
      </w:tr>
      <w:tr>
        <w:tc>
          <w:tcPr>
            <w:tcW w:type="dxa" w:w="1440"/>
            <w:shd w:fill="FAFAFA" w:val="clear"/>
          </w:tcPr>
          <w:p>
            <w:r>
              <w:rPr>
                <w:sz w:val="17"/>
              </w:rPr>
              <w:t>J+5  ⭐</w:t>
            </w:r>
          </w:p>
        </w:tc>
        <w:tc>
          <w:tcPr>
            <w:tcW w:type="dxa" w:w="1440"/>
            <w:shd w:fill="FAFAFA" w:val="clear"/>
          </w:tcPr>
          <w:p>
            <w:r>
              <w:rPr>
                <w:sz w:val="17"/>
              </w:rPr>
              <w:t>2026-09-03</w:t>
            </w:r>
          </w:p>
        </w:tc>
        <w:tc>
          <w:tcPr>
            <w:tcW w:type="dxa" w:w="1440"/>
            <w:shd w:fill="FAFAFA" w:val="clear"/>
          </w:tcPr>
          <w:p>
            <w:r>
              <w:rPr>
                <w:sz w:val="17"/>
              </w:rPr>
              <w:t>7,441</w:t>
            </w:r>
          </w:p>
        </w:tc>
        <w:tc>
          <w:tcPr>
            <w:tcW w:type="dxa" w:w="1440"/>
            <w:shd w:fill="FAFAFA" w:val="clear"/>
          </w:tcPr>
          <w:p>
            <w:r>
              <w:rPr>
                <w:b/>
                <w:sz w:val="17"/>
              </w:rPr>
              <w:t>8,267</w:t>
            </w:r>
          </w:p>
        </w:tc>
        <w:tc>
          <w:tcPr>
            <w:tcW w:type="dxa" w:w="1440"/>
            <w:shd w:fill="FAFAFA" w:val="clear"/>
          </w:tcPr>
          <w:p>
            <w:r>
              <w:rPr>
                <w:sz w:val="17"/>
              </w:rPr>
              <w:t>9,093</w:t>
            </w:r>
          </w:p>
        </w:tc>
        <w:tc>
          <w:tcPr>
            <w:tcW w:type="dxa" w:w="1440"/>
            <w:shd w:fill="FAFAFA" w:val="clear"/>
          </w:tcPr>
          <w:p>
            <w:r>
              <w:rPr>
                <w:b/>
                <w:color w:val="008000"/>
                <w:sz w:val="17"/>
              </w:rPr>
              <w:t>+0.8%</w:t>
            </w:r>
          </w:p>
        </w:tc>
      </w:tr>
      <w:tr>
        <w:tc>
          <w:tcPr>
            <w:tcW w:type="dxa" w:w="1440"/>
            <w:shd w:fill="FAFAFA" w:val="clear"/>
          </w:tcPr>
          <w:p>
            <w:r>
              <w:rPr>
                <w:sz w:val="17"/>
              </w:rPr>
              <w:t>J+6  ⭐</w:t>
            </w:r>
          </w:p>
        </w:tc>
        <w:tc>
          <w:tcPr>
            <w:tcW w:type="dxa" w:w="1440"/>
            <w:shd w:fill="FAFAFA" w:val="clear"/>
          </w:tcPr>
          <w:p>
            <w:r>
              <w:rPr>
                <w:sz w:val="17"/>
              </w:rPr>
              <w:t>2026-09-04</w:t>
            </w:r>
          </w:p>
        </w:tc>
        <w:tc>
          <w:tcPr>
            <w:tcW w:type="dxa" w:w="1440"/>
            <w:shd w:fill="FAFAFA" w:val="clear"/>
          </w:tcPr>
          <w:p>
            <w:r>
              <w:rPr>
                <w:sz w:val="17"/>
              </w:rPr>
              <w:t>7,372</w:t>
            </w:r>
          </w:p>
        </w:tc>
        <w:tc>
          <w:tcPr>
            <w:tcW w:type="dxa" w:w="1440"/>
            <w:shd w:fill="FAFAFA" w:val="clear"/>
          </w:tcPr>
          <w:p>
            <w:r>
              <w:rPr>
                <w:b/>
                <w:sz w:val="17"/>
              </w:rPr>
              <w:t>8,278</w:t>
            </w:r>
          </w:p>
        </w:tc>
        <w:tc>
          <w:tcPr>
            <w:tcW w:type="dxa" w:w="1440"/>
            <w:shd w:fill="FAFAFA" w:val="clear"/>
          </w:tcPr>
          <w:p>
            <w:r>
              <w:rPr>
                <w:sz w:val="17"/>
              </w:rPr>
              <w:t>9,184</w:t>
            </w:r>
          </w:p>
        </w:tc>
        <w:tc>
          <w:tcPr>
            <w:tcW w:type="dxa" w:w="1440"/>
            <w:shd w:fill="FAFAFA" w:val="clear"/>
          </w:tcPr>
          <w:p>
            <w:r>
              <w:rPr>
                <w:b/>
                <w:color w:val="008000"/>
                <w:sz w:val="17"/>
              </w:rPr>
              <w:t>+1.0%</w:t>
            </w:r>
          </w:p>
        </w:tc>
      </w:tr>
      <w:tr>
        <w:tc>
          <w:tcPr>
            <w:tcW w:type="dxa" w:w="1440"/>
            <w:shd w:fill="FAFAFA" w:val="clear"/>
          </w:tcPr>
          <w:p>
            <w:r>
              <w:rPr>
                <w:sz w:val="17"/>
              </w:rPr>
              <w:t>J+7  ⭐</w:t>
            </w:r>
          </w:p>
        </w:tc>
        <w:tc>
          <w:tcPr>
            <w:tcW w:type="dxa" w:w="1440"/>
            <w:shd w:fill="FAFAFA" w:val="clear"/>
          </w:tcPr>
          <w:p>
            <w:r>
              <w:rPr>
                <w:sz w:val="17"/>
              </w:rPr>
              <w:t>2026-09-07</w:t>
            </w:r>
          </w:p>
        </w:tc>
        <w:tc>
          <w:tcPr>
            <w:tcW w:type="dxa" w:w="1440"/>
            <w:shd w:fill="FAFAFA" w:val="clear"/>
          </w:tcPr>
          <w:p>
            <w:r>
              <w:rPr>
                <w:sz w:val="17"/>
              </w:rPr>
              <w:t>7,309</w:t>
            </w:r>
          </w:p>
        </w:tc>
        <w:tc>
          <w:tcPr>
            <w:tcW w:type="dxa" w:w="1440"/>
            <w:shd w:fill="FAFAFA" w:val="clear"/>
          </w:tcPr>
          <w:p>
            <w:r>
              <w:rPr>
                <w:b/>
                <w:sz w:val="17"/>
              </w:rPr>
              <w:t>8,289</w:t>
            </w:r>
          </w:p>
        </w:tc>
        <w:tc>
          <w:tcPr>
            <w:tcW w:type="dxa" w:w="1440"/>
            <w:shd w:fill="FAFAFA" w:val="clear"/>
          </w:tcPr>
          <w:p>
            <w:r>
              <w:rPr>
                <w:sz w:val="17"/>
              </w:rPr>
              <w:t>9,269</w:t>
            </w:r>
          </w:p>
        </w:tc>
        <w:tc>
          <w:tcPr>
            <w:tcW w:type="dxa" w:w="1440"/>
            <w:shd w:fill="FAFAFA" w:val="clear"/>
          </w:tcPr>
          <w:p>
            <w:r>
              <w:rPr>
                <w:b/>
                <w:color w:val="008000"/>
                <w:sz w:val="17"/>
              </w:rPr>
              <w:t>+1.1%</w:t>
            </w:r>
          </w:p>
        </w:tc>
      </w:tr>
      <w:tr>
        <w:tc>
          <w:tcPr>
            <w:tcW w:type="dxa" w:w="1440"/>
            <w:shd w:fill="FAFAFA" w:val="clear"/>
          </w:tcPr>
          <w:p>
            <w:r>
              <w:rPr>
                <w:sz w:val="17"/>
              </w:rPr>
              <w:t>J+8  ⭐</w:t>
            </w:r>
          </w:p>
        </w:tc>
        <w:tc>
          <w:tcPr>
            <w:tcW w:type="dxa" w:w="1440"/>
            <w:shd w:fill="FAFAFA" w:val="clear"/>
          </w:tcPr>
          <w:p>
            <w:r>
              <w:rPr>
                <w:sz w:val="17"/>
              </w:rPr>
              <w:t>2026-09-08</w:t>
            </w:r>
          </w:p>
        </w:tc>
        <w:tc>
          <w:tcPr>
            <w:tcW w:type="dxa" w:w="1440"/>
            <w:shd w:fill="FAFAFA" w:val="clear"/>
          </w:tcPr>
          <w:p>
            <w:r>
              <w:rPr>
                <w:sz w:val="17"/>
              </w:rPr>
              <w:t>7,251</w:t>
            </w:r>
          </w:p>
        </w:tc>
        <w:tc>
          <w:tcPr>
            <w:tcW w:type="dxa" w:w="1440"/>
            <w:shd w:fill="FAFAFA" w:val="clear"/>
          </w:tcPr>
          <w:p>
            <w:r>
              <w:rPr>
                <w:b/>
                <w:sz w:val="17"/>
              </w:rPr>
              <w:t>8,300</w:t>
            </w:r>
          </w:p>
        </w:tc>
        <w:tc>
          <w:tcPr>
            <w:tcW w:type="dxa" w:w="1440"/>
            <w:shd w:fill="FAFAFA" w:val="clear"/>
          </w:tcPr>
          <w:p>
            <w:r>
              <w:rPr>
                <w:sz w:val="17"/>
              </w:rPr>
              <w:t>9,349</w:t>
            </w:r>
          </w:p>
        </w:tc>
        <w:tc>
          <w:tcPr>
            <w:tcW w:type="dxa" w:w="1440"/>
            <w:shd w:fill="FAFAFA" w:val="clear"/>
          </w:tcPr>
          <w:p>
            <w:r>
              <w:rPr>
                <w:b/>
                <w:color w:val="008000"/>
                <w:sz w:val="17"/>
              </w:rPr>
              <w:t>+1.2%</w:t>
            </w:r>
          </w:p>
        </w:tc>
      </w:tr>
      <w:tr>
        <w:tc>
          <w:tcPr>
            <w:tcW w:type="dxa" w:w="1440"/>
            <w:shd w:fill="FAFAFA" w:val="clear"/>
          </w:tcPr>
          <w:p>
            <w:r>
              <w:rPr>
                <w:sz w:val="17"/>
              </w:rPr>
              <w:t>J+9  ⭐</w:t>
            </w:r>
          </w:p>
        </w:tc>
        <w:tc>
          <w:tcPr>
            <w:tcW w:type="dxa" w:w="1440"/>
            <w:shd w:fill="FAFAFA" w:val="clear"/>
          </w:tcPr>
          <w:p>
            <w:r>
              <w:rPr>
                <w:sz w:val="17"/>
              </w:rPr>
              <w:t>2026-09-09</w:t>
            </w:r>
          </w:p>
        </w:tc>
        <w:tc>
          <w:tcPr>
            <w:tcW w:type="dxa" w:w="1440"/>
            <w:shd w:fill="FAFAFA" w:val="clear"/>
          </w:tcPr>
          <w:p>
            <w:r>
              <w:rPr>
                <w:sz w:val="17"/>
              </w:rPr>
              <w:t>7,197</w:t>
            </w:r>
          </w:p>
        </w:tc>
        <w:tc>
          <w:tcPr>
            <w:tcW w:type="dxa" w:w="1440"/>
            <w:shd w:fill="FAFAFA" w:val="clear"/>
          </w:tcPr>
          <w:p>
            <w:r>
              <w:rPr>
                <w:b/>
                <w:sz w:val="17"/>
              </w:rPr>
              <w:t>8,311</w:t>
            </w:r>
          </w:p>
        </w:tc>
        <w:tc>
          <w:tcPr>
            <w:tcW w:type="dxa" w:w="1440"/>
            <w:shd w:fill="FAFAFA" w:val="clear"/>
          </w:tcPr>
          <w:p>
            <w:r>
              <w:rPr>
                <w:sz w:val="17"/>
              </w:rPr>
              <w:t>9,425</w:t>
            </w:r>
          </w:p>
        </w:tc>
        <w:tc>
          <w:tcPr>
            <w:tcW w:type="dxa" w:w="1440"/>
            <w:shd w:fill="FAFAFA" w:val="clear"/>
          </w:tcPr>
          <w:p>
            <w:r>
              <w:rPr>
                <w:b/>
                <w:color w:val="008000"/>
                <w:sz w:val="17"/>
              </w:rPr>
              <w:t>+1.4%</w:t>
            </w:r>
          </w:p>
        </w:tc>
      </w:tr>
      <w:tr>
        <w:tc>
          <w:tcPr>
            <w:tcW w:type="dxa" w:w="1440"/>
            <w:shd w:fill="FAFAFA" w:val="clear"/>
          </w:tcPr>
          <w:p>
            <w:r>
              <w:rPr>
                <w:sz w:val="17"/>
              </w:rPr>
              <w:t>J+10  ⭐</w:t>
            </w:r>
          </w:p>
        </w:tc>
        <w:tc>
          <w:tcPr>
            <w:tcW w:type="dxa" w:w="1440"/>
            <w:shd w:fill="FAFAFA" w:val="clear"/>
          </w:tcPr>
          <w:p>
            <w:r>
              <w:rPr>
                <w:sz w:val="17"/>
              </w:rPr>
              <w:t>2026-09-10</w:t>
            </w:r>
          </w:p>
        </w:tc>
        <w:tc>
          <w:tcPr>
            <w:tcW w:type="dxa" w:w="1440"/>
            <w:shd w:fill="FAFAFA" w:val="clear"/>
          </w:tcPr>
          <w:p>
            <w:r>
              <w:rPr>
                <w:sz w:val="17"/>
              </w:rPr>
              <w:t>7,146</w:t>
            </w:r>
          </w:p>
        </w:tc>
        <w:tc>
          <w:tcPr>
            <w:tcW w:type="dxa" w:w="1440"/>
            <w:shd w:fill="FAFAFA" w:val="clear"/>
          </w:tcPr>
          <w:p>
            <w:r>
              <w:rPr>
                <w:b/>
                <w:sz w:val="17"/>
              </w:rPr>
              <w:t>8,322</w:t>
            </w:r>
          </w:p>
        </w:tc>
        <w:tc>
          <w:tcPr>
            <w:tcW w:type="dxa" w:w="1440"/>
            <w:shd w:fill="FAFAFA" w:val="clear"/>
          </w:tcPr>
          <w:p>
            <w:r>
              <w:rPr>
                <w:sz w:val="17"/>
              </w:rPr>
              <w:t>9,498</w:t>
            </w:r>
          </w:p>
        </w:tc>
        <w:tc>
          <w:tcPr>
            <w:tcW w:type="dxa" w:w="1440"/>
            <w:shd w:fill="FAFAFA" w:val="clear"/>
          </w:tcPr>
          <w:p>
            <w:r>
              <w:rPr>
                <w:b/>
                <w:color w:val="008000"/>
                <w:sz w:val="17"/>
              </w:rPr>
              <w:t>+1.5%</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8.027 Mds FCFA</w:t>
            </w:r>
          </w:p>
        </w:tc>
        <w:tc>
          <w:tcPr>
            <w:tcW w:type="dxa" w:w="5669"/>
            <w:shd w:fill="FFFFFF" w:val="clear"/>
          </w:tcPr>
          <w:p>
            <w:r>
              <w:rPr>
                <w:color w:val="282828"/>
                <w:sz w:val="15"/>
              </w:rPr>
              <w:t>Créances clients = 8.1%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15.033 Mds FCFA</w:t>
            </w:r>
          </w:p>
        </w:tc>
        <w:tc>
          <w:tcPr>
            <w:tcW w:type="dxa" w:w="5669"/>
            <w:shd w:fill="FFFFFF" w:val="clear"/>
          </w:tcPr>
          <w:p>
            <w:r>
              <w:rPr>
                <w:color w:val="282828"/>
                <w:sz w:val="15"/>
              </w:rPr>
              <w:t>Rotation stocks = 6.6x/an.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23.060 Mds FCFA</w:t>
            </w:r>
          </w:p>
        </w:tc>
        <w:tc>
          <w:tcPr>
            <w:tcW w:type="dxa" w:w="5669"/>
            <w:shd w:fill="FFFFFF" w:val="clear"/>
          </w:tcPr>
          <w:p>
            <w:r>
              <w:rPr>
                <w:color w:val="282828"/>
                <w:sz w:val="15"/>
              </w:rPr>
              <w:t>Ratio actif circ./passif circ. = 1.45x.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222,000.00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61.200 Mds FCFA</w:t>
            </w:r>
          </w:p>
        </w:tc>
        <w:tc>
          <w:tcPr>
            <w:tcW w:type="dxa" w:w="5669"/>
            <w:shd w:fill="FFFFFF" w:val="clear"/>
          </w:tcPr>
          <w:p>
            <w:r>
              <w:rPr>
                <w:color w:val="282828"/>
                <w:sz w:val="15"/>
              </w:rPr>
              <w:t>Outil industriel (67.8%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61.953 Mds FCFA</w:t>
            </w:r>
          </w:p>
        </w:tc>
        <w:tc>
          <w:tcPr>
            <w:tcW w:type="dxa" w:w="5669"/>
            <w:shd w:fill="FFFFFF" w:val="clear"/>
          </w:tcPr>
          <w:p>
            <w:r>
              <w:rPr>
                <w:color w:val="282828"/>
                <w:sz w:val="15"/>
              </w:rPr>
              <w:t>Actif immobilisé = 68.6%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5.274 Mds FCFA</w:t>
            </w:r>
          </w:p>
        </w:tc>
        <w:tc>
          <w:tcPr>
            <w:tcW w:type="dxa" w:w="5669"/>
            <w:shd w:fill="FFFFFF" w:val="clear"/>
          </w:tcPr>
          <w:p>
            <w:r>
              <w:rPr>
                <w:color w:val="282828"/>
                <w:sz w:val="15"/>
              </w:rPr>
              <w:t>Liquidités disponibles (5.8%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90.288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21.602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34.336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68.430 Mds FCFA</w:t>
            </w:r>
          </w:p>
        </w:tc>
        <w:tc>
          <w:tcPr>
            <w:tcW w:type="dxa" w:w="5669"/>
            <w:shd w:fill="FFFFFF" w:val="clear"/>
          </w:tcPr>
          <w:p>
            <w:r>
              <w:rPr>
                <w:color w:val="282828"/>
                <w:sz w:val="15"/>
              </w:rPr>
              <w:t>Fonds propres = 75.8%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73.652 Mds FCFA</w:t>
            </w:r>
          </w:p>
        </w:tc>
        <w:tc>
          <w:tcPr>
            <w:tcW w:type="dxa" w:w="5669"/>
            <w:shd w:fill="FFFFFF" w:val="clear"/>
          </w:tcPr>
          <w:p>
            <w:r>
              <w:rPr>
                <w:color w:val="282828"/>
                <w:sz w:val="15"/>
              </w:rPr>
              <w:t>Capitaux permanents / Actif immobilisé = 1.19x.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4.882 Mds FCFA</w:t>
            </w:r>
          </w:p>
        </w:tc>
        <w:tc>
          <w:tcPr>
            <w:tcW w:type="dxa" w:w="5669"/>
            <w:shd w:fill="FFFFFF" w:val="clear"/>
          </w:tcPr>
          <w:p>
            <w:r>
              <w:rPr>
                <w:color w:val="282828"/>
                <w:sz w:val="15"/>
              </w:rPr>
              <w:t>Délai fournisseurs implicite ≈ 18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9.32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708.86 M FCFA</w:t>
            </w:r>
          </w:p>
        </w:tc>
        <w:tc>
          <w:tcPr>
            <w:tcW w:type="dxa" w:w="5669"/>
            <w:shd w:fill="FFFFFF" w:val="clear"/>
          </w:tcPr>
          <w:p>
            <w:r>
              <w:rPr>
                <w:color w:val="282828"/>
                <w:sz w:val="15"/>
              </w:rPr>
              <w:t>Dette financière totale = 1%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21.858 Mds FCFA</w:t>
            </w:r>
          </w:p>
        </w:tc>
        <w:tc>
          <w:tcPr>
            <w:tcW w:type="dxa" w:w="5669"/>
            <w:shd w:fill="FFFFFF" w:val="clear"/>
          </w:tcPr>
          <w:p>
            <w:r>
              <w:rPr>
                <w:color w:val="282828"/>
                <w:sz w:val="15"/>
              </w:rPr>
              <w:t>Dettes totales = 24.2%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98.979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98.979 Mds FCFA</w:t>
            </w:r>
          </w:p>
        </w:tc>
        <w:tc>
          <w:tcPr>
            <w:tcW w:type="dxa" w:w="5669"/>
            <w:shd w:fill="FFFFFF" w:val="clear"/>
          </w:tcPr>
          <w:p>
            <w:r>
              <w:rPr>
                <w:color w:val="282828"/>
                <w:sz w:val="15"/>
              </w:rPr>
              <w:t>Chiffre d'affaires. Croissance: 10.7%.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6.528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19.258 Mds FCFA</w:t>
            </w:r>
          </w:p>
        </w:tc>
        <w:tc>
          <w:tcPr>
            <w:tcW w:type="dxa" w:w="5669"/>
            <w:shd w:fill="FFFFFF" w:val="clear"/>
          </w:tcPr>
          <w:p>
            <w:r>
              <w:rPr>
                <w:color w:val="282828"/>
                <w:sz w:val="15"/>
              </w:rPr>
              <w:t>Masse salariale = 19.5% des revenus. ✅ Productivité par employé satisfaisante.</w:t>
            </w:r>
          </w:p>
        </w:tc>
      </w:tr>
      <w:tr>
        <w:tc>
          <w:tcPr>
            <w:tcW w:type="dxa" w:w="2268"/>
            <w:shd w:fill="EEF2F7" w:val="clear"/>
          </w:tcPr>
          <w:p>
            <w:r>
              <w:rPr>
                <w:b/>
                <w:color w:val="1E1E3C"/>
                <w:sz w:val="16"/>
              </w:rPr>
              <w:t>Valeur Ajoutée (VA)</w:t>
            </w:r>
          </w:p>
        </w:tc>
        <w:tc>
          <w:tcPr>
            <w:tcW w:type="dxa" w:w="1984"/>
            <w:shd w:fill="C6EFCE" w:val="clear"/>
          </w:tcPr>
          <w:p>
            <w:r>
              <w:rPr>
                <w:b/>
                <w:color w:val="006400"/>
                <w:sz w:val="17"/>
              </w:rPr>
              <w:t>42.799 Mds FCFA</w:t>
            </w:r>
          </w:p>
        </w:tc>
        <w:tc>
          <w:tcPr>
            <w:tcW w:type="dxa" w:w="5669"/>
            <w:shd w:fill="FFFFFF" w:val="clear"/>
          </w:tcPr>
          <w:p>
            <w:r>
              <w:rPr>
                <w:color w:val="282828"/>
                <w:sz w:val="15"/>
              </w:rPr>
              <w:t>VA = 43.2% du CA. ✅ Forte valeur ajoutée — activité à haute marge brute.</w:t>
            </w:r>
          </w:p>
        </w:tc>
      </w:tr>
      <w:tr>
        <w:tc>
          <w:tcPr>
            <w:tcW w:type="dxa" w:w="2268"/>
            <w:shd w:fill="EEF2F7" w:val="clear"/>
          </w:tcPr>
          <w:p>
            <w:r>
              <w:rPr>
                <w:b/>
                <w:color w:val="1E1E3C"/>
                <w:sz w:val="16"/>
              </w:rPr>
              <w:t>EBE</w:t>
            </w:r>
          </w:p>
        </w:tc>
        <w:tc>
          <w:tcPr>
            <w:tcW w:type="dxa" w:w="1984"/>
            <w:shd w:fill="C6EFCE" w:val="clear"/>
          </w:tcPr>
          <w:p>
            <w:r>
              <w:rPr>
                <w:b/>
                <w:color w:val="006400"/>
                <w:sz w:val="17"/>
              </w:rPr>
              <w:t>23.541 Mds FCFA</w:t>
            </w:r>
          </w:p>
        </w:tc>
        <w:tc>
          <w:tcPr>
            <w:tcW w:type="dxa" w:w="5669"/>
            <w:shd w:fill="FFFFFF" w:val="clear"/>
          </w:tcPr>
          <w:p>
            <w:r>
              <w:rPr>
                <w:color w:val="282828"/>
                <w:sz w:val="15"/>
              </w:rPr>
              <w:t>EBE = 23.8%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17.061 Mds FCFA</w:t>
            </w:r>
          </w:p>
        </w:tc>
        <w:tc>
          <w:tcPr>
            <w:tcW w:type="dxa" w:w="5669"/>
            <w:shd w:fill="FFFFFF" w:val="clear"/>
          </w:tcPr>
          <w:p>
            <w:r>
              <w:rPr>
                <w:color w:val="282828"/>
                <w:sz w:val="15"/>
              </w:rPr>
              <w:t>Profit d'exploitation = 17.2%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5.212 Mds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12.493 Mds FCFA</w:t>
            </w:r>
          </w:p>
        </w:tc>
        <w:tc>
          <w:tcPr>
            <w:tcW w:type="dxa" w:w="5669"/>
            <w:shd w:fill="FFFFFF" w:val="clear"/>
          </w:tcPr>
          <w:p>
            <w:r>
              <w:rPr>
                <w:color w:val="282828"/>
                <w:sz w:val="15"/>
              </w:rPr>
              <w:t>Marge nette = 12.6%.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18.938 Mds FCFA</w:t>
            </w:r>
          </w:p>
        </w:tc>
        <w:tc>
          <w:tcPr>
            <w:tcW w:type="dxa" w:w="5669"/>
            <w:shd w:fill="FFFFFF" w:val="clear"/>
          </w:tcPr>
          <w:p>
            <w:r>
              <w:rPr>
                <w:color w:val="282828"/>
                <w:sz w:val="15"/>
              </w:rPr>
              <w:t>CAF = 18.94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22.644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-6.613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-12.898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16.031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7.124 Mds FCFA</w:t>
            </w:r>
          </w:p>
        </w:tc>
        <w:tc>
          <w:tcPr>
            <w:tcW w:type="dxa" w:w="5669"/>
            <w:shd w:fill="FFFFFF" w:val="clear"/>
          </w:tcPr>
          <w:p>
            <w:r>
              <w:rPr>
                <w:color w:val="282828"/>
                <w:sz w:val="15"/>
              </w:rPr>
              <w:t>BFR = 7.2%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11.699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4.575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67.93%</w:t>
            </w:r>
          </w:p>
        </w:tc>
        <w:tc>
          <w:tcPr>
            <w:tcW w:type="dxa" w:w="5669"/>
            <w:shd w:fill="FFFFFF" w:val="clear"/>
          </w:tcPr>
          <w:p>
            <w:r>
              <w:rPr>
                <w:color w:val="282828"/>
                <w:sz w:val="15"/>
              </w:rPr>
              <w:t>(CA - coûts directs) / CA. ✅ Excellente marge brute.</w:t>
            </w:r>
          </w:p>
        </w:tc>
      </w:tr>
      <w:tr>
        <w:tc>
          <w:tcPr>
            <w:tcW w:type="dxa" w:w="2268"/>
            <w:shd w:fill="EEF2F7" w:val="clear"/>
          </w:tcPr>
          <w:p>
            <w:r>
              <w:rPr>
                <w:b/>
                <w:color w:val="1E1E3C"/>
                <w:sz w:val="16"/>
              </w:rPr>
              <w:t>Marge nette</w:t>
            </w:r>
          </w:p>
        </w:tc>
        <w:tc>
          <w:tcPr>
            <w:tcW w:type="dxa" w:w="1984"/>
            <w:shd w:fill="C6EFCE" w:val="clear"/>
          </w:tcPr>
          <w:p>
            <w:r>
              <w:rPr>
                <w:b/>
                <w:color w:val="006400"/>
                <w:sz w:val="17"/>
              </w:rPr>
              <w:t>12.62%</w:t>
            </w:r>
          </w:p>
        </w:tc>
        <w:tc>
          <w:tcPr>
            <w:tcW w:type="dxa" w:w="5669"/>
            <w:shd w:fill="FFFFFF" w:val="clear"/>
          </w:tcPr>
          <w:p>
            <w:r>
              <w:rPr>
                <w:color w:val="282828"/>
                <w:sz w:val="15"/>
              </w:rPr>
              <w:t>Résultat net / revenus = 12.62%.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17.24%</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18.26%</w:t>
            </w:r>
          </w:p>
        </w:tc>
        <w:tc>
          <w:tcPr>
            <w:tcW w:type="dxa" w:w="5669"/>
            <w:shd w:fill="FFFFFF" w:val="clear"/>
          </w:tcPr>
          <w:p>
            <w:r>
              <w:rPr>
                <w:color w:val="282828"/>
                <w:sz w:val="15"/>
              </w:rPr>
              <w:t>Résultat net / capitaux propres = 18.26%.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13.84%</w:t>
            </w:r>
          </w:p>
        </w:tc>
        <w:tc>
          <w:tcPr>
            <w:tcW w:type="dxa" w:w="5669"/>
            <w:shd w:fill="FFFFFF" w:val="clear"/>
          </w:tcPr>
          <w:p>
            <w:r>
              <w:rPr>
                <w:color w:val="282828"/>
                <w:sz w:val="15"/>
              </w:rPr>
              <w:t>Résultat net / total actif = 13.84%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109.63%</w:t>
            </w:r>
          </w:p>
        </w:tc>
        <w:tc>
          <w:tcPr>
            <w:tcW w:type="dxa" w:w="5669"/>
            <w:shd w:fill="FFFFFF" w:val="clear"/>
          </w:tcPr>
          <w:p>
            <w:r>
              <w:rPr>
                <w:color w:val="282828"/>
                <w:sz w:val="15"/>
              </w:rPr>
              <w:t>CA / total actif = 109.63x.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10.70%</w:t>
            </w:r>
          </w:p>
        </w:tc>
        <w:tc>
          <w:tcPr>
            <w:tcW w:type="dxa" w:w="5669"/>
            <w:shd w:fill="FFFFFF" w:val="clear"/>
          </w:tcPr>
          <w:p>
            <w:r>
              <w:rPr>
                <w:color w:val="282828"/>
                <w:sz w:val="15"/>
              </w:rPr>
              <w:t>Croissance CA vs exercice précédent = 10.70%.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75.79%</w:t>
            </w:r>
          </w:p>
        </w:tc>
        <w:tc>
          <w:tcPr>
            <w:tcW w:type="dxa" w:w="5669"/>
            <w:shd w:fill="FFFFFF" w:val="clear"/>
          </w:tcPr>
          <w:p>
            <w:r>
              <w:rPr>
                <w:color w:val="282828"/>
                <w:sz w:val="15"/>
              </w:rPr>
              <w:t>Fonds propres / total bilan = 75.79%.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1.04%</w:t>
            </w:r>
          </w:p>
        </w:tc>
        <w:tc>
          <w:tcPr>
            <w:tcW w:type="dxa" w:w="5669"/>
            <w:shd w:fill="FFFFFF" w:val="clear"/>
          </w:tcPr>
          <w:p>
            <w:r>
              <w:rPr>
                <w:color w:val="282828"/>
                <w:sz w:val="15"/>
              </w:rPr>
              <w:t>Dettes financières / total bilan = 1.04%.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24.21%</w:t>
            </w:r>
          </w:p>
        </w:tc>
        <w:tc>
          <w:tcPr>
            <w:tcW w:type="dxa" w:w="5669"/>
            <w:shd w:fill="FFFFFF" w:val="clear"/>
          </w:tcPr>
          <w:p>
            <w:r>
              <w:rPr>
                <w:color w:val="282828"/>
                <w:sz w:val="15"/>
              </w:rPr>
              <w:t>Dettes totales / fonds propres = 24.21%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413.07%</w:t>
            </w:r>
          </w:p>
        </w:tc>
        <w:tc>
          <w:tcPr>
            <w:tcW w:type="dxa" w:w="5669"/>
            <w:shd w:fill="FFFFFF" w:val="clear"/>
          </w:tcPr>
          <w:p>
            <w:r>
              <w:rPr>
                <w:color w:val="282828"/>
                <w:sz w:val="15"/>
              </w:rPr>
              <w:t>Total actif / dettes totales = 413.07x.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170.32%</w:t>
            </w:r>
          </w:p>
        </w:tc>
        <w:tc>
          <w:tcPr>
            <w:tcW w:type="dxa" w:w="5669"/>
            <w:shd w:fill="FFFFFF" w:val="clear"/>
          </w:tcPr>
          <w:p>
            <w:r>
              <w:rPr>
                <w:color w:val="282828"/>
                <w:sz w:val="15"/>
              </w:rPr>
              <w:t>Actif circulant / passif circulant = 170.32x.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31.71%</w:t>
            </w:r>
          </w:p>
        </w:tc>
        <w:tc>
          <w:tcPr>
            <w:tcW w:type="dxa" w:w="5669"/>
            <w:shd w:fill="FFFFFF" w:val="clear"/>
          </w:tcPr>
          <w:p>
            <w:r>
              <w:rPr>
                <w:color w:val="282828"/>
                <w:sz w:val="15"/>
              </w:rPr>
              <w:t>Trésorerie / passif circulant = 31.71x. ✅ Trésorerie immédiate confortable.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79.96%</w:t>
            </w:r>
          </w:p>
        </w:tc>
        <w:tc>
          <w:tcPr>
            <w:tcW w:type="dxa" w:w="5669"/>
            <w:shd w:fill="FFFFFF" w:val="clear"/>
          </w:tcPr>
          <w:p>
            <w:r>
              <w:rPr>
                <w:color w:val="282828"/>
                <w:sz w:val="15"/>
              </w:rPr>
              <w:t>(Actif circ. - stocks) / passif circ. = 79.96x. ⚠️ Liquidité réduite limite.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118.88%</w:t>
            </w:r>
          </w:p>
        </w:tc>
        <w:tc>
          <w:tcPr>
            <w:tcW w:type="dxa" w:w="5669"/>
            <w:shd w:fill="FFFFFF" w:val="clear"/>
          </w:tcPr>
          <w:p>
            <w:r>
              <w:rPr>
                <w:color w:val="282828"/>
                <w:sz w:val="15"/>
              </w:rPr>
              <w:t>Capitaux permanents / actif immobilisé = 118.88x.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25563.41%</w:t>
            </w:r>
          </w:p>
        </w:tc>
        <w:tc>
          <w:tcPr>
            <w:tcW w:type="dxa" w:w="5669"/>
            <w:shd w:fill="FFFFFF" w:val="clear"/>
          </w:tcPr>
          <w:p>
            <w:r>
              <w:rPr>
                <w:color w:val="282828"/>
                <w:sz w:val="15"/>
              </w:rPr>
              <w:t>Résultat exploit. / charges financières = 25563.41x.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286.38%</w:t>
            </w:r>
          </w:p>
        </w:tc>
        <w:tc>
          <w:tcPr>
            <w:tcW w:type="dxa" w:w="5669"/>
            <w:shd w:fill="FFFFFF" w:val="clear"/>
          </w:tcPr>
          <w:p>
            <w:r>
              <w:rPr>
                <w:color w:val="282828"/>
                <w:sz w:val="15"/>
              </w:rPr>
              <w:t>CAF / investissements = 286.38x.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29.6 j</w:t>
            </w:r>
          </w:p>
        </w:tc>
        <w:tc>
          <w:tcPr>
            <w:tcW w:type="dxa" w:w="5669"/>
            <w:shd w:fill="FFFFFF" w:val="clear"/>
          </w:tcPr>
          <w:p>
            <w:r>
              <w:rPr>
                <w:color w:val="282828"/>
                <w:sz w:val="15"/>
              </w:rPr>
              <w:t>Les clients paient en moyenne en 30 jours. ✅ Recouvrement rapide — trésorerie favorisée.</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31.7 j</w:t>
            </w:r>
          </w:p>
        </w:tc>
        <w:tc>
          <w:tcPr>
            <w:tcW w:type="dxa" w:w="5669"/>
            <w:shd w:fill="FFFFFF" w:val="clear"/>
          </w:tcPr>
          <w:p>
            <w:r>
              <w:rPr>
                <w:color w:val="282828"/>
                <w:sz w:val="15"/>
              </w:rPr>
              <w:t>Paiement des fournisseurs en 32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97.7 j</w:t>
            </w:r>
          </w:p>
        </w:tc>
        <w:tc>
          <w:tcPr>
            <w:tcW w:type="dxa" w:w="5669"/>
            <w:shd w:fill="FFFFFF" w:val="clear"/>
          </w:tcPr>
          <w:p>
            <w:r>
              <w:rPr>
                <w:color w:val="282828"/>
                <w:sz w:val="15"/>
              </w:rPr>
              <w:t>Stock écoulé en 98 jours. ⚠️ Durée de stockage longue — capital immobilisé.</w:t>
            </w:r>
          </w:p>
        </w:tc>
      </w:tr>
    </w:tbl>
    <w:p/>
    <w:p>
      <w:pPr>
        <w:spacing w:after="120" w:line="276" w:lineRule="auto"/>
      </w:pPr>
      <w:r>
        <w:t>**RAPPORT D'ANALYSE FINANCIÈRE — SOGC (Société des Caoutchoucs de Grand-Béréby)**</w:t>
        <w:br/>
        <w:t>**Date de l'analyse : 27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SOGC s'établit à 177,14 milliards FCFA, ce qui en fait une valeur de première ligne sur la BRVM, représentative du secteur agro-industriel. Avec un BPA de 578 FCFA, le titre se négocie à un PER de 14,2x, légèrement au-dessus de la moyenne historique de la BRVM (8-12x). Cette prime relative suggère que le marché intègre déjà une partie des bonnes performances passées, mais elle reste modérée pour une société affichant une telle rentabilité. Le P/B de 2,59x confirme que le marché valorise la société à plus de 2,5 fois ses capitaux propres, ce qui est cohérent avec un ROE de 18,25% et une prime de croissance accordée par les investisseurs. Enfin, un EV/EBITDA de 7,4x indique que la valeur d'entreprise reste raisonnable par rapport à la capacité opérationnelle de la société, dans une fourchette saine de 5 à 10x.</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SOGC a enregistré une progression totale de +5,13%, avec une dernière séance stable (0,00%). Le cours a évolué dans une fourchette de 7 100 FCFA (plus bas) à 8 600 FCFA (plus haut), démontrant une amplitude de trading de 1 500 FCFA. La moyenne du cours sur la période est de 7 982 FCFA, très proche de la médiane (8 005 FCFA), ce qui indique une distribution relativement symétrique des prix, confirmée par un skewness de -0,376. L'écart-type de 387 FCFA (CV=4,8%) témoigne d'une dispersion modérée autour de la moyenne. Le kurtosis de -0,954 (mésokurtique) suggère l'absence de pics extrêmes ou de queues épaisses, réduisant le risque de mouvements brutaux. La volatilité annualisée de 36,8% classe le titre dans la catégorie "élevée" (&gt;30%), ce qui implique des fluctuations significatives à moyen terme, mais la tendance générale sur la période reste positive et maîtrisée.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(8 200 FCFA) se situe au-dessus de la MM20 (8 054 FCFA) mais en dessous de la MM50 (8 194,9 FCFA). Cette configuration, où le prix est sous la moyenne à long terme, génère un signal de vente. La MM50 agissant comme une résistance, le titre devra franchir ce niveau pour confirmer une tendance haussière durable.</w:t>
      </w:r>
    </w:p>
    <w:p>
      <w:pPr>
        <w:spacing w:after="120" w:line="276" w:lineRule="auto"/>
      </w:pPr>
      <w:r>
        <w:t>**Bandes de Bollinger** : Le prix se positionne entre la borne inférieure (7 554,18 FCFA) et la borne supérieure (8 553,82 FCFA), plus près de la moyenne. La décision est neutre, indiquant une volatilité modérée et un cours évoluant dans un canal normal. Un élargissement des bandes pourrait signaler une augmentation de la volatilité à venir.</w:t>
      </w:r>
    </w:p>
    <w:p>
      <w:pPr>
        <w:spacing w:after="120" w:line="276" w:lineRule="auto"/>
      </w:pPr>
      <w:r>
        <w:t>**MACD** : La valeur du MACD (5,903) est positive et nettement supérieure à sa ligne de signal (-36,253). Cette divergence positive indique un momentum haussier en cours de formation. La décision d'achat est justifiée par le croisement haussier récent, suggérant une dynamique de reprise après une phase de consolidation.</w:t>
      </w:r>
    </w:p>
    <w:p>
      <w:pPr>
        <w:spacing w:after="120" w:line="276" w:lineRule="auto"/>
      </w:pPr>
      <w:r>
        <w:t>**RSI** : À 52,404, le RSI se situe en zone neutre (entre 30 et 70), sans signal de surachat ni de survente. Cette valeur indique un équilibre entre les forces acheteuses et vendeuses, laissant place à une évolution directionnelle sans pression excessive.</w:t>
      </w:r>
    </w:p>
    <w:p>
      <w:pPr>
        <w:spacing w:after="120" w:line="276" w:lineRule="auto"/>
      </w:pPr>
      <w:r>
        <w:t>**Stochastique** : Le %K (90,769) et le %D (92,479) sont tous deux en zone de surachat (&gt;80), avec un %K légèrement sous le %D. Cette configuration suggère un essoufflement potentiel du mouvement haussier à court terme, justifiant la décision de vente. Un croisement baissier pourrait confirmer un repli technique.</w:t>
      </w:r>
    </w:p>
    <w:p>
      <w:pPr>
        <w:spacing w:after="120" w:line="276" w:lineRule="auto"/>
      </w:pPr>
      <w:r>
        <w:t>**Conclusion technique** : Les signaux sont mitigés, avec un MACD haussier et un RSI neutre contrastant avec les moyennes mobiles et le stochastique en zone de surachat. La tendance de fond semble positive, mais un repli technique à court terme est probable avant une reprise. La prudence est de mise, avec un biais légèrement haussier à moyen terme.</w:t>
      </w:r>
    </w:p>
    <w:p>
      <w:pPr>
        <w:spacing w:after="120" w:line="276" w:lineRule="auto"/>
      </w:pPr>
      <w:r>
        <w:t>---</w:t>
      </w:r>
    </w:p>
    <w:p>
      <w:pPr>
        <w:spacing w:after="120" w:line="276" w:lineRule="auto"/>
      </w:pPr>
      <w:r>
        <w:t>### PARTIE 3 : ANALYSE FONDAMENTALE (SECTION CRITIQUE)</w:t>
      </w:r>
    </w:p>
    <w:p>
      <w:pPr>
        <w:spacing w:after="120" w:line="276" w:lineRule="auto"/>
      </w:pPr>
      <w:r>
        <w:t>En 2025, les données structurées de SOGC révèlent des fondamentaux solides. Le chiffre d'affaires s'établit à 98,979 milliards FCFA, en croissance de +10,7% par rapport à 2024 (93,52 milliards FCFA, rapport du 15/03/2026). Le résultat net atteint 12,493 milliards FCFA, en légère baisse de -5% par rapport à 2024 (13,11 milliards FCFA), mais la marge nette reste élevée à 12,6%. Le ROE de 18,26% et le ROA de 13,84% confirment une excellente rentabilité des capitaux propres et des actifs. La structure financière est saine avec une autonomie financière de 75,79% et une capacité de remboursement quasi nulle (0,04 an). Le BFR de 7,124 milliards FCFA est positif mais maîtrisé, avec des délais clients (29,6 jours) et fournisseurs (31,7 jours) équilibrés. En croisant avec les rapports trimestriels 2025 (T1 : CA +63,1%, résultat net +262,9% ; S1 : CA +51,9%, résultat net +151,6% ; 9M : CA +21,3%, résultat net +39,5%), on observe un ralentissement progressif de la croissance au fil de l'année, principalement dû à la baisse des cours internationaux du caoutchouc (SICOM) et à une concurrence accrue sur l'achat de la matière première. Le dividende proposé de 570 FCFA par action (AG du 28/05/2026) offre un rendement attractif d'environ 6,9%. La société maintient une trésorerie nette positive de 4,575 milliards FCFA, renforcée par un flux opérationnel de 22,644 milliards FCFA. Les perspectives 2026 restent prudentes, la direction anticipant un environnement concurrentiel difficile, mais la solidité financière et la capacité de génération de cash-flow demeurent des atouts majeurs.</w:t>
      </w:r>
    </w:p>
    <w:p>
      <w:pPr>
        <w:spacing w:after="120" w:line="276" w:lineRule="auto"/>
      </w:pPr>
      <w:r>
        <w:t>---</w:t>
      </w:r>
    </w:p>
    <w:p>
      <w:pPr>
        <w:spacing w:after="120" w:line="276" w:lineRule="auto"/>
      </w:pPr>
      <w:r>
        <w:t>### PARTIE 4 : CONCLUSION D'INVESTISSEMENT</w:t>
      </w:r>
    </w:p>
    <w:p>
      <w:pPr>
        <w:spacing w:after="120" w:line="276" w:lineRule="auto"/>
      </w:pPr>
      <w:r>
        <w:t>La valorisation de SOGC (PER 14,2x, P/B 2,59x, EV/EBITDA 7,4x) indique une prime raisonnable par rapport au marché BRVM, justifiée par une rentabilité exceptionnelle (ROE 18,26%). Le comportement du cours sur 100 jours montre une tendance positive (+5,13%) avec une volatilité élevée (36,8%), mais une distribution des prix stable (kurtosis mésokurtique, skewness symétrique). Les signaux techniques sont mitigés : le MACD est haussier, le RSI neutre, mais les moyennes mobiles et le stochastique suggèrent un repli à court terme. Les fondamentaux restent solides malgré une légère baisse du résultat net en 2025, avec une génération de cash-flow robuste et un dividende attractif. Les prédictions IA (8 222 à 8 267 FCFA sur 10 jours) confirment une trajectoire haussière modérée, en phase avec le momentum MACD. La convergence entre la solidité fondamentale, la valorisation raisonnable et les prédictions positives, malgré des signaux techniques contrastés, conduit à une recommandation **CONSERVER**. Le niveau de confiance est **Moyen**, le risque global est **Moyen** (volatilité élevée, dépendance aux prix des matières premières). L'horizon d'investissement optimal est le **moyen terme (3-12 mois)**, en attendant une clarification de la tendance technique et une stabilisation des cours du caoutchouc.</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20260519   avis de convocation   assemblee generale ordinaire   sogb ci</w:t>
      </w:r>
    </w:p>
    <w:p>
      <w:pPr>
        <w:spacing w:before="20"/>
        <w:ind w:left="400"/>
      </w:pPr>
      <w:r>
        <w:rPr>
          <w:color w:val="505050"/>
          <w:sz w:val="17"/>
        </w:rPr>
        <w:t xml:space="preserve">Date : 20/05/2026  |  Catégorie : convocation AG  |  Impact : </w:t>
      </w:r>
      <w:r>
        <w:rPr>
          <w:b/>
          <w:color w:val="008000"/>
          <w:sz w:val="17"/>
        </w:rPr>
        <w:t>🟢 POSITIF</w:t>
      </w:r>
    </w:p>
    <w:p>
      <w:pPr>
        <w:spacing w:before="40"/>
        <w:ind w:left="400"/>
      </w:pPr>
      <w:r>
        <w:rPr>
          <w:sz w:val="18"/>
        </w:rPr>
        <w:t>SOGB convoque ses actionnaires en assemblée générale ordinaire le 28 mai 2026 pour approuver les comptes 2025 et délibérer sur l'affectation du résultat. La société propose un dividende brut de 570 FCFA par action sur un bénéfice net de 12,49 milliards FCFA. Un nouvel administrateur sera nommé et une convention avec Induservices FR sera ratifiée.</w:t>
      </w:r>
    </w:p>
    <w:p>
      <w:pPr>
        <w:spacing w:before="60"/>
        <w:ind w:left="400"/>
      </w:pPr>
      <w:r>
        <w:rPr>
          <w:b/>
          <w:sz w:val="18"/>
        </w:rPr>
        <w:t>Points clés :</w:t>
      </w:r>
    </w:p>
    <w:p>
      <w:pPr>
        <w:pStyle w:val="ListBullet"/>
        <w:spacing w:before="20" w:after="20"/>
        <w:ind w:left="700"/>
      </w:pPr>
      <w:r>
        <w:rPr>
          <w:sz w:val="18"/>
        </w:rPr>
        <w:t>Assemblée générale ordinaire convoquée pour le 28 mai 2026</w:t>
      </w:r>
    </w:p>
    <w:p>
      <w:pPr>
        <w:pStyle w:val="ListBullet"/>
        <w:spacing w:before="20" w:after="20"/>
        <w:ind w:left="700"/>
      </w:pPr>
      <w:r>
        <w:rPr>
          <w:sz w:val="18"/>
        </w:rPr>
        <w:t>Bénéfice net 2025 de 12,49 milliards FCFA</w:t>
      </w:r>
    </w:p>
    <w:p>
      <w:pPr>
        <w:pStyle w:val="ListBullet"/>
        <w:spacing w:before="20" w:after="20"/>
        <w:ind w:left="700"/>
      </w:pPr>
      <w:r>
        <w:rPr>
          <w:sz w:val="18"/>
        </w:rPr>
        <w:t>Dividende brut proposé de 570 FCFA par action</w:t>
      </w:r>
    </w:p>
    <w:p>
      <w:pPr>
        <w:pStyle w:val="ListBullet"/>
        <w:spacing w:before="20" w:after="20"/>
        <w:ind w:left="700"/>
      </w:pPr>
      <w:r>
        <w:rPr>
          <w:sz w:val="18"/>
        </w:rPr>
        <w:t>Nomination de Jean-François de WALQUE comme nouvel administrateur</w:t>
      </w:r>
    </w:p>
    <w:p>
      <w:pPr>
        <w:pStyle w:val="ListBullet"/>
        <w:spacing w:before="20" w:after="20"/>
        <w:ind w:left="700"/>
      </w:pPr>
      <w:r>
        <w:rPr>
          <w:sz w:val="18"/>
        </w:rPr>
        <w:t>Ratification d'une convention de services avec Induservices FR</w:t>
      </w:r>
    </w:p>
    <w:p/>
    <w:p>
      <w:pPr>
        <w:pStyle w:val="Heading3"/>
      </w:pPr>
      <w:r>
        <w:rPr>
          <w:color w:val="005A32"/>
        </w:rPr>
        <w:t>📋 RAPPORTS &amp; COMMUNIQUÉS OFFICIELS</w:t>
      </w:r>
    </w:p>
    <w:p>
      <w:r>
        <w:rPr>
          <w:i/>
          <w:color w:val="646464"/>
          <w:sz w:val="18"/>
        </w:rPr>
        <w:t>21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C00000"/>
          <w:sz w:val="18"/>
        </w:rPr>
        <w:t>{"decision": "conserver", "justification": "Malgr\u00e9 la baisse du r\u00e9sultat net, SOGB maintient des fondamentaux solides avec une g\u00e9n\u00e9ration de cash-flow op\u00e9rationnel robuste et une politique de dividendes attractive. La hausse des prix de vente compense partiellement l'augmentation des co\u00fbts d'approvisionnement."}</w:t>
      </w:r>
    </w:p>
    <w:p>
      <w:pPr>
        <w:spacing w:before="40"/>
        <w:ind w:left="400"/>
      </w:pPr>
      <w:r>
        <w:rPr>
          <w:sz w:val="18"/>
        </w:rPr>
        <w:t>SOGB affiche un résultat net de 12,49 milliards FCFA en 2025, en baisse de 5% par rapport à 2024. La société bénéficie d'une hausse de 12% de ses ventes de produits fabriqués grâce à l'augmentation des prix de l'huile de palme (+20%) et de palmiste (+47%), ainsi qu'à la croissance des volumes de caoutchouc (+9%). Cependant, les coûts de matières premières ont augmenté de 15% en raison de la hausse des prix du coagulum. La trésorerie s'améliore significivement avec des flux opérationnels de 22,6 milliards FCFA. La société maintient une politique de dividendes attractive avec 12,3 milliards FCFA distribués.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'42,8 milliards FCFA', 'capacite_autofinancement': '18,94 milliards FCFA', 'excedent_brut_exploitation': '23,54 milliards FCFA'}</w:t>
            </w:r>
          </w:p>
        </w:tc>
        <w:tc>
          <w:tcPr>
            <w:tcW w:type="dxa" w:w="2160"/>
          </w:tcPr>
          <w:p>
            <w:pPr>
              <w:ind w:left="100"/>
            </w:pPr>
            <w:r/>
            <w:r>
              <w:rPr>
                <w:b/>
                <w:sz w:val="16"/>
              </w:rPr>
              <w:t>dividende</w:t>
              <w:br/>
            </w:r>
            <w:r>
              <w:rPr>
                <w:sz w:val="18"/>
              </w:rPr>
              <w:t>12,31 milliards FCFA</w:t>
            </w:r>
          </w:p>
        </w:tc>
        <w:tc>
          <w:tcPr>
            <w:tcW w:type="dxa" w:w="2160"/>
          </w:tcPr>
          <w:p>
            <w:pPr>
              <w:ind w:left="100"/>
            </w:pPr>
            <w:r/>
            <w:r>
              <w:rPr>
                <w:b/>
                <w:sz w:val="16"/>
              </w:rPr>
              <w:t>marge_nette</w:t>
              <w:br/>
            </w:r>
            <w:r>
              <w:rPr>
                <w:sz w:val="18"/>
              </w:rPr>
              <w:t>11,9%</w:t>
            </w:r>
          </w:p>
        </w:tc>
        <w:tc>
          <w:tcPr>
            <w:tcW w:type="dxa" w:w="2160"/>
          </w:tcPr>
          <w:p>
            <w:pPr>
              <w:ind w:left="100"/>
            </w:pPr>
            <w:r/>
            <w:r>
              <w:rPr>
                <w:b/>
                <w:sz w:val="16"/>
              </w:rPr>
              <w:t>total_actif</w:t>
              <w:br/>
            </w:r>
            <w:r>
              <w:rPr>
                <w:sz w:val="18"/>
              </w:rPr>
              <w:t>90,29 milliards FCFA</w:t>
            </w:r>
          </w:p>
        </w:tc>
      </w:tr>
      <w:tr>
        <w:tc>
          <w:tcPr>
            <w:tcW w:type="dxa" w:w="2160"/>
          </w:tcPr>
          <w:p>
            <w:r/>
            <w:r>
              <w:rPr>
                <w:b/>
                <w:sz w:val="16"/>
              </w:rPr>
              <w:t>resultat_net</w:t>
              <w:br/>
            </w:r>
            <w:r>
              <w:rPr>
                <w:sz w:val="18"/>
              </w:rPr>
              <w:t>12,49 milliards FCFA</w:t>
            </w:r>
          </w:p>
        </w:tc>
        <w:tc>
          <w:tcPr>
            <w:tcW w:type="dxa" w:w="2160"/>
          </w:tcPr>
          <w:p>
            <w:r/>
            <w:r>
              <w:rPr>
                <w:b/>
                <w:sz w:val="16"/>
              </w:rPr>
              <w:t>capitaux_propres</w:t>
              <w:br/>
            </w:r>
            <w:r>
              <w:rPr>
                <w:sz w:val="18"/>
              </w:rPr>
              <w:t>68,43 milliards FCFA</w:t>
            </w:r>
          </w:p>
        </w:tc>
        <w:tc>
          <w:tcPr>
            <w:tcW w:type="dxa" w:w="2160"/>
          </w:tcPr>
          <w:p>
            <w:r/>
            <w:r>
              <w:rPr>
                <w:b/>
                <w:sz w:val="16"/>
              </w:rPr>
              <w:t>chiffre_affaires</w:t>
              <w:br/>
            </w:r>
            <w:r>
              <w:rPr>
                <w:sz w:val="18"/>
              </w:rPr>
              <w:t>105,1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net de 12,49 milliards FCFA en baisse de 5% (-618 millions FCFA)</w:t>
      </w:r>
    </w:p>
    <w:p>
      <w:pPr>
        <w:pStyle w:val="ListBullet"/>
        <w:spacing w:before="20" w:after="20"/>
        <w:ind w:left="700"/>
      </w:pPr>
      <w:r>
        <w:rPr>
          <w:sz w:val="18"/>
        </w:rPr>
        <w:t>Ventes de produits fabriqués en hausse de 12% grâce aux prix de l'huile de palme (+20%)</w:t>
      </w:r>
    </w:p>
    <w:p>
      <w:pPr>
        <w:pStyle w:val="ListBullet"/>
        <w:spacing w:before="20" w:after="20"/>
        <w:ind w:left="700"/>
      </w:pPr>
      <w:r>
        <w:rPr>
          <w:sz w:val="18"/>
        </w:rPr>
        <w:t>Coûts de matières premières en forte hausse (+15%) impactant la rentabilité</w:t>
      </w:r>
    </w:p>
    <w:p>
      <w:pPr>
        <w:pStyle w:val="ListBullet"/>
        <w:spacing w:before="20" w:after="20"/>
        <w:ind w:left="700"/>
      </w:pPr>
      <w:r>
        <w:rPr>
          <w:sz w:val="18"/>
        </w:rPr>
        <w:t>Trésorerie nette améliorée de 3,1 milliards FCFA sur l'exercice</w:t>
      </w:r>
    </w:p>
    <w:p>
      <w:pPr>
        <w:pStyle w:val="ListBullet"/>
        <w:spacing w:before="20" w:after="20"/>
        <w:ind w:left="700"/>
      </w:pPr>
      <w:r>
        <w:rPr>
          <w:sz w:val="18"/>
        </w:rPr>
        <w:t>Flux de trésorerie opérationnels solides à 22,6 milliards FCFA</w:t>
      </w:r>
    </w:p>
    <w:p>
      <w:pPr>
        <w:pStyle w:val="ListBullet"/>
        <w:spacing w:before="20" w:after="20"/>
        <w:ind w:left="700"/>
      </w:pPr>
      <w:r>
        <w:rPr>
          <w:sz w:val="18"/>
        </w:rPr>
        <w:t>Maintien d'une politique de dividendes généreuse (12,3 milliards FCFA)</w:t>
      </w:r>
    </w:p>
    <w:p>
      <w:pPr>
        <w:spacing w:before="40"/>
        <w:ind w:left="400"/>
      </w:pPr>
      <w:r>
        <w:rPr>
          <w:b/>
          <w:color w:val="C05000"/>
          <w:sz w:val="18"/>
        </w:rPr>
        <w:t xml:space="preserve">⚠️ Risques : </w:t>
      </w:r>
      <w:r>
        <w:rPr>
          <w:sz w:val="18"/>
        </w:rPr>
        <w:t>["Intensification de la concurrence sur l'achat du coagulum impactant les marges", "Volatilit\u00e9 des prix des mati\u00e8res premi\u00e8res agricoles", "D\u00e9pendance aux fluctuations des cours mondiaux de l'huile de palme et du caoutchouc"]</w:t>
      </w:r>
    </w:p>
    <w:p>
      <w:pPr>
        <w:spacing w:before="40"/>
        <w:ind w:left="400"/>
      </w:pPr>
      <w:r>
        <w:rPr>
          <w:b/>
          <w:color w:val="0064A0"/>
          <w:sz w:val="18"/>
        </w:rPr>
        <w:t xml:space="preserve">🔮 Perspectives : </w:t>
      </w:r>
      <w:r>
        <w:rPr>
          <w:sz w:val="18"/>
        </w:rPr>
        <w:t>Le contexte concurrentiel plus difficile depuis le second semestre 2025 devrait persister et continuer à peser sur les marges. La capacité de la société à maintenir ses prix de vente face à la hausse des coûts d'approvisionnement sera déterminante pour la performance 2026.</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forte baisse des performances, la soci\u00e9t\u00e9 maintient une rentabilit\u00e9 positive et anticipe une ma\u00eetrise des charges d'exploitation au S2. Le contexte difficile des mati\u00e8res premi\u00e8res agricoles pourrait s'am\u00e9liorer progressivement."}</w:t>
      </w:r>
    </w:p>
    <w:p>
      <w:pPr>
        <w:spacing w:before="40"/>
        <w:ind w:left="400"/>
      </w:pPr>
      <w:r>
        <w:rPr>
          <w:sz w:val="18"/>
        </w:rPr>
        <w:t>SOGB affiche une performance décevante au premier semestre 2023 avec un chiffre d'affaires en baisse de 24,68% à 37,8 milliards FCFA comparé à la même période 2022. Le résultat d'exploitation chute drastiquement de 60,61% à 5,18 milliards FCFA, impacté par la baisse des activités dans tous les segments. L'activité Palmier subit une forte contraction (-31%) due à la baisse des prix et volumes de vente d'huile de palme. L'activité Hévéa n'est pas épargnée avec une diminution de 21% liée à la chute des prix du caoutchouc (-18%) et des volumes (-4%). Le résultat net s'établit à 3,77 milliards FCFA contre 9,78 milliards en 2022, soit une régression de 61,41%.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'-84,9 millions FCFA', 'resultat_exploitation': '5,18 milliards FCFA', 'variation_ca_annuelle': '-24,68%', 'variation_resultat_net': '-61,41%'}</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9,98%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3,77 milliards FCFA (S1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37,8 milliards FCFA (S1 2023)</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baisse de 24,68% au S1 2023 à 37,8 milliards FCFA</w:t>
      </w:r>
    </w:p>
    <w:p>
      <w:pPr>
        <w:pStyle w:val="ListBullet"/>
        <w:spacing w:before="20" w:after="20"/>
        <w:ind w:left="700"/>
      </w:pPr>
      <w:r>
        <w:rPr>
          <w:sz w:val="18"/>
        </w:rPr>
        <w:t>Résultat d'exploitation en chute libre de 60,61% à 5,18 milliards FCFA</w:t>
      </w:r>
    </w:p>
    <w:p>
      <w:pPr>
        <w:pStyle w:val="ListBullet"/>
        <w:spacing w:before="20" w:after="20"/>
        <w:ind w:left="700"/>
      </w:pPr>
      <w:r>
        <w:rPr>
          <w:sz w:val="18"/>
        </w:rPr>
        <w:t>Activité Palmier en déclin de 31% due à la baisse des prix (-5%) et volumes (-24%)</w:t>
      </w:r>
    </w:p>
    <w:p>
      <w:pPr>
        <w:pStyle w:val="ListBullet"/>
        <w:spacing w:before="20" w:after="20"/>
        <w:ind w:left="700"/>
      </w:pPr>
      <w:r>
        <w:rPr>
          <w:sz w:val="18"/>
        </w:rPr>
        <w:t>Activité Hévéa en retrait de 21% avec des prix du caoutchouc en baisse de 18%</w:t>
      </w:r>
    </w:p>
    <w:p>
      <w:pPr>
        <w:pStyle w:val="ListBullet"/>
        <w:spacing w:before="20" w:after="20"/>
        <w:ind w:left="700"/>
      </w:pPr>
      <w:r>
        <w:rPr>
          <w:sz w:val="18"/>
        </w:rPr>
        <w:t>Résultat net divisé par 2,6 passant de 9,78 à 3,77 milliards FCFA</w:t>
      </w:r>
    </w:p>
    <w:p>
      <w:pPr>
        <w:pStyle w:val="ListBullet"/>
        <w:spacing w:before="20" w:after="20"/>
        <w:ind w:left="700"/>
      </w:pPr>
      <w:r>
        <w:rPr>
          <w:sz w:val="18"/>
        </w:rPr>
        <w:t>Résultat financier déficitaire de -84,9 millions FCFA contre -305,9 millions en 2022</w:t>
      </w:r>
    </w:p>
    <w:p>
      <w:pPr>
        <w:spacing w:before="40"/>
        <w:ind w:left="400"/>
      </w:pPr>
      <w:r>
        <w:rPr>
          <w:b/>
          <w:color w:val="C05000"/>
          <w:sz w:val="18"/>
        </w:rPr>
        <w:t xml:space="preserve">⚠️ Risques : </w:t>
      </w:r>
      <w:r>
        <w:rPr>
          <w:sz w:val="18"/>
        </w:rPr>
        <w:t>["Volatilit\u00e9 continue des prix des mati\u00e8res premi\u00e8res agricoles (huile de palme, caoutchouc)", "Impact persistant de la guerre russo-ukrainienne sur les march\u00e9s internationaux", "Risque de nouvelle d\u00e9gradation des volumes de vente sur les activit\u00e9s principales"]</w:t>
      </w:r>
    </w:p>
    <w:p>
      <w:pPr>
        <w:spacing w:before="40"/>
        <w:ind w:left="400"/>
      </w:pPr>
      <w:r>
        <w:rPr>
          <w:b/>
          <w:color w:val="0064A0"/>
          <w:sz w:val="18"/>
        </w:rPr>
        <w:t xml:space="preserve">🔮 Perspectives : </w:t>
      </w:r>
      <w:r>
        <w:rPr>
          <w:sz w:val="18"/>
        </w:rPr>
        <w:t>La société table sur une maîtrise des charges d'exploitation pour le second semestre dans un contexte international agité. L'évolution des prix des matières premières reste l'enjeu majeur pour la performance future de SOGB.</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d\u00e9montre une croissance exceptionnelle avec un doublement du r\u00e9sultat net et une forte progression du CA. La certification RSPO et la ma\u00eetrise des co\u00fbts positionnent favorablement SOGB sur le march\u00e9 de l'huile de palme durable."}</w:t>
      </w:r>
    </w:p>
    <w:p>
      <w:pPr>
        <w:spacing w:before="40"/>
        <w:ind w:left="400"/>
      </w:pPr>
      <w:r>
        <w:rPr>
          <w:sz w:val="18"/>
        </w:rPr>
        <w:t>SOGB (Société des Caoutchoucs de Grand-Béréby) présente des résultats solides pour le premier semestre 2021 avec une croissance remarquable. Le chiffre d'affaires a progressé de 19,6% à 40,05 milliards FCFA, dépassant significativement les performances de 2020. Le résultat net a bondi de 104,6% pour atteindre 7,54 milliards FCFA, témoignant d'une excellente maîtrise opérationnelle. La société bénéficie de la hausse des prix de vente (+26%) et des volumes vendus (+2%) de ses produits Palmier certifiés RSPO. Les commissaires aux comptes ont délivré une attestation favorable sans réserve sur les états financiers.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'+19,6%', 'impot_sur_resultat': '2,21 milliards FCFA', 'resultat_financier': '-398 millions FCFA', 'resultat_exploitation': '10,15 milliards FCFA', 'croissance_resultat_net': '+104,6%'}</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18,8%</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7,54 milliards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40,05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19,6% au S1 2021 à 40,05 milliards FCFA</w:t>
      </w:r>
    </w:p>
    <w:p>
      <w:pPr>
        <w:pStyle w:val="ListBullet"/>
        <w:spacing w:before="20" w:after="20"/>
        <w:ind w:left="700"/>
      </w:pPr>
      <w:r>
        <w:rPr>
          <w:sz w:val="18"/>
        </w:rPr>
        <w:t>Explosion du résultat net de 104,6% à 7,54 milliards FCFA</w:t>
      </w:r>
    </w:p>
    <w:p>
      <w:pPr>
        <w:pStyle w:val="ListBullet"/>
        <w:spacing w:before="20" w:after="20"/>
        <w:ind w:left="700"/>
      </w:pPr>
      <w:r>
        <w:rPr>
          <w:sz w:val="18"/>
        </w:rPr>
        <w:t>Hausse significative de 26% des prix de vente des produits Palmier</w:t>
      </w:r>
    </w:p>
    <w:p>
      <w:pPr>
        <w:pStyle w:val="ListBullet"/>
        <w:spacing w:before="20" w:after="20"/>
        <w:ind w:left="700"/>
      </w:pPr>
      <w:r>
        <w:rPr>
          <w:sz w:val="18"/>
        </w:rPr>
        <w:t>Croissance des volumes vendus de 2% malgré le contexte COVID-19</w:t>
      </w:r>
    </w:p>
    <w:p>
      <w:pPr>
        <w:pStyle w:val="ListBullet"/>
        <w:spacing w:before="20" w:after="20"/>
        <w:ind w:left="700"/>
      </w:pPr>
      <w:r>
        <w:rPr>
          <w:sz w:val="18"/>
        </w:rPr>
        <w:t>Certification RSPO obtenue pour 25% des parcelles Palmier</w:t>
      </w:r>
    </w:p>
    <w:p>
      <w:pPr>
        <w:pStyle w:val="ListBullet"/>
        <w:spacing w:before="20" w:after="20"/>
        <w:ind w:left="700"/>
      </w:pPr>
      <w:r>
        <w:rPr>
          <w:sz w:val="18"/>
        </w:rPr>
        <w:t>Progression du résultat d'exploitation de 93,6% à 10,15 milliards FCFA</w:t>
      </w:r>
    </w:p>
    <w:p>
      <w:pPr>
        <w:spacing w:before="40"/>
        <w:ind w:left="400"/>
      </w:pPr>
      <w:r>
        <w:rPr>
          <w:b/>
          <w:color w:val="C05000"/>
          <w:sz w:val="18"/>
        </w:rPr>
        <w:t xml:space="preserve">⚠️ Risques : </w:t>
      </w:r>
      <w:r>
        <w:rPr>
          <w:sz w:val="18"/>
        </w:rPr>
        <w:t>["Volatilit\u00e9 des prix des mati\u00e8res premi\u00e8res agricoles sur les march\u00e9s internationaux", "Impact potentiel de la crise COVID-19 sur les op\u00e9rations futures", "D\u00e9pendance aux conditions climatiques pour la production agricole"]</w:t>
      </w:r>
    </w:p>
    <w:p>
      <w:pPr>
        <w:spacing w:before="40"/>
        <w:ind w:left="400"/>
      </w:pPr>
      <w:r>
        <w:rPr>
          <w:b/>
          <w:color w:val="0064A0"/>
          <w:sz w:val="18"/>
        </w:rPr>
        <w:t xml:space="preserve">🔮 Perspectives : </w:t>
      </w:r>
      <w:r>
        <w:rPr>
          <w:sz w:val="18"/>
        </w:rPr>
        <w:t>SOGB devrait poursuivre sa certification RSPO pour renforcer sa position sur le marché de l'huile de palme durable. La société semble bien positionnée pour maintenir sa dynamique de croissance malgré le contexte international incertain lié à la COVID-19.</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en forte hausse et une excellente ma\u00eetrise des co\u00fbts. Le contexte favorable des prix des mati\u00e8res premi\u00e8res soutient la dynamique positive."}</w:t>
      </w:r>
    </w:p>
    <w:p>
      <w:pPr>
        <w:spacing w:before="40"/>
        <w:ind w:left="400"/>
      </w:pPr>
      <w:r>
        <w:rPr>
          <w:sz w:val="18"/>
        </w:rPr>
        <w:t>SOGB affiche une performance exceptionnelle au 30 septembre 2021 avec un chiffre d'affaires de 62,1 milliards FCFA en hausse de 30,1%. Le résultat net bondit de 132,4% à 11,2 milliards FCFA grâce à la hausse des prix du caoutchouc (+21%) et de l'huile de palme (+36%). Les volumes vendus progressent modérément avec +2% pour le caoutchouc et +5% pour l'huile de palme. La société bénéficie d'une très bonne maîtrise des charges d'exploitation. Cette performance reflète un contexte favorable sur les matières premières agricoles.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'21,6 milliards FCFA', 'resultat_activites_ordinaires': '14,8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18,1%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11,2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62,1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croissance de 30,1% à 62,1 milliards FCFA</w:t>
      </w:r>
    </w:p>
    <w:p>
      <w:pPr>
        <w:pStyle w:val="ListBullet"/>
        <w:spacing w:before="20" w:after="20"/>
        <w:ind w:left="700"/>
      </w:pPr>
      <w:r>
        <w:rPr>
          <w:sz w:val="18"/>
        </w:rPr>
        <w:t>Résultat net exceptionnel en hausse de 132,4% à 11,2 milliards FCFA</w:t>
      </w:r>
    </w:p>
    <w:p>
      <w:pPr>
        <w:pStyle w:val="ListBullet"/>
        <w:spacing w:before="20" w:after="20"/>
        <w:ind w:left="700"/>
      </w:pPr>
      <w:r>
        <w:rPr>
          <w:sz w:val="18"/>
        </w:rPr>
        <w:t>Prix de l'huile de palme brute en hausse de 36% sur 9 mois</w:t>
      </w:r>
    </w:p>
    <w:p>
      <w:pPr>
        <w:pStyle w:val="ListBullet"/>
        <w:spacing w:before="20" w:after="20"/>
        <w:ind w:left="700"/>
      </w:pPr>
      <w:r>
        <w:rPr>
          <w:sz w:val="18"/>
        </w:rPr>
        <w:t>Prix du caoutchouc en progression de 21%</w:t>
      </w:r>
    </w:p>
    <w:p>
      <w:pPr>
        <w:pStyle w:val="ListBullet"/>
        <w:spacing w:before="20" w:after="20"/>
        <w:ind w:left="700"/>
      </w:pPr>
      <w:r>
        <w:rPr>
          <w:sz w:val="18"/>
        </w:rPr>
        <w:t>Volumes vendus en légère hausse : +2% caoutchouc, +5% huile de palme</w:t>
      </w:r>
    </w:p>
    <w:p>
      <w:pPr>
        <w:pStyle w:val="ListBullet"/>
        <w:spacing w:before="20" w:after="20"/>
        <w:ind w:left="700"/>
      </w:pPr>
      <w:r>
        <w:rPr>
          <w:sz w:val="18"/>
        </w:rPr>
        <w:t>Excellente maîtrise des charges d'exploitation décaissées</w:t>
      </w:r>
    </w:p>
    <w:p>
      <w:pPr>
        <w:spacing w:before="40"/>
        <w:ind w:left="400"/>
      </w:pPr>
      <w:r>
        <w:rPr>
          <w:b/>
          <w:color w:val="C05000"/>
          <w:sz w:val="18"/>
        </w:rPr>
        <w:t xml:space="preserve">⚠️ Risques : </w:t>
      </w:r>
      <w:r>
        <w:rPr>
          <w:sz w:val="18"/>
        </w:rPr>
        <w:t>["Volatilit\u00e9 des prix des mati\u00e8res premi\u00e8res (caoutchouc et huile de palme)", "D\u00e9pendance aux conditions climatiques pour la production agricole", "Risques g\u00e9opolitiques et commerciaux sur les march\u00e9s d'exportation"]</w:t>
      </w:r>
    </w:p>
    <w:p>
      <w:pPr>
        <w:spacing w:before="40"/>
        <w:ind w:left="400"/>
      </w:pPr>
      <w:r>
        <w:rPr>
          <w:b/>
          <w:color w:val="0064A0"/>
          <w:sz w:val="18"/>
        </w:rPr>
        <w:t xml:space="preserve">🔮 Perspectives : </w:t>
      </w:r>
      <w:r>
        <w:rPr>
          <w:sz w:val="18"/>
        </w:rPr>
        <w:t>Les perspectives restent favorables si les prix des matières premières se maintiennent à des niveaux élevés. La société devrait continuer à bénéficier de sa stratégie de maîtrise des coûts et de l'amélioration de ses volumes de production.</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performance exceptionnelle avec un doublement du r\u00e9sultat net et une am\u00e9lioration continue de la rentabilit\u00e9 justifie un positionnement haussier. La solidit\u00e9 financi\u00e8re et la dynamique de croissance soutenue offrent un potentiel d'appr\u00e9ciation attractif."}</w:t>
      </w:r>
    </w:p>
    <w:p>
      <w:pPr>
        <w:spacing w:before="40"/>
        <w:ind w:left="400"/>
      </w:pPr>
      <w:r>
        <w:rPr>
          <w:sz w:val="18"/>
        </w:rPr>
        <w:t>SOGB affiche une performance financière exceptionnelle en 2021 avec un résultat net de 14,73 milliards FCFA contre 7,65 milliards en 2020, soit une croissance de 92,5%. Le chiffre d'affaires progresse de 33,9% à 81,63 milliards FCFA, témoignant d'une forte dynamique commerciale. La société maintient une structure bilancielle solide avec un total actif de 97 milliards FCFA et des capitaux propres renforcés à 29,90 milliards FCFA. La marge nette s'améliore significativement passant de 23,6% à 25,3%, démontrant une meilleure maîtrise des coûts. Cette performance remarquable positionne SOGB comme un acteur de premier plan sur son marché.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'33,9%', 'tresorerie_nette': '3 170 572 milliers FCFA', 'charges_personnel': '15 019 099 milliers FCFA', 'croissance_resultat_net': '92,5%'}</w:t>
            </w:r>
          </w:p>
        </w:tc>
        <w:tc>
          <w:tcPr>
            <w:tcW w:type="dxa" w:w="2160"/>
          </w:tcPr>
          <w:p>
            <w:pPr>
              <w:ind w:left="100"/>
            </w:pPr>
            <w:r/>
            <w:r>
              <w:rPr>
                <w:b/>
                <w:sz w:val="16"/>
              </w:rPr>
              <w:t>dividende</w:t>
              <w:br/>
            </w:r>
            <w:r>
              <w:rPr>
                <w:sz w:val="18"/>
              </w:rPr>
              <w:t>13 004 308 milliers FCFA</w:t>
            </w:r>
          </w:p>
        </w:tc>
        <w:tc>
          <w:tcPr>
            <w:tcW w:type="dxa" w:w="2160"/>
          </w:tcPr>
          <w:p>
            <w:pPr>
              <w:ind w:left="100"/>
            </w:pPr>
            <w:r/>
            <w:r>
              <w:rPr>
                <w:b/>
                <w:sz w:val="16"/>
              </w:rPr>
              <w:t>marge_nette</w:t>
              <w:br/>
            </w:r>
            <w:r>
              <w:rPr>
                <w:sz w:val="18"/>
              </w:rPr>
              <w:t>25,3%</w:t>
            </w:r>
          </w:p>
        </w:tc>
        <w:tc>
          <w:tcPr>
            <w:tcW w:type="dxa" w:w="2160"/>
          </w:tcPr>
          <w:p>
            <w:pPr>
              <w:ind w:left="100"/>
            </w:pPr>
            <w:r/>
            <w:r>
              <w:rPr>
                <w:b/>
                <w:sz w:val="16"/>
              </w:rPr>
              <w:t>total_actif</w:t>
              <w:br/>
            </w:r>
            <w:r>
              <w:rPr>
                <w:sz w:val="18"/>
              </w:rPr>
              <w:t>97 008 610 milliers FCFA</w:t>
            </w:r>
          </w:p>
        </w:tc>
      </w:tr>
      <w:tr>
        <w:tc>
          <w:tcPr>
            <w:tcW w:type="dxa" w:w="2160"/>
          </w:tcPr>
          <w:p>
            <w:r/>
            <w:r>
              <w:rPr>
                <w:b/>
                <w:sz w:val="16"/>
              </w:rPr>
              <w:t>resultat_net</w:t>
              <w:br/>
            </w:r>
            <w:r>
              <w:rPr>
                <w:sz w:val="18"/>
              </w:rPr>
              <w:t>14 728 280 milliers FCFA</w:t>
            </w:r>
          </w:p>
        </w:tc>
        <w:tc>
          <w:tcPr>
            <w:tcW w:type="dxa" w:w="2160"/>
          </w:tcPr>
          <w:p>
            <w:r/>
            <w:r>
              <w:rPr>
                <w:b/>
                <w:sz w:val="16"/>
              </w:rPr>
              <w:t>capitaux_propres</w:t>
              <w:br/>
            </w:r>
            <w:r>
              <w:rPr>
                <w:sz w:val="18"/>
              </w:rPr>
              <w:t>29 900 516 milliers FCFA</w:t>
            </w:r>
          </w:p>
        </w:tc>
        <w:tc>
          <w:tcPr>
            <w:tcW w:type="dxa" w:w="2160"/>
          </w:tcPr>
          <w:p>
            <w:r/>
            <w:r>
              <w:rPr>
                <w:b/>
                <w:sz w:val="16"/>
              </w:rPr>
              <w:t>chiffre_affaires</w:t>
              <w:br/>
            </w:r>
            <w:r>
              <w:rPr>
                <w:sz w:val="18"/>
              </w:rPr>
              <w:t>81 625 049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Doublement du résultat net : +92,5% à 14,73 milliards FCFA en 2021</w:t>
      </w:r>
    </w:p>
    <w:p>
      <w:pPr>
        <w:pStyle w:val="ListBullet"/>
        <w:spacing w:before="20" w:after="20"/>
        <w:ind w:left="700"/>
      </w:pPr>
      <w:r>
        <w:rPr>
          <w:sz w:val="18"/>
        </w:rPr>
        <w:t>Forte croissance du chiffre d'affaires : +33,9% à 81,63 milliards FCFA</w:t>
      </w:r>
    </w:p>
    <w:p>
      <w:pPr>
        <w:pStyle w:val="ListBullet"/>
        <w:spacing w:before="20" w:after="20"/>
        <w:ind w:left="700"/>
      </w:pPr>
      <w:r>
        <w:rPr>
          <w:sz w:val="18"/>
        </w:rPr>
        <w:t>Amélioration de la marge nette de 23,6% à 25,3%</w:t>
      </w:r>
    </w:p>
    <w:p>
      <w:pPr>
        <w:pStyle w:val="ListBullet"/>
        <w:spacing w:before="20" w:after="20"/>
        <w:ind w:left="700"/>
      </w:pPr>
      <w:r>
        <w:rPr>
          <w:sz w:val="18"/>
        </w:rPr>
        <w:t>Augmentation significative des immobilisations corporelles de 64,5 milliards FCFA</w:t>
      </w:r>
    </w:p>
    <w:p>
      <w:pPr>
        <w:pStyle w:val="ListBullet"/>
        <w:spacing w:before="20" w:after="20"/>
        <w:ind w:left="700"/>
      </w:pPr>
      <w:r>
        <w:rPr>
          <w:sz w:val="18"/>
        </w:rPr>
        <w:t>Progression des capitaux propres de 21,7 milliards à 29,9 milliards FCFA</w:t>
      </w:r>
    </w:p>
    <w:p>
      <w:pPr>
        <w:pStyle w:val="ListBullet"/>
        <w:spacing w:before="20" w:after="20"/>
        <w:ind w:left="700"/>
      </w:pPr>
      <w:r>
        <w:rPr>
          <w:sz w:val="18"/>
        </w:rPr>
        <w:t>Forte croissance des charges du personnel (+21%) reflétant l'expansion</w:t>
      </w:r>
    </w:p>
    <w:p>
      <w:pPr>
        <w:spacing w:before="40"/>
        <w:ind w:left="400"/>
      </w:pPr>
      <w:r>
        <w:rPr>
          <w:b/>
          <w:color w:val="C05000"/>
          <w:sz w:val="18"/>
        </w:rPr>
        <w:t xml:space="preserve">⚠️ Risques : </w:t>
      </w:r>
      <w:r>
        <w:rPr>
          <w:sz w:val="18"/>
        </w:rPr>
        <w:t>["Forte d\u00e9pendance aux prix des mati\u00e8res premi\u00e8res (caoutchouc et huile de palme)", "Exposition aux variations de change et aux conditions climatiques", "Risque de surcapacit\u00e9 avec les importants investissements en immobilisations"]</w:t>
      </w:r>
    </w:p>
    <w:p>
      <w:pPr>
        <w:spacing w:before="40"/>
        <w:ind w:left="400"/>
      </w:pPr>
      <w:r>
        <w:rPr>
          <w:b/>
          <w:color w:val="0064A0"/>
          <w:sz w:val="18"/>
        </w:rPr>
        <w:t xml:space="preserve">🔮 Perspectives : </w:t>
      </w:r>
      <w:r>
        <w:rPr>
          <w:sz w:val="18"/>
        </w:rPr>
        <w:t>La société devrait poursuivre sa trajectoire de croissance portée par ses investissements productifs et l'expansion de ses capacités. La forte génération de cash-flows et la solidité financière permettront de soutenir le développement tout en maintenant une politique de dividende attractive.</w:t>
      </w:r>
    </w:p>
    <w:p/>
    <w:p>
      <w:r>
        <w:t>════════════════════════════════════════════════════════════════════════════════</w:t>
      </w:r>
    </w:p>
    <w:p>
      <w:r>
        <w:br w:type="page"/>
      </w:r>
    </w:p>
    <w:p>
      <w:pPr>
        <w:pStyle w:val="Heading2"/>
        <w:spacing w:before="360"/>
      </w:pPr>
      <w:r>
        <w:rPr>
          <w:color w:val="0066CC"/>
        </w:rPr>
        <w:t>41. SPHC - SPHC - Société Africaine de Plantation d'Hévéas de Côte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SPHC</w:t>
            </w:r>
          </w:p>
          <w:p>
            <w:r>
              <w:rPr>
                <w:b/>
                <w:color w:val="323250"/>
                <w:sz w:val="16"/>
              </w:rPr>
              <w:t xml:space="preserve">Société : </w:t>
            </w:r>
            <w:r>
              <w:rPr>
                <w:color w:val="000000"/>
                <w:sz w:val="16"/>
              </w:rPr>
              <w:t>SPHC - Société Africaine de Plantation d...</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235.13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5,425 titres</w:t>
            </w:r>
          </w:p>
        </w:tc>
        <w:tc>
          <w:tcPr>
            <w:tcW w:type="dxa" w:w="2268"/>
            <w:shd w:fill="FFF2CC" w:val="clear"/>
          </w:tcPr>
          <w:p>
            <w:r>
              <w:rPr>
                <w:b/>
                <w:color w:val="503200"/>
                <w:sz w:val="16"/>
              </w:rPr>
              <w:t xml:space="preserve">Cours actuel : </w:t>
            </w:r>
            <w:r>
              <w:rPr>
                <w:color w:val="000000"/>
                <w:sz w:val="17"/>
              </w:rPr>
              <w:t>9,200 FCFA</w:t>
            </w:r>
          </w:p>
          <w:p>
            <w:r>
              <w:rPr>
                <w:b/>
                <w:color w:val="503200"/>
                <w:sz w:val="16"/>
              </w:rPr>
              <w:t xml:space="preserve">Var. 100 jours : </w:t>
            </w:r>
            <w:r>
              <w:rPr>
                <w:b/>
                <w:color w:val="007800"/>
                <w:sz w:val="17"/>
              </w:rPr>
              <w:t>+32.18%</w:t>
            </w:r>
          </w:p>
          <w:p>
            <w:r>
              <w:rPr>
                <w:b/>
                <w:color w:val="503200"/>
                <w:sz w:val="16"/>
              </w:rPr>
              <w:t xml:space="preserve">Plus haut 100j : </w:t>
            </w:r>
            <w:r>
              <w:rPr>
                <w:color w:val="000000"/>
                <w:sz w:val="17"/>
              </w:rPr>
              <w:t>9,660 FCFA</w:t>
            </w:r>
          </w:p>
          <w:p>
            <w:r>
              <w:rPr>
                <w:b/>
                <w:color w:val="503200"/>
                <w:sz w:val="16"/>
              </w:rPr>
              <w:t xml:space="preserve">Plus bas 100j : </w:t>
            </w:r>
            <w:r>
              <w:rPr>
                <w:color w:val="000000"/>
                <w:sz w:val="17"/>
              </w:rPr>
              <w:t>6,720 FCFA</w:t>
            </w:r>
          </w:p>
          <w:p>
            <w:r>
              <w:rPr>
                <w:b/>
                <w:color w:val="503200"/>
                <w:sz w:val="16"/>
              </w:rPr>
              <w:t xml:space="preserve">Volatilité ann. : </w:t>
            </w:r>
            <w:r>
              <w:rPr>
                <w:color w:val="000000"/>
                <w:sz w:val="17"/>
              </w:rPr>
              <w:t>39.1%</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19.3/100 → Faible</w:t>
      </w:r>
    </w:p>
    <w:p>
      <w:pPr>
        <w:spacing w:before="40" w:after="80"/>
      </w:pPr>
      <w:r>
        <w:rPr>
          <w:rFonts w:ascii="Courier New" w:hAnsi="Courier New"/>
          <w:color w:val="006400"/>
          <w:sz w:val="18"/>
        </w:rPr>
        <w:t>███░░░░░░░░░░░░░░░░░  19.3/100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7.60% (Moyenne) — μ=7,534 FCFA, σ=573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β=1.0902 (Neutre (suit le marché)) — Cov=0.000039, Var(idx)=0.000035, ρ=0.262,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5,425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Achat=2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DEEAF1" w:val="clear"/>
          </w:tcPr>
          <w:p>
            <w:r>
              <w:rPr>
                <w:b/>
                <w:sz w:val="15"/>
              </w:rPr>
              <w:t>σ_j=2.46%/j (Stable) — Vol. annualisée≈39.1%</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19287"/>
            <wp:docPr id="43" name="Picture 43"/>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2026-08-28</w:t>
            </w:r>
          </w:p>
        </w:tc>
        <w:tc>
          <w:tcPr>
            <w:tcW w:type="dxa" w:w="1440"/>
            <w:shd w:fill="FAFAFA" w:val="clear"/>
          </w:tcPr>
          <w:p>
            <w:r>
              <w:rPr>
                <w:sz w:val="17"/>
              </w:rPr>
              <w:t>8,693</w:t>
            </w:r>
          </w:p>
        </w:tc>
        <w:tc>
          <w:tcPr>
            <w:tcW w:type="dxa" w:w="1440"/>
            <w:shd w:fill="FAFAFA" w:val="clear"/>
          </w:tcPr>
          <w:p>
            <w:r>
              <w:rPr>
                <w:b/>
                <w:sz w:val="17"/>
              </w:rPr>
              <w:t>9,129</w:t>
            </w:r>
          </w:p>
        </w:tc>
        <w:tc>
          <w:tcPr>
            <w:tcW w:type="dxa" w:w="1440"/>
            <w:shd w:fill="FAFAFA" w:val="clear"/>
          </w:tcPr>
          <w:p>
            <w:r>
              <w:rPr>
                <w:sz w:val="17"/>
              </w:rPr>
              <w:t>9,566</w:t>
            </w:r>
          </w:p>
        </w:tc>
        <w:tc>
          <w:tcPr>
            <w:tcW w:type="dxa" w:w="1440"/>
            <w:shd w:fill="FAFAFA" w:val="clear"/>
          </w:tcPr>
          <w:p>
            <w:r>
              <w:rPr>
                <w:b/>
                <w:color w:val="C00000"/>
                <w:sz w:val="17"/>
              </w:rPr>
              <w:t>-0.8%</w:t>
            </w:r>
          </w:p>
        </w:tc>
      </w:tr>
      <w:tr>
        <w:tc>
          <w:tcPr>
            <w:tcW w:type="dxa" w:w="1440"/>
            <w:shd w:fill="FAFAFA" w:val="clear"/>
          </w:tcPr>
          <w:p>
            <w:r>
              <w:rPr>
                <w:sz w:val="17"/>
              </w:rPr>
              <w:t>J+2  Moyenne</w:t>
            </w:r>
          </w:p>
        </w:tc>
        <w:tc>
          <w:tcPr>
            <w:tcW w:type="dxa" w:w="1440"/>
            <w:shd w:fill="FAFAFA" w:val="clear"/>
          </w:tcPr>
          <w:p>
            <w:r>
              <w:rPr>
                <w:sz w:val="17"/>
              </w:rPr>
              <w:t>2026-08-31</w:t>
            </w:r>
          </w:p>
        </w:tc>
        <w:tc>
          <w:tcPr>
            <w:tcW w:type="dxa" w:w="1440"/>
            <w:shd w:fill="FAFAFA" w:val="clear"/>
          </w:tcPr>
          <w:p>
            <w:r>
              <w:rPr>
                <w:sz w:val="17"/>
              </w:rPr>
              <w:t>8,479</w:t>
            </w:r>
          </w:p>
        </w:tc>
        <w:tc>
          <w:tcPr>
            <w:tcW w:type="dxa" w:w="1440"/>
            <w:shd w:fill="FAFAFA" w:val="clear"/>
          </w:tcPr>
          <w:p>
            <w:r>
              <w:rPr>
                <w:b/>
                <w:sz w:val="17"/>
              </w:rPr>
              <w:t>9,093</w:t>
            </w:r>
          </w:p>
        </w:tc>
        <w:tc>
          <w:tcPr>
            <w:tcW w:type="dxa" w:w="1440"/>
            <w:shd w:fill="FAFAFA" w:val="clear"/>
          </w:tcPr>
          <w:p>
            <w:r>
              <w:rPr>
                <w:sz w:val="17"/>
              </w:rPr>
              <w:t>9,708</w:t>
            </w:r>
          </w:p>
        </w:tc>
        <w:tc>
          <w:tcPr>
            <w:tcW w:type="dxa" w:w="1440"/>
            <w:shd w:fill="FAFAFA" w:val="clear"/>
          </w:tcPr>
          <w:p>
            <w:r>
              <w:rPr>
                <w:b/>
                <w:color w:val="C00000"/>
                <w:sz w:val="17"/>
              </w:rPr>
              <w:t>-1.2%</w:t>
            </w:r>
          </w:p>
        </w:tc>
      </w:tr>
      <w:tr>
        <w:tc>
          <w:tcPr>
            <w:tcW w:type="dxa" w:w="1440"/>
            <w:shd w:fill="FAFAFA" w:val="clear"/>
          </w:tcPr>
          <w:p>
            <w:r>
              <w:rPr>
                <w:sz w:val="17"/>
              </w:rPr>
              <w:t>J+3  Moyenne</w:t>
            </w:r>
          </w:p>
        </w:tc>
        <w:tc>
          <w:tcPr>
            <w:tcW w:type="dxa" w:w="1440"/>
            <w:shd w:fill="FAFAFA" w:val="clear"/>
          </w:tcPr>
          <w:p>
            <w:r>
              <w:rPr>
                <w:sz w:val="17"/>
              </w:rPr>
              <w:t>2026-09-01</w:t>
            </w:r>
          </w:p>
        </w:tc>
        <w:tc>
          <w:tcPr>
            <w:tcW w:type="dxa" w:w="1440"/>
            <w:shd w:fill="FAFAFA" w:val="clear"/>
          </w:tcPr>
          <w:p>
            <w:r>
              <w:rPr>
                <w:sz w:val="17"/>
              </w:rPr>
              <w:t>8,306</w:t>
            </w:r>
          </w:p>
        </w:tc>
        <w:tc>
          <w:tcPr>
            <w:tcW w:type="dxa" w:w="1440"/>
            <w:shd w:fill="FAFAFA" w:val="clear"/>
          </w:tcPr>
          <w:p>
            <w:r>
              <w:rPr>
                <w:b/>
                <w:sz w:val="17"/>
              </w:rPr>
              <w:t>9,056</w:t>
            </w:r>
          </w:p>
        </w:tc>
        <w:tc>
          <w:tcPr>
            <w:tcW w:type="dxa" w:w="1440"/>
            <w:shd w:fill="FAFAFA" w:val="clear"/>
          </w:tcPr>
          <w:p>
            <w:r>
              <w:rPr>
                <w:sz w:val="17"/>
              </w:rPr>
              <w:t>9,806</w:t>
            </w:r>
          </w:p>
        </w:tc>
        <w:tc>
          <w:tcPr>
            <w:tcW w:type="dxa" w:w="1440"/>
            <w:shd w:fill="FAFAFA" w:val="clear"/>
          </w:tcPr>
          <w:p>
            <w:r>
              <w:rPr>
                <w:b/>
                <w:color w:val="C00000"/>
                <w:sz w:val="17"/>
              </w:rPr>
              <w:t>-1.6%</w:t>
            </w:r>
          </w:p>
        </w:tc>
      </w:tr>
      <w:tr>
        <w:tc>
          <w:tcPr>
            <w:tcW w:type="dxa" w:w="1440"/>
            <w:shd w:fill="FAFAFA" w:val="clear"/>
          </w:tcPr>
          <w:p>
            <w:r>
              <w:rPr>
                <w:sz w:val="17"/>
              </w:rPr>
              <w:t>J+4  ⭐</w:t>
            </w:r>
          </w:p>
        </w:tc>
        <w:tc>
          <w:tcPr>
            <w:tcW w:type="dxa" w:w="1440"/>
            <w:shd w:fill="FAFAFA" w:val="clear"/>
          </w:tcPr>
          <w:p>
            <w:r>
              <w:rPr>
                <w:sz w:val="17"/>
              </w:rPr>
              <w:t>2026-09-02</w:t>
            </w:r>
          </w:p>
        </w:tc>
        <w:tc>
          <w:tcPr>
            <w:tcW w:type="dxa" w:w="1440"/>
            <w:shd w:fill="FAFAFA" w:val="clear"/>
          </w:tcPr>
          <w:p>
            <w:r>
              <w:rPr>
                <w:sz w:val="17"/>
              </w:rPr>
              <w:t>8,158</w:t>
            </w:r>
          </w:p>
        </w:tc>
        <w:tc>
          <w:tcPr>
            <w:tcW w:type="dxa" w:w="1440"/>
            <w:shd w:fill="FAFAFA" w:val="clear"/>
          </w:tcPr>
          <w:p>
            <w:r>
              <w:rPr>
                <w:b/>
                <w:sz w:val="17"/>
              </w:rPr>
              <w:t>9,020</w:t>
            </w:r>
          </w:p>
        </w:tc>
        <w:tc>
          <w:tcPr>
            <w:tcW w:type="dxa" w:w="1440"/>
            <w:shd w:fill="FAFAFA" w:val="clear"/>
          </w:tcPr>
          <w:p>
            <w:r>
              <w:rPr>
                <w:sz w:val="17"/>
              </w:rPr>
              <w:t>9,882</w:t>
            </w:r>
          </w:p>
        </w:tc>
        <w:tc>
          <w:tcPr>
            <w:tcW w:type="dxa" w:w="1440"/>
            <w:shd w:fill="FAFAFA" w:val="clear"/>
          </w:tcPr>
          <w:p>
            <w:r>
              <w:rPr>
                <w:b/>
                <w:color w:val="C00000"/>
                <w:sz w:val="17"/>
              </w:rPr>
              <w:t>-2.0%</w:t>
            </w:r>
          </w:p>
        </w:tc>
      </w:tr>
      <w:tr>
        <w:tc>
          <w:tcPr>
            <w:tcW w:type="dxa" w:w="1440"/>
            <w:shd w:fill="FFDCE0" w:val="clear"/>
          </w:tcPr>
          <w:p>
            <w:r>
              <w:rPr>
                <w:sz w:val="17"/>
              </w:rPr>
              <w:t>J+5  ⭐</w:t>
            </w:r>
          </w:p>
        </w:tc>
        <w:tc>
          <w:tcPr>
            <w:tcW w:type="dxa" w:w="1440"/>
            <w:shd w:fill="FFDCE0" w:val="clear"/>
          </w:tcPr>
          <w:p>
            <w:r>
              <w:rPr>
                <w:sz w:val="17"/>
              </w:rPr>
              <w:t>2026-09-03</w:t>
            </w:r>
          </w:p>
        </w:tc>
        <w:tc>
          <w:tcPr>
            <w:tcW w:type="dxa" w:w="1440"/>
            <w:shd w:fill="FFDCE0" w:val="clear"/>
          </w:tcPr>
          <w:p>
            <w:r>
              <w:rPr>
                <w:sz w:val="17"/>
              </w:rPr>
              <w:t>8,023</w:t>
            </w:r>
          </w:p>
        </w:tc>
        <w:tc>
          <w:tcPr>
            <w:tcW w:type="dxa" w:w="1440"/>
            <w:shd w:fill="FFDCE0" w:val="clear"/>
          </w:tcPr>
          <w:p>
            <w:r>
              <w:rPr>
                <w:b/>
                <w:sz w:val="17"/>
              </w:rPr>
              <w:t>8,984</w:t>
            </w:r>
          </w:p>
        </w:tc>
        <w:tc>
          <w:tcPr>
            <w:tcW w:type="dxa" w:w="1440"/>
            <w:shd w:fill="FFDCE0" w:val="clear"/>
          </w:tcPr>
          <w:p>
            <w:r>
              <w:rPr>
                <w:sz w:val="17"/>
              </w:rPr>
              <w:t>9,944</w:t>
            </w:r>
          </w:p>
        </w:tc>
        <w:tc>
          <w:tcPr>
            <w:tcW w:type="dxa" w:w="1440"/>
            <w:shd w:fill="FFDCE0" w:val="clear"/>
          </w:tcPr>
          <w:p>
            <w:r>
              <w:rPr>
                <w:b/>
                <w:color w:val="C00000"/>
                <w:sz w:val="17"/>
              </w:rPr>
              <w:t>-2.4%</w:t>
            </w:r>
          </w:p>
        </w:tc>
      </w:tr>
      <w:tr>
        <w:tc>
          <w:tcPr>
            <w:tcW w:type="dxa" w:w="1440"/>
            <w:shd w:fill="FFDCE0" w:val="clear"/>
          </w:tcPr>
          <w:p>
            <w:r>
              <w:rPr>
                <w:sz w:val="17"/>
              </w:rPr>
              <w:t>J+6  ⭐</w:t>
            </w:r>
          </w:p>
        </w:tc>
        <w:tc>
          <w:tcPr>
            <w:tcW w:type="dxa" w:w="1440"/>
            <w:shd w:fill="FFDCE0" w:val="clear"/>
          </w:tcPr>
          <w:p>
            <w:r>
              <w:rPr>
                <w:sz w:val="17"/>
              </w:rPr>
              <w:t>2026-09-04</w:t>
            </w:r>
          </w:p>
        </w:tc>
        <w:tc>
          <w:tcPr>
            <w:tcW w:type="dxa" w:w="1440"/>
            <w:shd w:fill="FFDCE0" w:val="clear"/>
          </w:tcPr>
          <w:p>
            <w:r>
              <w:rPr>
                <w:sz w:val="17"/>
              </w:rPr>
              <w:t>7,900</w:t>
            </w:r>
          </w:p>
        </w:tc>
        <w:tc>
          <w:tcPr>
            <w:tcW w:type="dxa" w:w="1440"/>
            <w:shd w:fill="FFDCE0" w:val="clear"/>
          </w:tcPr>
          <w:p>
            <w:r>
              <w:rPr>
                <w:b/>
                <w:sz w:val="17"/>
              </w:rPr>
              <w:t>8,948</w:t>
            </w:r>
          </w:p>
        </w:tc>
        <w:tc>
          <w:tcPr>
            <w:tcW w:type="dxa" w:w="1440"/>
            <w:shd w:fill="FFDCE0" w:val="clear"/>
          </w:tcPr>
          <w:p>
            <w:r>
              <w:rPr>
                <w:sz w:val="17"/>
              </w:rPr>
              <w:t>9,995</w:t>
            </w:r>
          </w:p>
        </w:tc>
        <w:tc>
          <w:tcPr>
            <w:tcW w:type="dxa" w:w="1440"/>
            <w:shd w:fill="FFDCE0" w:val="clear"/>
          </w:tcPr>
          <w:p>
            <w:r>
              <w:rPr>
                <w:b/>
                <w:color w:val="C00000"/>
                <w:sz w:val="17"/>
              </w:rPr>
              <w:t>-2.7%</w:t>
            </w:r>
          </w:p>
        </w:tc>
      </w:tr>
      <w:tr>
        <w:tc>
          <w:tcPr>
            <w:tcW w:type="dxa" w:w="1440"/>
            <w:shd w:fill="FFDCE0" w:val="clear"/>
          </w:tcPr>
          <w:p>
            <w:r>
              <w:rPr>
                <w:sz w:val="17"/>
              </w:rPr>
              <w:t>J+7  ⭐</w:t>
            </w:r>
          </w:p>
        </w:tc>
        <w:tc>
          <w:tcPr>
            <w:tcW w:type="dxa" w:w="1440"/>
            <w:shd w:fill="FFDCE0" w:val="clear"/>
          </w:tcPr>
          <w:p>
            <w:r>
              <w:rPr>
                <w:sz w:val="17"/>
              </w:rPr>
              <w:t>2026-09-07</w:t>
            </w:r>
          </w:p>
        </w:tc>
        <w:tc>
          <w:tcPr>
            <w:tcW w:type="dxa" w:w="1440"/>
            <w:shd w:fill="FFDCE0" w:val="clear"/>
          </w:tcPr>
          <w:p>
            <w:r>
              <w:rPr>
                <w:sz w:val="17"/>
              </w:rPr>
              <w:t>7,785</w:t>
            </w:r>
          </w:p>
        </w:tc>
        <w:tc>
          <w:tcPr>
            <w:tcW w:type="dxa" w:w="1440"/>
            <w:shd w:fill="FFDCE0" w:val="clear"/>
          </w:tcPr>
          <w:p>
            <w:r>
              <w:rPr>
                <w:b/>
                <w:sz w:val="17"/>
              </w:rPr>
              <w:t>8,912</w:t>
            </w:r>
          </w:p>
        </w:tc>
        <w:tc>
          <w:tcPr>
            <w:tcW w:type="dxa" w:w="1440"/>
            <w:shd w:fill="FFDCE0" w:val="clear"/>
          </w:tcPr>
          <w:p>
            <w:r>
              <w:rPr>
                <w:sz w:val="17"/>
              </w:rPr>
              <w:t>10,039</w:t>
            </w:r>
          </w:p>
        </w:tc>
        <w:tc>
          <w:tcPr>
            <w:tcW w:type="dxa" w:w="1440"/>
            <w:shd w:fill="FFDCE0" w:val="clear"/>
          </w:tcPr>
          <w:p>
            <w:r>
              <w:rPr>
                <w:b/>
                <w:color w:val="C00000"/>
                <w:sz w:val="17"/>
              </w:rPr>
              <w:t>-3.1%</w:t>
            </w:r>
          </w:p>
        </w:tc>
      </w:tr>
      <w:tr>
        <w:tc>
          <w:tcPr>
            <w:tcW w:type="dxa" w:w="1440"/>
            <w:shd w:fill="FFDCE0" w:val="clear"/>
          </w:tcPr>
          <w:p>
            <w:r>
              <w:rPr>
                <w:sz w:val="17"/>
              </w:rPr>
              <w:t>J+8  ⭐</w:t>
            </w:r>
          </w:p>
        </w:tc>
        <w:tc>
          <w:tcPr>
            <w:tcW w:type="dxa" w:w="1440"/>
            <w:shd w:fill="FFDCE0" w:val="clear"/>
          </w:tcPr>
          <w:p>
            <w:r>
              <w:rPr>
                <w:sz w:val="17"/>
              </w:rPr>
              <w:t>2026-09-08</w:t>
            </w:r>
          </w:p>
        </w:tc>
        <w:tc>
          <w:tcPr>
            <w:tcW w:type="dxa" w:w="1440"/>
            <w:shd w:fill="FFDCE0" w:val="clear"/>
          </w:tcPr>
          <w:p>
            <w:r>
              <w:rPr>
                <w:sz w:val="17"/>
              </w:rPr>
              <w:t>7,677</w:t>
            </w:r>
          </w:p>
        </w:tc>
        <w:tc>
          <w:tcPr>
            <w:tcW w:type="dxa" w:w="1440"/>
            <w:shd w:fill="FFDCE0" w:val="clear"/>
          </w:tcPr>
          <w:p>
            <w:r>
              <w:rPr>
                <w:b/>
                <w:sz w:val="17"/>
              </w:rPr>
              <w:t>8,877</w:t>
            </w:r>
          </w:p>
        </w:tc>
        <w:tc>
          <w:tcPr>
            <w:tcW w:type="dxa" w:w="1440"/>
            <w:shd w:fill="FFDCE0" w:val="clear"/>
          </w:tcPr>
          <w:p>
            <w:r>
              <w:rPr>
                <w:sz w:val="17"/>
              </w:rPr>
              <w:t>10,077</w:t>
            </w:r>
          </w:p>
        </w:tc>
        <w:tc>
          <w:tcPr>
            <w:tcW w:type="dxa" w:w="1440"/>
            <w:shd w:fill="FFDCE0" w:val="clear"/>
          </w:tcPr>
          <w:p>
            <w:r>
              <w:rPr>
                <w:b/>
                <w:color w:val="C00000"/>
                <w:sz w:val="17"/>
              </w:rPr>
              <w:t>-3.5%</w:t>
            </w:r>
          </w:p>
        </w:tc>
      </w:tr>
      <w:tr>
        <w:tc>
          <w:tcPr>
            <w:tcW w:type="dxa" w:w="1440"/>
            <w:shd w:fill="FFDCE0" w:val="clear"/>
          </w:tcPr>
          <w:p>
            <w:r>
              <w:rPr>
                <w:sz w:val="17"/>
              </w:rPr>
              <w:t>J+9  ⭐</w:t>
            </w:r>
          </w:p>
        </w:tc>
        <w:tc>
          <w:tcPr>
            <w:tcW w:type="dxa" w:w="1440"/>
            <w:shd w:fill="FFDCE0" w:val="clear"/>
          </w:tcPr>
          <w:p>
            <w:r>
              <w:rPr>
                <w:sz w:val="17"/>
              </w:rPr>
              <w:t>2026-09-09</w:t>
            </w:r>
          </w:p>
        </w:tc>
        <w:tc>
          <w:tcPr>
            <w:tcW w:type="dxa" w:w="1440"/>
            <w:shd w:fill="FFDCE0" w:val="clear"/>
          </w:tcPr>
          <w:p>
            <w:r>
              <w:rPr>
                <w:sz w:val="17"/>
              </w:rPr>
              <w:t>7,575</w:t>
            </w:r>
          </w:p>
        </w:tc>
        <w:tc>
          <w:tcPr>
            <w:tcW w:type="dxa" w:w="1440"/>
            <w:shd w:fill="FFDCE0" w:val="clear"/>
          </w:tcPr>
          <w:p>
            <w:r>
              <w:rPr>
                <w:b/>
                <w:sz w:val="17"/>
              </w:rPr>
              <w:t>8,843</w:t>
            </w:r>
          </w:p>
        </w:tc>
        <w:tc>
          <w:tcPr>
            <w:tcW w:type="dxa" w:w="1440"/>
            <w:shd w:fill="FFDCE0" w:val="clear"/>
          </w:tcPr>
          <w:p>
            <w:r>
              <w:rPr>
                <w:sz w:val="17"/>
              </w:rPr>
              <w:t>10,110</w:t>
            </w:r>
          </w:p>
        </w:tc>
        <w:tc>
          <w:tcPr>
            <w:tcW w:type="dxa" w:w="1440"/>
            <w:shd w:fill="FFDCE0" w:val="clear"/>
          </w:tcPr>
          <w:p>
            <w:r>
              <w:rPr>
                <w:b/>
                <w:color w:val="C00000"/>
                <w:sz w:val="17"/>
              </w:rPr>
              <w:t>-3.9%</w:t>
            </w:r>
          </w:p>
        </w:tc>
      </w:tr>
      <w:tr>
        <w:tc>
          <w:tcPr>
            <w:tcW w:type="dxa" w:w="1440"/>
            <w:shd w:fill="FFDCE0" w:val="clear"/>
          </w:tcPr>
          <w:p>
            <w:r>
              <w:rPr>
                <w:sz w:val="17"/>
              </w:rPr>
              <w:t>J+10  ⭐</w:t>
            </w:r>
          </w:p>
        </w:tc>
        <w:tc>
          <w:tcPr>
            <w:tcW w:type="dxa" w:w="1440"/>
            <w:shd w:fill="FFDCE0" w:val="clear"/>
          </w:tcPr>
          <w:p>
            <w:r>
              <w:rPr>
                <w:sz w:val="17"/>
              </w:rPr>
              <w:t>2026-09-10</w:t>
            </w:r>
          </w:p>
        </w:tc>
        <w:tc>
          <w:tcPr>
            <w:tcW w:type="dxa" w:w="1440"/>
            <w:shd w:fill="FFDCE0" w:val="clear"/>
          </w:tcPr>
          <w:p>
            <w:r>
              <w:rPr>
                <w:sz w:val="17"/>
              </w:rPr>
              <w:t>7,477</w:t>
            </w:r>
          </w:p>
        </w:tc>
        <w:tc>
          <w:tcPr>
            <w:tcW w:type="dxa" w:w="1440"/>
            <w:shd w:fill="FFDCE0" w:val="clear"/>
          </w:tcPr>
          <w:p>
            <w:r>
              <w:rPr>
                <w:b/>
                <w:sz w:val="17"/>
              </w:rPr>
              <w:t>8,809</w:t>
            </w:r>
          </w:p>
        </w:tc>
        <w:tc>
          <w:tcPr>
            <w:tcW w:type="dxa" w:w="1440"/>
            <w:shd w:fill="FFDCE0" w:val="clear"/>
          </w:tcPr>
          <w:p>
            <w:r>
              <w:rPr>
                <w:sz w:val="17"/>
              </w:rPr>
              <w:t>10,140</w:t>
            </w:r>
          </w:p>
        </w:tc>
        <w:tc>
          <w:tcPr>
            <w:tcW w:type="dxa" w:w="1440"/>
            <w:shd w:fill="FFDCE0" w:val="clear"/>
          </w:tcPr>
          <w:p>
            <w:r>
              <w:rPr>
                <w:b/>
                <w:color w:val="C00000"/>
                <w:sz w:val="17"/>
              </w:rPr>
              <w:t>-4.3%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33.135 Mds FCFA</w:t>
            </w:r>
          </w:p>
        </w:tc>
        <w:tc>
          <w:tcPr>
            <w:tcW w:type="dxa" w:w="5669"/>
            <w:shd w:fill="FFFFFF" w:val="clear"/>
          </w:tcPr>
          <w:p>
            <w:r>
              <w:rPr>
                <w:color w:val="282828"/>
                <w:sz w:val="15"/>
              </w:rPr>
              <w:t>Créances clients = 9.7%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68.480 Mds FCFA</w:t>
            </w:r>
          </w:p>
        </w:tc>
        <w:tc>
          <w:tcPr>
            <w:tcW w:type="dxa" w:w="5669"/>
            <w:shd w:fill="FFFFFF" w:val="clear"/>
          </w:tcPr>
          <w:p>
            <w:r>
              <w:rPr>
                <w:color w:val="282828"/>
                <w:sz w:val="15"/>
              </w:rPr>
              <w:t>Rotation stocks = 5.0x/an. ✅ Bonne rotation, stock bien dimensionné.</w:t>
            </w:r>
          </w:p>
        </w:tc>
      </w:tr>
      <w:tr>
        <w:tc>
          <w:tcPr>
            <w:tcW w:type="dxa" w:w="2268"/>
            <w:shd w:fill="EEF2F7" w:val="clear"/>
          </w:tcPr>
          <w:p>
            <w:r>
              <w:rPr>
                <w:b/>
                <w:color w:val="1E1E3C"/>
                <w:sz w:val="16"/>
              </w:rPr>
              <w:t>Actif circulant</w:t>
            </w:r>
          </w:p>
        </w:tc>
        <w:tc>
          <w:tcPr>
            <w:tcW w:type="dxa" w:w="1984"/>
            <w:shd w:fill="C6EFCE" w:val="clear"/>
          </w:tcPr>
          <w:p>
            <w:r>
              <w:rPr>
                <w:b/>
                <w:color w:val="006400"/>
                <w:sz w:val="17"/>
              </w:rPr>
              <w:t>101.615 Mds FCFA</w:t>
            </w:r>
          </w:p>
        </w:tc>
        <w:tc>
          <w:tcPr>
            <w:tcW w:type="dxa" w:w="5669"/>
            <w:shd w:fill="FFFFFF" w:val="clear"/>
          </w:tcPr>
          <w:p>
            <w:r>
              <w:rPr>
                <w:color w:val="282828"/>
                <w:sz w:val="15"/>
              </w:rPr>
              <w:t>Ratio actif circ./passif circ. = 2.81x. ✅ Couverture satisfaisante des dettes court terme.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8.911 Mds FCFA</w:t>
            </w:r>
          </w:p>
        </w:tc>
        <w:tc>
          <w:tcPr>
            <w:tcW w:type="dxa" w:w="5669"/>
            <w:shd w:fill="FFFFFF" w:val="clear"/>
          </w:tcPr>
          <w:p>
            <w:r>
              <w:rPr>
                <w:color w:val="282828"/>
                <w:sz w:val="15"/>
              </w:rPr>
              <w:t>Brevets, logiciels, fonds commercial (3.9%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108.024 Mds FCFA</w:t>
            </w:r>
          </w:p>
        </w:tc>
        <w:tc>
          <w:tcPr>
            <w:tcW w:type="dxa" w:w="5669"/>
            <w:shd w:fill="FFFFFF" w:val="clear"/>
          </w:tcPr>
          <w:p>
            <w:r>
              <w:rPr>
                <w:color w:val="282828"/>
                <w:sz w:val="15"/>
              </w:rPr>
              <w:t>Outil industriel (47.8%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123.560 Mds FCFA</w:t>
            </w:r>
          </w:p>
        </w:tc>
        <w:tc>
          <w:tcPr>
            <w:tcW w:type="dxa" w:w="5669"/>
            <w:shd w:fill="FFFFFF" w:val="clear"/>
          </w:tcPr>
          <w:p>
            <w:r>
              <w:rPr>
                <w:color w:val="282828"/>
                <w:sz w:val="15"/>
              </w:rPr>
              <w:t>Actif immobilisé = 54.7%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668.17 M FCFA</w:t>
            </w:r>
          </w:p>
        </w:tc>
        <w:tc>
          <w:tcPr>
            <w:tcW w:type="dxa" w:w="5669"/>
            <w:shd w:fill="FFFFFF" w:val="clear"/>
          </w:tcPr>
          <w:p>
            <w:r>
              <w:rPr>
                <w:color w:val="282828"/>
                <w:sz w:val="15"/>
              </w:rPr>
              <w:t>Liquidités disponibles (0.3%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225.843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14.594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89.722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137.937 Mds FCFA</w:t>
            </w:r>
          </w:p>
        </w:tc>
        <w:tc>
          <w:tcPr>
            <w:tcW w:type="dxa" w:w="5669"/>
            <w:shd w:fill="FFFFFF" w:val="clear"/>
          </w:tcPr>
          <w:p>
            <w:r>
              <w:rPr>
                <w:color w:val="282828"/>
                <w:sz w:val="15"/>
              </w:rPr>
              <w:t>Fonds propres = 61.1%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173.536 Mds FCFA</w:t>
            </w:r>
          </w:p>
        </w:tc>
        <w:tc>
          <w:tcPr>
            <w:tcW w:type="dxa" w:w="5669"/>
            <w:shd w:fill="FFFFFF" w:val="clear"/>
          </w:tcPr>
          <w:p>
            <w:r>
              <w:rPr>
                <w:color w:val="282828"/>
                <w:sz w:val="15"/>
              </w:rPr>
              <w:t>Capitaux permanents / Actif immobilisé = 1.40x.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35.599 Mds FCFA</w:t>
            </w:r>
          </w:p>
        </w:tc>
        <w:tc>
          <w:tcPr>
            <w:tcW w:type="dxa" w:w="5669"/>
            <w:shd w:fill="FFFFFF" w:val="clear"/>
          </w:tcPr>
          <w:p>
            <w:r>
              <w:rPr>
                <w:color w:val="282828"/>
                <w:sz w:val="15"/>
              </w:rPr>
              <w:t>Dette LT/MT = 26%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35.599 Mds FCFA</w:t>
            </w:r>
          </w:p>
        </w:tc>
        <w:tc>
          <w:tcPr>
            <w:tcW w:type="dxa" w:w="5669"/>
            <w:shd w:fill="FFFFFF" w:val="clear"/>
          </w:tcPr>
          <w:p>
            <w:r>
              <w:rPr>
                <w:color w:val="282828"/>
                <w:sz w:val="15"/>
              </w:rPr>
              <w:t>Dette financière totale = 26%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87.906 Mds FCFA</w:t>
            </w:r>
          </w:p>
        </w:tc>
        <w:tc>
          <w:tcPr>
            <w:tcW w:type="dxa" w:w="5669"/>
            <w:shd w:fill="FFFFFF" w:val="clear"/>
          </w:tcPr>
          <w:p>
            <w:r>
              <w:rPr>
                <w:color w:val="282828"/>
                <w:sz w:val="15"/>
              </w:rPr>
              <w:t>Dettes totales = 38.9%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340.831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340.831 Mds FCFA</w:t>
            </w:r>
          </w:p>
        </w:tc>
        <w:tc>
          <w:tcPr>
            <w:tcW w:type="dxa" w:w="5669"/>
            <w:shd w:fill="FFFFFF" w:val="clear"/>
          </w:tcPr>
          <w:p>
            <w:r>
              <w:rPr>
                <w:color w:val="282828"/>
                <w:sz w:val="15"/>
              </w:rPr>
              <w:t>Chiffre d'affaires. Croissance: 22.0%.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12.209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32.520 Mds FCFA</w:t>
            </w:r>
          </w:p>
        </w:tc>
        <w:tc>
          <w:tcPr>
            <w:tcW w:type="dxa" w:w="5669"/>
            <w:shd w:fill="FFFFFF" w:val="clear"/>
          </w:tcPr>
          <w:p>
            <w:r>
              <w:rPr>
                <w:color w:val="282828"/>
                <w:sz w:val="15"/>
              </w:rPr>
              <w:t>Masse salariale = 9.5% des revenus. ✅ Productivité par employé satisfaisante.</w:t>
            </w:r>
          </w:p>
        </w:tc>
      </w:tr>
      <w:tr>
        <w:tc>
          <w:tcPr>
            <w:tcW w:type="dxa" w:w="2268"/>
            <w:shd w:fill="EEF2F7" w:val="clear"/>
          </w:tcPr>
          <w:p>
            <w:r>
              <w:rPr>
                <w:b/>
                <w:color w:val="1E1E3C"/>
                <w:sz w:val="16"/>
              </w:rPr>
              <w:t>Valeur Ajoutée (VA)</w:t>
            </w:r>
          </w:p>
        </w:tc>
        <w:tc>
          <w:tcPr>
            <w:tcW w:type="dxa" w:w="1984"/>
            <w:shd w:fill="DEEAF1" w:val="clear"/>
          </w:tcPr>
          <w:p>
            <w:r>
              <w:rPr>
                <w:b/>
                <w:color w:val="006400"/>
                <w:sz w:val="17"/>
              </w:rPr>
              <w:t>82.192 Mds FCFA</w:t>
            </w:r>
          </w:p>
        </w:tc>
        <w:tc>
          <w:tcPr>
            <w:tcW w:type="dxa" w:w="5669"/>
            <w:shd w:fill="FFFFFF" w:val="clear"/>
          </w:tcPr>
          <w:p>
            <w:r>
              <w:rPr>
                <w:color w:val="282828"/>
                <w:sz w:val="15"/>
              </w:rPr>
              <w:t>VA = 24.1% du CA. ℹ️ VA standard pour le secteur.</w:t>
            </w:r>
          </w:p>
        </w:tc>
      </w:tr>
      <w:tr>
        <w:tc>
          <w:tcPr>
            <w:tcW w:type="dxa" w:w="2268"/>
            <w:shd w:fill="EEF2F7" w:val="clear"/>
          </w:tcPr>
          <w:p>
            <w:r>
              <w:rPr>
                <w:b/>
                <w:color w:val="1E1E3C"/>
                <w:sz w:val="16"/>
              </w:rPr>
              <w:t>EBE</w:t>
            </w:r>
          </w:p>
        </w:tc>
        <w:tc>
          <w:tcPr>
            <w:tcW w:type="dxa" w:w="1984"/>
            <w:shd w:fill="C6EFCE" w:val="clear"/>
          </w:tcPr>
          <w:p>
            <w:r>
              <w:rPr>
                <w:b/>
                <w:color w:val="006400"/>
                <w:sz w:val="17"/>
              </w:rPr>
              <w:t>49.672 Mds FCFA</w:t>
            </w:r>
          </w:p>
        </w:tc>
        <w:tc>
          <w:tcPr>
            <w:tcW w:type="dxa" w:w="5669"/>
            <w:shd w:fill="FFFFFF" w:val="clear"/>
          </w:tcPr>
          <w:p>
            <w:r>
              <w:rPr>
                <w:color w:val="282828"/>
                <w:sz w:val="15"/>
              </w:rPr>
              <w:t>EBE = 14.6%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38.134 Mds FCFA</w:t>
            </w:r>
          </w:p>
        </w:tc>
        <w:tc>
          <w:tcPr>
            <w:tcW w:type="dxa" w:w="5669"/>
            <w:shd w:fill="FFFFFF" w:val="clear"/>
          </w:tcPr>
          <w:p>
            <w:r>
              <w:rPr>
                <w:color w:val="282828"/>
                <w:sz w:val="15"/>
              </w:rPr>
              <w:t>Profit d'exploitation = 11.2% des revenus. ✅ Rentabilité opérationnelle solide.</w:t>
            </w:r>
          </w:p>
        </w:tc>
      </w:tr>
      <w:tr>
        <w:tc>
          <w:tcPr>
            <w:tcW w:type="dxa" w:w="2268"/>
            <w:shd w:fill="EEF2F7" w:val="clear"/>
          </w:tcPr>
          <w:p>
            <w:r>
              <w:rPr>
                <w:b/>
                <w:color w:val="1E1E3C"/>
                <w:sz w:val="16"/>
              </w:rPr>
              <w:t>Résultat net</w:t>
            </w:r>
          </w:p>
        </w:tc>
        <w:tc>
          <w:tcPr>
            <w:tcW w:type="dxa" w:w="1984"/>
            <w:shd w:fill="FFEB9C" w:val="clear"/>
          </w:tcPr>
          <w:p>
            <w:r>
              <w:rPr>
                <w:b/>
                <w:color w:val="006400"/>
                <w:sz w:val="17"/>
              </w:rPr>
              <w:t>24.972 Mds FCFA</w:t>
            </w:r>
          </w:p>
        </w:tc>
        <w:tc>
          <w:tcPr>
            <w:tcW w:type="dxa" w:w="5669"/>
            <w:shd w:fill="FFFFFF" w:val="clear"/>
          </w:tcPr>
          <w:p>
            <w:r>
              <w:rPr>
                <w:color w:val="282828"/>
                <w:sz w:val="15"/>
              </w:rPr>
              <w:t>Marge nette = 7.3%.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37.612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-23.419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-4.302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14.194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FFEB9C" w:val="clear"/>
          </w:tcPr>
          <w:p>
            <w:r>
              <w:rPr>
                <w:b/>
                <w:color w:val="006400"/>
                <w:sz w:val="17"/>
              </w:rPr>
              <w:t>65.389 Mds FCFA</w:t>
            </w:r>
          </w:p>
        </w:tc>
        <w:tc>
          <w:tcPr>
            <w:tcW w:type="dxa" w:w="5669"/>
            <w:shd w:fill="FFFFFF" w:val="clear"/>
          </w:tcPr>
          <w:p>
            <w:r>
              <w:rPr>
                <w:color w:val="282828"/>
                <w:sz w:val="15"/>
              </w:rPr>
              <w:t>BFR = 19.2% du CA. ⚠️ BFR élevé — besoin de financement CT important.</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49.976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FFC7CE" w:val="clear"/>
          </w:tcPr>
          <w:p>
            <w:r>
              <w:rPr>
                <w:b/>
                <w:color w:val="B40000"/>
                <w:sz w:val="17"/>
              </w:rPr>
              <w:t>-15.413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24.12%</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7.33%</w:t>
            </w:r>
          </w:p>
        </w:tc>
        <w:tc>
          <w:tcPr>
            <w:tcW w:type="dxa" w:w="5669"/>
            <w:shd w:fill="FFFFFF" w:val="clear"/>
          </w:tcPr>
          <w:p>
            <w:r>
              <w:rPr>
                <w:color w:val="282828"/>
                <w:sz w:val="15"/>
              </w:rPr>
              <w:t>Résultat net / revenus = 7.33%. ✅ Profitabilité satisfaisante.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11.19%</w:t>
            </w:r>
          </w:p>
        </w:tc>
        <w:tc>
          <w:tcPr>
            <w:tcW w:type="dxa" w:w="5669"/>
            <w:shd w:fill="FFFFFF" w:val="clear"/>
          </w:tcPr>
          <w:p>
            <w:r>
              <w:rPr>
                <w:color w:val="282828"/>
                <w:sz w:val="15"/>
              </w:rPr>
              <w:t>Rentabilité de l'exploitation pure. ✅ Marge opérationnelle correcte.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18.10%</w:t>
            </w:r>
          </w:p>
        </w:tc>
        <w:tc>
          <w:tcPr>
            <w:tcW w:type="dxa" w:w="5669"/>
            <w:shd w:fill="FFFFFF" w:val="clear"/>
          </w:tcPr>
          <w:p>
            <w:r>
              <w:rPr>
                <w:color w:val="282828"/>
                <w:sz w:val="15"/>
              </w:rPr>
              <w:t>Résultat net / capitaux propres = 18.10%.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11.06%</w:t>
            </w:r>
          </w:p>
        </w:tc>
        <w:tc>
          <w:tcPr>
            <w:tcW w:type="dxa" w:w="5669"/>
            <w:shd w:fill="FFFFFF" w:val="clear"/>
          </w:tcPr>
          <w:p>
            <w:r>
              <w:rPr>
                <w:color w:val="282828"/>
                <w:sz w:val="15"/>
              </w:rPr>
              <w:t>Résultat net / total actif = 11.06%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150.91%</w:t>
            </w:r>
          </w:p>
        </w:tc>
        <w:tc>
          <w:tcPr>
            <w:tcW w:type="dxa" w:w="5669"/>
            <w:shd w:fill="FFFFFF" w:val="clear"/>
          </w:tcPr>
          <w:p>
            <w:r>
              <w:rPr>
                <w:color w:val="282828"/>
                <w:sz w:val="15"/>
              </w:rPr>
              <w:t>CA / total actif = 150.91x. ✅ Bonne efficience des actifs.</w:t>
            </w:r>
          </w:p>
        </w:tc>
      </w:tr>
      <w:tr>
        <w:tc>
          <w:tcPr>
            <w:tcW w:type="dxa" w:w="2268"/>
            <w:shd w:fill="EEF2F7" w:val="clear"/>
          </w:tcPr>
          <w:p>
            <w:r>
              <w:rPr>
                <w:b/>
                <w:color w:val="1E1E3C"/>
                <w:sz w:val="16"/>
              </w:rPr>
              <w:t>Coût du risque</w:t>
            </w:r>
          </w:p>
        </w:tc>
        <w:tc>
          <w:tcPr>
            <w:tcW w:type="dxa" w:w="1984"/>
            <w:shd w:fill="FFEB9C" w:val="clear"/>
          </w:tcPr>
          <w:p>
            <w:r>
              <w:rPr>
                <w:b/>
                <w:color w:val="006400"/>
                <w:sz w:val="17"/>
              </w:rPr>
              <w:t>1.02%</w:t>
            </w:r>
          </w:p>
        </w:tc>
        <w:tc>
          <w:tcPr>
            <w:tcW w:type="dxa" w:w="5669"/>
            <w:shd w:fill="FFFFFF" w:val="clear"/>
          </w:tcPr>
          <w:p>
            <w:r>
              <w:rPr>
                <w:color w:val="282828"/>
                <w:sz w:val="15"/>
              </w:rPr>
              <w:t>Provisions / charges financières. ⚠️ Coût du risque modéré — surveillance requise.</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21.97%</w:t>
            </w:r>
          </w:p>
        </w:tc>
        <w:tc>
          <w:tcPr>
            <w:tcW w:type="dxa" w:w="5669"/>
            <w:shd w:fill="FFFFFF" w:val="clear"/>
          </w:tcPr>
          <w:p>
            <w:r>
              <w:rPr>
                <w:color w:val="282828"/>
                <w:sz w:val="15"/>
              </w:rPr>
              <w:t>Croissance CA vs exercice précédent = 21.97%.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61.08%</w:t>
            </w:r>
          </w:p>
        </w:tc>
        <w:tc>
          <w:tcPr>
            <w:tcW w:type="dxa" w:w="5669"/>
            <w:shd w:fill="FFFFFF" w:val="clear"/>
          </w:tcPr>
          <w:p>
            <w:r>
              <w:rPr>
                <w:color w:val="282828"/>
                <w:sz w:val="15"/>
              </w:rPr>
              <w:t>Fonds propres / total bilan = 61.08%. ✅ Solide indépendance financière.</w:t>
            </w:r>
          </w:p>
        </w:tc>
      </w:tr>
      <w:tr>
        <w:tc>
          <w:tcPr>
            <w:tcW w:type="dxa" w:w="2268"/>
            <w:shd w:fill="EEF2F7" w:val="clear"/>
          </w:tcPr>
          <w:p>
            <w:r>
              <w:rPr>
                <w:b/>
                <w:color w:val="1E1E3C"/>
                <w:sz w:val="16"/>
              </w:rPr>
              <w:t>Dépendance financière</w:t>
            </w:r>
          </w:p>
        </w:tc>
        <w:tc>
          <w:tcPr>
            <w:tcW w:type="dxa" w:w="1984"/>
            <w:shd w:fill="FFEB9C" w:val="clear"/>
          </w:tcPr>
          <w:p>
            <w:r>
              <w:rPr>
                <w:b/>
                <w:color w:val="006400"/>
                <w:sz w:val="17"/>
              </w:rPr>
              <w:t>38.92%</w:t>
            </w:r>
          </w:p>
        </w:tc>
        <w:tc>
          <w:tcPr>
            <w:tcW w:type="dxa" w:w="5669"/>
            <w:shd w:fill="FFFFFF" w:val="clear"/>
          </w:tcPr>
          <w:p>
            <w:r>
              <w:rPr>
                <w:color w:val="282828"/>
                <w:sz w:val="15"/>
              </w:rPr>
              <w:t>Dettes financières / total bilan = 38.92%. ⚠️ Dépendance notable aux financeurs externes.</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25.81%</w:t>
            </w:r>
          </w:p>
        </w:tc>
        <w:tc>
          <w:tcPr>
            <w:tcW w:type="dxa" w:w="5669"/>
            <w:shd w:fill="FFFFFF" w:val="clear"/>
          </w:tcPr>
          <w:p>
            <w:r>
              <w:rPr>
                <w:color w:val="282828"/>
                <w:sz w:val="15"/>
              </w:rPr>
              <w:t>Dettes totales / fonds propres = 25.81%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256.91%</w:t>
            </w:r>
          </w:p>
        </w:tc>
        <w:tc>
          <w:tcPr>
            <w:tcW w:type="dxa" w:w="5669"/>
            <w:shd w:fill="FFFFFF" w:val="clear"/>
          </w:tcPr>
          <w:p>
            <w:r>
              <w:rPr>
                <w:color w:val="282828"/>
                <w:sz w:val="15"/>
              </w:rPr>
              <w:t>Total actif / dettes totales = 256.91x.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195.54%</w:t>
            </w:r>
          </w:p>
        </w:tc>
        <w:tc>
          <w:tcPr>
            <w:tcW w:type="dxa" w:w="5669"/>
            <w:shd w:fill="FFFFFF" w:val="clear"/>
          </w:tcPr>
          <w:p>
            <w:r>
              <w:rPr>
                <w:color w:val="282828"/>
                <w:sz w:val="15"/>
              </w:rPr>
              <w:t>Actif circulant / passif circulant = 195.54x. ✅ Excellente liquidité court terme.</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1.28%</w:t>
            </w:r>
          </w:p>
        </w:tc>
        <w:tc>
          <w:tcPr>
            <w:tcW w:type="dxa" w:w="5669"/>
            <w:shd w:fill="FFFFFF" w:val="clear"/>
          </w:tcPr>
          <w:p>
            <w:r>
              <w:rPr>
                <w:color w:val="282828"/>
                <w:sz w:val="15"/>
              </w:rPr>
              <w:t>Trésorerie / passif circulant = 1.28x.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64.62%</w:t>
            </w:r>
          </w:p>
        </w:tc>
        <w:tc>
          <w:tcPr>
            <w:tcW w:type="dxa" w:w="5669"/>
            <w:shd w:fill="FFFFFF" w:val="clear"/>
          </w:tcPr>
          <w:p>
            <w:r>
              <w:rPr>
                <w:color w:val="282828"/>
                <w:sz w:val="15"/>
              </w:rPr>
              <w:t>(Actif circ. - stocks) / passif circ. = 64.62x.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140.45%</w:t>
            </w:r>
          </w:p>
        </w:tc>
        <w:tc>
          <w:tcPr>
            <w:tcW w:type="dxa" w:w="5669"/>
            <w:shd w:fill="FFFFFF" w:val="clear"/>
          </w:tcPr>
          <w:p>
            <w:r>
              <w:rPr>
                <w:color w:val="282828"/>
                <w:sz w:val="15"/>
              </w:rPr>
              <w:t>Capitaux permanents / actif immobilisé = 140.45x.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1.0 ans</w:t>
            </w:r>
          </w:p>
        </w:tc>
        <w:tc>
          <w:tcPr>
            <w:tcW w:type="dxa" w:w="5669"/>
            <w:shd w:fill="FFFFFF" w:val="clear"/>
          </w:tcPr>
          <w:p>
            <w:r>
              <w:rPr>
                <w:color w:val="282828"/>
                <w:sz w:val="15"/>
              </w:rPr>
              <w:t>Dettes financières / CAF = 1.0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1094.57%</w:t>
            </w:r>
          </w:p>
        </w:tc>
        <w:tc>
          <w:tcPr>
            <w:tcW w:type="dxa" w:w="5669"/>
            <w:shd w:fill="FFFFFF" w:val="clear"/>
          </w:tcPr>
          <w:p>
            <w:r>
              <w:rPr>
                <w:color w:val="282828"/>
                <w:sz w:val="15"/>
              </w:rPr>
              <w:t>Résultat exploit. / charges financières = 1094.57x.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157.28%</w:t>
            </w:r>
          </w:p>
        </w:tc>
        <w:tc>
          <w:tcPr>
            <w:tcW w:type="dxa" w:w="5669"/>
            <w:shd w:fill="FFFFFF" w:val="clear"/>
          </w:tcPr>
          <w:p>
            <w:r>
              <w:rPr>
                <w:color w:val="282828"/>
                <w:sz w:val="15"/>
              </w:rPr>
              <w:t>CAF / investissements = 157.28x.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35.0 j</w:t>
            </w:r>
          </w:p>
        </w:tc>
        <w:tc>
          <w:tcPr>
            <w:tcW w:type="dxa" w:w="5669"/>
            <w:shd w:fill="FFFFFF" w:val="clear"/>
          </w:tcPr>
          <w:p>
            <w:r>
              <w:rPr>
                <w:color w:val="282828"/>
                <w:sz w:val="15"/>
              </w:rPr>
              <w:t>Les clients paient en moyenne en 35 jours. ✅ Délai standard.</w:t>
            </w:r>
          </w:p>
        </w:tc>
      </w:tr>
      <w:tr>
        <w:tc>
          <w:tcPr>
            <w:tcW w:type="dxa" w:w="2268"/>
            <w:shd w:fill="EEF2F7" w:val="clear"/>
          </w:tcPr>
          <w:p>
            <w:r>
              <w:rPr>
                <w:b/>
                <w:color w:val="1E1E3C"/>
                <w:sz w:val="16"/>
              </w:rPr>
              <w:t>Durée de stockage (jours)</w:t>
            </w:r>
          </w:p>
        </w:tc>
        <w:tc>
          <w:tcPr>
            <w:tcW w:type="dxa" w:w="1984"/>
            <w:shd w:fill="FFEB9C" w:val="clear"/>
          </w:tcPr>
          <w:p>
            <w:r>
              <w:rPr>
                <w:b/>
                <w:color w:val="006400"/>
                <w:sz w:val="17"/>
              </w:rPr>
              <w:t>72.3 j</w:t>
            </w:r>
          </w:p>
        </w:tc>
        <w:tc>
          <w:tcPr>
            <w:tcW w:type="dxa" w:w="5669"/>
            <w:shd w:fill="FFFFFF" w:val="clear"/>
          </w:tcPr>
          <w:p>
            <w:r>
              <w:rPr>
                <w:color w:val="282828"/>
                <w:sz w:val="15"/>
              </w:rPr>
              <w:t>Stock écoulé en 72 jours. ⚠️ Durée de stockage longue — capital immobilisé.</w:t>
            </w:r>
          </w:p>
        </w:tc>
      </w:tr>
    </w:tbl>
    <w:p/>
    <w:p>
      <w:pPr>
        <w:spacing w:after="120" w:line="276" w:lineRule="auto"/>
      </w:pPr>
      <w:r>
        <w:t>**RAPPORT D'ANALYSE FINANCIÈRE — SPHC (SAPH CI)**</w:t>
        <w:br/>
        <w:t>**Date : 27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SPHC s'établit à 235,13 milliards FCFA, un niveau qui la positionne parmi les valeurs moyennes à grandes capitalisations de la BRVM, lui conférant une liquidité et une visibilité appréciables. Le BPA de 977 FCFA indique que chaque action génère un bénéfice substantiel, justifiant un PER de 9,4x. Ce ratio est inférieur à la moyenne historique du marché BRVM (8-12x), suggérant une sous-évaluation relative du titre par rapport à ses bénéfices actuels. Le P/B de 1,70x, situé dans la fourchette de 1 à 2, indique que le marché valorise l'actif net de la société de manière raisonnable, sans prime excessive. Enfin, un EV/EBITDA de 5,8x, dans la zone basse de la fourchette standard de 5-10x, confirme que la valeur totale de l'entreprise (dette incluse) reste attractive au regard de sa capacité à générer du cash-flow opérationnel. L'ensemble de ces ratios plaide en faveur d'une valorisation boursière actuellement modérée, offrant une marge de sécurité potentielle pour l'investisseur.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SPHC a enregistré une performance remarquable de +32,18%, malgré un léger repli de -0,22% lors de la dernière séance. Le titre a évolué dans une fourchette large, oscillant entre un plus bas de 6 720 FCFA et un plus haut de 9 660 FCFA, démontrant une forte dynamique haussière. La moyenne du cours sur la période (7 534 FCFA) est très proche de la médiane (7 495 FCFA), indiquant une distribution relativement symétrique des prix, mais le skewness positif de 1,746 révèle que les journées de baisse ont été plus fréquentes, bien que de moindre ampleur que les fortes progressions. L'écart-type de 576 FCFA (CV=7,6%) montre une dispersion modérée, mais le kurtosis élevé de 3,579 signale un risque de mouvements extrêmes (queues épaisses). La volatilité annualisée de 39,1% classe le titre comme très volatil, un facteur de risque important à considérer, mais qui reflète aussi le potentiel de rendement élevé observé sur la période.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9 200 FCFA est nettement au-dessus de la MM20 (8 276,25 FCFA) et de la MM50 (7 873,2 FCFA), confirmant une tendance haussière solide à court et moyen terme. La configuration des MM, avec le cours au-dessus des deux, génère un signal d'**Achat** clair, indiquant que la dynamique positive est toujours en place.</w:t>
      </w:r>
    </w:p>
    <w:p>
      <w:pPr>
        <w:spacing w:after="120" w:line="276" w:lineRule="auto"/>
      </w:pPr>
      <w:r>
        <w:t>**Bandes de Bollinger :** Le prix se situe à 9 200 FCFA, en dessous de la borne supérieure (9 824,12 FCFA) mais bien au-dessus de la borne inférieure (6 728,38 FCFA). Cette position suggère que, bien que le titre ait fortement progressé, il n'est pas encore en situation de surachat extrême selon cet indicateur. La décision est **Neutre**, laissant une marge de progression avant d'atteindre la zone de résistance dynamique.</w:t>
      </w:r>
    </w:p>
    <w:p>
      <w:pPr>
        <w:spacing w:after="120" w:line="276" w:lineRule="auto"/>
      </w:pPr>
      <w:r>
        <w:t>**MACD :** Le MACD (463,22) est nettement supérieur à sa ligne de signal (346,83), avec un écart positif et croissant. Cette configuration est un signal classique de momentum haussier, confirmant la vigueur de la tendance actuelle. La décision est **Achat**, indiquant que la pression acheteuse reste dominante à moyen terme.</w:t>
      </w:r>
    </w:p>
    <w:p>
      <w:pPr>
        <w:spacing w:after="120" w:line="276" w:lineRule="auto"/>
      </w:pPr>
      <w:r>
        <w:t>**RSI :** Avec une valeur de 72,35, le RSI entre en zone de surachat (au-dessus de 70). Cela signale que le titre a connu une hausse rapide et pourrait être sujet à une correction ou à une consolidation à court terme. La décision est **Vente**, suggérant une prudence pour les nouveaux achats à ces niveaux, mais ne remettant pas en cause la tendance de fond.</w:t>
      </w:r>
    </w:p>
    <w:p>
      <w:pPr>
        <w:spacing w:after="120" w:line="276" w:lineRule="auto"/>
      </w:pPr>
      <w:r>
        <w:t>**Stochastique :** Le %K (77,67) et le %D (79,02) sont tous deux élevés, mais le %K est légèrement sous le %D, ce qui pourrait indiquer un début de retournement ou une phase de consolidation. La décision est **Neutre**, reflétant une perte de momentum à très court terme après une forte progression.</w:t>
      </w:r>
    </w:p>
    <w:p>
      <w:pPr>
        <w:spacing w:after="120" w:line="276" w:lineRule="auto"/>
      </w:pPr>
      <w:r>
        <w:t>**Conclusion technique :** Les indicateurs de tendance (MM, MACD) sont résolument positifs, mais les oscillateurs de momentum (RSI, Stochastique) signalent des conditions de surachat. Cette divergence suggère que la tendance haussière de fond reste intacte, mais qu'un repli technique ou une phase de consolidation est probable à très court terme avant la poursuite du mouvement.</w:t>
      </w:r>
    </w:p>
    <w:p>
      <w:pPr>
        <w:spacing w:after="120" w:line="276" w:lineRule="auto"/>
      </w:pPr>
      <w:r>
        <w:t>---</w:t>
      </w:r>
    </w:p>
    <w:p>
      <w:pPr>
        <w:spacing w:after="120" w:line="276" w:lineRule="auto"/>
      </w:pPr>
      <w:r>
        <w:t>### PARTIE 3 : ANALYSE FONDAMENTALE (SECTION CRITIQUE)</w:t>
      </w:r>
    </w:p>
    <w:p>
      <w:pPr>
        <w:spacing w:after="120" w:line="276" w:lineRule="auto"/>
      </w:pPr>
      <w:r>
        <w:t>En 2025, SPHC a réalisé une performance financière exceptionnelle. Le chiffre d'affaires s'établit à **340,83 milliards FCFA**, en hausse de 22% par rapport à 2024, porté par une augmentation des volumes et des prix. Le résultat net a progressé de 32,9% pour atteindre **24,97 milliards FCFA**, avec une marge nette de 7,3%. La rentabilité est excellente, avec un ROE de **18,1%** et un ROA de **11,1%**, démontrant une utilisation efficace des capitaux propres et des actifs. La structure financière est saine, avec une autonomie financière de 61,1% et un ratio d'endettement maîtrisé de 25,8%. Cependant, le BFR de 65,39 milliards FCFA et la trésorerie nette négative de -15,41 milliards FCFA sont des points de vigilance, typiques du secteur, mais à surveiller. Les rapports trimestriels de 2025 confirment cette dynamique : le T1 affichait une croissance de +72% et le S1 de +51%, avec des marges nettes respectives de 13% et 11%. Sur la base du rapport T1 2026, qui montre un repli de -24% du CA et une chute de -78% du résultat net à 2,6 milliards FCFA, on estime que l'exercice 2026 sera marqué par une normalisation après deux années de croissance exceptionnelle, avec un résultat net annuel potentiellement en baisse significative par rapport à 2025. La politique de dividende reste attractive, avec un DPA proposé de 489 FCFA pour 2025, en hausse de 32,7%, ce qui représente un rendement d'environ 5,3% au cours actuel. La recommandation fondamentale est de **CONSERVER**, la société étant solide mais confrontée à un environnement de prix moins porteur.</w:t>
      </w:r>
    </w:p>
    <w:p>
      <w:pPr>
        <w:spacing w:after="120" w:line="276" w:lineRule="auto"/>
      </w:pPr>
      <w:r>
        <w:t>---</w:t>
      </w:r>
    </w:p>
    <w:p>
      <w:pPr>
        <w:spacing w:after="120" w:line="276" w:lineRule="auto"/>
      </w:pPr>
      <w:r>
        <w:t>### PARTIE 4 : CONCLUSION D'INVESTISSEMENT</w:t>
      </w:r>
    </w:p>
    <w:p>
      <w:pPr>
        <w:spacing w:after="120" w:line="276" w:lineRule="auto"/>
      </w:pPr>
      <w:r>
        <w:t>La synthèse des analyses révèle une situation contrastée pour SPHC. La **valorisation** (Partie 0) est attractive, avec un PER de 9,4x et un EV/EBITDA de 5,8x suggérant une sous-évaluation relative. Le **comportement du cours** (Partie 1) montre une tendance haussière forte (+32% sur 100 jours), mais avec une volatilité très élevée (39,1%) et un risque de mouvements brusques (kurtosis élevé). Les **signaux techniques** (Partie 2) sont partagés : la tendance de fond (MM, MACD) est positive, mais les indicateurs de momentum (RSI à 72, RSI en surachat) appellent à la prudence à court terme. Les **fondamentaux** (Partie 3) sont solides pour 2025, mais les estimations pour 2026, basées sur le T1 (-78% de résultat net), indiquent un net ralentissement. Les **prédictions IA** sur 10 jours (de 9 129 à 8 984 FCFA) confirment cette prudence, anticipant une légère correction. La convergence entre la valorisation attrayante, la solidité financière et les signaux de surachat technique suggère une phase de consolidation. Par conséquent, la recommandation finale est **CONSERVER** avec un niveau de confiance **Moyen**. Le risque global est **Élevé** en raison de la volatilité du titre et de l'incertitude sur les cours du caoutchouc. L'horizon d'investissement optimal serait le **moyen terme (3-12 mois)**, afin de laisser le temps à la société de traverser ce cycle baissier et de profiter d'un éventuel regain des cours pour une appréciation du titre.</w:t>
      </w:r>
    </w:p>
    <w:p/>
    <w:p/>
    <w:p>
      <w:pPr>
        <w:pStyle w:val="Heading3"/>
      </w:pPr>
      <w:r>
        <w:rPr>
          <w:color w:val="00467F"/>
        </w:rPr>
        <w:t>📎 DOCUMENTS &amp; COMMUNICATIONS OFFICIELS BRVM</w:t>
      </w:r>
    </w:p>
    <w:p>
      <w:r>
        <w:rPr>
          <w:i/>
          <w:color w:val="646464"/>
          <w:sz w:val="18"/>
        </w:rPr>
        <w:t>1 document(s) disponible(s) pour cette société (affichage des 1 plus récents).</w:t>
      </w:r>
    </w:p>
    <w:p>
      <w:pPr>
        <w:spacing w:before="160"/>
      </w:pPr>
      <w:r>
        <w:rPr>
          <w:b/>
          <w:color w:val="0066CC"/>
          <w:sz w:val="20"/>
        </w:rPr>
        <w:t xml:space="preserve">[1] </w:t>
      </w:r>
      <w:r>
        <w:rPr>
          <w:b/>
          <w:sz w:val="20"/>
        </w:rPr>
        <w:t>20260325   avis de convocation   assemblee generale ordinaire   saph ci</w:t>
      </w:r>
    </w:p>
    <w:p>
      <w:pPr>
        <w:spacing w:before="20"/>
        <w:ind w:left="400"/>
      </w:pPr>
      <w:r>
        <w:rPr>
          <w:color w:val="505050"/>
          <w:sz w:val="17"/>
        </w:rPr>
        <w:t xml:space="preserve">Date : 25/03/2026  |  Catégorie : convocation AG  |  Impact : </w:t>
      </w:r>
      <w:r>
        <w:rPr>
          <w:b/>
          <w:color w:val="008000"/>
          <w:sz w:val="17"/>
        </w:rPr>
        <w:t>🟢 POSITIF</w:t>
      </w:r>
    </w:p>
    <w:p>
      <w:pPr>
        <w:spacing w:before="40"/>
        <w:ind w:left="400"/>
      </w:pPr>
      <w:r>
        <w:rPr>
          <w:sz w:val="18"/>
        </w:rPr>
        <w:t>SAPH convoque ses actionnaires en Assemblée Générale Ordinaire le 09 avril 2026 pour approuver les comptes 2025 et délibérer sur l'affectation du résultat. La société propose un dividende de 489 FCFA brut par action sur un bénéfice net de 24,97 milliards FCFA (SYSCOHADA). L'assemblée se déroulera en présentiel et en visioconférence.</w:t>
      </w:r>
    </w:p>
    <w:p>
      <w:pPr>
        <w:spacing w:before="60"/>
        <w:ind w:left="400"/>
      </w:pPr>
      <w:r>
        <w:rPr>
          <w:b/>
          <w:sz w:val="18"/>
        </w:rPr>
        <w:t>Points clés :</w:t>
      </w:r>
    </w:p>
    <w:p>
      <w:pPr>
        <w:pStyle w:val="ListBullet"/>
        <w:spacing w:before="20" w:after="20"/>
        <w:ind w:left="700"/>
      </w:pPr>
      <w:r>
        <w:rPr>
          <w:sz w:val="18"/>
        </w:rPr>
        <w:t>Assemblée Générale Ordinaire convoquée le 09 avril 2026 à 09h00 GMT</w:t>
      </w:r>
    </w:p>
    <w:p>
      <w:pPr>
        <w:pStyle w:val="ListBullet"/>
        <w:spacing w:before="20" w:after="20"/>
        <w:ind w:left="700"/>
      </w:pPr>
      <w:r>
        <w:rPr>
          <w:sz w:val="18"/>
        </w:rPr>
        <w:t>Bénéfice net 2025 de 24,97 milliards FCFA selon SYSCOHADA et 27,34 milliards selon IFRS</w:t>
      </w:r>
    </w:p>
    <w:p>
      <w:pPr>
        <w:pStyle w:val="ListBullet"/>
        <w:spacing w:before="20" w:after="20"/>
        <w:ind w:left="700"/>
      </w:pPr>
      <w:r>
        <w:rPr>
          <w:sz w:val="18"/>
        </w:rPr>
        <w:t>Distribution de dividende proposée de 489 FCFA brut par action (12,50 milliards FCFA total)</w:t>
      </w:r>
    </w:p>
    <w:p>
      <w:pPr>
        <w:pStyle w:val="ListBullet"/>
        <w:spacing w:before="20" w:after="20"/>
        <w:ind w:left="700"/>
      </w:pPr>
      <w:r>
        <w:rPr>
          <w:sz w:val="18"/>
        </w:rPr>
        <w:t>Assemblée hybride : participation en présentiel et par visioconférence</w:t>
      </w:r>
    </w:p>
    <w:p>
      <w:pPr>
        <w:pStyle w:val="ListBullet"/>
        <w:spacing w:before="20" w:after="20"/>
        <w:ind w:left="700"/>
      </w:pPr>
      <w:r>
        <w:rPr>
          <w:sz w:val="18"/>
        </w:rPr>
        <w:t>Approbation de conventions réglementées avec SIFCA, PALMCI et SCASO</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pr\u00e9sente une bonne diversification de ses revenus avec des partenariats commerciaux solides et r\u00e9currents. Les conventions sont bien structur\u00e9es et g\u00e9n\u00e8rent des flux financiers significatifs."}</w:t>
      </w:r>
    </w:p>
    <w:p>
      <w:pPr>
        <w:spacing w:before="40"/>
        <w:ind w:left="400"/>
      </w:pPr>
      <w:r>
        <w:rPr>
          <w:sz w:val="18"/>
        </w:rPr>
        <w:t>Ce rapport spécial des commissaires aux comptes de SAPH (Société Africaine de Plantations d'Hévéas) porte sur les conventions réglementées pour l'exercice clos le 31 décembre 2022. La société maintient des relations commerciales significatives avec plusieurs entités liées, notamment PALMCI, SANIA, CRC et SIPH, générant des chiffres d'affaires substantiels. Les principales conventions incluent des contrats de travail à façon, des ventes d'huile de palme, de caoutchouc et de copeaux de bois. SAPH démontre une activité commerciale diversifiée avec des revenus provenant de multiples filières agricoles. L'ensemble des conventions ont été dûment autorisées par le Conseil d'Administration et respec</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{'ca_crc': '1 828 109 770 FCFA HT', 'ca_sania': '4 297 433 084 FCFA HT', 'ca_palmci': '356 086 375 FCFA HT', 'ca_sania_bois': '31 439 520 FCFA HT', 'ca_siph_immobilier': '76 800 000 FCFA HT'}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Convention avec PALMCI pour transformation d'huile de palme brute générant 356 086 375 FCFA HT en 2022</w:t>
      </w:r>
    </w:p>
    <w:p>
      <w:pPr>
        <w:pStyle w:val="ListBullet"/>
        <w:spacing w:before="20" w:after="20"/>
        <w:ind w:left="700"/>
      </w:pPr>
      <w:r>
        <w:rPr>
          <w:sz w:val="18"/>
        </w:rPr>
        <w:t>Accord avec SANIA pour vente d'huile de palme rapportant 4 297 433 084 FCFA HT</w:t>
      </w:r>
    </w:p>
    <w:p>
      <w:pPr>
        <w:pStyle w:val="ListBullet"/>
        <w:spacing w:before="20" w:after="20"/>
        <w:ind w:left="700"/>
      </w:pPr>
      <w:r>
        <w:rPr>
          <w:sz w:val="18"/>
        </w:rPr>
        <w:t>Convention avec CRC pour vente de fonds de tasse représentant 1 828 109 770 FCFA HT</w:t>
      </w:r>
    </w:p>
    <w:p>
      <w:pPr>
        <w:pStyle w:val="ListBullet"/>
        <w:spacing w:before="20" w:after="20"/>
        <w:ind w:left="700"/>
      </w:pPr>
      <w:r>
        <w:rPr>
          <w:sz w:val="18"/>
        </w:rPr>
        <w:t>Commercialisation de caoutchouc avec SIPH dans le cadre d'une convention renouvelable</w:t>
      </w:r>
    </w:p>
    <w:p>
      <w:pPr>
        <w:pStyle w:val="ListBullet"/>
        <w:spacing w:before="20" w:after="20"/>
        <w:ind w:left="700"/>
      </w:pPr>
      <w:r>
        <w:rPr>
          <w:sz w:val="18"/>
        </w:rPr>
        <w:t>Diversification des activités incluant vente de copeaux de bois d'hévéas avec SANIA</w:t>
      </w:r>
    </w:p>
    <w:p>
      <w:pPr>
        <w:pStyle w:val="ListBullet"/>
        <w:spacing w:before="20" w:after="20"/>
        <w:ind w:left="700"/>
      </w:pPr>
      <w:r>
        <w:rPr>
          <w:sz w:val="18"/>
        </w:rPr>
        <w:t>Relations commerciales étendues avec GREL et CRC pour diverses matières premières</w:t>
      </w:r>
    </w:p>
    <w:p>
      <w:pPr>
        <w:spacing w:before="40"/>
        <w:ind w:left="400"/>
      </w:pPr>
      <w:r>
        <w:rPr>
          <w:b/>
          <w:color w:val="C05000"/>
          <w:sz w:val="18"/>
        </w:rPr>
        <w:t xml:space="preserve">⚠️ Risques : </w:t>
      </w:r>
      <w:r>
        <w:rPr>
          <w:sz w:val="18"/>
        </w:rPr>
        <w:t>["Forte d\u00e9pendance aux relations avec les soci\u00e9t\u00e9s du groupe et entit\u00e9s li\u00e9es", "Exposition aux fluctuations des prix des mati\u00e8res premi\u00e8res agricoles", "Risques op\u00e9rationnels li\u00e9s aux activit\u00e9s de transformation industrielle"]</w:t>
      </w:r>
    </w:p>
    <w:p>
      <w:pPr>
        <w:spacing w:before="40"/>
        <w:ind w:left="400"/>
      </w:pPr>
      <w:r>
        <w:rPr>
          <w:b/>
          <w:color w:val="0064A0"/>
          <w:sz w:val="18"/>
        </w:rPr>
        <w:t xml:space="preserve">🔮 Perspectives : </w:t>
      </w:r>
      <w:r>
        <w:rPr>
          <w:sz w:val="18"/>
        </w:rPr>
        <w:t>Les perspectives dépendront du renouvellement et de l'évolution des conventions commerciales en cours, notamment avec les principaux partenaires. La diversification des activités (huile de palme, caoutchouc, bois) offre une certaine résilience face aux variations sectorielles.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"Cette irr\u00e9gularit\u00e9 administrative ne remet pas en cause les fondamentaux financiers de SAPH. Il convient d'attendre la r\u00e9gularisation de cette situation de conformit\u00e9 avant toute d\u00e9cision d'investissement."}</w:t>
      </w:r>
    </w:p>
    <w:p>
      <w:pPr>
        <w:spacing w:before="40"/>
        <w:ind w:left="400"/>
      </w:pPr>
      <w:r>
        <w:rPr>
          <w:sz w:val="18"/>
        </w:rPr>
        <w:t>Ce document est un rapport des commissaires aux comptes de PWC et Mazars sur les registres de titres nominatifs de SAPH pour l'exercice clos le 31 décembre 2022. Les auditeurs confirment que la société n'a pas été en mesure de mettre à disposition le registre de ses titres nominatifs conformément aux dispositions légales OHADA. Cette situation constitue une irrégularité dans la tenue des registres obligatoires. Le rapport souligne l'impossibilité pour les commissaires aux comptes de procéder aux contrôles prescrits par l'article 746-2 de l'acte OHADA. Cette défaillance administrative peut avoir des implications sur la gouvernance et la conformité réglementaire de la société.</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spécialisé sur les registres de titres nominatifs et non sur les états financiers</w:t>
      </w:r>
    </w:p>
    <w:p>
      <w:pPr>
        <w:pStyle w:val="ListBullet"/>
        <w:spacing w:before="20" w:after="20"/>
        <w:ind w:left="700"/>
      </w:pPr>
      <w:r>
        <w:rPr>
          <w:sz w:val="18"/>
        </w:rPr>
        <w:t>Non-mise à disposition du registre des titres nominatifs par SAPH en 2022</w:t>
      </w:r>
    </w:p>
    <w:p>
      <w:pPr>
        <w:pStyle w:val="ListBullet"/>
        <w:spacing w:before="20" w:after="20"/>
        <w:ind w:left="700"/>
      </w:pPr>
      <w:r>
        <w:rPr>
          <w:sz w:val="18"/>
        </w:rPr>
        <w:t>Impossibilité pour les commissaires aux comptes de réaliser les contrôles réglementaires prescrits</w:t>
      </w:r>
    </w:p>
    <w:p>
      <w:pPr>
        <w:pStyle w:val="ListBullet"/>
        <w:spacing w:before="20" w:after="20"/>
        <w:ind w:left="700"/>
      </w:pPr>
      <w:r>
        <w:rPr>
          <w:sz w:val="18"/>
        </w:rPr>
        <w:t>Non-conformité aux dispositions de l'article 746-1 de l'Acte Uniforme OHADA</w:t>
      </w:r>
    </w:p>
    <w:p>
      <w:pPr>
        <w:pStyle w:val="ListBullet"/>
        <w:spacing w:before="20" w:after="20"/>
        <w:ind w:left="700"/>
      </w:pPr>
      <w:r>
        <w:rPr>
          <w:sz w:val="18"/>
        </w:rPr>
        <w:t>Absence de déclaration des dirigeants attestant la tenue conforme des registres</w:t>
      </w:r>
    </w:p>
    <w:p>
      <w:pPr>
        <w:pStyle w:val="ListBullet"/>
        <w:spacing w:before="20" w:after="20"/>
        <w:ind w:left="700"/>
      </w:pPr>
      <w:r>
        <w:rPr>
          <w:sz w:val="18"/>
        </w:rPr>
        <w:t>Contrainte matérielle pesant sur les sociétés cotées identifiée par les auditeurs</w:t>
      </w:r>
    </w:p>
    <w:p>
      <w:pPr>
        <w:spacing w:before="40"/>
        <w:ind w:left="400"/>
      </w:pPr>
      <w:r>
        <w:rPr>
          <w:b/>
          <w:color w:val="C05000"/>
          <w:sz w:val="18"/>
        </w:rPr>
        <w:t xml:space="preserve">⚠️ Risques : </w:t>
      </w:r>
      <w:r>
        <w:rPr>
          <w:sz w:val="18"/>
        </w:rPr>
        <w:t>["Non-conformit\u00e9 r\u00e9glementaire persistante pouvant entra\u00eener des sanctions", "D\u00e9faillances potentielles dans la gouvernance et le suivi des actionnaires", "Impact possible sur la cotation et la confiance des investisseurs"]</w:t>
      </w:r>
    </w:p>
    <w:p>
      <w:pPr>
        <w:spacing w:before="40"/>
        <w:ind w:left="400"/>
      </w:pPr>
      <w:r>
        <w:rPr>
          <w:b/>
          <w:color w:val="0064A0"/>
          <w:sz w:val="18"/>
        </w:rPr>
        <w:t xml:space="preserve">🔮 Perspectives : </w:t>
      </w:r>
      <w:r>
        <w:rPr>
          <w:sz w:val="18"/>
        </w:rPr>
        <w:t>SAPH devra prioritairement régulariser la tenue de son registre de titres nominatifs pour se conformer aux exigences OHADA. Cette mise en conformité administrative est essentielle pour maintenir sa crédibilité auprès des régulateurs et investisseurs.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transparence confirm\u00e9e dans la gouvernance et l'absence de r\u00e9mun\u00e9rations exceptionnelles t\u00e9moignent d'une gestion saine. Cependant, l'absence de donn\u00e9es financi\u00e8res dans ce rapport ne permet pas une \u00e9valuation compl\u00e8te."}</w:t>
      </w:r>
    </w:p>
    <w:p>
      <w:pPr>
        <w:spacing w:before="40"/>
        <w:ind w:left="400"/>
      </w:pPr>
      <w:r>
        <w:rPr>
          <w:sz w:val="18"/>
        </w:rPr>
        <w:t>Ce document est un rapport spécial des commissaires aux comptes de la SAPH (Société Africaine de Plantations d'Hévéas) concernant les rémunérations exceptionnelles allouées aux membres du Conseil d'Administration pour l'exercice clos le 31 décembre 2022. Le rapport, daté du 1er juin 2023, est signé par PricewaterhouseCoopers et Mazars Côte d'Ivoire. Les commissaires aux comptes confirment qu'aucune rémunération exceptionnelle n'a été accordée aux administrateurs durant l'exercice 2022. Cette déclaration est conforme aux dispositions de l'article 432 de l'Acte Uniforme de l'OHADA. Le document atteste de la transparence dans la gouvernance de cette société spécialisée dans les plantations d'hé</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Rapport spécial des commissaires aux comptes sur les rémunérations exceptionnelles des administrateurs</w:t>
      </w:r>
    </w:p>
    <w:p>
      <w:pPr>
        <w:pStyle w:val="ListBullet"/>
        <w:spacing w:before="20" w:after="20"/>
        <w:ind w:left="700"/>
      </w:pPr>
      <w:r>
        <w:rPr>
          <w:sz w:val="18"/>
        </w:rPr>
        <w:t>Exercice social clos le 31 décembre 2022</w:t>
      </w:r>
    </w:p>
    <w:p>
      <w:pPr>
        <w:pStyle w:val="ListBullet"/>
        <w:spacing w:before="20" w:after="20"/>
        <w:ind w:left="700"/>
      </w:pPr>
      <w:r>
        <w:rPr>
          <w:sz w:val="18"/>
        </w:rPr>
        <w:t>Aucune rémunération exceptionnelle accordée aux membres du Conseil d'Administration</w:t>
      </w:r>
    </w:p>
    <w:p>
      <w:pPr>
        <w:pStyle w:val="ListBullet"/>
        <w:spacing w:before="20" w:after="20"/>
        <w:ind w:left="700"/>
      </w:pPr>
      <w:r>
        <w:rPr>
          <w:sz w:val="18"/>
        </w:rPr>
        <w:t>Conformité avec l'article 432 de l'Acte Uniforme OHADA</w:t>
      </w:r>
    </w:p>
    <w:p>
      <w:pPr>
        <w:pStyle w:val="ListBullet"/>
        <w:spacing w:before="20" w:after="20"/>
        <w:ind w:left="700"/>
      </w:pPr>
      <w:r>
        <w:rPr>
          <w:sz w:val="18"/>
        </w:rPr>
        <w:t>Audit réalisé par PricewaterhouseCoopers et Mazars Côte d'Ivoire</w:t>
      </w:r>
    </w:p>
    <w:p>
      <w:pPr>
        <w:pStyle w:val="ListBullet"/>
        <w:spacing w:before="20" w:after="20"/>
        <w:ind w:left="700"/>
      </w:pPr>
      <w:r>
        <w:rPr>
          <w:sz w:val="18"/>
        </w:rPr>
        <w:t>Société spécialisée dans les plantations d'hévéas (caoutchouc naturel)</w:t>
      </w:r>
    </w:p>
    <w:p>
      <w:pPr>
        <w:spacing w:before="40"/>
        <w:ind w:left="400"/>
      </w:pPr>
      <w:r>
        <w:rPr>
          <w:b/>
          <w:color w:val="C05000"/>
          <w:sz w:val="18"/>
        </w:rPr>
        <w:t xml:space="preserve">⚠️ Risques : </w:t>
      </w:r>
      <w:r>
        <w:rPr>
          <w:sz w:val="18"/>
        </w:rPr>
        <w:t>["Volatilit\u00e9 des cours du caoutchouc naturel sur les march\u00e9s internationaux", "Risques climatiques et phytosanitaires affectant les plantations d'h\u00e9v\u00e9as", "Concurrence du caoutchouc synth\u00e9tique et pression sur les marges"]</w:t>
      </w:r>
    </w:p>
    <w:p>
      <w:pPr>
        <w:spacing w:before="40"/>
        <w:ind w:left="400"/>
      </w:pPr>
      <w:r>
        <w:rPr>
          <w:b/>
          <w:color w:val="0064A0"/>
          <w:sz w:val="18"/>
        </w:rPr>
        <w:t xml:space="preserve">🔮 Perspectives : </w:t>
      </w:r>
      <w:r>
        <w:rPr>
          <w:sz w:val="18"/>
        </w:rPr>
        <w:t>Les perspectives dépendront de l'évolution des cours du caoutchouc naturel et de la demande mondiale. La bonne gouvernance attestée par ce rapport constitue un atout pour la confiance des investisseurs.</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des r\u00e9sultats trimestriels d\u00e9cevants, la soci\u00e9t\u00e9 maintient une structure financi\u00e8re solide et poursuit ses investissements strat\u00e9giques. Les perspectives d'am\u00e9lioration des cours et de stabilisation du march\u00e9 local justifient une position d'attente."}</w:t>
      </w:r>
    </w:p>
    <w:p>
      <w:pPr>
        <w:spacing w:before="40"/>
        <w:ind w:left="400"/>
      </w:pPr>
      <w:r>
        <w:rPr>
          <w:sz w:val="18"/>
        </w:rPr>
        <w:t xml:space="preserve">SAPH CI affiche des résultats en forte baisse au T1 2026 avec un chiffre d'affaires de 71,8 milliards XOF (-24%) et un résultat net de 2,6 milliards XOF (-78%). La performance est pénalisée par la chute des cours mondiaux du caoutchouc, l'engorgement du port de San Pedro et la forte concurrence sur l'achat de matière première. Le résultat d'exploitation chute drastiquement à 4,5 milliards XOF (-73%) malgré une amélioration du résultat financier de 13%. La société maintient toutefois une structure financière solide et poursuit ses investissements stratégiques tout en se préparant aux normes EUDR. Les perspectives restent incertaines dans un environnement marqué par l'instabilité géopolitique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'-881 millions XOF', 'resultat_exploitation': '4 456 millions XOF', 'cours_moyen_sicom20_t1': '1,91 USD/kg'}</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2 633 millions XOF</w:t>
            </w:r>
          </w:p>
        </w:tc>
        <w:tc>
          <w:tcPr>
            <w:tcW w:type="dxa" w:w="2160"/>
          </w:tcPr>
          <w:p>
            <w:r/>
            <w:r>
              <w:rPr>
                <w:b/>
                <w:sz w:val="16"/>
              </w:rPr>
              <w:t>capitaux_propres</w:t>
              <w:br/>
            </w:r>
            <w:r>
              <w:rPr>
                <w:sz w:val="18"/>
              </w:rPr>
              <w:t>None</w:t>
            </w:r>
          </w:p>
        </w:tc>
        <w:tc>
          <w:tcPr>
            <w:tcW w:type="dxa" w:w="2160"/>
          </w:tcPr>
          <w:p>
            <w:r/>
            <w:r>
              <w:rPr>
                <w:b/>
                <w:sz w:val="16"/>
              </w:rPr>
              <w:t>chiffre_affaires</w:t>
              <w:br/>
            </w:r>
            <w:r>
              <w:rPr>
                <w:sz w:val="18"/>
              </w:rPr>
              <w:t>71 772 millions XOF</w:t>
            </w:r>
          </w:p>
        </w:tc>
        <w:tc>
          <w:tcPr>
            <w:tcW w:type="dxa" w:w="2160"/>
          </w:tcPr>
          <w:p/>
        </w:tc>
      </w:tr>
    </w:tbl>
    <w:p/>
    <w:p>
      <w:pPr>
        <w:spacing w:before="60"/>
        <w:ind w:left="400"/>
      </w:pPr>
      <w:r>
        <w:rPr>
          <w:b/>
          <w:sz w:val="18"/>
        </w:rPr>
        <w:t>Points clés :</w:t>
      </w:r>
    </w:p>
    <w:p>
      <w:pPr>
        <w:pStyle w:val="ListBullet"/>
        <w:spacing w:before="20" w:after="20"/>
        <w:ind w:left="700"/>
      </w:pPr>
      <w:r>
        <w:rPr>
          <w:sz w:val="18"/>
        </w:rPr>
        <w:t>Chute drastique du chiffre d'affaires de 24% à 71,8 milliards XOF due à la baisse des volumes (-11%) et des prix (-17%)</w:t>
      </w:r>
    </w:p>
    <w:p>
      <w:pPr>
        <w:pStyle w:val="ListBullet"/>
        <w:spacing w:before="20" w:after="20"/>
        <w:ind w:left="700"/>
      </w:pPr>
      <w:r>
        <w:rPr>
          <w:sz w:val="18"/>
        </w:rPr>
        <w:t>Effondrement du résultat d'exploitation de 73% à 4,5 milliards XOF impacté par la chute des cours mondiaux</w:t>
      </w:r>
    </w:p>
    <w:p>
      <w:pPr>
        <w:pStyle w:val="ListBullet"/>
        <w:spacing w:before="20" w:after="20"/>
        <w:ind w:left="700"/>
      </w:pPr>
      <w:r>
        <w:rPr>
          <w:sz w:val="18"/>
        </w:rPr>
        <w:t>Résultat net divisé par plus de 4 à 2,6 milliards XOF (-78%) avec une marge nette réduite à 4%</w:t>
      </w:r>
    </w:p>
    <w:p>
      <w:pPr>
        <w:pStyle w:val="ListBullet"/>
        <w:spacing w:before="20" w:after="20"/>
        <w:ind w:left="700"/>
      </w:pPr>
      <w:r>
        <w:rPr>
          <w:sz w:val="18"/>
        </w:rPr>
        <w:t>Amélioration du résultat financier de 13% grâce au désendettement progressif et à l'optimisation de trésorerie</w:t>
      </w:r>
    </w:p>
    <w:p>
      <w:pPr>
        <w:pStyle w:val="ListBullet"/>
        <w:spacing w:before="20" w:after="20"/>
        <w:ind w:left="700"/>
      </w:pPr>
      <w:r>
        <w:rPr>
          <w:sz w:val="18"/>
        </w:rPr>
        <w:t>Engorgement ponctuel du port de San Pedro pénalisant les expéditions</w:t>
      </w:r>
    </w:p>
    <w:p>
      <w:pPr>
        <w:pStyle w:val="ListBullet"/>
        <w:spacing w:before="20" w:after="20"/>
        <w:ind w:left="700"/>
      </w:pPr>
      <w:r>
        <w:rPr>
          <w:sz w:val="18"/>
        </w:rPr>
        <w:t>Concurrence intensifiée pour l'accès à la matière première sur le marché local</w:t>
      </w:r>
    </w:p>
    <w:p>
      <w:pPr>
        <w:spacing w:before="40"/>
        <w:ind w:left="400"/>
      </w:pPr>
      <w:r>
        <w:rPr>
          <w:b/>
          <w:color w:val="C05000"/>
          <w:sz w:val="18"/>
        </w:rPr>
        <w:t xml:space="preserve">⚠️ Risques : </w:t>
      </w:r>
      <w:r>
        <w:rPr>
          <w:sz w:val="18"/>
        </w:rPr>
        <w:t>["Volatilit\u00e9 persistante des cours mondiaux du caoutchouc et faiblesse du dollar am\u00e9ricain", "Concurrence intensifi\u00e9e pour l'approvisionnement en mati\u00e8re premi\u00e8re sur le march\u00e9 local", "Incertitudes g\u00e9opolitiques au Moyen-Orient impactant la consommation globale de</w:t>
      </w:r>
    </w:p>
    <w:p>
      <w:pPr>
        <w:spacing w:before="40"/>
        <w:ind w:left="400"/>
      </w:pPr>
      <w:r>
        <w:rPr>
          <w:b/>
          <w:color w:val="0064A0"/>
          <w:sz w:val="18"/>
        </w:rPr>
        <w:t xml:space="preserve">🔮 Perspectives : </w:t>
      </w:r>
      <w:r>
        <w:rPr>
          <w:sz w:val="18"/>
        </w:rPr>
        <w:t>L'année 2026 présente des signes encourageants avec une reprise des cours SICOM 20 et des perspectives de stabilisation du marché local grâce à la limitation des nouvelles licences industrielles. La société se positionne prudemment en maîtrisant ses coûts tout en finalisant ses investissements strat</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r\u00e9sultat net, la soci\u00e9t\u00e9 maintient une rentabilit\u00e9 \u00e9lev\u00e9e avec une marge nette de 28,4% et un bilan solide. La progression du chiffre d'affaires t\u00e9moigne d'un environnement favorable mais la d\u00e9gradation de la tr\u00e9sorerie n\u00e9cessite une surveillance."}</w:t>
      </w:r>
    </w:p>
    <w:p>
      <w:pPr>
        <w:spacing w:before="40"/>
        <w:ind w:left="400"/>
      </w:pPr>
      <w:r>
        <w:rPr>
          <w:sz w:val="18"/>
        </w:rPr>
        <w:t>SAPH CI (Société Africaine de Plantations d'Hévéas) présente des résultats financiers contrastés pour l'exercice 2022. Le chiffre d'affaires a progressé de 17,7% à 58,8 milliards FCFA, porté par l'amélioration des cours du caoutchouc. Cependant, le résultat net s'est dégradé, passant d'un bénéfice de 20,8 milliards FCFA en 2021 à 16,7 milliards FCFA en 2022. La société maintient un bilan solide avec un total actif de 277,5 milliards FCFA et des capitaux propres de 129,2 milliards FCFA. L'audit révèle des points d'attention concernant l'évaluation des actifs agricoles et la gestion des stocks de matières premières.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'-15 689 752 378 FCFA', 'total_passif_circulant': '31 646 046 844 FCFA', 'stock_matieres_premieres': '26 150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28,4%</w:t>
            </w:r>
          </w:p>
        </w:tc>
        <w:tc>
          <w:tcPr>
            <w:tcW w:type="dxa" w:w="2160"/>
          </w:tcPr>
          <w:p>
            <w:pPr>
              <w:ind w:left="100"/>
            </w:pPr>
            <w:r/>
            <w:r>
              <w:rPr>
                <w:b/>
                <w:sz w:val="16"/>
              </w:rPr>
              <w:t>total_actif</w:t>
              <w:br/>
            </w:r>
            <w:r>
              <w:rPr>
                <w:sz w:val="18"/>
              </w:rPr>
              <w:t>277 518 461 858 FCFA</w:t>
            </w:r>
          </w:p>
        </w:tc>
      </w:tr>
      <w:tr>
        <w:tc>
          <w:tcPr>
            <w:tcW w:type="dxa" w:w="2160"/>
          </w:tcPr>
          <w:p>
            <w:r/>
            <w:r>
              <w:rPr>
                <w:b/>
                <w:sz w:val="16"/>
              </w:rPr>
              <w:t>resultat_net</w:t>
              <w:br/>
            </w:r>
            <w:r>
              <w:rPr>
                <w:sz w:val="18"/>
              </w:rPr>
              <w:t>16 700 611 131 FCFA</w:t>
            </w:r>
          </w:p>
        </w:tc>
        <w:tc>
          <w:tcPr>
            <w:tcW w:type="dxa" w:w="2160"/>
          </w:tcPr>
          <w:p>
            <w:r/>
            <w:r>
              <w:rPr>
                <w:b/>
                <w:sz w:val="16"/>
              </w:rPr>
              <w:t>capitaux_propres</w:t>
              <w:br/>
            </w:r>
            <w:r>
              <w:rPr>
                <w:sz w:val="18"/>
              </w:rPr>
              <w:t>129 154 839 585 FCFA</w:t>
            </w:r>
          </w:p>
        </w:tc>
        <w:tc>
          <w:tcPr>
            <w:tcW w:type="dxa" w:w="2160"/>
          </w:tcPr>
          <w:p>
            <w:r/>
            <w:r>
              <w:rPr>
                <w:b/>
                <w:sz w:val="16"/>
              </w:rPr>
              <w:t>chiffre_affaires</w:t>
              <w:br/>
            </w:r>
            <w:r>
              <w:rPr>
                <w:sz w:val="18"/>
              </w:rPr>
              <w:t>58 773 554 214 FCFA</w:t>
            </w:r>
          </w:p>
        </w:tc>
        <w:tc>
          <w:tcPr>
            <w:tcW w:type="dxa" w:w="2160"/>
          </w:tcPr>
          <w:p/>
        </w:tc>
      </w:tr>
    </w:tbl>
    <w:p/>
    <w:p>
      <w:pPr>
        <w:spacing w:before="60"/>
        <w:ind w:left="400"/>
      </w:pPr>
      <w:r>
        <w:rPr>
          <w:b/>
          <w:sz w:val="18"/>
        </w:rPr>
        <w:t>Points clés :</w:t>
      </w:r>
    </w:p>
    <w:p>
      <w:pPr>
        <w:pStyle w:val="ListBullet"/>
        <w:spacing w:before="20" w:after="20"/>
        <w:ind w:left="700"/>
      </w:pPr>
      <w:r>
        <w:rPr>
          <w:sz w:val="18"/>
        </w:rPr>
        <w:t>Progression du chiffre d'affaires de 17,7% à 58,8 milliards FCFA en 2022</w:t>
      </w:r>
    </w:p>
    <w:p>
      <w:pPr>
        <w:pStyle w:val="ListBullet"/>
        <w:spacing w:before="20" w:after="20"/>
        <w:ind w:left="700"/>
      </w:pPr>
      <w:r>
        <w:rPr>
          <w:sz w:val="18"/>
        </w:rPr>
        <w:t>Baisse du résultat net de 20,8 milliards FCFA à 16,7 milliards FCFA (-19,7%)</w:t>
      </w:r>
    </w:p>
    <w:p>
      <w:pPr>
        <w:pStyle w:val="ListBullet"/>
        <w:spacing w:before="20" w:after="20"/>
        <w:ind w:left="700"/>
      </w:pPr>
      <w:r>
        <w:rPr>
          <w:sz w:val="18"/>
        </w:rPr>
        <w:t>Total actif stable à 277,5 milliards FCFA contre 277,5 milliards en 2021</w:t>
      </w:r>
    </w:p>
    <w:p>
      <w:pPr>
        <w:pStyle w:val="ListBullet"/>
        <w:spacing w:before="20" w:after="20"/>
        <w:ind w:left="700"/>
      </w:pPr>
      <w:r>
        <w:rPr>
          <w:sz w:val="18"/>
        </w:rPr>
        <w:t>Capitaux propres légèrement en hausse à 129,2 milliards FCFA</w:t>
      </w:r>
    </w:p>
    <w:p>
      <w:pPr>
        <w:pStyle w:val="ListBullet"/>
        <w:spacing w:before="20" w:after="20"/>
        <w:ind w:left="700"/>
      </w:pPr>
      <w:r>
        <w:rPr>
          <w:sz w:val="18"/>
        </w:rPr>
        <w:t>Stock de matières premières représentant 26,2 milliards FCFA (55,39% du stock total)</w:t>
      </w:r>
    </w:p>
    <w:p>
      <w:pPr>
        <w:pStyle w:val="ListBullet"/>
        <w:spacing w:before="20" w:after="20"/>
        <w:ind w:left="700"/>
      </w:pPr>
      <w:r>
        <w:rPr>
          <w:sz w:val="18"/>
        </w:rPr>
        <w:t>Points d'audit sur l'évaluation des actifs agricoles et la gestion des stocks</w:t>
      </w:r>
    </w:p>
    <w:p>
      <w:pPr>
        <w:spacing w:before="40"/>
        <w:ind w:left="400"/>
      </w:pPr>
      <w:r>
        <w:rPr>
          <w:b/>
          <w:color w:val="C05000"/>
          <w:sz w:val="18"/>
        </w:rPr>
        <w:t xml:space="preserve">⚠️ Risques : </w:t>
      </w:r>
      <w:r>
        <w:rPr>
          <w:sz w:val="18"/>
        </w:rPr>
        <w:t>["Volatilit\u00e9 des cours du caoutchouc impactant directement les revenus", "D\u00e9gradation de la position de tr\u00e9sorerie nette qui s'aggrave", "Points d'audit sur l'\u00e9valuation des actifs agricoles et la gestion des stocks"]</w:t>
      </w:r>
    </w:p>
    <w:p>
      <w:pPr>
        <w:spacing w:before="40"/>
        <w:ind w:left="400"/>
      </w:pPr>
      <w:r>
        <w:rPr>
          <w:b/>
          <w:color w:val="0064A0"/>
          <w:sz w:val="18"/>
        </w:rPr>
        <w:t xml:space="preserve">🔮 Perspectives : </w:t>
      </w:r>
      <w:r>
        <w:rPr>
          <w:sz w:val="18"/>
        </w:rPr>
        <w:t>Les perspectives dépendront largement de l'évolution des cours mondiaux du caoutchouc et de la capacité de la société à optimiser sa gestion de trésorerie. La société devra également répondre aux recommandations d'audit concernant l'évaluation de ses actifs agricoles pour sécuriser sa valorisation.</w:t>
      </w:r>
    </w:p>
    <w:p/>
    <w:p>
      <w:r>
        <w:t>════════════════════════════════════════════════════════════════════════════════</w:t>
      </w:r>
    </w:p>
    <w:p>
      <w:r>
        <w:br w:type="page"/>
      </w:r>
    </w:p>
    <w:p>
      <w:pPr>
        <w:pStyle w:val="Heading2"/>
        <w:spacing w:before="360"/>
      </w:pPr>
      <w:r>
        <w:rPr>
          <w:color w:val="0066CC"/>
        </w:rPr>
        <w:t>42. STAC - STAC - SETAO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STAC</w:t>
            </w:r>
          </w:p>
          <w:p>
            <w:r>
              <w:rPr>
                <w:b/>
                <w:color w:val="323250"/>
                <w:sz w:val="16"/>
              </w:rPr>
              <w:t xml:space="preserve">Société : </w:t>
            </w:r>
            <w:r>
              <w:rPr>
                <w:color w:val="000000"/>
                <w:sz w:val="16"/>
              </w:rPr>
              <w:t>STAC - SETAO COTE D'IVOIRE</w:t>
            </w:r>
          </w:p>
          <w:p>
            <w:r>
              <w:rPr>
                <w:b/>
                <w:color w:val="323250"/>
                <w:sz w:val="16"/>
              </w:rPr>
              <w:t xml:space="preserve">Secteur : </w:t>
            </w:r>
            <w:r>
              <w:rPr>
                <w:color w:val="000000"/>
                <w:sz w:val="16"/>
              </w:rPr>
              <w:t>INDUSTRIELS</w:t>
            </w:r>
          </w:p>
        </w:tc>
        <w:tc>
          <w:tcPr>
            <w:tcW w:type="dxa" w:w="2268"/>
            <w:shd w:fill="E2EFDA" w:val="clear"/>
          </w:tcPr>
          <w:p>
            <w:r>
              <w:rPr>
                <w:b/>
                <w:color w:val="1E461E"/>
                <w:sz w:val="16"/>
              </w:rPr>
              <w:t xml:space="preserve">Capitalisation : </w:t>
            </w:r>
            <w:r>
              <w:rPr>
                <w:b/>
                <w:color w:val="006400"/>
                <w:sz w:val="17"/>
              </w:rPr>
              <w:t>34.94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6,145 titres</w:t>
            </w:r>
          </w:p>
        </w:tc>
        <w:tc>
          <w:tcPr>
            <w:tcW w:type="dxa" w:w="2268"/>
            <w:shd w:fill="FFF2CC" w:val="clear"/>
          </w:tcPr>
          <w:p>
            <w:r>
              <w:rPr>
                <w:b/>
                <w:color w:val="503200"/>
                <w:sz w:val="16"/>
              </w:rPr>
              <w:t xml:space="preserve">Cours actuel : </w:t>
            </w:r>
            <w:r>
              <w:rPr>
                <w:color w:val="000000"/>
                <w:sz w:val="17"/>
              </w:rPr>
              <w:t>2,600 FCFA</w:t>
            </w:r>
          </w:p>
          <w:p>
            <w:r>
              <w:rPr>
                <w:b/>
                <w:color w:val="503200"/>
                <w:sz w:val="16"/>
              </w:rPr>
              <w:t xml:space="preserve">Var. 100 jours : </w:t>
            </w:r>
            <w:r>
              <w:rPr>
                <w:b/>
                <w:color w:val="B40000"/>
                <w:sz w:val="17"/>
              </w:rPr>
              <w:t>-11.11%</w:t>
            </w:r>
          </w:p>
          <w:p>
            <w:r>
              <w:rPr>
                <w:b/>
                <w:color w:val="503200"/>
                <w:sz w:val="16"/>
              </w:rPr>
              <w:t xml:space="preserve">Plus haut 100j : </w:t>
            </w:r>
            <w:r>
              <w:rPr>
                <w:color w:val="000000"/>
                <w:sz w:val="17"/>
              </w:rPr>
              <w:t>3,895 FCFA</w:t>
            </w:r>
          </w:p>
          <w:p>
            <w:r>
              <w:rPr>
                <w:b/>
                <w:color w:val="503200"/>
                <w:sz w:val="16"/>
              </w:rPr>
              <w:t xml:space="preserve">Plus bas 100j : </w:t>
            </w:r>
            <w:r>
              <w:rPr>
                <w:color w:val="000000"/>
                <w:sz w:val="17"/>
              </w:rPr>
              <w:t>2,515 FCFA</w:t>
            </w:r>
          </w:p>
          <w:p>
            <w:r>
              <w:rPr>
                <w:b/>
                <w:color w:val="503200"/>
                <w:sz w:val="16"/>
              </w:rPr>
              <w:t xml:space="preserve">Volatilité ann. : </w:t>
            </w:r>
            <w:r>
              <w:rPr>
                <w:color w:val="000000"/>
                <w:sz w:val="17"/>
              </w:rPr>
              <w:t>64.8%</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21.8/100 → Moyen</w:t>
      </w:r>
    </w:p>
    <w:p>
      <w:pPr>
        <w:spacing w:before="40" w:after="80"/>
      </w:pPr>
      <w:r>
        <w:rPr>
          <w:rFonts w:ascii="Courier New" w:hAnsi="Courier New"/>
          <w:color w:val="825A00"/>
          <w:sz w:val="18"/>
        </w:rPr>
        <w:t>████░░░░░░░░░░░░░░░░  21.8/100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11.12% (Moyenne) — μ=3,035 FCFA, σ=337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β=-0.8214 (Contre-cyclique) — Cov=-0.000029, Var(idx)=0.000035, ρ=-0.119,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6,145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σ_j=4.08%/j (Modérée) — Vol. annualisée≈64.8%</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19287"/>
            <wp:docPr id="44" name="Picture 44"/>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Moyenne</w:t>
            </w:r>
          </w:p>
        </w:tc>
        <w:tc>
          <w:tcPr>
            <w:tcW w:type="dxa" w:w="1440"/>
            <w:shd w:fill="FFDCE0" w:val="clear"/>
          </w:tcPr>
          <w:p>
            <w:r>
              <w:rPr>
                <w:sz w:val="17"/>
              </w:rPr>
              <w:t>2026-08-28</w:t>
            </w:r>
          </w:p>
        </w:tc>
        <w:tc>
          <w:tcPr>
            <w:tcW w:type="dxa" w:w="1440"/>
            <w:shd w:fill="FFDCE0" w:val="clear"/>
          </w:tcPr>
          <w:p>
            <w:r>
              <w:rPr>
                <w:sz w:val="17"/>
              </w:rPr>
              <w:t>2,338</w:t>
            </w:r>
          </w:p>
        </w:tc>
        <w:tc>
          <w:tcPr>
            <w:tcW w:type="dxa" w:w="1440"/>
            <w:shd w:fill="FFDCE0" w:val="clear"/>
          </w:tcPr>
          <w:p>
            <w:r>
              <w:rPr>
                <w:b/>
                <w:sz w:val="17"/>
              </w:rPr>
              <w:t>2,446</w:t>
            </w:r>
          </w:p>
        </w:tc>
        <w:tc>
          <w:tcPr>
            <w:tcW w:type="dxa" w:w="1440"/>
            <w:shd w:fill="FFDCE0" w:val="clear"/>
          </w:tcPr>
          <w:p>
            <w:r>
              <w:rPr>
                <w:sz w:val="17"/>
              </w:rPr>
              <w:t>2,554</w:t>
            </w:r>
          </w:p>
        </w:tc>
        <w:tc>
          <w:tcPr>
            <w:tcW w:type="dxa" w:w="1440"/>
            <w:shd w:fill="FFDCE0" w:val="clear"/>
          </w:tcPr>
          <w:p>
            <w:r>
              <w:rPr>
                <w:b/>
                <w:color w:val="C00000"/>
                <w:sz w:val="17"/>
              </w:rPr>
              <w:t>-5.9%</w:t>
            </w:r>
          </w:p>
        </w:tc>
      </w:tr>
      <w:tr>
        <w:tc>
          <w:tcPr>
            <w:tcW w:type="dxa" w:w="1440"/>
            <w:shd w:fill="FFDCE0" w:val="clear"/>
          </w:tcPr>
          <w:p>
            <w:r>
              <w:rPr>
                <w:sz w:val="17"/>
              </w:rPr>
              <w:t>J+2  Moyenne</w:t>
            </w:r>
          </w:p>
        </w:tc>
        <w:tc>
          <w:tcPr>
            <w:tcW w:type="dxa" w:w="1440"/>
            <w:shd w:fill="FFDCE0" w:val="clear"/>
          </w:tcPr>
          <w:p>
            <w:r>
              <w:rPr>
                <w:sz w:val="17"/>
              </w:rPr>
              <w:t>2026-08-31</w:t>
            </w:r>
          </w:p>
        </w:tc>
        <w:tc>
          <w:tcPr>
            <w:tcW w:type="dxa" w:w="1440"/>
            <w:shd w:fill="FFDCE0" w:val="clear"/>
          </w:tcPr>
          <w:p>
            <w:r>
              <w:rPr>
                <w:sz w:val="17"/>
              </w:rPr>
              <w:t>2,173</w:t>
            </w:r>
          </w:p>
        </w:tc>
        <w:tc>
          <w:tcPr>
            <w:tcW w:type="dxa" w:w="1440"/>
            <w:shd w:fill="FFDCE0" w:val="clear"/>
          </w:tcPr>
          <w:p>
            <w:r>
              <w:rPr>
                <w:b/>
                <w:sz w:val="17"/>
              </w:rPr>
              <w:t>2,317</w:t>
            </w:r>
          </w:p>
        </w:tc>
        <w:tc>
          <w:tcPr>
            <w:tcW w:type="dxa" w:w="1440"/>
            <w:shd w:fill="FFDCE0" w:val="clear"/>
          </w:tcPr>
          <w:p>
            <w:r>
              <w:rPr>
                <w:sz w:val="17"/>
              </w:rPr>
              <w:t>2,461</w:t>
            </w:r>
          </w:p>
        </w:tc>
        <w:tc>
          <w:tcPr>
            <w:tcW w:type="dxa" w:w="1440"/>
            <w:shd w:fill="FFDCE0" w:val="clear"/>
          </w:tcPr>
          <w:p>
            <w:r>
              <w:rPr>
                <w:b/>
                <w:color w:val="C00000"/>
                <w:sz w:val="17"/>
              </w:rPr>
              <w:t>-10.9%</w:t>
            </w:r>
          </w:p>
        </w:tc>
      </w:tr>
      <w:tr>
        <w:tc>
          <w:tcPr>
            <w:tcW w:type="dxa" w:w="1440"/>
            <w:shd w:fill="FFDCE0" w:val="clear"/>
          </w:tcPr>
          <w:p>
            <w:r>
              <w:rPr>
                <w:sz w:val="17"/>
              </w:rPr>
              <w:t>J+3  Moyenne</w:t>
            </w:r>
          </w:p>
        </w:tc>
        <w:tc>
          <w:tcPr>
            <w:tcW w:type="dxa" w:w="1440"/>
            <w:shd w:fill="FFDCE0" w:val="clear"/>
          </w:tcPr>
          <w:p>
            <w:r>
              <w:rPr>
                <w:sz w:val="17"/>
              </w:rPr>
              <w:t>2026-09-01</w:t>
            </w:r>
          </w:p>
        </w:tc>
        <w:tc>
          <w:tcPr>
            <w:tcW w:type="dxa" w:w="1440"/>
            <w:shd w:fill="FFDCE0" w:val="clear"/>
          </w:tcPr>
          <w:p>
            <w:r>
              <w:rPr>
                <w:sz w:val="17"/>
              </w:rPr>
              <w:t>2,008</w:t>
            </w:r>
          </w:p>
        </w:tc>
        <w:tc>
          <w:tcPr>
            <w:tcW w:type="dxa" w:w="1440"/>
            <w:shd w:fill="FFDCE0" w:val="clear"/>
          </w:tcPr>
          <w:p>
            <w:r>
              <w:rPr>
                <w:b/>
                <w:sz w:val="17"/>
              </w:rPr>
              <w:t>2,174</w:t>
            </w:r>
          </w:p>
        </w:tc>
        <w:tc>
          <w:tcPr>
            <w:tcW w:type="dxa" w:w="1440"/>
            <w:shd w:fill="FFDCE0" w:val="clear"/>
          </w:tcPr>
          <w:p>
            <w:r>
              <w:rPr>
                <w:sz w:val="17"/>
              </w:rPr>
              <w:t>2,339</w:t>
            </w:r>
          </w:p>
        </w:tc>
        <w:tc>
          <w:tcPr>
            <w:tcW w:type="dxa" w:w="1440"/>
            <w:shd w:fill="FFDCE0" w:val="clear"/>
          </w:tcPr>
          <w:p>
            <w:r>
              <w:rPr>
                <w:b/>
                <w:color w:val="C00000"/>
                <w:sz w:val="17"/>
              </w:rPr>
              <w:t>-16.4%</w:t>
            </w:r>
          </w:p>
        </w:tc>
      </w:tr>
      <w:tr>
        <w:tc>
          <w:tcPr>
            <w:tcW w:type="dxa" w:w="1440"/>
            <w:shd w:fill="FFDCE0" w:val="clear"/>
          </w:tcPr>
          <w:p>
            <w:r>
              <w:rPr>
                <w:sz w:val="17"/>
              </w:rPr>
              <w:t>J+4  ⭐</w:t>
            </w:r>
          </w:p>
        </w:tc>
        <w:tc>
          <w:tcPr>
            <w:tcW w:type="dxa" w:w="1440"/>
            <w:shd w:fill="FFDCE0" w:val="clear"/>
          </w:tcPr>
          <w:p>
            <w:r>
              <w:rPr>
                <w:sz w:val="17"/>
              </w:rPr>
              <w:t>2026-09-02</w:t>
            </w:r>
          </w:p>
        </w:tc>
        <w:tc>
          <w:tcPr>
            <w:tcW w:type="dxa" w:w="1440"/>
            <w:shd w:fill="FFDCE0" w:val="clear"/>
          </w:tcPr>
          <w:p>
            <w:r>
              <w:rPr>
                <w:sz w:val="17"/>
              </w:rPr>
              <w:t>1,861</w:t>
            </w:r>
          </w:p>
        </w:tc>
        <w:tc>
          <w:tcPr>
            <w:tcW w:type="dxa" w:w="1440"/>
            <w:shd w:fill="FFDCE0" w:val="clear"/>
          </w:tcPr>
          <w:p>
            <w:r>
              <w:rPr>
                <w:b/>
                <w:sz w:val="17"/>
              </w:rPr>
              <w:t>2,041</w:t>
            </w:r>
          </w:p>
        </w:tc>
        <w:tc>
          <w:tcPr>
            <w:tcW w:type="dxa" w:w="1440"/>
            <w:shd w:fill="FFDCE0" w:val="clear"/>
          </w:tcPr>
          <w:p>
            <w:r>
              <w:rPr>
                <w:sz w:val="17"/>
              </w:rPr>
              <w:t>2,221</w:t>
            </w:r>
          </w:p>
        </w:tc>
        <w:tc>
          <w:tcPr>
            <w:tcW w:type="dxa" w:w="1440"/>
            <w:shd w:fill="FFDCE0" w:val="clear"/>
          </w:tcPr>
          <w:p>
            <w:r>
              <w:rPr>
                <w:b/>
                <w:color w:val="C00000"/>
                <w:sz w:val="17"/>
              </w:rPr>
              <w:t>-21.5%</w:t>
            </w:r>
          </w:p>
        </w:tc>
      </w:tr>
      <w:tr>
        <w:tc>
          <w:tcPr>
            <w:tcW w:type="dxa" w:w="1440"/>
            <w:shd w:fill="FFDCE0" w:val="clear"/>
          </w:tcPr>
          <w:p>
            <w:r>
              <w:rPr>
                <w:sz w:val="17"/>
              </w:rPr>
              <w:t>J+5  ⭐</w:t>
            </w:r>
          </w:p>
        </w:tc>
        <w:tc>
          <w:tcPr>
            <w:tcW w:type="dxa" w:w="1440"/>
            <w:shd w:fill="FFDCE0" w:val="clear"/>
          </w:tcPr>
          <w:p>
            <w:r>
              <w:rPr>
                <w:sz w:val="17"/>
              </w:rPr>
              <w:t>2026-09-03</w:t>
            </w:r>
          </w:p>
        </w:tc>
        <w:tc>
          <w:tcPr>
            <w:tcW w:type="dxa" w:w="1440"/>
            <w:shd w:fill="FFDCE0" w:val="clear"/>
          </w:tcPr>
          <w:p>
            <w:r>
              <w:rPr>
                <w:sz w:val="17"/>
              </w:rPr>
              <w:t>1,737</w:t>
            </w:r>
          </w:p>
        </w:tc>
        <w:tc>
          <w:tcPr>
            <w:tcW w:type="dxa" w:w="1440"/>
            <w:shd w:fill="FFDCE0" w:val="clear"/>
          </w:tcPr>
          <w:p>
            <w:r>
              <w:rPr>
                <w:b/>
                <w:sz w:val="17"/>
              </w:rPr>
              <w:t>1,927</w:t>
            </w:r>
          </w:p>
        </w:tc>
        <w:tc>
          <w:tcPr>
            <w:tcW w:type="dxa" w:w="1440"/>
            <w:shd w:fill="FFDCE0" w:val="clear"/>
          </w:tcPr>
          <w:p>
            <w:r>
              <w:rPr>
                <w:sz w:val="17"/>
              </w:rPr>
              <w:t>2,117</w:t>
            </w:r>
          </w:p>
        </w:tc>
        <w:tc>
          <w:tcPr>
            <w:tcW w:type="dxa" w:w="1440"/>
            <w:shd w:fill="FFDCE0" w:val="clear"/>
          </w:tcPr>
          <w:p>
            <w:r>
              <w:rPr>
                <w:b/>
                <w:color w:val="C00000"/>
                <w:sz w:val="17"/>
              </w:rPr>
              <w:t>-25.9%</w:t>
            </w:r>
          </w:p>
        </w:tc>
      </w:tr>
      <w:tr>
        <w:tc>
          <w:tcPr>
            <w:tcW w:type="dxa" w:w="1440"/>
            <w:shd w:fill="FFDCE0" w:val="clear"/>
          </w:tcPr>
          <w:p>
            <w:r>
              <w:rPr>
                <w:sz w:val="17"/>
              </w:rPr>
              <w:t>J+6  ⭐</w:t>
            </w:r>
          </w:p>
        </w:tc>
        <w:tc>
          <w:tcPr>
            <w:tcW w:type="dxa" w:w="1440"/>
            <w:shd w:fill="FFDCE0" w:val="clear"/>
          </w:tcPr>
          <w:p>
            <w:r>
              <w:rPr>
                <w:sz w:val="17"/>
              </w:rPr>
              <w:t>2026-09-04</w:t>
            </w:r>
          </w:p>
        </w:tc>
        <w:tc>
          <w:tcPr>
            <w:tcW w:type="dxa" w:w="1440"/>
            <w:shd w:fill="FFDCE0" w:val="clear"/>
          </w:tcPr>
          <w:p>
            <w:r>
              <w:rPr>
                <w:sz w:val="17"/>
              </w:rPr>
              <w:t>1,636</w:t>
            </w:r>
          </w:p>
        </w:tc>
        <w:tc>
          <w:tcPr>
            <w:tcW w:type="dxa" w:w="1440"/>
            <w:shd w:fill="FFDCE0" w:val="clear"/>
          </w:tcPr>
          <w:p>
            <w:r>
              <w:rPr>
                <w:b/>
                <w:sz w:val="17"/>
              </w:rPr>
              <w:t>1,834</w:t>
            </w:r>
          </w:p>
        </w:tc>
        <w:tc>
          <w:tcPr>
            <w:tcW w:type="dxa" w:w="1440"/>
            <w:shd w:fill="FFDCE0" w:val="clear"/>
          </w:tcPr>
          <w:p>
            <w:r>
              <w:rPr>
                <w:sz w:val="17"/>
              </w:rPr>
              <w:t>2,032</w:t>
            </w:r>
          </w:p>
        </w:tc>
        <w:tc>
          <w:tcPr>
            <w:tcW w:type="dxa" w:w="1440"/>
            <w:shd w:fill="FFDCE0" w:val="clear"/>
          </w:tcPr>
          <w:p>
            <w:r>
              <w:rPr>
                <w:b/>
                <w:color w:val="C00000"/>
                <w:sz w:val="17"/>
              </w:rPr>
              <w:t>-29.5%</w:t>
            </w:r>
          </w:p>
        </w:tc>
      </w:tr>
      <w:tr>
        <w:tc>
          <w:tcPr>
            <w:tcW w:type="dxa" w:w="1440"/>
            <w:shd w:fill="FFDCE0" w:val="clear"/>
          </w:tcPr>
          <w:p>
            <w:r>
              <w:rPr>
                <w:sz w:val="17"/>
              </w:rPr>
              <w:t>J+7  ⭐</w:t>
            </w:r>
          </w:p>
        </w:tc>
        <w:tc>
          <w:tcPr>
            <w:tcW w:type="dxa" w:w="1440"/>
            <w:shd w:fill="FFDCE0" w:val="clear"/>
          </w:tcPr>
          <w:p>
            <w:r>
              <w:rPr>
                <w:sz w:val="17"/>
              </w:rPr>
              <w:t>2026-09-07</w:t>
            </w:r>
          </w:p>
        </w:tc>
        <w:tc>
          <w:tcPr>
            <w:tcW w:type="dxa" w:w="1440"/>
            <w:shd w:fill="FFDCE0" w:val="clear"/>
          </w:tcPr>
          <w:p>
            <w:r>
              <w:rPr>
                <w:sz w:val="17"/>
              </w:rPr>
              <w:t>1,552</w:t>
            </w:r>
          </w:p>
        </w:tc>
        <w:tc>
          <w:tcPr>
            <w:tcW w:type="dxa" w:w="1440"/>
            <w:shd w:fill="FFDCE0" w:val="clear"/>
          </w:tcPr>
          <w:p>
            <w:r>
              <w:rPr>
                <w:b/>
                <w:sz w:val="17"/>
              </w:rPr>
              <w:t>1,757</w:t>
            </w:r>
          </w:p>
        </w:tc>
        <w:tc>
          <w:tcPr>
            <w:tcW w:type="dxa" w:w="1440"/>
            <w:shd w:fill="FFDCE0" w:val="clear"/>
          </w:tcPr>
          <w:p>
            <w:r>
              <w:rPr>
                <w:sz w:val="17"/>
              </w:rPr>
              <w:t>1,962</w:t>
            </w:r>
          </w:p>
        </w:tc>
        <w:tc>
          <w:tcPr>
            <w:tcW w:type="dxa" w:w="1440"/>
            <w:shd w:fill="FFDCE0" w:val="clear"/>
          </w:tcPr>
          <w:p>
            <w:r>
              <w:rPr>
                <w:b/>
                <w:color w:val="C00000"/>
                <w:sz w:val="17"/>
              </w:rPr>
              <w:t>-32.4%</w:t>
            </w:r>
          </w:p>
        </w:tc>
      </w:tr>
      <w:tr>
        <w:tc>
          <w:tcPr>
            <w:tcW w:type="dxa" w:w="1440"/>
            <w:shd w:fill="FFDCE0" w:val="clear"/>
          </w:tcPr>
          <w:p>
            <w:r>
              <w:rPr>
                <w:sz w:val="17"/>
              </w:rPr>
              <w:t>J+8  ⭐</w:t>
            </w:r>
          </w:p>
        </w:tc>
        <w:tc>
          <w:tcPr>
            <w:tcW w:type="dxa" w:w="1440"/>
            <w:shd w:fill="FFDCE0" w:val="clear"/>
          </w:tcPr>
          <w:p>
            <w:r>
              <w:rPr>
                <w:sz w:val="17"/>
              </w:rPr>
              <w:t>2026-09-08</w:t>
            </w:r>
          </w:p>
        </w:tc>
        <w:tc>
          <w:tcPr>
            <w:tcW w:type="dxa" w:w="1440"/>
            <w:shd w:fill="FFDCE0" w:val="clear"/>
          </w:tcPr>
          <w:p>
            <w:r>
              <w:rPr>
                <w:sz w:val="17"/>
              </w:rPr>
              <w:t>1,483</w:t>
            </w:r>
          </w:p>
        </w:tc>
        <w:tc>
          <w:tcPr>
            <w:tcW w:type="dxa" w:w="1440"/>
            <w:shd w:fill="FFDCE0" w:val="clear"/>
          </w:tcPr>
          <w:p>
            <w:r>
              <w:rPr>
                <w:b/>
                <w:sz w:val="17"/>
              </w:rPr>
              <w:t>1,695</w:t>
            </w:r>
          </w:p>
        </w:tc>
        <w:tc>
          <w:tcPr>
            <w:tcW w:type="dxa" w:w="1440"/>
            <w:shd w:fill="FFDCE0" w:val="clear"/>
          </w:tcPr>
          <w:p>
            <w:r>
              <w:rPr>
                <w:sz w:val="17"/>
              </w:rPr>
              <w:t>1,906</w:t>
            </w:r>
          </w:p>
        </w:tc>
        <w:tc>
          <w:tcPr>
            <w:tcW w:type="dxa" w:w="1440"/>
            <w:shd w:fill="FFDCE0" w:val="clear"/>
          </w:tcPr>
          <w:p>
            <w:r>
              <w:rPr>
                <w:b/>
                <w:color w:val="C00000"/>
                <w:sz w:val="17"/>
              </w:rPr>
              <w:t>-34.8%</w:t>
            </w:r>
          </w:p>
        </w:tc>
      </w:tr>
      <w:tr>
        <w:tc>
          <w:tcPr>
            <w:tcW w:type="dxa" w:w="1440"/>
            <w:shd w:fill="FFDCE0" w:val="clear"/>
          </w:tcPr>
          <w:p>
            <w:r>
              <w:rPr>
                <w:sz w:val="17"/>
              </w:rPr>
              <w:t>J+9  ⭐</w:t>
            </w:r>
          </w:p>
        </w:tc>
        <w:tc>
          <w:tcPr>
            <w:tcW w:type="dxa" w:w="1440"/>
            <w:shd w:fill="FFDCE0" w:val="clear"/>
          </w:tcPr>
          <w:p>
            <w:r>
              <w:rPr>
                <w:sz w:val="17"/>
              </w:rPr>
              <w:t>2026-09-09</w:t>
            </w:r>
          </w:p>
        </w:tc>
        <w:tc>
          <w:tcPr>
            <w:tcW w:type="dxa" w:w="1440"/>
            <w:shd w:fill="FFDCE0" w:val="clear"/>
          </w:tcPr>
          <w:p>
            <w:r>
              <w:rPr>
                <w:sz w:val="17"/>
              </w:rPr>
              <w:t>1,425</w:t>
            </w:r>
          </w:p>
        </w:tc>
        <w:tc>
          <w:tcPr>
            <w:tcW w:type="dxa" w:w="1440"/>
            <w:shd w:fill="FFDCE0" w:val="clear"/>
          </w:tcPr>
          <w:p>
            <w:r>
              <w:rPr>
                <w:b/>
                <w:sz w:val="17"/>
              </w:rPr>
              <w:t>1,642</w:t>
            </w:r>
          </w:p>
        </w:tc>
        <w:tc>
          <w:tcPr>
            <w:tcW w:type="dxa" w:w="1440"/>
            <w:shd w:fill="FFDCE0" w:val="clear"/>
          </w:tcPr>
          <w:p>
            <w:r>
              <w:rPr>
                <w:sz w:val="17"/>
              </w:rPr>
              <w:t>1,859</w:t>
            </w:r>
          </w:p>
        </w:tc>
        <w:tc>
          <w:tcPr>
            <w:tcW w:type="dxa" w:w="1440"/>
            <w:shd w:fill="FFDCE0" w:val="clear"/>
          </w:tcPr>
          <w:p>
            <w:r>
              <w:rPr>
                <w:b/>
                <w:color w:val="C00000"/>
                <w:sz w:val="17"/>
              </w:rPr>
              <w:t>-36.8%</w:t>
            </w:r>
          </w:p>
        </w:tc>
      </w:tr>
      <w:tr>
        <w:tc>
          <w:tcPr>
            <w:tcW w:type="dxa" w:w="1440"/>
            <w:shd w:fill="FFDCE0" w:val="clear"/>
          </w:tcPr>
          <w:p>
            <w:r>
              <w:rPr>
                <w:sz w:val="17"/>
              </w:rPr>
              <w:t>J+10  ⭐</w:t>
            </w:r>
          </w:p>
        </w:tc>
        <w:tc>
          <w:tcPr>
            <w:tcW w:type="dxa" w:w="1440"/>
            <w:shd w:fill="FFDCE0" w:val="clear"/>
          </w:tcPr>
          <w:p>
            <w:r>
              <w:rPr>
                <w:sz w:val="17"/>
              </w:rPr>
              <w:t>2026-09-10</w:t>
            </w:r>
          </w:p>
        </w:tc>
        <w:tc>
          <w:tcPr>
            <w:tcW w:type="dxa" w:w="1440"/>
            <w:shd w:fill="FFDCE0" w:val="clear"/>
          </w:tcPr>
          <w:p>
            <w:r>
              <w:rPr>
                <w:sz w:val="17"/>
              </w:rPr>
              <w:t>1,375</w:t>
            </w:r>
          </w:p>
        </w:tc>
        <w:tc>
          <w:tcPr>
            <w:tcW w:type="dxa" w:w="1440"/>
            <w:shd w:fill="FFDCE0" w:val="clear"/>
          </w:tcPr>
          <w:p>
            <w:r>
              <w:rPr>
                <w:b/>
                <w:sz w:val="17"/>
              </w:rPr>
              <w:t>1,598</w:t>
            </w:r>
          </w:p>
        </w:tc>
        <w:tc>
          <w:tcPr>
            <w:tcW w:type="dxa" w:w="1440"/>
            <w:shd w:fill="FFDCE0" w:val="clear"/>
          </w:tcPr>
          <w:p>
            <w:r>
              <w:rPr>
                <w:sz w:val="17"/>
              </w:rPr>
              <w:t>1,820</w:t>
            </w:r>
          </w:p>
        </w:tc>
        <w:tc>
          <w:tcPr>
            <w:tcW w:type="dxa" w:w="1440"/>
            <w:shd w:fill="FFDCE0" w:val="clear"/>
          </w:tcPr>
          <w:p>
            <w:r>
              <w:rPr>
                <w:b/>
                <w:color w:val="C00000"/>
                <w:sz w:val="17"/>
              </w:rPr>
              <w:t>-38.6%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Actif circulant</w:t>
            </w:r>
          </w:p>
        </w:tc>
        <w:tc>
          <w:tcPr>
            <w:tcW w:type="dxa" w:w="1984"/>
            <w:shd w:fill="FFC7CE" w:val="clear"/>
          </w:tcPr>
          <w:p>
            <w:r>
              <w:rPr>
                <w:b/>
                <w:color w:val="006400"/>
                <w:sz w:val="17"/>
              </w:rPr>
              <w:t>3.696 Mds FCFA</w:t>
            </w:r>
          </w:p>
        </w:tc>
        <w:tc>
          <w:tcPr>
            <w:tcW w:type="dxa" w:w="5669"/>
            <w:shd w:fill="FFFFFF" w:val="clear"/>
          </w:tcPr>
          <w:p>
            <w:r>
              <w:rPr>
                <w:color w:val="282828"/>
                <w:sz w:val="15"/>
              </w:rPr>
              <w:t>Ratio actif circ./passif circ. = 0.80x. ❌ Actif circulant insuffisant pour couvrir les dettes CT.</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420.20 M FCFA</w:t>
            </w:r>
          </w:p>
        </w:tc>
        <w:tc>
          <w:tcPr>
            <w:tcW w:type="dxa" w:w="5669"/>
            <w:shd w:fill="FFFFFF" w:val="clear"/>
          </w:tcPr>
          <w:p>
            <w:r>
              <w:rPr>
                <w:color w:val="282828"/>
                <w:sz w:val="15"/>
              </w:rPr>
              <w:t>Actif immobilisé = 7.7%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1.330 Mds FCFA</w:t>
            </w:r>
          </w:p>
        </w:tc>
        <w:tc>
          <w:tcPr>
            <w:tcW w:type="dxa" w:w="5669"/>
            <w:shd w:fill="FFFFFF" w:val="clear"/>
          </w:tcPr>
          <w:p>
            <w:r>
              <w:rPr>
                <w:color w:val="282828"/>
                <w:sz w:val="15"/>
              </w:rPr>
              <w:t>Liquidités disponibles (24.4%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5.447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672.00 M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Capitaux propres</w:t>
            </w:r>
          </w:p>
        </w:tc>
        <w:tc>
          <w:tcPr>
            <w:tcW w:type="dxa" w:w="1984"/>
            <w:shd w:fill="FFC7CE" w:val="clear"/>
          </w:tcPr>
          <w:p>
            <w:r>
              <w:rPr>
                <w:b/>
                <w:color w:val="006400"/>
                <w:sz w:val="17"/>
              </w:rPr>
              <w:t>356.75 M FCFA</w:t>
            </w:r>
          </w:p>
        </w:tc>
        <w:tc>
          <w:tcPr>
            <w:tcW w:type="dxa" w:w="5669"/>
            <w:shd w:fill="FFFFFF" w:val="clear"/>
          </w:tcPr>
          <w:p>
            <w:r>
              <w:rPr>
                <w:color w:val="282828"/>
                <w:sz w:val="15"/>
              </w:rPr>
              <w:t>Fonds propres = 6.5% du bilan. ❌ Sous-capitalisation critique — risque de solvabilité.</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820.05 M FCFA</w:t>
            </w:r>
          </w:p>
        </w:tc>
        <w:tc>
          <w:tcPr>
            <w:tcW w:type="dxa" w:w="5669"/>
            <w:shd w:fill="FFFFFF" w:val="clear"/>
          </w:tcPr>
          <w:p>
            <w:r>
              <w:rPr>
                <w:color w:val="282828"/>
                <w:sz w:val="15"/>
              </w:rPr>
              <w:t>Capitaux permanents / Actif immobilisé = 1.95x.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FFEB9C" w:val="clear"/>
          </w:tcPr>
          <w:p>
            <w:r>
              <w:rPr>
                <w:b/>
                <w:color w:val="006400"/>
                <w:sz w:val="17"/>
              </w:rPr>
              <w:t>463.31 M FCFA</w:t>
            </w:r>
          </w:p>
        </w:tc>
        <w:tc>
          <w:tcPr>
            <w:tcW w:type="dxa" w:w="5669"/>
            <w:shd w:fill="FFFFFF" w:val="clear"/>
          </w:tcPr>
          <w:p>
            <w:r>
              <w:rPr>
                <w:color w:val="282828"/>
                <w:sz w:val="15"/>
              </w:rPr>
              <w:t>Dette LT/MT = 130% des fonds propres. ⚠️ Levier financier élevé — surveiller la capacité de remboursement.</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463.31 M FCFA</w:t>
            </w:r>
          </w:p>
        </w:tc>
        <w:tc>
          <w:tcPr>
            <w:tcW w:type="dxa" w:w="5669"/>
            <w:shd w:fill="FFFFFF" w:val="clear"/>
          </w:tcPr>
          <w:p>
            <w:r>
              <w:rPr>
                <w:color w:val="282828"/>
                <w:sz w:val="15"/>
              </w:rPr>
              <w:t>Dette financière totale = 130% des fonds propres (gearing). ✅ Structure financière saine.</w:t>
            </w:r>
          </w:p>
        </w:tc>
      </w:tr>
      <w:tr>
        <w:tc>
          <w:tcPr>
            <w:tcW w:type="dxa" w:w="2268"/>
            <w:shd w:fill="EEF2F7" w:val="clear"/>
          </w:tcPr>
          <w:p>
            <w:r>
              <w:rPr>
                <w:b/>
                <w:color w:val="1E1E3C"/>
                <w:sz w:val="16"/>
              </w:rPr>
              <w:t>Dettes totales</w:t>
            </w:r>
          </w:p>
        </w:tc>
        <w:tc>
          <w:tcPr>
            <w:tcW w:type="dxa" w:w="1984"/>
            <w:shd w:fill="FFC7CE" w:val="clear"/>
          </w:tcPr>
          <w:p>
            <w:r>
              <w:rPr>
                <w:b/>
                <w:color w:val="006400"/>
                <w:sz w:val="17"/>
              </w:rPr>
              <w:t>5.090 Mds FCFA</w:t>
            </w:r>
          </w:p>
        </w:tc>
        <w:tc>
          <w:tcPr>
            <w:tcW w:type="dxa" w:w="5669"/>
            <w:shd w:fill="FFFFFF" w:val="clear"/>
          </w:tcPr>
          <w:p>
            <w:r>
              <w:rPr>
                <w:color w:val="282828"/>
                <w:sz w:val="15"/>
              </w:rPr>
              <w:t>Dettes totales = 93.5% du bilan. ❌ Très faible marge de sécurité pour les créanciers.</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3.878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3.878 Mds FCFA</w:t>
            </w:r>
          </w:p>
        </w:tc>
        <w:tc>
          <w:tcPr>
            <w:tcW w:type="dxa" w:w="5669"/>
            <w:shd w:fill="FFFFFF" w:val="clear"/>
          </w:tcPr>
          <w:p>
            <w:r>
              <w:rPr>
                <w:color w:val="282828"/>
                <w:sz w:val="15"/>
              </w:rPr>
              <w:t>Chiffre d'affaires. Croissance: 116.3%.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121.82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804.32 M FCFA</w:t>
            </w:r>
          </w:p>
        </w:tc>
        <w:tc>
          <w:tcPr>
            <w:tcW w:type="dxa" w:w="5669"/>
            <w:shd w:fill="FFFFFF" w:val="clear"/>
          </w:tcPr>
          <w:p>
            <w:r>
              <w:rPr>
                <w:color w:val="282828"/>
                <w:sz w:val="15"/>
              </w:rPr>
              <w:t>Masse salariale = 20.7%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154.19 M FCFA</w:t>
            </w:r>
          </w:p>
        </w:tc>
        <w:tc>
          <w:tcPr>
            <w:tcW w:type="dxa" w:w="5669"/>
            <w:shd w:fill="FFFFFF" w:val="clear"/>
          </w:tcPr>
          <w:p>
            <w:r>
              <w:rPr>
                <w:color w:val="282828"/>
                <w:sz w:val="15"/>
              </w:rPr>
              <w:t>VA = 4.0%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-650.13 M FCFA</w:t>
            </w:r>
          </w:p>
        </w:tc>
        <w:tc>
          <w:tcPr>
            <w:tcW w:type="dxa" w:w="5669"/>
            <w:shd w:fill="FFFFFF" w:val="clear"/>
          </w:tcPr>
          <w:p>
            <w:r>
              <w:rPr>
                <w:color w:val="282828"/>
                <w:sz w:val="15"/>
              </w:rPr>
              <w:t>EBE = -16.8%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-771.95 M FCFA</w:t>
            </w:r>
          </w:p>
        </w:tc>
        <w:tc>
          <w:tcPr>
            <w:tcW w:type="dxa" w:w="5669"/>
            <w:shd w:fill="FFFFFF" w:val="clear"/>
          </w:tcPr>
          <w:p>
            <w:r>
              <w:rPr>
                <w:color w:val="282828"/>
                <w:sz w:val="15"/>
              </w:rPr>
              <w:t>Profit d'exploitation = -19.9% des revenus. ❌ Perte d'exploitation — l'activité principale ne couvre pas ses coûts.</w:t>
            </w:r>
          </w:p>
        </w:tc>
      </w:tr>
      <w:tr>
        <w:tc>
          <w:tcPr>
            <w:tcW w:type="dxa" w:w="2268"/>
            <w:shd w:fill="EEF2F7" w:val="clear"/>
          </w:tcPr>
          <w:p>
            <w:r>
              <w:rPr>
                <w:b/>
                <w:color w:val="1E1E3C"/>
                <w:sz w:val="16"/>
              </w:rPr>
              <w:t>Résultat net</w:t>
            </w:r>
          </w:p>
        </w:tc>
        <w:tc>
          <w:tcPr>
            <w:tcW w:type="dxa" w:w="1984"/>
            <w:shd w:fill="FFC7CE" w:val="clear"/>
          </w:tcPr>
          <w:p>
            <w:r>
              <w:rPr>
                <w:b/>
                <w:color w:val="B40000"/>
                <w:sz w:val="17"/>
              </w:rPr>
              <w:t>-96.56 M FCFA</w:t>
            </w:r>
          </w:p>
        </w:tc>
        <w:tc>
          <w:tcPr>
            <w:tcW w:type="dxa" w:w="5669"/>
            <w:shd w:fill="FFFFFF" w:val="clear"/>
          </w:tcPr>
          <w:p>
            <w:r>
              <w:rPr>
                <w:color w:val="282828"/>
                <w:sz w:val="15"/>
              </w:rPr>
              <w:t>Marge nette = -2.5%.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5.98 M FCFA</w:t>
            </w:r>
          </w:p>
        </w:tc>
        <w:tc>
          <w:tcPr>
            <w:tcW w:type="dxa" w:w="5669"/>
            <w:shd w:fill="FFFFFF" w:val="clear"/>
          </w:tcPr>
          <w:p>
            <w:r>
              <w:rPr>
                <w:color w:val="282828"/>
                <w:sz w:val="15"/>
              </w:rPr>
              <w:t>CAF = 0.01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FFC7CE" w:val="clear"/>
          </w:tcPr>
          <w:p>
            <w:r>
              <w:rPr>
                <w:b/>
                <w:color w:val="B40000"/>
                <w:sz w:val="17"/>
              </w:rPr>
              <w:t>-2.212 Mds FCFA</w:t>
            </w:r>
          </w:p>
        </w:tc>
        <w:tc>
          <w:tcPr>
            <w:tcW w:type="dxa" w:w="5669"/>
            <w:shd w:fill="FFFFFF" w:val="clear"/>
          </w:tcPr>
          <w:p>
            <w:r>
              <w:rPr>
                <w:color w:val="282828"/>
                <w:sz w:val="15"/>
              </w:rPr>
              <w:t>Cash généré par l'activité courante. ❌ Activité consommatrice de cash — modèle sous pression.</w:t>
            </w:r>
          </w:p>
        </w:tc>
      </w:tr>
      <w:tr>
        <w:tc>
          <w:tcPr>
            <w:tcW w:type="dxa" w:w="2268"/>
            <w:shd w:fill="EEF2F7" w:val="clear"/>
          </w:tcPr>
          <w:p>
            <w:r>
              <w:rPr>
                <w:b/>
                <w:color w:val="1E1E3C"/>
                <w:sz w:val="16"/>
              </w:rPr>
              <w:t>BFR</w:t>
            </w:r>
          </w:p>
        </w:tc>
        <w:tc>
          <w:tcPr>
            <w:tcW w:type="dxa" w:w="1984"/>
            <w:shd w:fill="C6EFCE" w:val="clear"/>
          </w:tcPr>
          <w:p>
            <w:r>
              <w:rPr>
                <w:b/>
                <w:color w:val="B40000"/>
                <w:sz w:val="17"/>
              </w:rPr>
              <w:t>-930.47 M FCFA</w:t>
            </w:r>
          </w:p>
        </w:tc>
        <w:tc>
          <w:tcPr>
            <w:tcW w:type="dxa" w:w="5669"/>
            <w:shd w:fill="FFFFFF" w:val="clear"/>
          </w:tcPr>
          <w:p>
            <w:r>
              <w:rPr>
                <w:color w:val="282828"/>
                <w:sz w:val="15"/>
              </w:rPr>
              <w:t>BFR = -24.0%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399.85 M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1.330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3.98%</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C7CE" w:val="clear"/>
          </w:tcPr>
          <w:p>
            <w:r>
              <w:rPr>
                <w:b/>
                <w:color w:val="B40000"/>
                <w:sz w:val="17"/>
              </w:rPr>
              <w:t>-2.49%</w:t>
            </w:r>
          </w:p>
        </w:tc>
        <w:tc>
          <w:tcPr>
            <w:tcW w:type="dxa" w:w="5669"/>
            <w:shd w:fill="FFFFFF" w:val="clear"/>
          </w:tcPr>
          <w:p>
            <w:r>
              <w:rPr>
                <w:color w:val="282828"/>
                <w:sz w:val="15"/>
              </w:rPr>
              <w:t>Résultat net / revenus = -2.49%.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-19.90%</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-27.07%</w:t>
            </w:r>
          </w:p>
        </w:tc>
        <w:tc>
          <w:tcPr>
            <w:tcW w:type="dxa" w:w="5669"/>
            <w:shd w:fill="FFFFFF" w:val="clear"/>
          </w:tcPr>
          <w:p>
            <w:r>
              <w:rPr>
                <w:color w:val="282828"/>
                <w:sz w:val="15"/>
              </w:rPr>
              <w:t>Résultat net / capitaux propres = -27.07%.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-1.77%</w:t>
            </w:r>
          </w:p>
        </w:tc>
        <w:tc>
          <w:tcPr>
            <w:tcW w:type="dxa" w:w="5669"/>
            <w:shd w:fill="FFFFFF" w:val="clear"/>
          </w:tcPr>
          <w:p>
            <w:r>
              <w:rPr>
                <w:color w:val="282828"/>
                <w:sz w:val="15"/>
              </w:rPr>
              <w:t>Résultat net / total actif = -1.77%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71.21%</w:t>
            </w:r>
          </w:p>
        </w:tc>
        <w:tc>
          <w:tcPr>
            <w:tcW w:type="dxa" w:w="5669"/>
            <w:shd w:fill="FFFFFF" w:val="clear"/>
          </w:tcPr>
          <w:p>
            <w:r>
              <w:rPr>
                <w:color w:val="282828"/>
                <w:sz w:val="15"/>
              </w:rPr>
              <w:t>CA / total actif = 71.21x.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116.26%</w:t>
            </w:r>
          </w:p>
        </w:tc>
        <w:tc>
          <w:tcPr>
            <w:tcW w:type="dxa" w:w="5669"/>
            <w:shd w:fill="FFFFFF" w:val="clear"/>
          </w:tcPr>
          <w:p>
            <w:r>
              <w:rPr>
                <w:color w:val="282828"/>
                <w:sz w:val="15"/>
              </w:rPr>
              <w:t>Croissance CA vs exercice précédent = 116.26%.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FFC7CE" w:val="clear"/>
          </w:tcPr>
          <w:p>
            <w:r>
              <w:rPr>
                <w:b/>
                <w:color w:val="006400"/>
                <w:sz w:val="17"/>
              </w:rPr>
              <w:t>6.55%</w:t>
            </w:r>
          </w:p>
        </w:tc>
        <w:tc>
          <w:tcPr>
            <w:tcW w:type="dxa" w:w="5669"/>
            <w:shd w:fill="FFFFFF" w:val="clear"/>
          </w:tcPr>
          <w:p>
            <w:r>
              <w:rPr>
                <w:color w:val="282828"/>
                <w:sz w:val="15"/>
              </w:rPr>
              <w:t>Fonds propres / total bilan = 6.55%. ❌ Quasi-totalité des actifs financée par des dettes.</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129.87%</w:t>
            </w:r>
          </w:p>
        </w:tc>
        <w:tc>
          <w:tcPr>
            <w:tcW w:type="dxa" w:w="5669"/>
            <w:shd w:fill="FFFFFF" w:val="clear"/>
          </w:tcPr>
          <w:p>
            <w:r>
              <w:rPr>
                <w:color w:val="282828"/>
                <w:sz w:val="15"/>
              </w:rPr>
              <w:t>Dettes financières / total bilan = 129.87%.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93.45%</w:t>
            </w:r>
          </w:p>
        </w:tc>
        <w:tc>
          <w:tcPr>
            <w:tcW w:type="dxa" w:w="5669"/>
            <w:shd w:fill="FFFFFF" w:val="clear"/>
          </w:tcPr>
          <w:p>
            <w:r>
              <w:rPr>
                <w:color w:val="282828"/>
                <w:sz w:val="15"/>
              </w:rPr>
              <w:t>Dettes totales / fonds propres = 93.45%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107.01%</w:t>
            </w:r>
          </w:p>
        </w:tc>
        <w:tc>
          <w:tcPr>
            <w:tcW w:type="dxa" w:w="5669"/>
            <w:shd w:fill="FFFFFF" w:val="clear"/>
          </w:tcPr>
          <w:p>
            <w:r>
              <w:rPr>
                <w:color w:val="282828"/>
                <w:sz w:val="15"/>
              </w:rPr>
              <w:t>Total actif / dettes totales = 107.01x. ✅ Solvable.</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108.64%</w:t>
            </w:r>
          </w:p>
        </w:tc>
        <w:tc>
          <w:tcPr>
            <w:tcW w:type="dxa" w:w="5669"/>
            <w:shd w:fill="FFFFFF" w:val="clear"/>
          </w:tcPr>
          <w:p>
            <w:r>
              <w:rPr>
                <w:color w:val="282828"/>
                <w:sz w:val="15"/>
              </w:rPr>
              <w:t>Actif circulant / passif circulant = 108.64x.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28.75%</w:t>
            </w:r>
          </w:p>
        </w:tc>
        <w:tc>
          <w:tcPr>
            <w:tcW w:type="dxa" w:w="5669"/>
            <w:shd w:fill="FFFFFF" w:val="clear"/>
          </w:tcPr>
          <w:p>
            <w:r>
              <w:rPr>
                <w:color w:val="282828"/>
                <w:sz w:val="15"/>
              </w:rPr>
              <w:t>Trésorerie / passif circulant = 28.75x. ⚠️ Trésorerie immédiate limitée.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195.16%</w:t>
            </w:r>
          </w:p>
        </w:tc>
        <w:tc>
          <w:tcPr>
            <w:tcW w:type="dxa" w:w="5669"/>
            <w:shd w:fill="FFFFFF" w:val="clear"/>
          </w:tcPr>
          <w:p>
            <w:r>
              <w:rPr>
                <w:color w:val="282828"/>
                <w:sz w:val="15"/>
              </w:rPr>
              <w:t>Capitaux permanents / actif immobilisé = 195.16x.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FFC7CE" w:val="clear"/>
          </w:tcPr>
          <w:p>
            <w:r>
              <w:rPr>
                <w:b/>
                <w:color w:val="006400"/>
                <w:sz w:val="17"/>
              </w:rPr>
              <w:t>77.5 ans</w:t>
            </w:r>
          </w:p>
        </w:tc>
        <w:tc>
          <w:tcPr>
            <w:tcW w:type="dxa" w:w="5669"/>
            <w:shd w:fill="FFFFFF" w:val="clear"/>
          </w:tcPr>
          <w:p>
            <w:r>
              <w:rPr>
                <w:color w:val="282828"/>
                <w:sz w:val="15"/>
              </w:rPr>
              <w:t>Dettes financières / CAF = 77.5 ans. ❌ Capacité de remboursement très dégradée.</w:t>
            </w:r>
          </w:p>
        </w:tc>
      </w:tr>
    </w:tbl>
    <w:p/>
    <w:p>
      <w:pPr>
        <w:spacing w:after="120" w:line="276" w:lineRule="auto"/>
      </w:pPr>
      <w:r>
        <w:t>**RAPPORT D'ANALYSE FINANCIÈRE — STAC (SETAO CI)**</w:t>
        <w:br/>
        <w:t>**Marché :** BRVM | **Date de l'analyse :** 27 Août 2026</w:t>
        <w:br/>
        <w:t>**Cours de référence :** 2 600 FCFA</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STAC s'établit à 34,94 milliards FCFA, un niveau relativement modeste sur la BRVM, reflétant une société de taille moyenne dans le secteur des travaux publics. Le ratio PER est négatif à -361,9x, ce qui traduit une situation de pertes nettes (BPA de -7 FCFA) et rend ce multiple inexploitable pour la valorisation. En revanche, le Price-to-Book ratio (P/B) de 97,95x est extrêmement élevé, indiquant que le marché valorise l'actif net de la société à une prime considérable par rapport à sa valeur comptable (356,75 millions FCFA). Cette décote massive des capitaux propres par rapport au cours de bourse suggère que les investisseurs intègrent des actifs immatériels (carnet de commandes, marque) ou anticipent un retournement majeur, mais elle représente un risque significatif de correction si les fondamentaux ne s'améliorent pas. Le ratio EV/EBITDA n'est pas calculable en raison d'un EBITDA négatif, ce qui confirme l'incapacité actuelle de l'entreprise à générer de la valeur opérationnelle.</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STAC a enregistré une baisse substantielle de -11,11%, bien que la dernière séance ait rebondi de +1,96% pour clôturer à 2 600 FCFA. Le titre a évolué dans une fourchette large de 2 515 à 3 895 FCFA, illustrant une forte amplitude de trading. La moyenne du cours sur la période (3 035 FCFA) est supérieure à la médiane (2 990 FCFA), indiquant une distribution légèrement asymétrique à gauche, confirmée par un skewness positif de 0,391 ; cela suggère que les fortes hausses passées ont été plus fréquentes que les fortes baisses, mais que la tendance récente est baissière. L'écart-type de 339 FCFA (CV de 11,2%) montre une dispersion modérée autour de la moyenne. Le kurtosis de -0,885 (mésokurtique) indique une distribution proche de la normale, sans risque de variations extrêmes imprévisibles. La volatilité annualisée de 64,8% est très élevée, classant STAC comme un actif à haut risque, typique des valeurs de petite capitalisation sur les marchés émergents.</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(2 600 FCFA) est inférieur à la MM20 (2 650,75 FCFA) et nettement en dessous de la MM50 (3 027,2 FCFA). Cette configuration en "death cross" (croix de la mort) confirme une tendance baissière de moyen terme. La décision de "Vente" est justifiée par le fait que le prix évolue sous ses moyennes mobiles clés, indiquant une pression vendeuse persistante.</w:t>
      </w:r>
    </w:p>
    <w:p>
      <w:pPr>
        <w:spacing w:after="120" w:line="276" w:lineRule="auto"/>
      </w:pPr>
      <w:r>
        <w:t>**Bandes de Bollinger :** Le prix se situe à 2 600 FCFA, entre la borne inférieure (2 453,63 FCFA) et la borne supérieure (2 847,87 FCFA), proche de la partie basse du canal. La décision "Neutre" est cohérente : le titre n'est pas en situation de survente extrême, mais la proximité de la borne inférieure suggère un potentiel de rebond technique si le support tient.</w:t>
      </w:r>
    </w:p>
    <w:p>
      <w:pPr>
        <w:spacing w:after="120" w:line="276" w:lineRule="auto"/>
      </w:pPr>
      <w:r>
        <w:t>**MACD :** Le MACD (-119,07) est négatif mais au-dessus de sa ligne de signal (-134,82). Cette configuration, bien que les deux valeurs soient en territoire négatif, indique un ralentissement du momentum baissier. La décision "Achat" reflète un possible retournement imminent de la dynamique à court terme, même si la tendance de fond reste négative.</w:t>
      </w:r>
    </w:p>
    <w:p>
      <w:pPr>
        <w:spacing w:after="120" w:line="276" w:lineRule="auto"/>
      </w:pPr>
      <w:r>
        <w:t>**RSI :** Le RSI à 38,16 se situe en zone neutre, proche de la zone de survente (30). Cela indique que le titre n'est ni suracheté ni survendu, mais que la pression vendeuse domine encore légèrement. La décision "Neutre" est appropriée, avec un biais potentiel vers un rebond si le RSI passe au-dessus de 40.</w:t>
      </w:r>
    </w:p>
    <w:p>
      <w:pPr>
        <w:spacing w:after="120" w:line="276" w:lineRule="auto"/>
      </w:pPr>
      <w:r>
        <w:t>**Stochastique :** Le %K (48,28) est supérieur au %D (28,28), formant un croisement haussier en zone neutre. Ce signal suggère un regain d'intérêt acheteur à très court terme. La décision "Neutre" est prudente, car ce croisement n'est pas encore confirmé par une sortie de la zone de survente.</w:t>
      </w:r>
    </w:p>
    <w:p>
      <w:pPr>
        <w:spacing w:after="120" w:line="276" w:lineRule="auto"/>
      </w:pPr>
      <w:r>
        <w:t>**Conclusion technique :** Les indicateurs sont mitigés. La tendance de fond (MM) reste baissière, mais les oscillateurs (MACD, Stochastique) montrent des signes de stabilisation et de possible rebond technique. Le RSI et les Bandes de Bollinger suggèrent un équilibre précaire. Globalement, le titre est dans une phase de consolidation après une baisse marquée, avec un biais légèrement positif à très court terme, mais sans signal fort d'inversion de tendance.</w:t>
      </w:r>
    </w:p>
    <w:p>
      <w:pPr>
        <w:spacing w:after="120" w:line="276" w:lineRule="auto"/>
      </w:pPr>
      <w:r>
        <w:t>---</w:t>
      </w:r>
    </w:p>
    <w:p>
      <w:pPr>
        <w:spacing w:after="120" w:line="276" w:lineRule="auto"/>
      </w:pPr>
      <w:r>
        <w:t>### PARTIE 3 : ANALYSE FONDAMENTALE (SECTION CRITIQUE)</w:t>
      </w:r>
    </w:p>
    <w:p>
      <w:pPr>
        <w:spacing w:after="120" w:line="276" w:lineRule="auto"/>
      </w:pPr>
      <w:r>
        <w:t>**En 2025**, les données financières structurées de STAC révèlent une situation profondément dégradée. Le chiffre d'affaires s'établit à 3,878 milliards FCFA, mais la société enregistre une perte nette de -96,56 millions FCFA, avec une marge nette de -2,49%. Le ROE est très négatif à -27,07%, et le ROA à -1,77%, indiquant une destruction de valeur pour les actionnaires. L'EBE est fortement déficitaire à -650 millions FCFA, et le résultat d'exploitation à -771,95 millions FCFA. La structure financière est fragile : les capitaux propres ne représentent que 6,55% du total du bilan (356,75 millions FCFA pour 5,447 milliards d'actifs), avec un ratio d'endettement de 93,45%. Le BFR est négatif (-930 millions FCFA), ce qui est un point positif pour la trésorerie, mais la capacité d'autofinancement est quasi nulle (5,98 millions FCFA). **Les rapports trimestriels 2025** montrent une amélioration relative : le CA des 9 mois 2025 atteint 3,456 milliards FCFA (+176% vs 2024), porté par le chantier de l'aéroport d'Abidjan, mais la perte nette reste de -477 millions FCFA (en amélioration de 22% vs 2024). La direction prévoit un CA annuel de 4 milliards FCFA pour 2025. **En comparaison, l'exercice 2024** avait été catastrophique avec un CA de 1,793 milliard FCFA (-80,6% vs 2023) et une perte de -348 millions FCFA. La tendance est donc à une reprise d'activité, mais la rentabilité opérationnelle reste structurellement déficitaire, et la dépendance à un seul projet majeur (aéroport) constitue un risque majeur de concentration.</w:t>
      </w:r>
    </w:p>
    <w:p>
      <w:pPr>
        <w:spacing w:after="120" w:line="276" w:lineRule="auto"/>
      </w:pPr>
      <w:r>
        <w:t>---</w:t>
      </w:r>
    </w:p>
    <w:p>
      <w:pPr>
        <w:spacing w:after="120" w:line="276" w:lineRule="auto"/>
      </w:pPr>
      <w:r>
        <w:t>### PARTIE 4 : CONCLUSION D'INVESTISSEMENT</w:t>
      </w:r>
    </w:p>
    <w:p>
      <w:pPr>
        <w:spacing w:after="120" w:line="276" w:lineRule="auto"/>
      </w:pPr>
      <w:r>
        <w:t>La synthèse des analyses fait ressortir un tableau contrasté pour STAC. **La valorisation** (Partie 0) est extrêmement exigeante avec un P/B de 97,95x, totalement décorrélé des fondamentaux actuels, ce qui signale une surévaluation spéculative. **Le comportement du cours** (Partie 1) montre une tendance baissière marquée (-11,11% sur 100 jours) avec une volatilité très élevée (64,8%), reflétant l'incertitude des investisseurs. **Les signaux techniques** (Partie 2) sont mitigés, avec une tendance de fond baissière mais des signes de stabilisation à court terme (MACD, Stochastique). **Les fondamentaux** (Partie 3) restent fragiles malgré la reprise d'activité : pertes nettes persistantes, ROE négatif, et dépendance à un seul contrat. Les **prédictions IA** pour les 10 prochains jours (baisse de 2 600 à 1 927 FCFA, soit -26%) confirment la pression vendeuse et contredisent les signaux techniques de rebond. **Recommandation finale : VENTE FORTE.** La convergence entre la valorisation excessive, la tendance baissière du cours, les fondamentaux dégradés et les prédictions IA baissières est trop forte pour ignorer le risque. **Niveau de confiance : Élevé.** **Risque global : Élevé.** **Horizon d'investissement :** Aucun à court terme (&lt;3 mois) ; à moyen terme (3-12 mois), seule une confirmation d'un retour à la rentabilité opérationnelle et une sécurisation de nouveaux contrats pourraient justifier une réévaluation.</w:t>
      </w:r>
    </w:p>
    <w:p/>
    <w:p/>
    <w:p>
      <w:pPr>
        <w:pStyle w:val="Heading3"/>
      </w:pPr>
      <w:r>
        <w:rPr>
          <w:color w:val="005A32"/>
        </w:rPr>
        <w:t>📋 RAPPORTS &amp; COMMUNIQUÉS OFFICIELS</w:t>
      </w:r>
    </w:p>
    <w:p>
      <w:r>
        <w:rPr>
          <w:i/>
          <w:color w:val="646464"/>
          <w:sz w:val="18"/>
        </w:rPr>
        <w:t>20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rentable et un renforcement significatif des capitaux propres. La forte am\u00e9lioration de la marge nette et la capacit\u00e9 \u00e0 distribuer des dividendes d\u00e9montrent la solidit\u00e9 du mod\u00e8le d'affaires."}</w:t>
      </w:r>
    </w:p>
    <w:p>
      <w:pPr>
        <w:spacing w:before="40"/>
        <w:ind w:left="400"/>
      </w:pPr>
      <w:r>
        <w:rPr>
          <w:sz w:val="18"/>
        </w:rPr>
        <w:t>SETAO CI a réalisé une performance exceptionnelle en 2020 avec un chiffre d'affaires de 15,9 milliards FCFA (+71%). Le résultat net a été multiplié par 2,7 à 2,3 milliards FCFA, démontrant une forte amélioration de la rentabilité. Le total du bilan a quasiment doublé à 18,6 milliards FCFA, porté par une croissance significative de l'actif circulant. Les capitaux propres ont été multipliés par 5,4 atteignant 2,8 milliards FCFA, renforçant considérablement la structure financière. La société propose un dividende de 987,8 millions FCFA, témoignant de sa capacité à rémunérer les actionnaires.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{'ebe': '3 871 646 milliers FCFA', 'valeur_ajoutee': '6 348 003 milliers FCFA', 'capacite_autofinancement': '3 074 304 milliers FCFA'}</w:t>
            </w:r>
          </w:p>
        </w:tc>
        <w:tc>
          <w:tcPr>
            <w:tcW w:type="dxa" w:w="2160"/>
          </w:tcPr>
          <w:p>
            <w:pPr>
              <w:ind w:left="100"/>
            </w:pPr>
            <w:r/>
            <w:r>
              <w:rPr>
                <w:b/>
                <w:sz w:val="16"/>
              </w:rPr>
              <w:t>dividende</w:t>
              <w:br/>
            </w:r>
            <w:r>
              <w:rPr>
                <w:sz w:val="18"/>
              </w:rPr>
              <w:t>987 840 milliers FCFA</w:t>
            </w:r>
          </w:p>
        </w:tc>
        <w:tc>
          <w:tcPr>
            <w:tcW w:type="dxa" w:w="2160"/>
          </w:tcPr>
          <w:p>
            <w:pPr>
              <w:ind w:left="100"/>
            </w:pPr>
            <w:r/>
            <w:r>
              <w:rPr>
                <w:b/>
                <w:sz w:val="16"/>
              </w:rPr>
              <w:t>marge_nette</w:t>
              <w:br/>
            </w:r>
            <w:r>
              <w:rPr>
                <w:sz w:val="18"/>
              </w:rPr>
              <w:t>14,6%</w:t>
            </w:r>
          </w:p>
        </w:tc>
        <w:tc>
          <w:tcPr>
            <w:tcW w:type="dxa" w:w="2160"/>
          </w:tcPr>
          <w:p>
            <w:pPr>
              <w:ind w:left="100"/>
            </w:pPr>
            <w:r/>
            <w:r>
              <w:rPr>
                <w:b/>
                <w:sz w:val="16"/>
              </w:rPr>
              <w:t>total_actif</w:t>
              <w:br/>
            </w:r>
            <w:r>
              <w:rPr>
                <w:sz w:val="18"/>
              </w:rPr>
              <w:t>18 586 404 milliers FCFA</w:t>
            </w:r>
          </w:p>
        </w:tc>
      </w:tr>
      <w:tr>
        <w:tc>
          <w:tcPr>
            <w:tcW w:type="dxa" w:w="2160"/>
          </w:tcPr>
          <w:p>
            <w:r/>
            <w:r>
              <w:rPr>
                <w:b/>
                <w:sz w:val="16"/>
              </w:rPr>
              <w:t>resultat_net</w:t>
              <w:br/>
            </w:r>
            <w:r>
              <w:rPr>
                <w:sz w:val="18"/>
              </w:rPr>
              <w:t>2 320 633 milliers FCFA</w:t>
            </w:r>
          </w:p>
        </w:tc>
        <w:tc>
          <w:tcPr>
            <w:tcW w:type="dxa" w:w="2160"/>
          </w:tcPr>
          <w:p>
            <w:r/>
            <w:r>
              <w:rPr>
                <w:b/>
                <w:sz w:val="16"/>
              </w:rPr>
              <w:t>capitaux_propres</w:t>
              <w:br/>
            </w:r>
            <w:r>
              <w:rPr>
                <w:sz w:val="18"/>
              </w:rPr>
              <w:t>2 845 997 milliers FCFA</w:t>
            </w:r>
          </w:p>
        </w:tc>
        <w:tc>
          <w:tcPr>
            <w:tcW w:type="dxa" w:w="2160"/>
          </w:tcPr>
          <w:p>
            <w:r/>
            <w:r>
              <w:rPr>
                <w:b/>
                <w:sz w:val="16"/>
              </w:rPr>
              <w:t>chiffre_affaires</w:t>
              <w:br/>
            </w:r>
            <w:r>
              <w:rPr>
                <w:sz w:val="18"/>
              </w:rPr>
              <w:t>15 900 707 milliers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exceptionnelle du chiffre d'affaires de +71% à 15,9 milliards FCFA</w:t>
      </w:r>
    </w:p>
    <w:p>
      <w:pPr>
        <w:pStyle w:val="ListBullet"/>
        <w:spacing w:before="20" w:after="20"/>
        <w:ind w:left="700"/>
      </w:pPr>
      <w:r>
        <w:rPr>
          <w:sz w:val="18"/>
        </w:rPr>
        <w:t>Résultat net multiplié par 2,7 atteignant 2,3 milliards FCFA contre 866 millions en 2019</w:t>
      </w:r>
    </w:p>
    <w:p>
      <w:pPr>
        <w:pStyle w:val="ListBullet"/>
        <w:spacing w:before="20" w:after="20"/>
        <w:ind w:left="700"/>
      </w:pPr>
      <w:r>
        <w:rPr>
          <w:sz w:val="18"/>
        </w:rPr>
        <w:t>Total actif doublé à 18,6 milliards FCFA (+72%)</w:t>
      </w:r>
    </w:p>
    <w:p>
      <w:pPr>
        <w:pStyle w:val="ListBullet"/>
        <w:spacing w:before="20" w:after="20"/>
        <w:ind w:left="700"/>
      </w:pPr>
      <w:r>
        <w:rPr>
          <w:sz w:val="18"/>
        </w:rPr>
        <w:t>Capitaux propres renforcés de 525 millions à 2,8 milliards FCFA (+442%)</w:t>
      </w:r>
    </w:p>
    <w:p>
      <w:pPr>
        <w:pStyle w:val="ListBullet"/>
        <w:spacing w:before="20" w:after="20"/>
        <w:ind w:left="700"/>
      </w:pPr>
      <w:r>
        <w:rPr>
          <w:sz w:val="18"/>
        </w:rPr>
        <w:t>Actif circulant net multiplié par 2,7 à 12,5 milliards FCFA</w:t>
      </w:r>
    </w:p>
    <w:p>
      <w:pPr>
        <w:pStyle w:val="ListBullet"/>
        <w:spacing w:before="20" w:after="20"/>
        <w:ind w:left="700"/>
      </w:pPr>
      <w:r>
        <w:rPr>
          <w:sz w:val="18"/>
        </w:rPr>
        <w:t>Marge nette améliorée de 9,3% à 14,6%</w:t>
      </w:r>
    </w:p>
    <w:p>
      <w:pPr>
        <w:spacing w:before="40"/>
        <w:ind w:left="400"/>
      </w:pPr>
      <w:r>
        <w:rPr>
          <w:b/>
          <w:color w:val="C05000"/>
          <w:sz w:val="18"/>
        </w:rPr>
        <w:t xml:space="preserve">⚠️ Risques : </w:t>
      </w:r>
      <w:r>
        <w:rPr>
          <w:sz w:val="18"/>
        </w:rPr>
        <w:t>["Flux de tr\u00e9sorerie op\u00e9rationnels n\u00e9gatifs \u00e0 -278 millions FCFA malgr\u00e9 la forte croissance", "Forte augmentation du passif circulant qui pourrait cr\u00e9er des tensions de liquidit\u00e9", "D\u00e9pendance potentielle \u00e0 la conjoncture \u00e9conomique r\u00e9gionale po</w:t>
      </w:r>
    </w:p>
    <w:p>
      <w:pPr>
        <w:spacing w:before="40"/>
        <w:ind w:left="400"/>
      </w:pPr>
      <w:r>
        <w:rPr>
          <w:b/>
          <w:color w:val="0064A0"/>
          <w:sz w:val="18"/>
        </w:rPr>
        <w:t xml:space="preserve">🔮 Perspectives : </w:t>
      </w:r>
      <w:r>
        <w:rPr>
          <w:sz w:val="18"/>
        </w:rPr>
        <w:t>La dynamique de croissance exceptionnelle de 2020 pourrait se poursuivre si la société maintient sa stratégie commerciale efficace. L'amélioration des flux de trésorerie opérationnels sera cruciale pour assurer la pérennité de cette croissance.</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d'activit\u00e9, SETAO maintient sa rentabilit\u00e9 et renforce sa position de tr\u00e9sorerie. La capacit\u00e9 de distribution de dividendes t\u00e9moigne de la solidit\u00e9 financi\u00e8re de l'entreprise."}</w:t>
      </w:r>
    </w:p>
    <w:p>
      <w:pPr>
        <w:spacing w:before="40"/>
        <w:ind w:left="400"/>
      </w:pPr>
      <w:r>
        <w:rPr>
          <w:sz w:val="18"/>
        </w:rPr>
        <w:t>SETAO CI a réalisé un chiffre d'affaires de 10,27 milliards FCFA en 2021, en baisse de 35,4% par rapport aux 15,9 milliards de 2020. Le résultat net s'établit à 1,12 milliard FCFA, soit une division par deux par rapport aux 2,32 milliards de 2020. Malgré cette baisse, la société maintient une rentabilité avec une marge nette de 10,9%. La trésorerie s'améliore nettement avec 7,41 milliards FCFA contre 4,58 milliards en 2020. La société propose de distribuer 987,84 millions FCFA de dividendes sur les bénéfices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{'ebitda': '1,19 milliard FCFA', 'variation_ca': '-35,4%', 'tresorerie_nette': '7,41 milliards FCFA', 'capacite_autofinancement': '935,18 millions FCFA'}</w:t>
            </w:r>
          </w:p>
        </w:tc>
        <w:tc>
          <w:tcPr>
            <w:tcW w:type="dxa" w:w="2160"/>
          </w:tcPr>
          <w:p>
            <w:pPr>
              <w:ind w:left="100"/>
            </w:pPr>
            <w:r/>
            <w:r>
              <w:rPr>
                <w:b/>
                <w:sz w:val="16"/>
              </w:rPr>
              <w:t>dividende</w:t>
              <w:br/>
            </w:r>
            <w:r>
              <w:rPr>
                <w:sz w:val="18"/>
              </w:rPr>
              <w:t>987,84 millions FCFA au total</w:t>
            </w:r>
          </w:p>
        </w:tc>
        <w:tc>
          <w:tcPr>
            <w:tcW w:type="dxa" w:w="2160"/>
          </w:tcPr>
          <w:p>
            <w:pPr>
              <w:ind w:left="100"/>
            </w:pPr>
            <w:r/>
            <w:r>
              <w:rPr>
                <w:b/>
                <w:sz w:val="16"/>
              </w:rPr>
              <w:t>marge_nette</w:t>
              <w:br/>
            </w:r>
            <w:r>
              <w:rPr>
                <w:sz w:val="18"/>
              </w:rPr>
              <w:t>10,9%</w:t>
            </w:r>
          </w:p>
        </w:tc>
        <w:tc>
          <w:tcPr>
            <w:tcW w:type="dxa" w:w="2160"/>
          </w:tcPr>
          <w:p>
            <w:pPr>
              <w:ind w:left="100"/>
            </w:pPr>
            <w:r/>
            <w:r>
              <w:rPr>
                <w:b/>
                <w:sz w:val="16"/>
              </w:rPr>
              <w:t>total_actif</w:t>
              <w:br/>
            </w:r>
            <w:r>
              <w:rPr>
                <w:sz w:val="18"/>
              </w:rPr>
              <w:t>16,26 milliards FCFA</w:t>
            </w:r>
          </w:p>
        </w:tc>
      </w:tr>
      <w:tr>
        <w:tc>
          <w:tcPr>
            <w:tcW w:type="dxa" w:w="2160"/>
          </w:tcPr>
          <w:p>
            <w:r/>
            <w:r>
              <w:rPr>
                <w:b/>
                <w:sz w:val="16"/>
              </w:rPr>
              <w:t>resultat_net</w:t>
              <w:br/>
            </w:r>
            <w:r>
              <w:rPr>
                <w:sz w:val="18"/>
              </w:rPr>
              <w:t>1,12 milliard FCFA</w:t>
            </w:r>
          </w:p>
        </w:tc>
        <w:tc>
          <w:tcPr>
            <w:tcW w:type="dxa" w:w="2160"/>
          </w:tcPr>
          <w:p>
            <w:r/>
            <w:r>
              <w:rPr>
                <w:b/>
                <w:sz w:val="16"/>
              </w:rPr>
              <w:t>capitaux_propres</w:t>
              <w:br/>
            </w:r>
            <w:r>
              <w:rPr>
                <w:sz w:val="18"/>
              </w:rPr>
              <w:t>2,98 milliards FCFA</w:t>
            </w:r>
          </w:p>
        </w:tc>
        <w:tc>
          <w:tcPr>
            <w:tcW w:type="dxa" w:w="2160"/>
          </w:tcPr>
          <w:p>
            <w:r/>
            <w:r>
              <w:rPr>
                <w:b/>
                <w:sz w:val="16"/>
              </w:rPr>
              <w:t>chiffre_affaires</w:t>
              <w:br/>
            </w:r>
            <w:r>
              <w:rPr>
                <w:sz w:val="18"/>
              </w:rPr>
              <w:t>10,27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significative du chiffre d'affaires de 35,4% à 10,27 milliards FCFA en 2021</w:t>
      </w:r>
    </w:p>
    <w:p>
      <w:pPr>
        <w:pStyle w:val="ListBullet"/>
        <w:spacing w:before="20" w:after="20"/>
        <w:ind w:left="700"/>
      </w:pPr>
      <w:r>
        <w:rPr>
          <w:sz w:val="18"/>
        </w:rPr>
        <w:t>Résultat net divisé par deux à 1,12 milliard FCFA contre 2,32 milliards en 2020</w:t>
      </w:r>
    </w:p>
    <w:p>
      <w:pPr>
        <w:pStyle w:val="ListBullet"/>
        <w:spacing w:before="20" w:after="20"/>
        <w:ind w:left="700"/>
      </w:pPr>
      <w:r>
        <w:rPr>
          <w:sz w:val="18"/>
        </w:rPr>
        <w:t>Maintien d'une marge nette solide à 10,9% malgré la baisse d'activité</w:t>
      </w:r>
    </w:p>
    <w:p>
      <w:pPr>
        <w:pStyle w:val="ListBullet"/>
        <w:spacing w:before="20" w:after="20"/>
        <w:ind w:left="700"/>
      </w:pPr>
      <w:r>
        <w:rPr>
          <w:sz w:val="18"/>
        </w:rPr>
        <w:t>Amélioration significative de la trésorerie-actif à 7,41 milliards FCFA (+61,7%)</w:t>
      </w:r>
    </w:p>
    <w:p>
      <w:pPr>
        <w:pStyle w:val="ListBullet"/>
        <w:spacing w:before="20" w:after="20"/>
        <w:ind w:left="700"/>
      </w:pPr>
      <w:r>
        <w:rPr>
          <w:sz w:val="18"/>
        </w:rPr>
        <w:t>Diminution de l'actif circulant net de 41,7% à 7,29 milliards FCFA</w:t>
      </w:r>
    </w:p>
    <w:p>
      <w:pPr>
        <w:pStyle w:val="ListBullet"/>
        <w:spacing w:before="20" w:after="20"/>
        <w:ind w:left="700"/>
      </w:pPr>
      <w:r>
        <w:rPr>
          <w:sz w:val="18"/>
        </w:rPr>
        <w:t>Flux de trésorerie opérationnels positifs à 4,31 milliards FCFA</w:t>
      </w:r>
    </w:p>
    <w:p>
      <w:pPr>
        <w:spacing w:before="40"/>
        <w:ind w:left="400"/>
      </w:pPr>
      <w:r>
        <w:rPr>
          <w:b/>
          <w:color w:val="C05000"/>
          <w:sz w:val="18"/>
        </w:rPr>
        <w:t xml:space="preserve">⚠️ Risques : </w:t>
      </w:r>
      <w:r>
        <w:rPr>
          <w:sz w:val="18"/>
        </w:rPr>
        <w:t>["Forte d\u00e9pendance \u00e0 l'activit\u00e9 \u00e9conomique r\u00e9gionale avec une baisse de 35% du CA", "Diminution significative de la capacit\u00e9 d'autofinancement (-70% \u00e0 935 millions FCFA)", "R\u00e9duction importante de l'EBE de 69% impactant la performance op\u00e9rationnelle"]</w:t>
      </w:r>
    </w:p>
    <w:p>
      <w:pPr>
        <w:spacing w:before="40"/>
        <w:ind w:left="400"/>
      </w:pPr>
      <w:r>
        <w:rPr>
          <w:b/>
          <w:color w:val="0064A0"/>
          <w:sz w:val="18"/>
        </w:rPr>
        <w:t xml:space="preserve">🔮 Perspectives : </w:t>
      </w:r>
      <w:r>
        <w:rPr>
          <w:sz w:val="18"/>
        </w:rPr>
        <w:t>La société devra surveiller l'évolution de son marché pour retrouver des niveaux d'activité plus élevés. La forte position de trésorerie lui donne une flexibilité pour investir dans la reprise d'activité ou maintenir sa politique de dividendes. L'amélioration des flux de trésorerie opérationnels est</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d\u00e9montre une bonne ma\u00eetrise op\u00e9rationnelle. Les pr\u00e9visions 2021 restent prudentes mais la trajectoire de profitabilit\u00e9 est encourageante."}</w:t>
      </w:r>
    </w:p>
    <w:p>
      <w:pPr>
        <w:spacing w:before="40"/>
        <w:ind w:left="400"/>
      </w:pPr>
      <w:r>
        <w:rPr>
          <w:sz w:val="18"/>
        </w:rPr>
        <w:t>SETAO CI affiche des résultats contrastés au 30 septembre 2021 avec un chiffre d'affaires en baisse de 18% à 7,7 milliards FCFA par rapport à 2020. Malgré cette baisse d'activité, le résultat net progresse de 13% à 1,16 milliard FCFA grâce à une amélioration de la rentabilité opérationnelle et financière. Le résultat d'exploitation augmente de 89 millions FCFA et le résultat financier s'améliore de 57 millions FCFA. La société anticipe un chiffre d'affaires de 11 milliards FCFA pour l'ensemble de l'exercice 2021. Cette performance témoigne d'une gestion efficace des coûts et d'une optimisation de la structure financière.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{'impots_resultats': '432 millions FCFA', 'resultat_financier': '160 millions FCFA', 'ca_previsionnel_2021': '11 milliards FCFA', 'resultat_exploitation': '1,36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1,16 milliard FCFA (9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7,7 milliards FCFA (9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baisse de 18% à 7,7 Mrds FCFA sur 9 mois vs 2020</w:t>
      </w:r>
    </w:p>
    <w:p>
      <w:pPr>
        <w:pStyle w:val="ListBullet"/>
        <w:spacing w:before="20" w:after="20"/>
        <w:ind w:left="700"/>
      </w:pPr>
      <w:r>
        <w:rPr>
          <w:sz w:val="18"/>
        </w:rPr>
        <w:t>Résultat net en hausse de 13% à 1,16 Mrd FCFA malgré la baisse du CA</w:t>
      </w:r>
    </w:p>
    <w:p>
      <w:pPr>
        <w:pStyle w:val="ListBullet"/>
        <w:spacing w:before="20" w:after="20"/>
        <w:ind w:left="700"/>
      </w:pPr>
      <w:r>
        <w:rPr>
          <w:sz w:val="18"/>
        </w:rPr>
        <w:t>Amélioration du résultat d'exploitation de 89 millions FCFA</w:t>
      </w:r>
    </w:p>
    <w:p>
      <w:pPr>
        <w:pStyle w:val="ListBullet"/>
        <w:spacing w:before="20" w:after="20"/>
        <w:ind w:left="700"/>
      </w:pPr>
      <w:r>
        <w:rPr>
          <w:sz w:val="18"/>
        </w:rPr>
        <w:t>Progression du résultat financier de 57 millions FCFA</w:t>
      </w:r>
    </w:p>
    <w:p>
      <w:pPr>
        <w:pStyle w:val="ListBullet"/>
        <w:spacing w:before="20" w:after="20"/>
        <w:ind w:left="700"/>
      </w:pPr>
      <w:r>
        <w:rPr>
          <w:sz w:val="18"/>
        </w:rPr>
        <w:t>Marge nette améliorée à 15% contre 10,9% en 2020</w:t>
      </w:r>
    </w:p>
    <w:p>
      <w:pPr>
        <w:pStyle w:val="ListBullet"/>
        <w:spacing w:before="20" w:after="20"/>
        <w:ind w:left="700"/>
      </w:pPr>
      <w:r>
        <w:rPr>
          <w:sz w:val="18"/>
        </w:rPr>
        <w:t>Prévision de CA 2021 à 11 Mrds FCFA vs 15,9 Mrds en 2020</w:t>
      </w:r>
    </w:p>
    <w:p>
      <w:pPr>
        <w:spacing w:before="40"/>
        <w:ind w:left="400"/>
      </w:pPr>
      <w:r>
        <w:rPr>
          <w:b/>
          <w:color w:val="C05000"/>
          <w:sz w:val="18"/>
        </w:rPr>
        <w:t xml:space="preserve">⚠️ Risques : </w:t>
      </w:r>
      <w:r>
        <w:rPr>
          <w:sz w:val="18"/>
        </w:rPr>
        <w:t>["Contraction importante de l'activit\u00e9 avec une baisse de 18% du chiffre d'affaires", "Pr\u00e9visions 2021 encore en retrait par rapport aux performances historiques de 2020", "D\u00e9pendance aux conditions \u00e9conomiques r\u00e9gionales ouest-africaines"]</w:t>
      </w:r>
    </w:p>
    <w:p>
      <w:pPr>
        <w:spacing w:before="40"/>
        <w:ind w:left="400"/>
      </w:pPr>
      <w:r>
        <w:rPr>
          <w:b/>
          <w:color w:val="0064A0"/>
          <w:sz w:val="18"/>
        </w:rPr>
        <w:t xml:space="preserve">🔮 Perspectives : </w:t>
      </w:r>
      <w:r>
        <w:rPr>
          <w:sz w:val="18"/>
        </w:rPr>
        <w:t xml:space="preserve">La société table sur un chiffre d'affaires de 11 milliards FCFA pour 2021, soit une amélioration par rapport aux 9 premiers mois mais toujours inférieur aux 15,9 milliards de 2020. L'amélioration continue de la rentabilité devrait permettre de maintenir un niveau de résultat net satisfaisant malgré </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transformation spectaculaire de la rentabilit\u00e9 avec un r\u00e9sultat net multipli\u00e9 par 24 et une marge nette de pr\u00e8s de 20% d\u00e9montre une excellente ma\u00eetrise op\u00e9rationnelle. Les perspectives annuelles solides avec un CA pr\u00e9visionnel de 11 milliards FCFA renforcent l'attractivit\u00e9 du titre."}</w:t>
      </w:r>
    </w:p>
    <w:p>
      <w:pPr>
        <w:spacing w:before="40"/>
        <w:ind w:left="400"/>
      </w:pPr>
      <w:r>
        <w:rPr>
          <w:sz w:val="18"/>
        </w:rPr>
        <w:t>SETAO a réalisé un excellent premier semestre 2021 avec un chiffre d'affaires de 5,34 milliards FCFA, en légère baisse de 4,2% par rapport à 2020. Le résultat net s'élève à 1,05 milliard FCFA, en très forte hausse comparé aux 43,6 millions FCFA du premier semestre 2020. Cette performance remarquable reflète une amélioration significative de la rentabilité opérationnelle avec un résultat d'exploitation de 1,26 milliard FCFA contre 23,4 millions FCFA l'année précédente. La société prévoit un chiffre d'affaires annuel de 11 milliards FCFA pour 2021. L'attestation des commissaires aux comptes KPMG et Ernst &amp; Young confirme la fiabilité des informations financières présentées.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 '128,5 millions FCFA', 'ca_previsionnel_2021': '11 milliards FCFA', 'impots_sur_resultats': '412,8 millions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(6 mois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(6 mois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légère baisse de 4,2%</w:t>
      </w:r>
    </w:p>
    <w:p>
      <w:pPr>
        <w:pStyle w:val="ListBullet"/>
        <w:spacing w:before="20" w:after="20"/>
        <w:ind w:left="700"/>
      </w:pPr>
      <w:r>
        <w:rPr>
          <w:sz w:val="18"/>
        </w:rPr>
        <w:t>Résultat net exceptionnel de 1,05 milliard FCFA contre 43,6 millions FCFA en 2020</w:t>
      </w:r>
    </w:p>
    <w:p>
      <w:pPr>
        <w:pStyle w:val="ListBullet"/>
        <w:spacing w:before="20" w:after="20"/>
        <w:ind w:left="700"/>
      </w:pPr>
      <w:r>
        <w:rPr>
          <w:sz w:val="18"/>
        </w:rPr>
        <w:t>Résultat d'exploitation multiplié par 54, passant de 23,4 millions à 1,26 milliard FCFA</w:t>
      </w:r>
    </w:p>
    <w:p>
      <w:pPr>
        <w:pStyle w:val="ListBullet"/>
        <w:spacing w:before="20" w:after="20"/>
        <w:ind w:left="700"/>
      </w:pPr>
      <w:r>
        <w:rPr>
          <w:sz w:val="18"/>
        </w:rPr>
        <w:t>Marge nette impressionnante de 19,6% au premier semestre 2021</w:t>
      </w:r>
    </w:p>
    <w:p>
      <w:pPr>
        <w:pStyle w:val="ListBullet"/>
        <w:spacing w:before="20" w:after="20"/>
        <w:ind w:left="700"/>
      </w:pPr>
      <w:r>
        <w:rPr>
          <w:sz w:val="18"/>
        </w:rPr>
        <w:t>Amélioration drastique de la rentabilité malgré un CA en légère baisse</w:t>
      </w:r>
    </w:p>
    <w:p>
      <w:pPr>
        <w:pStyle w:val="ListBullet"/>
        <w:spacing w:before="20" w:after="20"/>
        <w:ind w:left="700"/>
      </w:pPr>
      <w:r>
        <w:rPr>
          <w:sz w:val="18"/>
        </w:rPr>
        <w:t>Prévision de chiffre d'affaires annuel de 11 milliards FCFA pour 2021</w:t>
      </w:r>
    </w:p>
    <w:p>
      <w:pPr>
        <w:spacing w:before="40"/>
        <w:ind w:left="400"/>
      </w:pPr>
      <w:r>
        <w:rPr>
          <w:b/>
          <w:color w:val="C05000"/>
          <w:sz w:val="18"/>
        </w:rPr>
        <w:t xml:space="preserve">⚠️ Risques : </w:t>
      </w:r>
      <w:r>
        <w:rPr>
          <w:sz w:val="18"/>
        </w:rPr>
        <w:t>["D\u00e9pendance potentielle aux projets d'infrastructure en Afrique de l'Ouest", "Volatilit\u00e9 possible des r\u00e9sultats trimestriels compte tenu de la nature projet des activit\u00e9s", "Exposition aux risques politiques et \u00e9conomiques de la zone UEMOA"]</w:t>
      </w:r>
    </w:p>
    <w:p>
      <w:pPr>
        <w:spacing w:before="40"/>
        <w:ind w:left="400"/>
      </w:pPr>
      <w:r>
        <w:rPr>
          <w:b/>
          <w:color w:val="0064A0"/>
          <w:sz w:val="18"/>
        </w:rPr>
        <w:t xml:space="preserve">🔮 Perspectives : </w:t>
      </w:r>
      <w:r>
        <w:rPr>
          <w:sz w:val="18"/>
        </w:rPr>
        <w:t>Les perspectives pour la fin 2021 sont très favorables avec un objectif de chiffre d'affaires de 11 milliards FCFA qui pourrait être atteint au vu de la performance du premier semestre. La société semble avoir trouvé un rythme de croisière optimal qui devrait se maintenir sur les prochains trimestre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"Performance op\u00e9rationnelle exceptionnelle avec une rentabilit\u00e9 retrouv\u00e9e, mais prudence n\u00e9cessaire car la base de comparaison 2020 \u00e9tait tr\u00e8s faible. Attendre confirmation de la soutenabilit\u00e9 de ces marges \u00e9lev\u00e9es."}</w:t>
      </w:r>
    </w:p>
    <w:p>
      <w:pPr>
        <w:spacing w:before="40"/>
        <w:ind w:left="400"/>
      </w:pPr>
      <w:r>
        <w:rPr>
          <w:sz w:val="18"/>
        </w:rPr>
        <w:t>SETAO, société ivoirienne du BTP, présente des résultats semestriels 2021 contrastés avec un chiffre d'affaires en légère baisse de 4,2% à 5,34 milliards FCFA. Le résultat net bondit spectaculairement de 43,6 millions à 1,05 milliard FCFA, multiplié par 24 par rapport au premier semestre 2020 impacté par le Covid. La rentabilité s'améliore drastiquement avec une marge nette de 19,6% contre 0,8% un an plus tôt. Le résultat d'exploitation explose de 23,4 millions à 1,26 milliard FCFA, témoignant d'une excellente performance opérationnelle. La société prévoit un chiffre d'affaires de 11 milliards FCFA pour l'ensemble de l'exercice 2021.</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'672 millions FCFA', 'impots_resultats': '412,8 millions FCFA', 'resultat_financier': '128,5 millions FCFA', 'ca_previsionnel_2021': '11 milliards FCFA', 'resultat_exploitation': '1,26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19,6%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1,05 milliard FCFA (S1 2021)</w:t>
            </w:r>
          </w:p>
        </w:tc>
        <w:tc>
          <w:tcPr>
            <w:tcW w:type="dxa" w:w="2160"/>
          </w:tcPr>
          <w:p>
            <w:r/>
            <w:r>
              <w:rPr>
                <w:b/>
                <w:sz w:val="16"/>
              </w:rPr>
              <w:t>capitaux_propres</w:t>
              <w:br/>
            </w:r>
            <w:r>
              <w:rPr>
                <w:sz w:val="18"/>
              </w:rPr>
              <w:t>None</w:t>
            </w:r>
          </w:p>
        </w:tc>
        <w:tc>
          <w:tcPr>
            <w:tcW w:type="dxa" w:w="2160"/>
          </w:tcPr>
          <w:p>
            <w:r/>
            <w:r>
              <w:rPr>
                <w:b/>
                <w:sz w:val="16"/>
              </w:rPr>
              <w:t>chiffre_affaires</w:t>
              <w:br/>
            </w:r>
            <w:r>
              <w:rPr>
                <w:sz w:val="18"/>
              </w:rPr>
              <w:t>5,34 milliards FCFA (S1 2021)</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semestriel de 5,34 milliards FCFA en recul de 4,2% vs S1 2020</w:t>
      </w:r>
    </w:p>
    <w:p>
      <w:pPr>
        <w:pStyle w:val="ListBullet"/>
        <w:spacing w:before="20" w:after="20"/>
        <w:ind w:left="700"/>
      </w:pPr>
      <w:r>
        <w:rPr>
          <w:sz w:val="18"/>
        </w:rPr>
        <w:t>Résultat net multiplié par 24 à 1,05 milliard FCFA (vs 43,6 millions en S1 2020)</w:t>
      </w:r>
    </w:p>
    <w:p>
      <w:pPr>
        <w:pStyle w:val="ListBullet"/>
        <w:spacing w:before="20" w:after="20"/>
        <w:ind w:left="700"/>
      </w:pPr>
      <w:r>
        <w:rPr>
          <w:sz w:val="18"/>
        </w:rPr>
        <w:t>Résultat d'exploitation en explosion : +1,24 milliard FCFA de variation</w:t>
      </w:r>
    </w:p>
    <w:p>
      <w:pPr>
        <w:pStyle w:val="ListBullet"/>
        <w:spacing w:before="20" w:after="20"/>
        <w:ind w:left="700"/>
      </w:pPr>
      <w:r>
        <w:rPr>
          <w:sz w:val="18"/>
        </w:rPr>
        <w:t>Marge nette exceptionnelle de 19,6% contre 0,8% au S1 2020</w:t>
      </w:r>
    </w:p>
    <w:p>
      <w:pPr>
        <w:pStyle w:val="ListBullet"/>
        <w:spacing w:before="20" w:after="20"/>
        <w:ind w:left="700"/>
      </w:pPr>
      <w:r>
        <w:rPr>
          <w:sz w:val="18"/>
        </w:rPr>
        <w:t>Impact Covid-19 sur la base de comparaison 2020 explique en partie cette performance</w:t>
      </w:r>
    </w:p>
    <w:p>
      <w:pPr>
        <w:pStyle w:val="ListBullet"/>
        <w:spacing w:before="20" w:after="20"/>
        <w:ind w:left="700"/>
      </w:pPr>
      <w:r>
        <w:rPr>
          <w:sz w:val="18"/>
        </w:rPr>
        <w:t>Bonne performance des chantiers livrés au premier semestre 2021</w:t>
      </w:r>
    </w:p>
    <w:p>
      <w:pPr>
        <w:spacing w:before="40"/>
        <w:ind w:left="400"/>
      </w:pPr>
      <w:r>
        <w:rPr>
          <w:b/>
          <w:color w:val="C05000"/>
          <w:sz w:val="18"/>
        </w:rPr>
        <w:t xml:space="preserve">⚠️ Risques : </w:t>
      </w:r>
      <w:r>
        <w:rPr>
          <w:sz w:val="18"/>
        </w:rPr>
        <w:t>["Soutenabilit\u00e9 des marges exceptionnelles actuelles de 19,6%", "D\u00e9pendance aux cycles de livraison des chantiers BTP", "Volatilit\u00e9 du secteur de la construction en Afrique de l'Ouest"]</w:t>
      </w:r>
    </w:p>
    <w:p>
      <w:pPr>
        <w:spacing w:before="40"/>
        <w:ind w:left="400"/>
      </w:pPr>
      <w:r>
        <w:rPr>
          <w:b/>
          <w:color w:val="0064A0"/>
          <w:sz w:val="18"/>
        </w:rPr>
        <w:t xml:space="preserve">🔮 Perspectives : </w:t>
      </w:r>
      <w:r>
        <w:rPr>
          <w:sz w:val="18"/>
        </w:rPr>
        <w:t>Avec un objectif de 11 milliards FCFA de chiffre d'affaires pour 2021, la société vise une croissance annuelle significative. La performance du premier semestre suggère une trajectoire positive, mais l'enjeu sera de maintenir cette rentabilité exceptionnelle sur la durée.</w:t>
      </w:r>
    </w:p>
    <w:p/>
    <w:p>
      <w:r>
        <w:t>════════════════════════════════════════════════════════════════════════════════</w:t>
      </w:r>
    </w:p>
    <w:p>
      <w:r>
        <w:br w:type="page"/>
      </w:r>
    </w:p>
    <w:p>
      <w:pPr>
        <w:pStyle w:val="Heading2"/>
        <w:spacing w:before="360"/>
      </w:pPr>
      <w:r>
        <w:rPr>
          <w:color w:val="0066CC"/>
        </w:rPr>
        <w:t>43. STBC - STBC - SITAB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FFEB9C"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STBC</w:t>
            </w:r>
          </w:p>
          <w:p>
            <w:r>
              <w:rPr>
                <w:b/>
                <w:color w:val="323250"/>
                <w:sz w:val="16"/>
              </w:rPr>
              <w:t xml:space="preserve">Société : </w:t>
            </w:r>
            <w:r>
              <w:rPr>
                <w:color w:val="000000"/>
                <w:sz w:val="16"/>
              </w:rPr>
              <w:t>STBC - SITAB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407.40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3,659 titres</w:t>
            </w:r>
          </w:p>
        </w:tc>
        <w:tc>
          <w:tcPr>
            <w:tcW w:type="dxa" w:w="2268"/>
            <w:shd w:fill="FFF2CC" w:val="clear"/>
          </w:tcPr>
          <w:p>
            <w:r>
              <w:rPr>
                <w:b/>
                <w:color w:val="503200"/>
                <w:sz w:val="16"/>
              </w:rPr>
              <w:t xml:space="preserve">Cours actuel : </w:t>
            </w:r>
            <w:r>
              <w:rPr>
                <w:color w:val="000000"/>
                <w:sz w:val="17"/>
              </w:rPr>
              <w:t>22,690 FCFA</w:t>
            </w:r>
          </w:p>
          <w:p>
            <w:r>
              <w:rPr>
                <w:b/>
                <w:color w:val="503200"/>
                <w:sz w:val="16"/>
              </w:rPr>
              <w:t xml:space="preserve">Var. 100 jours : </w:t>
            </w:r>
            <w:r>
              <w:rPr>
                <w:b/>
                <w:color w:val="007800"/>
                <w:sz w:val="17"/>
              </w:rPr>
              <w:t>+8.05%</w:t>
            </w:r>
          </w:p>
          <w:p>
            <w:r>
              <w:rPr>
                <w:b/>
                <w:color w:val="503200"/>
                <w:sz w:val="16"/>
              </w:rPr>
              <w:t xml:space="preserve">Plus haut 100j : </w:t>
            </w:r>
            <w:r>
              <w:rPr>
                <w:color w:val="000000"/>
                <w:sz w:val="17"/>
              </w:rPr>
              <w:t>25,000 FCFA</w:t>
            </w:r>
          </w:p>
          <w:p>
            <w:r>
              <w:rPr>
                <w:b/>
                <w:color w:val="503200"/>
                <w:sz w:val="16"/>
              </w:rPr>
              <w:t xml:space="preserve">Plus bas 100j : </w:t>
            </w:r>
            <w:r>
              <w:rPr>
                <w:color w:val="000000"/>
                <w:sz w:val="17"/>
              </w:rPr>
              <w:t>19,705 FCFA</w:t>
            </w:r>
          </w:p>
          <w:p>
            <w:r>
              <w:rPr>
                <w:b/>
                <w:color w:val="503200"/>
                <w:sz w:val="16"/>
              </w:rPr>
              <w:t xml:space="preserve">Volatilité ann. : </w:t>
            </w:r>
            <w:r>
              <w:rPr>
                <w:color w:val="000000"/>
                <w:sz w:val="17"/>
              </w:rPr>
              <w:t>36.4%</w:t>
            </w:r>
          </w:p>
        </w:tc>
        <w:tc>
          <w:tcPr>
            <w:tcW w:type="dxa" w:w="2835"/>
            <w:shd w:fill="FCE4D6" w:val="clear"/>
          </w:tcPr>
          <w:p>
            <w:r>
              <w:rPr>
                <w:b/>
                <w:color w:val="500000"/>
                <w:sz w:val="16"/>
              </w:rPr>
              <w:t xml:space="preserve">Recommandation : </w:t>
            </w:r>
            <w:r>
              <w:rPr>
                <w:b/>
                <w:color w:val="646400"/>
                <w:sz w:val="19"/>
              </w:rPr>
              <w:t>CONSERVER</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Moyen</w:t>
            </w:r>
          </w:p>
        </w:tc>
      </w:tr>
    </w:tbl>
    <w:p/>
    <w:p>
      <w:pPr>
        <w:spacing w:before="120" w:after="40"/>
      </w:pPr>
      <w:r>
        <w:rPr>
          <w:b/>
          <w:color w:val="003366"/>
          <w:sz w:val="20"/>
        </w:rPr>
        <w:t xml:space="preserve">⚠️ SCORE DE RISQUE — </w:t>
      </w:r>
      <w:r>
        <w:rPr>
          <w:b/>
          <w:color w:val="006400"/>
          <w:sz w:val="22"/>
        </w:rPr>
        <w:t>15.5/100 → Faible</w:t>
      </w:r>
    </w:p>
    <w:p>
      <w:pPr>
        <w:spacing w:before="40" w:after="80"/>
      </w:pPr>
      <w:r>
        <w:rPr>
          <w:rFonts w:ascii="Courier New" w:hAnsi="Courier New"/>
          <w:color w:val="006400"/>
          <w:sz w:val="18"/>
        </w:rPr>
        <w:t>███░░░░░░░░░░░░░░░░░  15.5/100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6.18% (Moyenne) — μ=22,276 FCFA, σ=1,377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β=0.2874 (Défensif) — Cov=0.000010, Var(idx)=0.000035, ρ=0.078,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DEEAF1" w:val="clear"/>
          </w:tcPr>
          <w:p>
            <w:r>
              <w:rPr>
                <w:b/>
                <w:sz w:val="15"/>
              </w:rPr>
              <w:t>3,659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Achat=0 / Vente=2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σ_j=2.29%/j (Stable) — Vol. annualisée≈36.4%</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A06400"/>
          <w:sz w:val="26"/>
        </w:rPr>
        <w:t>49/100  (Moyen)</w:t>
      </w:r>
    </w:p>
    <w:p/>
    <w:p>
      <w:pPr>
        <w:jc w:val="center"/>
      </w:pPr>
      <w:r>
        <w:drawing>
          <wp:inline xmlns:a="http://schemas.openxmlformats.org/drawingml/2006/main" xmlns:pic="http://schemas.openxmlformats.org/drawingml/2006/picture">
            <wp:extent cx="5669280" cy="2603190"/>
            <wp:docPr id="45" name="Picture 45"/>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2026-08-28</w:t>
            </w:r>
          </w:p>
        </w:tc>
        <w:tc>
          <w:tcPr>
            <w:tcW w:type="dxa" w:w="1440"/>
            <w:shd w:fill="FAFAFA" w:val="clear"/>
          </w:tcPr>
          <w:p>
            <w:r>
              <w:rPr>
                <w:sz w:val="17"/>
              </w:rPr>
              <w:t>21,410</w:t>
            </w:r>
          </w:p>
        </w:tc>
        <w:tc>
          <w:tcPr>
            <w:tcW w:type="dxa" w:w="1440"/>
            <w:shd w:fill="FAFAFA" w:val="clear"/>
          </w:tcPr>
          <w:p>
            <w:r>
              <w:rPr>
                <w:b/>
                <w:sz w:val="17"/>
              </w:rPr>
              <w:t>22,668</w:t>
            </w:r>
          </w:p>
        </w:tc>
        <w:tc>
          <w:tcPr>
            <w:tcW w:type="dxa" w:w="1440"/>
            <w:shd w:fill="FAFAFA" w:val="clear"/>
          </w:tcPr>
          <w:p>
            <w:r>
              <w:rPr>
                <w:sz w:val="17"/>
              </w:rPr>
              <w:t>23,927</w:t>
            </w:r>
          </w:p>
        </w:tc>
        <w:tc>
          <w:tcPr>
            <w:tcW w:type="dxa" w:w="1440"/>
            <w:shd w:fill="FAFAFA" w:val="clear"/>
          </w:tcPr>
          <w:p>
            <w:r>
              <w:rPr>
                <w:b/>
                <w:color w:val="C00000"/>
                <w:sz w:val="17"/>
              </w:rPr>
              <w:t>-0.1%</w:t>
            </w:r>
          </w:p>
        </w:tc>
      </w:tr>
      <w:tr>
        <w:tc>
          <w:tcPr>
            <w:tcW w:type="dxa" w:w="1440"/>
            <w:shd w:fill="FAFAFA" w:val="clear"/>
          </w:tcPr>
          <w:p>
            <w:r>
              <w:rPr>
                <w:sz w:val="17"/>
              </w:rPr>
              <w:t>J+2  ⭐</w:t>
            </w:r>
          </w:p>
        </w:tc>
        <w:tc>
          <w:tcPr>
            <w:tcW w:type="dxa" w:w="1440"/>
            <w:shd w:fill="FAFAFA" w:val="clear"/>
          </w:tcPr>
          <w:p>
            <w:r>
              <w:rPr>
                <w:sz w:val="17"/>
              </w:rPr>
              <w:t>2026-08-31</w:t>
            </w:r>
          </w:p>
        </w:tc>
        <w:tc>
          <w:tcPr>
            <w:tcW w:type="dxa" w:w="1440"/>
            <w:shd w:fill="FAFAFA" w:val="clear"/>
          </w:tcPr>
          <w:p>
            <w:r>
              <w:rPr>
                <w:sz w:val="17"/>
              </w:rPr>
              <w:t>21,062</w:t>
            </w:r>
          </w:p>
        </w:tc>
        <w:tc>
          <w:tcPr>
            <w:tcW w:type="dxa" w:w="1440"/>
            <w:shd w:fill="FAFAFA" w:val="clear"/>
          </w:tcPr>
          <w:p>
            <w:r>
              <w:rPr>
                <w:b/>
                <w:sz w:val="17"/>
              </w:rPr>
              <w:t>22,856</w:t>
            </w:r>
          </w:p>
        </w:tc>
        <w:tc>
          <w:tcPr>
            <w:tcW w:type="dxa" w:w="1440"/>
            <w:shd w:fill="FAFAFA" w:val="clear"/>
          </w:tcPr>
          <w:p>
            <w:r>
              <w:rPr>
                <w:sz w:val="17"/>
              </w:rPr>
              <w:t>24,650</w:t>
            </w:r>
          </w:p>
        </w:tc>
        <w:tc>
          <w:tcPr>
            <w:tcW w:type="dxa" w:w="1440"/>
            <w:shd w:fill="FAFAFA" w:val="clear"/>
          </w:tcPr>
          <w:p>
            <w:r>
              <w:rPr>
                <w:b/>
                <w:color w:val="008000"/>
                <w:sz w:val="17"/>
              </w:rPr>
              <w:t>+0.7%</w:t>
            </w:r>
          </w:p>
        </w:tc>
      </w:tr>
      <w:tr>
        <w:tc>
          <w:tcPr>
            <w:tcW w:type="dxa" w:w="1440"/>
            <w:shd w:fill="FAFAFA" w:val="clear"/>
          </w:tcPr>
          <w:p>
            <w:r>
              <w:rPr>
                <w:sz w:val="17"/>
              </w:rPr>
              <w:t>J+3  ⭐</w:t>
            </w:r>
          </w:p>
        </w:tc>
        <w:tc>
          <w:tcPr>
            <w:tcW w:type="dxa" w:w="1440"/>
            <w:shd w:fill="FAFAFA" w:val="clear"/>
          </w:tcPr>
          <w:p>
            <w:r>
              <w:rPr>
                <w:sz w:val="17"/>
              </w:rPr>
              <w:t>2026-09-01</w:t>
            </w:r>
          </w:p>
        </w:tc>
        <w:tc>
          <w:tcPr>
            <w:tcW w:type="dxa" w:w="1440"/>
            <w:shd w:fill="FAFAFA" w:val="clear"/>
          </w:tcPr>
          <w:p>
            <w:r>
              <w:rPr>
                <w:sz w:val="17"/>
              </w:rPr>
              <w:t>20,841</w:t>
            </w:r>
          </w:p>
        </w:tc>
        <w:tc>
          <w:tcPr>
            <w:tcW w:type="dxa" w:w="1440"/>
            <w:shd w:fill="FAFAFA" w:val="clear"/>
          </w:tcPr>
          <w:p>
            <w:r>
              <w:rPr>
                <w:b/>
                <w:sz w:val="17"/>
              </w:rPr>
              <w:t>23,057</w:t>
            </w:r>
          </w:p>
        </w:tc>
        <w:tc>
          <w:tcPr>
            <w:tcW w:type="dxa" w:w="1440"/>
            <w:shd w:fill="FAFAFA" w:val="clear"/>
          </w:tcPr>
          <w:p>
            <w:r>
              <w:rPr>
                <w:sz w:val="17"/>
              </w:rPr>
              <w:t>25,274</w:t>
            </w:r>
          </w:p>
        </w:tc>
        <w:tc>
          <w:tcPr>
            <w:tcW w:type="dxa" w:w="1440"/>
            <w:shd w:fill="FAFAFA" w:val="clear"/>
          </w:tcPr>
          <w:p>
            <w:r>
              <w:rPr>
                <w:b/>
                <w:color w:val="008000"/>
                <w:sz w:val="17"/>
              </w:rPr>
              <w:t>+1.6%</w:t>
            </w:r>
          </w:p>
        </w:tc>
      </w:tr>
      <w:tr>
        <w:tc>
          <w:tcPr>
            <w:tcW w:type="dxa" w:w="1440"/>
            <w:shd w:fill="C6EFCE" w:val="clear"/>
          </w:tcPr>
          <w:p>
            <w:r>
              <w:rPr>
                <w:sz w:val="17"/>
              </w:rPr>
              <w:t>J+4  ⭐</w:t>
            </w:r>
          </w:p>
        </w:tc>
        <w:tc>
          <w:tcPr>
            <w:tcW w:type="dxa" w:w="1440"/>
            <w:shd w:fill="C6EFCE" w:val="clear"/>
          </w:tcPr>
          <w:p>
            <w:r>
              <w:rPr>
                <w:sz w:val="17"/>
              </w:rPr>
              <w:t>2026-09-02</w:t>
            </w:r>
          </w:p>
        </w:tc>
        <w:tc>
          <w:tcPr>
            <w:tcW w:type="dxa" w:w="1440"/>
            <w:shd w:fill="C6EFCE" w:val="clear"/>
          </w:tcPr>
          <w:p>
            <w:r>
              <w:rPr>
                <w:sz w:val="17"/>
              </w:rPr>
              <w:t>20,688</w:t>
            </w:r>
          </w:p>
        </w:tc>
        <w:tc>
          <w:tcPr>
            <w:tcW w:type="dxa" w:w="1440"/>
            <w:shd w:fill="C6EFCE" w:val="clear"/>
          </w:tcPr>
          <w:p>
            <w:r>
              <w:rPr>
                <w:b/>
                <w:sz w:val="17"/>
              </w:rPr>
              <w:t>23,271</w:t>
            </w:r>
          </w:p>
        </w:tc>
        <w:tc>
          <w:tcPr>
            <w:tcW w:type="dxa" w:w="1440"/>
            <w:shd w:fill="C6EFCE" w:val="clear"/>
          </w:tcPr>
          <w:p>
            <w:r>
              <w:rPr>
                <w:sz w:val="17"/>
              </w:rPr>
              <w:t>25,855</w:t>
            </w:r>
          </w:p>
        </w:tc>
        <w:tc>
          <w:tcPr>
            <w:tcW w:type="dxa" w:w="1440"/>
            <w:shd w:fill="C6EFCE" w:val="clear"/>
          </w:tcPr>
          <w:p>
            <w:r>
              <w:rPr>
                <w:b/>
                <w:color w:val="008000"/>
                <w:sz w:val="17"/>
              </w:rPr>
              <w:t>+2.6%</w:t>
            </w:r>
          </w:p>
        </w:tc>
      </w:tr>
      <w:tr>
        <w:tc>
          <w:tcPr>
            <w:tcW w:type="dxa" w:w="1440"/>
            <w:shd w:fill="C6EFCE" w:val="clear"/>
          </w:tcPr>
          <w:p>
            <w:r>
              <w:rPr>
                <w:sz w:val="17"/>
              </w:rPr>
              <w:t>J+5  ⭐</w:t>
            </w:r>
          </w:p>
        </w:tc>
        <w:tc>
          <w:tcPr>
            <w:tcW w:type="dxa" w:w="1440"/>
            <w:shd w:fill="C6EFCE" w:val="clear"/>
          </w:tcPr>
          <w:p>
            <w:r>
              <w:rPr>
                <w:sz w:val="17"/>
              </w:rPr>
              <w:t>2026-09-03</w:t>
            </w:r>
          </w:p>
        </w:tc>
        <w:tc>
          <w:tcPr>
            <w:tcW w:type="dxa" w:w="1440"/>
            <w:shd w:fill="C6EFCE" w:val="clear"/>
          </w:tcPr>
          <w:p>
            <w:r>
              <w:rPr>
                <w:sz w:val="17"/>
              </w:rPr>
              <w:t>20,573</w:t>
            </w:r>
          </w:p>
        </w:tc>
        <w:tc>
          <w:tcPr>
            <w:tcW w:type="dxa" w:w="1440"/>
            <w:shd w:fill="C6EFCE" w:val="clear"/>
          </w:tcPr>
          <w:p>
            <w:r>
              <w:rPr>
                <w:b/>
                <w:sz w:val="17"/>
              </w:rPr>
              <w:t>23,488</w:t>
            </w:r>
          </w:p>
        </w:tc>
        <w:tc>
          <w:tcPr>
            <w:tcW w:type="dxa" w:w="1440"/>
            <w:shd w:fill="C6EFCE" w:val="clear"/>
          </w:tcPr>
          <w:p>
            <w:r>
              <w:rPr>
                <w:sz w:val="17"/>
              </w:rPr>
              <w:t>26,403</w:t>
            </w:r>
          </w:p>
        </w:tc>
        <w:tc>
          <w:tcPr>
            <w:tcW w:type="dxa" w:w="1440"/>
            <w:shd w:fill="C6EFCE" w:val="clear"/>
          </w:tcPr>
          <w:p>
            <w:r>
              <w:rPr>
                <w:b/>
                <w:color w:val="008000"/>
                <w:sz w:val="17"/>
              </w:rPr>
              <w:t>+3.5%</w:t>
            </w:r>
          </w:p>
        </w:tc>
      </w:tr>
      <w:tr>
        <w:tc>
          <w:tcPr>
            <w:tcW w:type="dxa" w:w="1440"/>
            <w:shd w:fill="C6EFCE" w:val="clear"/>
          </w:tcPr>
          <w:p>
            <w:r>
              <w:rPr>
                <w:sz w:val="17"/>
              </w:rPr>
              <w:t>J+6  ⭐</w:t>
            </w:r>
          </w:p>
        </w:tc>
        <w:tc>
          <w:tcPr>
            <w:tcW w:type="dxa" w:w="1440"/>
            <w:shd w:fill="C6EFCE" w:val="clear"/>
          </w:tcPr>
          <w:p>
            <w:r>
              <w:rPr>
                <w:sz w:val="17"/>
              </w:rPr>
              <w:t>2026-09-04</w:t>
            </w:r>
          </w:p>
        </w:tc>
        <w:tc>
          <w:tcPr>
            <w:tcW w:type="dxa" w:w="1440"/>
            <w:shd w:fill="C6EFCE" w:val="clear"/>
          </w:tcPr>
          <w:p>
            <w:r>
              <w:rPr>
                <w:sz w:val="17"/>
              </w:rPr>
              <w:t>20,488</w:t>
            </w:r>
          </w:p>
        </w:tc>
        <w:tc>
          <w:tcPr>
            <w:tcW w:type="dxa" w:w="1440"/>
            <w:shd w:fill="C6EFCE" w:val="clear"/>
          </w:tcPr>
          <w:p>
            <w:r>
              <w:rPr>
                <w:b/>
                <w:sz w:val="17"/>
              </w:rPr>
              <w:t>23,712</w:t>
            </w:r>
          </w:p>
        </w:tc>
        <w:tc>
          <w:tcPr>
            <w:tcW w:type="dxa" w:w="1440"/>
            <w:shd w:fill="C6EFCE" w:val="clear"/>
          </w:tcPr>
          <w:p>
            <w:r>
              <w:rPr>
                <w:sz w:val="17"/>
              </w:rPr>
              <w:t>26,936</w:t>
            </w:r>
          </w:p>
        </w:tc>
        <w:tc>
          <w:tcPr>
            <w:tcW w:type="dxa" w:w="1440"/>
            <w:shd w:fill="C6EFCE" w:val="clear"/>
          </w:tcPr>
          <w:p>
            <w:r>
              <w:rPr>
                <w:b/>
                <w:color w:val="008000"/>
                <w:sz w:val="17"/>
              </w:rPr>
              <w:t>+4.5%</w:t>
            </w:r>
          </w:p>
        </w:tc>
      </w:tr>
      <w:tr>
        <w:tc>
          <w:tcPr>
            <w:tcW w:type="dxa" w:w="1440"/>
            <w:shd w:fill="C6EFCE" w:val="clear"/>
          </w:tcPr>
          <w:p>
            <w:r>
              <w:rPr>
                <w:sz w:val="17"/>
              </w:rPr>
              <w:t>J+7  ⭐</w:t>
            </w:r>
          </w:p>
        </w:tc>
        <w:tc>
          <w:tcPr>
            <w:tcW w:type="dxa" w:w="1440"/>
            <w:shd w:fill="C6EFCE" w:val="clear"/>
          </w:tcPr>
          <w:p>
            <w:r>
              <w:rPr>
                <w:sz w:val="17"/>
              </w:rPr>
              <w:t>2026-09-07</w:t>
            </w:r>
          </w:p>
        </w:tc>
        <w:tc>
          <w:tcPr>
            <w:tcW w:type="dxa" w:w="1440"/>
            <w:shd w:fill="C6EFCE" w:val="clear"/>
          </w:tcPr>
          <w:p>
            <w:r>
              <w:rPr>
                <w:sz w:val="17"/>
              </w:rPr>
              <w:t>20,426</w:t>
            </w:r>
          </w:p>
        </w:tc>
        <w:tc>
          <w:tcPr>
            <w:tcW w:type="dxa" w:w="1440"/>
            <w:shd w:fill="C6EFCE" w:val="clear"/>
          </w:tcPr>
          <w:p>
            <w:r>
              <w:rPr>
                <w:b/>
                <w:sz w:val="17"/>
              </w:rPr>
              <w:t>23,941</w:t>
            </w:r>
          </w:p>
        </w:tc>
        <w:tc>
          <w:tcPr>
            <w:tcW w:type="dxa" w:w="1440"/>
            <w:shd w:fill="C6EFCE" w:val="clear"/>
          </w:tcPr>
          <w:p>
            <w:r>
              <w:rPr>
                <w:sz w:val="17"/>
              </w:rPr>
              <w:t>27,457</w:t>
            </w:r>
          </w:p>
        </w:tc>
        <w:tc>
          <w:tcPr>
            <w:tcW w:type="dxa" w:w="1440"/>
            <w:shd w:fill="C6EFCE" w:val="clear"/>
          </w:tcPr>
          <w:p>
            <w:r>
              <w:rPr>
                <w:b/>
                <w:color w:val="008000"/>
                <w:sz w:val="17"/>
              </w:rPr>
              <w:t>+5.5%</w:t>
            </w:r>
          </w:p>
        </w:tc>
      </w:tr>
      <w:tr>
        <w:tc>
          <w:tcPr>
            <w:tcW w:type="dxa" w:w="1440"/>
            <w:shd w:fill="C6EFCE" w:val="clear"/>
          </w:tcPr>
          <w:p>
            <w:r>
              <w:rPr>
                <w:sz w:val="17"/>
              </w:rPr>
              <w:t>J+8  ⭐</w:t>
            </w:r>
          </w:p>
        </w:tc>
        <w:tc>
          <w:tcPr>
            <w:tcW w:type="dxa" w:w="1440"/>
            <w:shd w:fill="C6EFCE" w:val="clear"/>
          </w:tcPr>
          <w:p>
            <w:r>
              <w:rPr>
                <w:sz w:val="17"/>
              </w:rPr>
              <w:t>2026-09-08</w:t>
            </w:r>
          </w:p>
        </w:tc>
        <w:tc>
          <w:tcPr>
            <w:tcW w:type="dxa" w:w="1440"/>
            <w:shd w:fill="C6EFCE" w:val="clear"/>
          </w:tcPr>
          <w:p>
            <w:r>
              <w:rPr>
                <w:sz w:val="17"/>
              </w:rPr>
              <w:t>20,382</w:t>
            </w:r>
          </w:p>
        </w:tc>
        <w:tc>
          <w:tcPr>
            <w:tcW w:type="dxa" w:w="1440"/>
            <w:shd w:fill="C6EFCE" w:val="clear"/>
          </w:tcPr>
          <w:p>
            <w:r>
              <w:rPr>
                <w:b/>
                <w:sz w:val="17"/>
              </w:rPr>
              <w:t>24,177</w:t>
            </w:r>
          </w:p>
        </w:tc>
        <w:tc>
          <w:tcPr>
            <w:tcW w:type="dxa" w:w="1440"/>
            <w:shd w:fill="C6EFCE" w:val="clear"/>
          </w:tcPr>
          <w:p>
            <w:r>
              <w:rPr>
                <w:sz w:val="17"/>
              </w:rPr>
              <w:t>27,972</w:t>
            </w:r>
          </w:p>
        </w:tc>
        <w:tc>
          <w:tcPr>
            <w:tcW w:type="dxa" w:w="1440"/>
            <w:shd w:fill="C6EFCE" w:val="clear"/>
          </w:tcPr>
          <w:p>
            <w:r>
              <w:rPr>
                <w:b/>
                <w:color w:val="008000"/>
                <w:sz w:val="17"/>
              </w:rPr>
              <w:t>+6.6%</w:t>
            </w:r>
          </w:p>
        </w:tc>
      </w:tr>
      <w:tr>
        <w:tc>
          <w:tcPr>
            <w:tcW w:type="dxa" w:w="1440"/>
            <w:shd w:fill="C6EFCE" w:val="clear"/>
          </w:tcPr>
          <w:p>
            <w:r>
              <w:rPr>
                <w:sz w:val="17"/>
              </w:rPr>
              <w:t>J+9  ⭐</w:t>
            </w:r>
          </w:p>
        </w:tc>
        <w:tc>
          <w:tcPr>
            <w:tcW w:type="dxa" w:w="1440"/>
            <w:shd w:fill="C6EFCE" w:val="clear"/>
          </w:tcPr>
          <w:p>
            <w:r>
              <w:rPr>
                <w:sz w:val="17"/>
              </w:rPr>
              <w:t>2026-09-09</w:t>
            </w:r>
          </w:p>
        </w:tc>
        <w:tc>
          <w:tcPr>
            <w:tcW w:type="dxa" w:w="1440"/>
            <w:shd w:fill="C6EFCE" w:val="clear"/>
          </w:tcPr>
          <w:p>
            <w:r>
              <w:rPr>
                <w:sz w:val="17"/>
              </w:rPr>
              <w:t>20,355</w:t>
            </w:r>
          </w:p>
        </w:tc>
        <w:tc>
          <w:tcPr>
            <w:tcW w:type="dxa" w:w="1440"/>
            <w:shd w:fill="C6EFCE" w:val="clear"/>
          </w:tcPr>
          <w:p>
            <w:r>
              <w:rPr>
                <w:b/>
                <w:sz w:val="17"/>
              </w:rPr>
              <w:t>24,422</w:t>
            </w:r>
          </w:p>
        </w:tc>
        <w:tc>
          <w:tcPr>
            <w:tcW w:type="dxa" w:w="1440"/>
            <w:shd w:fill="C6EFCE" w:val="clear"/>
          </w:tcPr>
          <w:p>
            <w:r>
              <w:rPr>
                <w:sz w:val="17"/>
              </w:rPr>
              <w:t>28,488</w:t>
            </w:r>
          </w:p>
        </w:tc>
        <w:tc>
          <w:tcPr>
            <w:tcW w:type="dxa" w:w="1440"/>
            <w:shd w:fill="C6EFCE" w:val="clear"/>
          </w:tcPr>
          <w:p>
            <w:r>
              <w:rPr>
                <w:b/>
                <w:color w:val="008000"/>
                <w:sz w:val="17"/>
              </w:rPr>
              <w:t>+7.6%</w:t>
            </w:r>
          </w:p>
        </w:tc>
      </w:tr>
      <w:tr>
        <w:tc>
          <w:tcPr>
            <w:tcW w:type="dxa" w:w="1440"/>
            <w:shd w:fill="C6EFCE" w:val="clear"/>
          </w:tcPr>
          <w:p>
            <w:r>
              <w:rPr>
                <w:sz w:val="17"/>
              </w:rPr>
              <w:t>J+10  ⭐</w:t>
            </w:r>
          </w:p>
        </w:tc>
        <w:tc>
          <w:tcPr>
            <w:tcW w:type="dxa" w:w="1440"/>
            <w:shd w:fill="C6EFCE" w:val="clear"/>
          </w:tcPr>
          <w:p>
            <w:r>
              <w:rPr>
                <w:sz w:val="17"/>
              </w:rPr>
              <w:t>2026-09-10</w:t>
            </w:r>
          </w:p>
        </w:tc>
        <w:tc>
          <w:tcPr>
            <w:tcW w:type="dxa" w:w="1440"/>
            <w:shd w:fill="C6EFCE" w:val="clear"/>
          </w:tcPr>
          <w:p>
            <w:r>
              <w:rPr>
                <w:sz w:val="17"/>
              </w:rPr>
              <w:t>20,343</w:t>
            </w:r>
          </w:p>
        </w:tc>
        <w:tc>
          <w:tcPr>
            <w:tcW w:type="dxa" w:w="1440"/>
            <w:shd w:fill="C6EFCE" w:val="clear"/>
          </w:tcPr>
          <w:p>
            <w:r>
              <w:rPr>
                <w:b/>
                <w:sz w:val="17"/>
              </w:rPr>
              <w:t>24,674</w:t>
            </w:r>
          </w:p>
        </w:tc>
        <w:tc>
          <w:tcPr>
            <w:tcW w:type="dxa" w:w="1440"/>
            <w:shd w:fill="C6EFCE" w:val="clear"/>
          </w:tcPr>
          <w:p>
            <w:r>
              <w:rPr>
                <w:sz w:val="17"/>
              </w:rPr>
              <w:t>29,005</w:t>
            </w:r>
          </w:p>
        </w:tc>
        <w:tc>
          <w:tcPr>
            <w:tcW w:type="dxa" w:w="1440"/>
            <w:shd w:fill="C6EFCE" w:val="clear"/>
          </w:tcPr>
          <w:p>
            <w:r>
              <w:rPr>
                <w:b/>
                <w:color w:val="008000"/>
                <w:sz w:val="17"/>
              </w:rPr>
              <w:t>+8.7%</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31.318 Mds FCFA</w:t>
            </w:r>
          </w:p>
        </w:tc>
        <w:tc>
          <w:tcPr>
            <w:tcW w:type="dxa" w:w="5669"/>
            <w:shd w:fill="FFFFFF" w:val="clear"/>
          </w:tcPr>
          <w:p>
            <w:r>
              <w:rPr>
                <w:color w:val="282828"/>
                <w:sz w:val="15"/>
              </w:rPr>
              <w:t>Créances clients = 11.7%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3.446 Mds FCFA</w:t>
            </w:r>
          </w:p>
        </w:tc>
        <w:tc>
          <w:tcPr>
            <w:tcW w:type="dxa" w:w="5669"/>
            <w:shd w:fill="FFFFFF" w:val="clear"/>
          </w:tcPr>
          <w:p>
            <w:r>
              <w:rPr>
                <w:color w:val="282828"/>
                <w:sz w:val="15"/>
              </w:rPr>
              <w:t>Rotation stocks = 77.9x/an. ✅ Bonne rotation, stock bien dimensionné.</w:t>
            </w:r>
          </w:p>
        </w:tc>
      </w:tr>
      <w:tr>
        <w:tc>
          <w:tcPr>
            <w:tcW w:type="dxa" w:w="2268"/>
            <w:shd w:fill="EEF2F7" w:val="clear"/>
          </w:tcPr>
          <w:p>
            <w:r>
              <w:rPr>
                <w:b/>
                <w:color w:val="1E1E3C"/>
                <w:sz w:val="16"/>
              </w:rPr>
              <w:t>Actif circulant</w:t>
            </w:r>
          </w:p>
        </w:tc>
        <w:tc>
          <w:tcPr>
            <w:tcW w:type="dxa" w:w="1984"/>
            <w:shd w:fill="FFEB9C" w:val="clear"/>
          </w:tcPr>
          <w:p>
            <w:r>
              <w:rPr>
                <w:b/>
                <w:color w:val="006400"/>
                <w:sz w:val="17"/>
              </w:rPr>
              <w:t>34.764 Mds FCFA</w:t>
            </w:r>
          </w:p>
        </w:tc>
        <w:tc>
          <w:tcPr>
            <w:tcW w:type="dxa" w:w="5669"/>
            <w:shd w:fill="FFFFFF" w:val="clear"/>
          </w:tcPr>
          <w:p>
            <w:r>
              <w:rPr>
                <w:color w:val="282828"/>
                <w:sz w:val="15"/>
              </w:rPr>
              <w:t>Ratio actif circ./passif circ. = 1.19x.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10.32 M FCFA</w:t>
            </w:r>
          </w:p>
        </w:tc>
        <w:tc>
          <w:tcPr>
            <w:tcW w:type="dxa" w:w="5669"/>
            <w:shd w:fill="FFFFFF" w:val="clear"/>
          </w:tcPr>
          <w:p>
            <w:r>
              <w:rPr>
                <w:color w:val="282828"/>
                <w:sz w:val="15"/>
              </w:rPr>
              <w:t>Brevets, logiciels, fonds commercial (0.0%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857.84 M FCFA</w:t>
            </w:r>
          </w:p>
        </w:tc>
        <w:tc>
          <w:tcPr>
            <w:tcW w:type="dxa" w:w="5669"/>
            <w:shd w:fill="FFFFFF" w:val="clear"/>
          </w:tcPr>
          <w:p>
            <w:r>
              <w:rPr>
                <w:color w:val="282828"/>
                <w:sz w:val="15"/>
              </w:rPr>
              <w:t>Outil industriel (1.1%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9.657 Mds FCFA</w:t>
            </w:r>
          </w:p>
        </w:tc>
        <w:tc>
          <w:tcPr>
            <w:tcW w:type="dxa" w:w="5669"/>
            <w:shd w:fill="FFFFFF" w:val="clear"/>
          </w:tcPr>
          <w:p>
            <w:r>
              <w:rPr>
                <w:color w:val="282828"/>
                <w:sz w:val="15"/>
              </w:rPr>
              <w:t>Actif immobilisé = 12.8%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30.763 Mds FCFA</w:t>
            </w:r>
          </w:p>
        </w:tc>
        <w:tc>
          <w:tcPr>
            <w:tcW w:type="dxa" w:w="5669"/>
            <w:shd w:fill="FFFFFF" w:val="clear"/>
          </w:tcPr>
          <w:p>
            <w:r>
              <w:rPr>
                <w:color w:val="282828"/>
                <w:sz w:val="15"/>
              </w:rPr>
              <w:t>Liquidités disponibles (40.9%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75.184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4.489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4.690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45.337 Mds FCFA</w:t>
            </w:r>
          </w:p>
        </w:tc>
        <w:tc>
          <w:tcPr>
            <w:tcW w:type="dxa" w:w="5669"/>
            <w:shd w:fill="FFFFFF" w:val="clear"/>
          </w:tcPr>
          <w:p>
            <w:r>
              <w:rPr>
                <w:color w:val="282828"/>
                <w:sz w:val="15"/>
              </w:rPr>
              <w:t>Fonds propres = 60.3%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46.059 Mds FCFA</w:t>
            </w:r>
          </w:p>
        </w:tc>
        <w:tc>
          <w:tcPr>
            <w:tcW w:type="dxa" w:w="5669"/>
            <w:shd w:fill="FFFFFF" w:val="clear"/>
          </w:tcPr>
          <w:p>
            <w:r>
              <w:rPr>
                <w:color w:val="282828"/>
                <w:sz w:val="15"/>
              </w:rPr>
              <w:t>Capitaux permanents / Actif immobilisé = 4.77x. ✅ Les investissements LT sont bien financés par des ressources stables.</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1.40 M FCFA</w:t>
            </w:r>
          </w:p>
        </w:tc>
        <w:tc>
          <w:tcPr>
            <w:tcW w:type="dxa" w:w="5669"/>
            <w:shd w:fill="FFFFFF" w:val="clear"/>
          </w:tcPr>
          <w:p>
            <w:r>
              <w:rPr>
                <w:color w:val="282828"/>
                <w:sz w:val="15"/>
              </w:rPr>
              <w:t>Dette LT/MT = 0%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1.40 M FCFA</w:t>
            </w:r>
          </w:p>
        </w:tc>
        <w:tc>
          <w:tcPr>
            <w:tcW w:type="dxa" w:w="5669"/>
            <w:shd w:fill="FFFFFF" w:val="clear"/>
          </w:tcPr>
          <w:p>
            <w:r>
              <w:rPr>
                <w:color w:val="282828"/>
                <w:sz w:val="15"/>
              </w:rPr>
              <w:t>Dette financière totale = 0%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29.847 Mds FCFA</w:t>
            </w:r>
          </w:p>
        </w:tc>
        <w:tc>
          <w:tcPr>
            <w:tcW w:type="dxa" w:w="5669"/>
            <w:shd w:fill="FFFFFF" w:val="clear"/>
          </w:tcPr>
          <w:p>
            <w:r>
              <w:rPr>
                <w:color w:val="282828"/>
                <w:sz w:val="15"/>
              </w:rPr>
              <w:t>Dettes totales = 39.7%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268.537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C6EFCE" w:val="clear"/>
          </w:tcPr>
          <w:p>
            <w:r>
              <w:rPr>
                <w:b/>
                <w:color w:val="006400"/>
                <w:sz w:val="17"/>
              </w:rPr>
              <w:t>268.537 Mds FCFA</w:t>
            </w:r>
          </w:p>
        </w:tc>
        <w:tc>
          <w:tcPr>
            <w:tcW w:type="dxa" w:w="5669"/>
            <w:shd w:fill="FFFFFF" w:val="clear"/>
          </w:tcPr>
          <w:p>
            <w:r>
              <w:rPr>
                <w:color w:val="282828"/>
                <w:sz w:val="15"/>
              </w:rPr>
              <w:t>Chiffre d'affaires. Croissance: 25.3%. ✅ CA en hausse — bonne dynamique commerciale.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832.44 M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2.693 Mds FCFA</w:t>
            </w:r>
          </w:p>
        </w:tc>
        <w:tc>
          <w:tcPr>
            <w:tcW w:type="dxa" w:w="5669"/>
            <w:shd w:fill="FFFFFF" w:val="clear"/>
          </w:tcPr>
          <w:p>
            <w:r>
              <w:rPr>
                <w:color w:val="282828"/>
                <w:sz w:val="15"/>
              </w:rPr>
              <w:t>Masse salariale = 1.0%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49.083 Mds FCFA</w:t>
            </w:r>
          </w:p>
        </w:tc>
        <w:tc>
          <w:tcPr>
            <w:tcW w:type="dxa" w:w="5669"/>
            <w:shd w:fill="FFFFFF" w:val="clear"/>
          </w:tcPr>
          <w:p>
            <w:r>
              <w:rPr>
                <w:color w:val="282828"/>
                <w:sz w:val="15"/>
              </w:rPr>
              <w:t>VA = 18.3% du CA. ⚠️ Faible VA — modèle à faible marge (distribution, négoce).</w:t>
            </w:r>
          </w:p>
        </w:tc>
      </w:tr>
      <w:tr>
        <w:tc>
          <w:tcPr>
            <w:tcW w:type="dxa" w:w="2268"/>
            <w:shd w:fill="EEF2F7" w:val="clear"/>
          </w:tcPr>
          <w:p>
            <w:r>
              <w:rPr>
                <w:b/>
                <w:color w:val="1E1E3C"/>
                <w:sz w:val="16"/>
              </w:rPr>
              <w:t>EBE</w:t>
            </w:r>
          </w:p>
        </w:tc>
        <w:tc>
          <w:tcPr>
            <w:tcW w:type="dxa" w:w="1984"/>
            <w:shd w:fill="C6EFCE" w:val="clear"/>
          </w:tcPr>
          <w:p>
            <w:r>
              <w:rPr>
                <w:b/>
                <w:color w:val="006400"/>
                <w:sz w:val="17"/>
              </w:rPr>
              <w:t>46.390 Mds FCFA</w:t>
            </w:r>
          </w:p>
        </w:tc>
        <w:tc>
          <w:tcPr>
            <w:tcW w:type="dxa" w:w="5669"/>
            <w:shd w:fill="FFFFFF" w:val="clear"/>
          </w:tcPr>
          <w:p>
            <w:r>
              <w:rPr>
                <w:color w:val="282828"/>
                <w:sz w:val="15"/>
              </w:rPr>
              <w:t>EBE = 17.3% des revenus (marge opérationnelle brute). ✅ Bonne rentabilité opérationnelle.</w:t>
            </w:r>
          </w:p>
        </w:tc>
      </w:tr>
      <w:tr>
        <w:tc>
          <w:tcPr>
            <w:tcW w:type="dxa" w:w="2268"/>
            <w:shd w:fill="EEF2F7" w:val="clear"/>
          </w:tcPr>
          <w:p>
            <w:r>
              <w:rPr>
                <w:b/>
                <w:color w:val="1E1E3C"/>
                <w:sz w:val="16"/>
              </w:rPr>
              <w:t>Résultat d'exploitation</w:t>
            </w:r>
          </w:p>
        </w:tc>
        <w:tc>
          <w:tcPr>
            <w:tcW w:type="dxa" w:w="1984"/>
            <w:shd w:fill="C6EFCE" w:val="clear"/>
          </w:tcPr>
          <w:p>
            <w:r>
              <w:rPr>
                <w:b/>
                <w:color w:val="006400"/>
                <w:sz w:val="17"/>
              </w:rPr>
              <w:t>45.972 Mds FCFA</w:t>
            </w:r>
          </w:p>
        </w:tc>
        <w:tc>
          <w:tcPr>
            <w:tcW w:type="dxa" w:w="5669"/>
            <w:shd w:fill="FFFFFF" w:val="clear"/>
          </w:tcPr>
          <w:p>
            <w:r>
              <w:rPr>
                <w:color w:val="282828"/>
                <w:sz w:val="15"/>
              </w:rPr>
              <w:t>Profit d'exploitation = 17.1% des revenus. ✅ Rentabilité opérationnelle solide.</w:t>
            </w:r>
          </w:p>
        </w:tc>
      </w:tr>
      <w:tr>
        <w:tc>
          <w:tcPr>
            <w:tcW w:type="dxa" w:w="2268"/>
            <w:shd w:fill="EEF2F7" w:val="clear"/>
          </w:tcPr>
          <w:p>
            <w:r>
              <w:rPr>
                <w:b/>
                <w:color w:val="1E1E3C"/>
                <w:sz w:val="16"/>
              </w:rPr>
              <w:t>Provisions</w:t>
            </w:r>
          </w:p>
        </w:tc>
        <w:tc>
          <w:tcPr>
            <w:tcW w:type="dxa" w:w="1984"/>
            <w:shd w:fill="DEEAF1" w:val="clear"/>
          </w:tcPr>
          <w:p>
            <w:r>
              <w:rPr>
                <w:b/>
                <w:color w:val="006400"/>
                <w:sz w:val="17"/>
              </w:rPr>
              <w:t>721.19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C6EFCE" w:val="clear"/>
          </w:tcPr>
          <w:p>
            <w:r>
              <w:rPr>
                <w:b/>
                <w:color w:val="006400"/>
                <w:sz w:val="17"/>
              </w:rPr>
              <w:t>36.158 Mds FCFA</w:t>
            </w:r>
          </w:p>
        </w:tc>
        <w:tc>
          <w:tcPr>
            <w:tcW w:type="dxa" w:w="5669"/>
            <w:shd w:fill="FFFFFF" w:val="clear"/>
          </w:tcPr>
          <w:p>
            <w:r>
              <w:rPr>
                <w:color w:val="282828"/>
                <w:sz w:val="15"/>
              </w:rPr>
              <w:t>Marge nette = 13.5%. ✅ Excellente rentabilité finale.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34.262 Mds FCFA</w:t>
            </w:r>
          </w:p>
        </w:tc>
        <w:tc>
          <w:tcPr>
            <w:tcW w:type="dxa" w:w="5669"/>
            <w:shd w:fill="FFFFFF" w:val="clear"/>
          </w:tcPr>
          <w:p>
            <w:r>
              <w:rPr>
                <w:color w:val="282828"/>
                <w:sz w:val="15"/>
              </w:rPr>
              <w:t>CAF = 34.26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18.486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DEEAF1" w:val="clear"/>
          </w:tcPr>
          <w:p>
            <w:r>
              <w:rPr>
                <w:b/>
                <w:color w:val="006400"/>
                <w:sz w:val="17"/>
              </w:rPr>
              <w:t>2.172 Mds FCFA</w:t>
            </w:r>
          </w:p>
        </w:tc>
        <w:tc>
          <w:tcPr>
            <w:tcW w:type="dxa" w:w="5669"/>
            <w:shd w:fill="FFFFFF" w:val="clear"/>
          </w:tcPr>
          <w:p>
            <w:r>
              <w:rPr>
                <w:color w:val="282828"/>
                <w:sz w:val="15"/>
              </w:rPr>
              <w:t>Sorties nettes pour investissements. ℹ️ Cessions nettes — désinvestissement ou rééquilibrage du portefeuille.</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-38.096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20.657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5.639 Mds FCFA</w:t>
            </w:r>
          </w:p>
        </w:tc>
        <w:tc>
          <w:tcPr>
            <w:tcW w:type="dxa" w:w="5669"/>
            <w:shd w:fill="FFFFFF" w:val="clear"/>
          </w:tcPr>
          <w:p>
            <w:r>
              <w:rPr>
                <w:color w:val="282828"/>
                <w:sz w:val="15"/>
              </w:rPr>
              <w:t>BFR = 2.1%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36.403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30.763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22.87%</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C6EFCE" w:val="clear"/>
          </w:tcPr>
          <w:p>
            <w:r>
              <w:rPr>
                <w:b/>
                <w:color w:val="006400"/>
                <w:sz w:val="17"/>
              </w:rPr>
              <w:t>13.46%</w:t>
            </w:r>
          </w:p>
        </w:tc>
        <w:tc>
          <w:tcPr>
            <w:tcW w:type="dxa" w:w="5669"/>
            <w:shd w:fill="FFFFFF" w:val="clear"/>
          </w:tcPr>
          <w:p>
            <w:r>
              <w:rPr>
                <w:color w:val="282828"/>
                <w:sz w:val="15"/>
              </w:rPr>
              <w:t>Résultat net / revenus = 13.46%. ✅ Excellente profitabilité finale.</w:t>
            </w:r>
          </w:p>
        </w:tc>
      </w:tr>
      <w:tr>
        <w:tc>
          <w:tcPr>
            <w:tcW w:type="dxa" w:w="2268"/>
            <w:shd w:fill="EEF2F7" w:val="clear"/>
          </w:tcPr>
          <w:p>
            <w:r>
              <w:rPr>
                <w:b/>
                <w:color w:val="1E1E3C"/>
                <w:sz w:val="16"/>
              </w:rPr>
              <w:t>Marge opérationnelle</w:t>
            </w:r>
          </w:p>
        </w:tc>
        <w:tc>
          <w:tcPr>
            <w:tcW w:type="dxa" w:w="1984"/>
            <w:shd w:fill="C6EFCE" w:val="clear"/>
          </w:tcPr>
          <w:p>
            <w:r>
              <w:rPr>
                <w:b/>
                <w:color w:val="006400"/>
                <w:sz w:val="17"/>
              </w:rPr>
              <w:t>17.12%</w:t>
            </w:r>
          </w:p>
        </w:tc>
        <w:tc>
          <w:tcPr>
            <w:tcW w:type="dxa" w:w="5669"/>
            <w:shd w:fill="FFFFFF" w:val="clear"/>
          </w:tcPr>
          <w:p>
            <w:r>
              <w:rPr>
                <w:color w:val="282828"/>
                <w:sz w:val="15"/>
              </w:rPr>
              <w:t>Rentabilité de l'exploitation pure. ✅ Excellente marge opérationnelle.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79.75%</w:t>
            </w:r>
          </w:p>
        </w:tc>
        <w:tc>
          <w:tcPr>
            <w:tcW w:type="dxa" w:w="5669"/>
            <w:shd w:fill="FFFFFF" w:val="clear"/>
          </w:tcPr>
          <w:p>
            <w:r>
              <w:rPr>
                <w:color w:val="282828"/>
                <w:sz w:val="15"/>
              </w:rPr>
              <w:t>Résultat net / capitaux propres = 79.75%. ✅ Excellent — au-dessus du coût du capital UEMOA.</w:t>
            </w:r>
          </w:p>
        </w:tc>
      </w:tr>
      <w:tr>
        <w:tc>
          <w:tcPr>
            <w:tcW w:type="dxa" w:w="2268"/>
            <w:shd w:fill="EEF2F7" w:val="clear"/>
          </w:tcPr>
          <w:p>
            <w:r>
              <w:rPr>
                <w:b/>
                <w:color w:val="1E1E3C"/>
                <w:sz w:val="16"/>
              </w:rPr>
              <w:t>ROA (Rentabilité des actifs)</w:t>
            </w:r>
          </w:p>
        </w:tc>
        <w:tc>
          <w:tcPr>
            <w:tcW w:type="dxa" w:w="1984"/>
            <w:shd w:fill="C6EFCE" w:val="clear"/>
          </w:tcPr>
          <w:p>
            <w:r>
              <w:rPr>
                <w:b/>
                <w:color w:val="006400"/>
                <w:sz w:val="17"/>
              </w:rPr>
              <w:t>48.09%</w:t>
            </w:r>
          </w:p>
        </w:tc>
        <w:tc>
          <w:tcPr>
            <w:tcW w:type="dxa" w:w="5669"/>
            <w:shd w:fill="FFFFFF" w:val="clear"/>
          </w:tcPr>
          <w:p>
            <w:r>
              <w:rPr>
                <w:color w:val="282828"/>
                <w:sz w:val="15"/>
              </w:rPr>
              <w:t>Résultat net / total actif = 48.09% (entreprise: seuil &gt;5%). ✅ Bonne utilisation des actifs.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357.17%</w:t>
            </w:r>
          </w:p>
        </w:tc>
        <w:tc>
          <w:tcPr>
            <w:tcW w:type="dxa" w:w="5669"/>
            <w:shd w:fill="FFFFFF" w:val="clear"/>
          </w:tcPr>
          <w:p>
            <w:r>
              <w:rPr>
                <w:color w:val="282828"/>
                <w:sz w:val="15"/>
              </w:rPr>
              <w:t>CA / total actif = 357.17x. ✅ Bonne efficience des actifs.</w:t>
            </w:r>
          </w:p>
        </w:tc>
      </w:tr>
      <w:tr>
        <w:tc>
          <w:tcPr>
            <w:tcW w:type="dxa" w:w="2268"/>
            <w:shd w:fill="EEF2F7" w:val="clear"/>
          </w:tcPr>
          <w:p>
            <w:r>
              <w:rPr>
                <w:b/>
                <w:color w:val="1E1E3C"/>
                <w:sz w:val="16"/>
              </w:rPr>
              <w:t>Taux croissance CA</w:t>
            </w:r>
          </w:p>
        </w:tc>
        <w:tc>
          <w:tcPr>
            <w:tcW w:type="dxa" w:w="1984"/>
            <w:shd w:fill="C6EFCE" w:val="clear"/>
          </w:tcPr>
          <w:p>
            <w:r>
              <w:rPr>
                <w:b/>
                <w:color w:val="006400"/>
                <w:sz w:val="17"/>
              </w:rPr>
              <w:t>25.30%</w:t>
            </w:r>
          </w:p>
        </w:tc>
        <w:tc>
          <w:tcPr>
            <w:tcW w:type="dxa" w:w="5669"/>
            <w:shd w:fill="FFFFFF" w:val="clear"/>
          </w:tcPr>
          <w:p>
            <w:r>
              <w:rPr>
                <w:color w:val="282828"/>
                <w:sz w:val="15"/>
              </w:rPr>
              <w:t>Croissance CA vs exercice précédent = 25.30%. ✅ Forte croissance — expansion commerciale.</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60.30%</w:t>
            </w:r>
          </w:p>
        </w:tc>
        <w:tc>
          <w:tcPr>
            <w:tcW w:type="dxa" w:w="5669"/>
            <w:shd w:fill="FFFFFF" w:val="clear"/>
          </w:tcPr>
          <w:p>
            <w:r>
              <w:rPr>
                <w:color w:val="282828"/>
                <w:sz w:val="15"/>
              </w:rPr>
              <w:t>Fonds propres / total bilan = 60.30%.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505050"/>
                <w:sz w:val="17"/>
              </w:rPr>
              <w:t>0.00%</w:t>
            </w:r>
          </w:p>
        </w:tc>
        <w:tc>
          <w:tcPr>
            <w:tcW w:type="dxa" w:w="5669"/>
            <w:shd w:fill="FFFFFF" w:val="clear"/>
          </w:tcPr>
          <w:p>
            <w:r>
              <w:rPr>
                <w:color w:val="282828"/>
                <w:sz w:val="15"/>
              </w:rPr>
              <w:t>Dettes financières / total bilan = 0.00%. ✅ Dépendance faible.</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39.70%</w:t>
            </w:r>
          </w:p>
        </w:tc>
        <w:tc>
          <w:tcPr>
            <w:tcW w:type="dxa" w:w="5669"/>
            <w:shd w:fill="FFFFFF" w:val="clear"/>
          </w:tcPr>
          <w:p>
            <w:r>
              <w:rPr>
                <w:color w:val="282828"/>
                <w:sz w:val="15"/>
              </w:rPr>
              <w:t>Dettes totales / fonds propres = 39.70%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251.89%</w:t>
            </w:r>
          </w:p>
        </w:tc>
        <w:tc>
          <w:tcPr>
            <w:tcW w:type="dxa" w:w="5669"/>
            <w:shd w:fill="FFFFFF" w:val="clear"/>
          </w:tcPr>
          <w:p>
            <w:r>
              <w:rPr>
                <w:color w:val="282828"/>
                <w:sz w:val="15"/>
              </w:rPr>
              <w:t>Total actif / dettes totales = 251.89x.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224.99%</w:t>
            </w:r>
          </w:p>
        </w:tc>
        <w:tc>
          <w:tcPr>
            <w:tcW w:type="dxa" w:w="5669"/>
            <w:shd w:fill="FFFFFF" w:val="clear"/>
          </w:tcPr>
          <w:p>
            <w:r>
              <w:rPr>
                <w:color w:val="282828"/>
                <w:sz w:val="15"/>
              </w:rPr>
              <w:t>Actif circulant / passif circulant = 224.99x. ✅ Excellente liquidité court terme.</w:t>
            </w:r>
          </w:p>
        </w:tc>
      </w:tr>
      <w:tr>
        <w:tc>
          <w:tcPr>
            <w:tcW w:type="dxa" w:w="2268"/>
            <w:shd w:fill="EEF2F7" w:val="clear"/>
          </w:tcPr>
          <w:p>
            <w:r>
              <w:rPr>
                <w:b/>
                <w:color w:val="1E1E3C"/>
                <w:sz w:val="16"/>
              </w:rPr>
              <w:t>Liquidité immédiate</w:t>
            </w:r>
          </w:p>
        </w:tc>
        <w:tc>
          <w:tcPr>
            <w:tcW w:type="dxa" w:w="1984"/>
            <w:shd w:fill="C6EFCE" w:val="clear"/>
          </w:tcPr>
          <w:p>
            <w:r>
              <w:rPr>
                <w:b/>
                <w:color w:val="006400"/>
                <w:sz w:val="17"/>
              </w:rPr>
              <w:t>105.63%</w:t>
            </w:r>
          </w:p>
        </w:tc>
        <w:tc>
          <w:tcPr>
            <w:tcW w:type="dxa" w:w="5669"/>
            <w:shd w:fill="FFFFFF" w:val="clear"/>
          </w:tcPr>
          <w:p>
            <w:r>
              <w:rPr>
                <w:color w:val="282828"/>
                <w:sz w:val="15"/>
              </w:rPr>
              <w:t>Trésorerie / passif circulant = 105.63x. ✅ Trésorerie immédiate confortable.</w:t>
            </w:r>
          </w:p>
        </w:tc>
      </w:tr>
      <w:tr>
        <w:tc>
          <w:tcPr>
            <w:tcW w:type="dxa" w:w="2268"/>
            <w:shd w:fill="EEF2F7" w:val="clear"/>
          </w:tcPr>
          <w:p>
            <w:r>
              <w:rPr>
                <w:b/>
                <w:color w:val="1E1E3C"/>
                <w:sz w:val="16"/>
              </w:rPr>
              <w:t>Liquidité réduite</w:t>
            </w:r>
          </w:p>
        </w:tc>
        <w:tc>
          <w:tcPr>
            <w:tcW w:type="dxa" w:w="1984"/>
            <w:shd w:fill="C6EFCE" w:val="clear"/>
          </w:tcPr>
          <w:p>
            <w:r>
              <w:rPr>
                <w:b/>
                <w:color w:val="006400"/>
                <w:sz w:val="17"/>
              </w:rPr>
              <w:t>213.16%</w:t>
            </w:r>
          </w:p>
        </w:tc>
        <w:tc>
          <w:tcPr>
            <w:tcW w:type="dxa" w:w="5669"/>
            <w:shd w:fill="FFFFFF" w:val="clear"/>
          </w:tcPr>
          <w:p>
            <w:r>
              <w:rPr>
                <w:color w:val="282828"/>
                <w:sz w:val="15"/>
              </w:rPr>
              <w:t>(Actif circ. - stocks) / passif circ. = 213.16x. ✅ Liquidité réduite solide.</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476.97%</w:t>
            </w:r>
          </w:p>
        </w:tc>
        <w:tc>
          <w:tcPr>
            <w:tcW w:type="dxa" w:w="5669"/>
            <w:shd w:fill="FFFFFF" w:val="clear"/>
          </w:tcPr>
          <w:p>
            <w:r>
              <w:rPr>
                <w:color w:val="282828"/>
                <w:sz w:val="15"/>
              </w:rPr>
              <w:t>Capitaux permanents / actif immobilisé = 476.97x.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505050"/>
                <w:sz w:val="17"/>
              </w:rPr>
              <w:t>0.0 ans</w:t>
            </w:r>
          </w:p>
        </w:tc>
        <w:tc>
          <w:tcPr>
            <w:tcW w:type="dxa" w:w="5669"/>
            <w:shd w:fill="FFFFFF" w:val="clear"/>
          </w:tcPr>
          <w:p>
            <w:r>
              <w:rPr>
                <w:color w:val="282828"/>
                <w:sz w:val="15"/>
              </w:rPr>
              <w:t>Dettes financières / CAF = 0.0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955970.80%</w:t>
            </w:r>
          </w:p>
        </w:tc>
        <w:tc>
          <w:tcPr>
            <w:tcW w:type="dxa" w:w="5669"/>
            <w:shd w:fill="FFFFFF" w:val="clear"/>
          </w:tcPr>
          <w:p>
            <w:r>
              <w:rPr>
                <w:color w:val="282828"/>
                <w:sz w:val="15"/>
              </w:rPr>
              <w:t>Résultat exploit. / charges financières = 955970.80x.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1577.73%</w:t>
            </w:r>
          </w:p>
        </w:tc>
        <w:tc>
          <w:tcPr>
            <w:tcW w:type="dxa" w:w="5669"/>
            <w:shd w:fill="FFFFFF" w:val="clear"/>
          </w:tcPr>
          <w:p>
            <w:r>
              <w:rPr>
                <w:color w:val="282828"/>
                <w:sz w:val="15"/>
              </w:rPr>
              <w:t>CAF / investissements = 1577.73x.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42.6 j</w:t>
            </w:r>
          </w:p>
        </w:tc>
        <w:tc>
          <w:tcPr>
            <w:tcW w:type="dxa" w:w="5669"/>
            <w:shd w:fill="FFFFFF" w:val="clear"/>
          </w:tcPr>
          <w:p>
            <w:r>
              <w:rPr>
                <w:color w:val="282828"/>
                <w:sz w:val="15"/>
              </w:rPr>
              <w:t>Les clients paient en moyenne en 43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5.7 j</w:t>
            </w:r>
          </w:p>
        </w:tc>
        <w:tc>
          <w:tcPr>
            <w:tcW w:type="dxa" w:w="5669"/>
            <w:shd w:fill="FFFFFF" w:val="clear"/>
          </w:tcPr>
          <w:p>
            <w:r>
              <w:rPr>
                <w:color w:val="282828"/>
                <w:sz w:val="15"/>
              </w:rPr>
              <w:t>Stock écoulé en 6 jours. ✅ Rotation rapide — faible immobilisation de capital.</w:t>
            </w:r>
          </w:p>
        </w:tc>
      </w:tr>
    </w:tbl>
    <w:p/>
    <w:p>
      <w:pPr>
        <w:spacing w:after="120" w:line="276" w:lineRule="auto"/>
      </w:pPr>
      <w:r>
        <w:t>**RAPPORT D'ANALYSE FINANCIÈRE — STBC / SITAB (BRVM)**</w:t>
      </w:r>
    </w:p>
    <w:p>
      <w:pPr>
        <w:spacing w:after="120" w:line="276" w:lineRule="auto"/>
      </w:pPr>
      <w:r>
        <w:t>**Date : 27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407,40 milliards FCFA positionne STBC comme une valeur de premier plan sur la BRVM, reflétant son statut de leader sur le marché ivoirien du tabac. Avec un BPA de 2 014 FCFA, le titre se négocie à un PER de 11,3x, un niveau modéré qui se situe dans la fourchette haute des références de la place (~8-12x), indiquant une valorisation raisonnable par rapport aux bénéfices générés. En revanche, le P/B de 8,99x révèle une prime significative par rapport à la valeur comptable des actifs, signe que le marché intègre des perspectives de croissance ou une rentabilité supérieure à la moyenne. Enfin, l'EV/EBITDA de 8,1x, dans la zone des 5-10x jugée raisonnable, confirme une appréciation cohérente de la capacité opérationnelle de l'entreprise, sans excès majeur.</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STBC affiche une progression de +8,05%, avec une accélération notable lors de la dernière séance (+7,00%), portant le cours à 22 690 FCFA. Le titre a évolué dans un range de 19 705 FCFA (plus bas) à 25 000 FCFA (plus haut), témoignant d'une amplitude de fluctuation importante. La moyenne (22 276 FCFA) et la médiane (22 000 FCFA) étant très proches, la distribution des prix est relativement symétrique, ce que confirme le skewness de 0,302. L'écart-type de 1 384 FCFA, avec un coefficient de variation de 6,2%, indique une dispersion modérée autour de la moyenne. Le kurtosis de -0,992 (mésokurtique) suggère l'absence de mouvements extrêmes fréquents, tandis que la volatilité annualisée de 36,4% classe le titre dans la catégorie des valeurs à forte volatilité, un paramètre essentiel pour la gestion du risque.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(22 690 FCFA) se situe sous ses moyennes mobiles à 20 jours (23 336,5 FCFA) et à 50 jours (23 434,1 FCFA). Cette configuration baissière, où les MM20 et MM50 agissent comme des résistances, justifie la décision de vente. La tendance de fond reste négative tant que le cours ne repasse pas au-dessus de ces niveaux.</w:t>
      </w:r>
    </w:p>
    <w:p>
      <w:pPr>
        <w:spacing w:after="120" w:line="276" w:lineRule="auto"/>
      </w:pPr>
      <w:r>
        <w:t>**Bandes de Bollinger** : Le prix évolue entre la borne inférieure (21 490,8 FCFA) et la borne supérieure (25 182,2 FCFA), mais se rapproche de la partie basse de l'enveloppe. Cette position suggère une pression vendeuse modérée sans condition de survente extrême. La décision neutre reflète une volatilité en cours de contraction, avec un potentiel de rebond technique si le support des 21 490 FCFA tient.</w:t>
      </w:r>
    </w:p>
    <w:p>
      <w:pPr>
        <w:spacing w:after="120" w:line="276" w:lineRule="auto"/>
      </w:pPr>
      <w:r>
        <w:t>**MACD** : La valeur du MACD (-282,978) est inférieure à son signal (-118,189), confirmant un momentum baissier en cours. La divergence négative indique que la dynamique des prix reste défavorable à court terme, justifiant la décision de vente. Un croisement haussier du MACD au-dessus de son signal serait nécessaire pour inverser cette tendance.</w:t>
      </w:r>
    </w:p>
    <w:p>
      <w:pPr>
        <w:spacing w:after="120" w:line="276" w:lineRule="auto"/>
      </w:pPr>
      <w:r>
        <w:t>**RSI** : À 36,52, le RSI se situe en zone neutre, mais proche de la zone de survente (&lt;30). Cela indique que le titre n'est ni suracheté ni survendu, laissant une marge de manœuvre avant une éventuelle correction ou un rebond. La décision neutre est cohérente avec une absence de signal directionnel fort.</w:t>
      </w:r>
    </w:p>
    <w:p>
      <w:pPr>
        <w:spacing w:after="120" w:line="276" w:lineRule="auto"/>
      </w:pPr>
      <w:r>
        <w:t>**Stochastique** : Le %K (39,13) est supérieur au %D (19,71), suggérant un début de croisement haussier potentiel. Cependant, les deux lignes restent en territoire baissier, ce qui limite la portée du signal. La décision neutre reflète cette ambiguïté, avec une possible reprise à surveiller dans les prochaines séances.</w:t>
      </w:r>
    </w:p>
    <w:p>
      <w:pPr>
        <w:spacing w:after="120" w:line="276" w:lineRule="auto"/>
      </w:pPr>
      <w:r>
        <w:t>**Conclusion technique** : Les indicateurs techniques sont globalement partagés entre des signaux de vente (MM, MACD) et des positions neutres (Bollinger, RSI, Stochastique). La tendance de fond reste baissière à court terme, mais des signes de stabilisation apparaissent. Un rebond technique est possible si le cours parvient à se maintenir au-dessus de 21 490 FCFA, avec un premier objectif vers les MM20/50.</w:t>
      </w:r>
    </w:p>
    <w:p>
      <w:pPr>
        <w:spacing w:after="120" w:line="276" w:lineRule="auto"/>
      </w:pPr>
      <w:r>
        <w:t>---</w:t>
      </w:r>
    </w:p>
    <w:p>
      <w:pPr>
        <w:spacing w:after="120" w:line="276" w:lineRule="auto"/>
      </w:pPr>
      <w:r>
        <w:t>### PARTIE 3 : ANALYSE FONDAMENTALE (SECTION CRITIQUE)</w:t>
      </w:r>
    </w:p>
    <w:p>
      <w:pPr>
        <w:spacing w:after="120" w:line="276" w:lineRule="auto"/>
      </w:pPr>
      <w:r>
        <w:t>En 2025, la société (SITAB, ex-STBC) a réalisé un chiffre d'affaires de 268,5 milliards FCFA, en hausse de 25,3% par rapport à 2024, porté par une croissance des volumes de 5,6% et des hausses de prix. Le résultat net s'établit à 36,2 milliards FCFA, en baisse de 17,5% par rapport à 2024 (44,2 milliards FCFA), principalement en raison de l'augmentation des droits d'accise (de 49% à 70%) et d'un contrôle fiscal ayant impacté les charges. La marge nette a ainsi reculé à 13,5% (contre 20,4% en 2024), tandis que la marge opérationnelle s'est établie à 17,1%. Le ROE reste exceptionnel à 79,75% et le ROA à 48,09%, démontrant une rentabilité très élevée des capitaux propres et des actifs. La structure financière demeure solide avec des capitaux propres de 45,3 milliards FCFA, une trésorerie nette de 30,8 milliards FCFA et une absence quasi totale de dettes financières. Le BFR de 5,6 milliards FCFA est positif, mais le délai de paiement des clients (42,6 jours) reste modéré. Les rapports trimestriels 2025 montrent une dégradation progressive de la rentabilité au fil de l'année, avec un T4 particulièrement difficile (résultat net en baisse de 74%). Le rapport T1 2026 (publié en 2026) indique un chiffre d'affaires de 68,8 milliards FCFA (+12%), mais un résultat net stable à 9,3 milliards FCFA (-1%), suggérant une stabilisation des marges. La recommandation fondamentale est de **CONSERVER** : la société affiche une solidité financière remarquable et une politique de dividende généreuse (1 940 FCFA par action proposé pour 2025), mais la pression fiscale et la dégradation des marges constituent des risques majeurs à surveiller.</w:t>
      </w:r>
    </w:p>
    <w:p>
      <w:pPr>
        <w:spacing w:after="120" w:line="276" w:lineRule="auto"/>
      </w:pPr>
      <w:r>
        <w:t>---</w:t>
      </w:r>
    </w:p>
    <w:p>
      <w:pPr>
        <w:spacing w:after="120" w:line="276" w:lineRule="auto"/>
      </w:pPr>
      <w:r>
        <w:t>### PARTIE 4 : CONCLUSION D'INVESTISSEMENT</w:t>
      </w:r>
    </w:p>
    <w:p>
      <w:pPr>
        <w:spacing w:after="120" w:line="276" w:lineRule="auto"/>
      </w:pPr>
      <w:r>
        <w:t>La valorisation de STBC (PER 11,3x, P/B 8,99x, EV/EBITDA 8,1x) apparaît raisonnable, mais la prime sur la valeur comptable reflète des attentes élevées qui pourraient être déçues si la pression fiscale persiste. Le comportement du cours sur 100 jours montre une tendance globalement positive (+8,05%), mais avec une volatilité élevée (36,4%) et une récente correction technique sous les moyennes mobiles. Les signaux techniques sont mitigés, avec une tendance baissière à court terme (MM, MACD) mais des indicateurs neutres (RSI, Stochastique) laissant entrevoir un possible rebond. Les fondamentaux restent solides, avec une croissance du chiffre d'affaires soutenue et une rentabilité élevée, mais la dégradation des marges et la baisse du résultat net en 2025 sont des signaux d'alerte. Les prédictions IA pour les 10 prochains jours (22 668 à 23 488 FCFA) suggèrent une stabilisation puis une légère hausse, ce qui contredit partiellement les signaux techniques baissiers à court terme. En synthèse, la convergence entre une valorisation modérée, des fondamentaux solides mais en dégradation, et des signaux techniques mitigés conduit à une recommandation de **CONSERVER**. Le niveau de confiance est **Moyen**, le risque global est **Moyen**, et l'horizon d'investissement optimal est le **moyen terme (3-12 mois)**, en attendant une clarification sur la maîtrise des coûts et l'évolution de la fiscalité.</w:t>
      </w:r>
    </w:p>
    <w:p/>
    <w:p/>
    <w:p>
      <w:pPr>
        <w:pStyle w:val="Heading3"/>
      </w:pPr>
      <w:r>
        <w:rPr>
          <w:color w:val="00467F"/>
        </w:rPr>
        <w:t>📎 DOCUMENTS &amp; COMMUNICATIONS OFFICIELS BRVM</w:t>
      </w:r>
    </w:p>
    <w:p>
      <w:r>
        <w:rPr>
          <w:i/>
          <w:color w:val="646464"/>
          <w:sz w:val="18"/>
        </w:rPr>
        <w:t>3 document(s) disponible(s) pour cette société (affichage des 3 plus récents).</w:t>
      </w:r>
    </w:p>
    <w:p>
      <w:pPr>
        <w:spacing w:before="160"/>
      </w:pPr>
      <w:r>
        <w:rPr>
          <w:b/>
          <w:color w:val="0066CC"/>
          <w:sz w:val="20"/>
        </w:rPr>
        <w:t xml:space="preserve">[1] </w:t>
      </w:r>
      <w:r>
        <w:rPr>
          <w:b/>
          <w:sz w:val="20"/>
        </w:rPr>
        <w:t>20260625   avis de convocation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La Société Ivoirienne des Tabacs (SITAB) convoque ses actionnaires à une Assemblée Générale Ordinaire le 15 juillet 2026 à Abidjan. L'ordre du jour comprend l'approbation des comptes de l'exercice 2025, l'affectation du résultat, et le renouvellement de mandats d'administrateurs. Les actionnaires doivent justifier leur identité et le transfert de leurs actions au moins cinq jours avant l'assemblée.</w:t>
      </w:r>
    </w:p>
    <w:p>
      <w:pPr>
        <w:spacing w:before="60"/>
        <w:ind w:left="400"/>
      </w:pPr>
      <w:r>
        <w:rPr>
          <w:b/>
          <w:sz w:val="18"/>
        </w:rPr>
        <w:t>Points clés :</w:t>
      </w:r>
    </w:p>
    <w:p>
      <w:pPr>
        <w:pStyle w:val="ListBullet"/>
        <w:spacing w:before="20" w:after="20"/>
        <w:ind w:left="700"/>
      </w:pPr>
      <w:r>
        <w:rPr>
          <w:sz w:val="18"/>
        </w:rPr>
        <w:t>Assemblée Générale Ordinaire prévue le 15 juillet 2026 à la salle Jewels de la CGECI au Plateau, à 10h00 GMT.</w:t>
      </w:r>
    </w:p>
    <w:p>
      <w:pPr>
        <w:pStyle w:val="ListBullet"/>
        <w:spacing w:before="20" w:after="20"/>
        <w:ind w:left="700"/>
      </w:pPr>
      <w:r>
        <w:rPr>
          <w:sz w:val="18"/>
        </w:rPr>
        <w:t>Approbation des comptes de l'exercice clos le 31 décembre 2025 et affectation du résultat.</w:t>
      </w:r>
    </w:p>
    <w:p>
      <w:pPr>
        <w:pStyle w:val="ListBullet"/>
        <w:spacing w:before="20" w:after="20"/>
        <w:ind w:left="700"/>
      </w:pPr>
      <w:r>
        <w:rPr>
          <w:sz w:val="18"/>
        </w:rPr>
        <w:t>Renouvellement du mandat d'administrateur de Monsieur Pierre MAGNE et de la société ITWA.</w:t>
      </w:r>
    </w:p>
    <w:p>
      <w:pPr>
        <w:pStyle w:val="ListBullet"/>
        <w:spacing w:before="20" w:after="20"/>
        <w:ind w:left="700"/>
      </w:pPr>
      <w:r>
        <w:rPr>
          <w:sz w:val="18"/>
        </w:rPr>
        <w:t>Fixation des indemnités de fonction pour l'exercice 2026.</w:t>
      </w:r>
    </w:p>
    <w:p>
      <w:pPr>
        <w:pStyle w:val="ListBullet"/>
        <w:spacing w:before="20" w:after="20"/>
        <w:ind w:left="700"/>
      </w:pPr>
      <w:r>
        <w:rPr>
          <w:sz w:val="18"/>
        </w:rPr>
        <w:t>Dépôt des pouvoirs des mandataires à la Direction Générale de la SITAB avant l'assemblée.</w:t>
      </w:r>
    </w:p>
    <w:p>
      <w:pPr>
        <w:ind w:left="400"/>
      </w:pPr>
      <w:r>
        <w:rPr>
          <w:color w:val="B4B4B4"/>
          <w:sz w:val="14"/>
        </w:rPr>
        <w:t xml:space="preserve">· · · · · · · · · · · · · · · · · · · · · · · · · · · · · · </w:t>
      </w:r>
    </w:p>
    <w:p>
      <w:pPr>
        <w:spacing w:before="160"/>
      </w:pPr>
      <w:r>
        <w:rPr>
          <w:b/>
          <w:color w:val="0066CC"/>
          <w:sz w:val="20"/>
        </w:rPr>
        <w:t xml:space="preserve">[2] </w:t>
      </w:r>
      <w:r>
        <w:rPr>
          <w:b/>
          <w:sz w:val="20"/>
        </w:rPr>
        <w:t>20260625   pouvoir personne morale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modèle de délégation de pouvoir pour l'Assemblée Générale Ordinaire de la SITAB. L'assemblée se tiendra le 15 juillet 2026 à la Salle Jewels de la CGECI au Plateau. L'ordre du jour porte notamment sur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mercredi 15 juillet 2026 à la Salle Jewels de la CGECI au Plateau.</w:t>
      </w:r>
    </w:p>
    <w:p>
      <w:pPr>
        <w:pStyle w:val="ListBullet"/>
        <w:spacing w:before="20" w:after="20"/>
        <w:ind w:left="700"/>
      </w:pPr>
      <w:r>
        <w:rPr>
          <w:sz w:val="18"/>
        </w:rPr>
        <w:t>Le document est un formulaire de délégation de pouvoir pour les actionnaires personnes morales.</w:t>
      </w:r>
    </w:p>
    <w:p>
      <w:pPr>
        <w:pStyle w:val="ListBullet"/>
        <w:spacing w:before="20" w:after="20"/>
        <w:ind w:left="700"/>
      </w:pPr>
      <w:r>
        <w:rPr>
          <w:sz w:val="18"/>
        </w:rPr>
        <w:t>L'ordre du jour comprend l'approbation des comptes de l'exercice clos le 31 décembre 2025 et l'affectation du résultat.</w:t>
      </w:r>
    </w:p>
    <w:p>
      <w:pPr>
        <w:pStyle w:val="ListBullet"/>
        <w:spacing w:before="20" w:after="20"/>
        <w:ind w:left="700"/>
      </w:pPr>
      <w:r>
        <w:rPr>
          <w:sz w:val="18"/>
        </w:rPr>
        <w:t>Il est prévu le renouvellement des mandats d'administrateurs de Pierre MAGNE et de la société ITWA.</w:t>
      </w:r>
    </w:p>
    <w:p>
      <w:pPr>
        <w:pStyle w:val="ListBullet"/>
        <w:spacing w:before="20" w:after="20"/>
        <w:ind w:left="700"/>
      </w:pPr>
      <w:r>
        <w:rPr>
          <w:sz w:val="18"/>
        </w:rPr>
        <w:t>Le pouvoir doit être signé avec la mention manuscrite 'Bon pour pouvoir' et remis ou retourné à la SITAB.</w:t>
      </w:r>
    </w:p>
    <w:p>
      <w:pPr>
        <w:ind w:left="400"/>
      </w:pPr>
      <w:r>
        <w:rPr>
          <w:color w:val="B4B4B4"/>
          <w:sz w:val="14"/>
        </w:rPr>
        <w:t xml:space="preserve">· · · · · · · · · · · · · · · · · · · · · · · · · · · · · · </w:t>
      </w:r>
    </w:p>
    <w:p>
      <w:pPr>
        <w:spacing w:before="160"/>
      </w:pPr>
      <w:r>
        <w:rPr>
          <w:b/>
          <w:color w:val="0066CC"/>
          <w:sz w:val="20"/>
        </w:rPr>
        <w:t xml:space="preserve">[3] </w:t>
      </w:r>
      <w:r>
        <w:rPr>
          <w:b/>
          <w:sz w:val="20"/>
        </w:rPr>
        <w:t>20260625   pouvoir personne physique   assemblee generale ordinaire   sitab ci</w:t>
      </w:r>
    </w:p>
    <w:p>
      <w:pPr>
        <w:spacing w:before="20"/>
        <w:ind w:left="400"/>
      </w:pPr>
      <w:r>
        <w:rPr>
          <w:color w:val="505050"/>
          <w:sz w:val="17"/>
        </w:rPr>
        <w:t xml:space="preserve">Date : 26/06/2026  |  Catégorie : convocation AG  |  Impact : </w:t>
      </w:r>
      <w:r>
        <w:rPr>
          <w:b/>
          <w:color w:val="646464"/>
          <w:sz w:val="17"/>
        </w:rPr>
        <w:t>⚪ NEUTRE</w:t>
      </w:r>
    </w:p>
    <w:p>
      <w:pPr>
        <w:spacing w:before="40"/>
        <w:ind w:left="400"/>
      </w:pPr>
      <w:r>
        <w:rPr>
          <w:sz w:val="18"/>
        </w:rPr>
        <w:t>Ce document est un formulaire de pouvoir pour personne physique en vue de l'Assemblée Générale Ordinaire de la Société Ivoirienne des Tabacs (SITAB). L'AG se tiendra le 15 juillet 2026 à la salle Jewels de la CGECI au Plateau à 10h GMT. L'ordre du jour comprend l'approbation des comptes 2025, l'affectation du résultat et le renouvellement de mandats d'administrateurs.</w:t>
      </w:r>
    </w:p>
    <w:p>
      <w:pPr>
        <w:spacing w:before="60"/>
        <w:ind w:left="400"/>
      </w:pPr>
      <w:r>
        <w:rPr>
          <w:b/>
          <w:sz w:val="18"/>
        </w:rPr>
        <w:t>Points clés :</w:t>
      </w:r>
    </w:p>
    <w:p>
      <w:pPr>
        <w:pStyle w:val="ListBullet"/>
        <w:spacing w:before="20" w:after="20"/>
        <w:ind w:left="700"/>
      </w:pPr>
      <w:r>
        <w:rPr>
          <w:sz w:val="18"/>
        </w:rPr>
        <w:t>Assemblée Générale Ordinaire de SITAB prévue le 15 juillet 2026 à Abidjan.</w:t>
      </w:r>
    </w:p>
    <w:p>
      <w:pPr>
        <w:pStyle w:val="ListBullet"/>
        <w:spacing w:before="20" w:after="20"/>
        <w:ind w:left="700"/>
      </w:pPr>
      <w:r>
        <w:rPr>
          <w:sz w:val="18"/>
        </w:rPr>
        <w:t>Examen et approbation des comptes de l'exercice clos le 31 décembre 2025.</w:t>
      </w:r>
    </w:p>
    <w:p>
      <w:pPr>
        <w:pStyle w:val="ListBullet"/>
        <w:spacing w:before="20" w:after="20"/>
        <w:ind w:left="700"/>
      </w:pPr>
      <w:r>
        <w:rPr>
          <w:sz w:val="18"/>
        </w:rPr>
        <w:t>Affectation du résultat de l'exercice 2025.</w:t>
      </w:r>
    </w:p>
    <w:p>
      <w:pPr>
        <w:pStyle w:val="ListBullet"/>
        <w:spacing w:before="20" w:after="20"/>
        <w:ind w:left="700"/>
      </w:pPr>
      <w:r>
        <w:rPr>
          <w:sz w:val="18"/>
        </w:rPr>
        <w:t>Renouvellement des mandats d'administrateurs de Pierre MAGNE et de la société ITWA.</w:t>
      </w:r>
    </w:p>
    <w:p>
      <w:pPr>
        <w:pStyle w:val="ListBullet"/>
        <w:spacing w:before="20" w:after="20"/>
        <w:ind w:left="700"/>
      </w:pPr>
      <w:r>
        <w:rPr>
          <w:sz w:val="18"/>
        </w:rPr>
        <w:t>Fixation des indemnités de fonction pour l'exercice 2026.</w:t>
      </w:r>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forte croissance du chiffre d'affaires et des volumes t\u00e9moigne d'un redressement encourageant de l'activit\u00e9. Cependant, la pression sur les marges n\u00e9cessite une surveillance attentive de l'\u00e9volution des charges."}</w:t>
      </w:r>
    </w:p>
    <w:p>
      <w:pPr>
        <w:spacing w:before="40"/>
        <w:ind w:left="400"/>
      </w:pPr>
      <w:r>
        <w:rPr>
          <w:sz w:val="18"/>
        </w:rPr>
        <w:t>SITAB S.A. présente des résultats mitigés pour le premier trimestre 2026 avec une croissance significative du chiffre d'affaires de 12% à 68,8 milliards FCFA. Les volumes de ventes progressent fortement de 10% démontrant un redressement de la dynamique commerciale après la contraction de 2025. Cependant, les résultats opérationnels et nets reculent respectivement de 6% et 1% en raison de l'augmentation des charges courantes. Le résultat net s'établit à 9,3 milliards FCFA, en légère baisse par rapport aux 9,4 milliards de l'année précédente. La société vise à consolider cette performance et prolonger la dynamique positive sur l'ensemble de l'exercice 2026.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'+12%', 'volumes_ventes': '1 883,8 millions de tiges', 'variation_volumes': '+10%', 'resultat_exploitation': '11 640 377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9 265 982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68 842 751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forte progression de 12% à 68,8 milliards FCFA au T1 2026</w:t>
      </w:r>
    </w:p>
    <w:p>
      <w:pPr>
        <w:pStyle w:val="ListBullet"/>
        <w:spacing w:before="20" w:after="20"/>
        <w:ind w:left="700"/>
      </w:pPr>
      <w:r>
        <w:rPr>
          <w:sz w:val="18"/>
        </w:rPr>
        <w:t>Volumes de ventes en hausse de 10% traduisant un redressement de l'activité commerciale</w:t>
      </w:r>
    </w:p>
    <w:p>
      <w:pPr>
        <w:pStyle w:val="ListBullet"/>
        <w:spacing w:before="20" w:after="20"/>
        <w:ind w:left="700"/>
      </w:pPr>
      <w:r>
        <w:rPr>
          <w:sz w:val="18"/>
        </w:rPr>
        <w:t>Résultat d'exploitation en baisse de 6% à 11,6 milliards FCFA malgré la croissance du CA</w:t>
      </w:r>
    </w:p>
    <w:p>
      <w:pPr>
        <w:pStyle w:val="ListBullet"/>
        <w:spacing w:before="20" w:after="20"/>
        <w:ind w:left="700"/>
      </w:pPr>
      <w:r>
        <w:rPr>
          <w:sz w:val="18"/>
        </w:rPr>
        <w:t>Résultat net stable avec un léger recul de 1% à 9,3 milliards FCFA</w:t>
      </w:r>
    </w:p>
    <w:p>
      <w:pPr>
        <w:pStyle w:val="ListBullet"/>
        <w:spacing w:before="20" w:after="20"/>
        <w:ind w:left="700"/>
      </w:pPr>
      <w:r>
        <w:rPr>
          <w:sz w:val="18"/>
        </w:rPr>
        <w:t>Impact négatif des charges courantes en hausse lié à l'augmentation du niveau d'activité</w:t>
      </w:r>
    </w:p>
    <w:p>
      <w:pPr>
        <w:pStyle w:val="ListBullet"/>
        <w:spacing w:before="20" w:after="20"/>
        <w:ind w:left="700"/>
      </w:pPr>
      <w:r>
        <w:rPr>
          <w:sz w:val="18"/>
        </w:rPr>
        <w:t>Investissements maintenus pour soutenir l'activité commerciale et renforcer les marques</w:t>
      </w:r>
    </w:p>
    <w:p>
      <w:pPr>
        <w:spacing w:before="40"/>
        <w:ind w:left="400"/>
      </w:pPr>
      <w:r>
        <w:rPr>
          <w:b/>
          <w:color w:val="C05000"/>
          <w:sz w:val="18"/>
        </w:rPr>
        <w:t xml:space="preserve">⚠️ Risques : </w:t>
      </w:r>
      <w:r>
        <w:rPr>
          <w:sz w:val="18"/>
        </w:rPr>
        <w:t>["Pression continue sur les marges op\u00e9rationnelles due \u00e0 l'augmentation des charges courantes", "Volatilit\u00e9 r\u00e9glementaire pouvant impacter les prix comme observ\u00e9 en 2025", "Capacit\u00e9 \u00e0 maintenir la dynamique de croissance des volumes sur les trimestres suivants"]</w:t>
      </w:r>
    </w:p>
    <w:p>
      <w:pPr>
        <w:spacing w:before="40"/>
        <w:ind w:left="400"/>
      </w:pPr>
      <w:r>
        <w:rPr>
          <w:b/>
          <w:color w:val="0064A0"/>
          <w:sz w:val="18"/>
        </w:rPr>
        <w:t xml:space="preserve">🔮 Perspectives : </w:t>
      </w:r>
      <w:r>
        <w:rPr>
          <w:sz w:val="18"/>
        </w:rPr>
        <w:t>SITAB vise à consolider les performances du premier trimestre et à prolonger cette dynamique positive sur l'ensemble de l'exercice 2026. La société mise sur le renforcement de la progression des ventes et l'amélioration de son résultat grâce aux investissements commerciaux réalisés.</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r\u00e9sultat net et de la tr\u00e9sorerie, la soci\u00e9t\u00e9 maintient une rentabilit\u00e9 positive et propose un dividende attrayant. La hausse du chiffre d'affaires et la solidit\u00e9 des capitaux propres justifient de conserver la valeur."}</w:t>
      </w:r>
    </w:p>
    <w:p>
      <w:pPr>
        <w:spacing w:before="40"/>
        <w:ind w:left="400"/>
      </w:pPr>
      <w:r>
        <w:rPr>
          <w:sz w:val="18"/>
        </w:rPr>
        <w:t>SITAB a réalisé un chiffre d'affaires de 268 milliards FCFA en 2025, en hausse de 25% par rapport à 2024. Le résultat net a baissé à 36,5 milliards FCFA, contre 44,2 milliards précédemment, soit une marge nette en recul à 13,6%. La trésorerie nette a diminué de 48,2 à 30,8 milliards FCFA, mais reste confortable. Le Conseil propose un dividende de 1 940 FCFA par action, traduisant une politique de distribution généreuse. Les capitaux propres demeurent solides à 45,6 milliards FCFA, soutenant la stabilité financière de l'entreprise.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{'tresorerie_nette': '30,763,290,013 FCFA', 'dettes_financieres': '1,400,000 FCFA', 'capacite_autofinancement': '34,406,839,736 FCFA'}</w:t>
            </w:r>
          </w:p>
        </w:tc>
        <w:tc>
          <w:tcPr>
            <w:tcW w:type="dxa" w:w="2160"/>
          </w:tcPr>
          <w:p>
            <w:pPr>
              <w:ind w:left="100"/>
            </w:pPr>
            <w:r/>
            <w:r>
              <w:rPr>
                <w:b/>
                <w:sz w:val="16"/>
              </w:rPr>
              <w:t>dividende</w:t>
              <w:br/>
            </w:r>
            <w:r>
              <w:rPr>
                <w:sz w:val="18"/>
              </w:rPr>
              <w:t>1,940 FCFA par action</w:t>
            </w:r>
          </w:p>
        </w:tc>
        <w:tc>
          <w:tcPr>
            <w:tcW w:type="dxa" w:w="2160"/>
          </w:tcPr>
          <w:p>
            <w:pPr>
              <w:ind w:left="100"/>
            </w:pPr>
            <w:r/>
            <w:r>
              <w:rPr>
                <w:b/>
                <w:sz w:val="16"/>
              </w:rPr>
              <w:t>marge_nette</w:t>
              <w:br/>
            </w:r>
            <w:r>
              <w:rPr>
                <w:sz w:val="18"/>
              </w:rPr>
              <w:t>13.6%</w:t>
            </w:r>
          </w:p>
        </w:tc>
        <w:tc>
          <w:tcPr>
            <w:tcW w:type="dxa" w:w="2160"/>
          </w:tcPr>
          <w:p>
            <w:pPr>
              <w:ind w:left="100"/>
            </w:pPr>
            <w:r/>
            <w:r>
              <w:rPr>
                <w:b/>
                <w:sz w:val="16"/>
              </w:rPr>
              <w:t>total_actif</w:t>
              <w:br/>
            </w:r>
            <w:r>
              <w:rPr>
                <w:sz w:val="18"/>
              </w:rPr>
              <w:t>75,047,177,792 FCFA</w:t>
            </w:r>
          </w:p>
        </w:tc>
      </w:tr>
      <w:tr>
        <w:tc>
          <w:tcPr>
            <w:tcW w:type="dxa" w:w="2160"/>
          </w:tcPr>
          <w:p>
            <w:r/>
            <w:r>
              <w:rPr>
                <w:b/>
                <w:sz w:val="16"/>
              </w:rPr>
              <w:t>resultat_net</w:t>
              <w:br/>
            </w:r>
            <w:r>
              <w:rPr>
                <w:sz w:val="18"/>
              </w:rPr>
              <w:t>36,463,616,375 FCFA</w:t>
            </w:r>
          </w:p>
        </w:tc>
        <w:tc>
          <w:tcPr>
            <w:tcW w:type="dxa" w:w="2160"/>
          </w:tcPr>
          <w:p>
            <w:r/>
            <w:r>
              <w:rPr>
                <w:b/>
                <w:sz w:val="16"/>
              </w:rPr>
              <w:t>capitaux_propres</w:t>
              <w:br/>
            </w:r>
            <w:r>
              <w:rPr>
                <w:sz w:val="18"/>
              </w:rPr>
              <w:t>45,642,447,915 FCFA</w:t>
            </w:r>
          </w:p>
        </w:tc>
        <w:tc>
          <w:tcPr>
            <w:tcW w:type="dxa" w:w="2160"/>
          </w:tcPr>
          <w:p>
            <w:r/>
            <w:r>
              <w:rPr>
                <w:b/>
                <w:sz w:val="16"/>
              </w:rPr>
              <w:t>chiffre_affaires</w:t>
              <w:br/>
            </w:r>
            <w:r>
              <w:rPr>
                <w:sz w:val="18"/>
              </w:rPr>
              <w:t>268,074,013,096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hausse de 25,4% à 268,1 milliards FCFA.</w:t>
      </w:r>
    </w:p>
    <w:p>
      <w:pPr>
        <w:pStyle w:val="ListBullet"/>
        <w:spacing w:before="20" w:after="20"/>
        <w:ind w:left="700"/>
      </w:pPr>
      <w:r>
        <w:rPr>
          <w:sz w:val="18"/>
        </w:rPr>
        <w:t>Résultat net en baisse de 17,4% à 36,5 milliards FCFA.</w:t>
      </w:r>
    </w:p>
    <w:p>
      <w:pPr>
        <w:pStyle w:val="ListBullet"/>
        <w:spacing w:before="20" w:after="20"/>
        <w:ind w:left="700"/>
      </w:pPr>
      <w:r>
        <w:rPr>
          <w:sz w:val="18"/>
        </w:rPr>
        <w:t>Dividende proposé de 1 940 FCFA par action.</w:t>
      </w:r>
    </w:p>
    <w:p>
      <w:pPr>
        <w:pStyle w:val="ListBullet"/>
        <w:spacing w:before="20" w:after="20"/>
        <w:ind w:left="700"/>
      </w:pPr>
      <w:r>
        <w:rPr>
          <w:sz w:val="18"/>
        </w:rPr>
        <w:t>Total actif en baisse de 21% à 75,0 milliards FCFA.</w:t>
      </w:r>
    </w:p>
    <w:p>
      <w:pPr>
        <w:pStyle w:val="ListBullet"/>
        <w:spacing w:before="20" w:after="20"/>
        <w:ind w:left="700"/>
      </w:pPr>
      <w:r>
        <w:rPr>
          <w:sz w:val="18"/>
        </w:rPr>
        <w:t>Trésorerie nette en recul à 30,8 milliards FCFA contre 48,2 milliards.</w:t>
      </w:r>
    </w:p>
    <w:p>
      <w:pPr>
        <w:pStyle w:val="ListBullet"/>
        <w:spacing w:before="20" w:after="20"/>
        <w:ind w:left="700"/>
      </w:pPr>
      <w:r>
        <w:rPr>
          <w:sz w:val="18"/>
        </w:rPr>
        <w:t>Capitaux propres solides à 45,6 milliards FCFA.</w:t>
      </w:r>
    </w:p>
    <w:p>
      <w:pPr>
        <w:spacing w:before="40"/>
        <w:ind w:left="400"/>
      </w:pPr>
      <w:r>
        <w:rPr>
          <w:b/>
          <w:color w:val="C05000"/>
          <w:sz w:val="18"/>
        </w:rPr>
        <w:t xml:space="preserve">⚠️ Risques : </w:t>
      </w:r>
      <w:r>
        <w:rPr>
          <w:sz w:val="18"/>
        </w:rPr>
        <w:t>["Baisse de la marge nette due \u00e0 l'augmentation des co\u00fbts d'achat.", "Diminution significative de la tr\u00e9sorerie par rapport \u00e0 l'ann\u00e9e pr\u00e9c\u00e9dente.", "Environnement concurrentiel et r\u00e9glementaire sur le march\u00e9 du tabac en Afrique de l'Ouest."]</w:t>
      </w:r>
    </w:p>
    <w:p>
      <w:pPr>
        <w:spacing w:before="40"/>
        <w:ind w:left="400"/>
      </w:pPr>
      <w:r>
        <w:rPr>
          <w:b/>
          <w:color w:val="0064A0"/>
          <w:sz w:val="18"/>
        </w:rPr>
        <w:t xml:space="preserve">🔮 Perspectives : </w:t>
      </w:r>
      <w:r>
        <w:rPr>
          <w:sz w:val="18"/>
        </w:rPr>
        <w:t>Pour 2026, SITAB devrait capitaliser sur la croissance de son chiffre d'affaires, mais devra maîtriser ses coûts pour restaurer sa rentabilité. Le maintien du dividende pourrait soutenir le cours de l'action, tandis que la solidité du bilan offre une marge de manœuvre pour investir.</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de la rentabilit\u00e9 et un environnement fiscal d\u00e9grad\u00e9, la SITAB conserve une structure financi\u00e8re solide, une tr\u00e9sorerie \u00e9lev\u00e9e et propose un dividende attractif de 1 940 FCFA. Les incertitudes r\u00e9glementaires et la pression sur les marges incitent toutefois \u00e0 la prudence avant un renforcement de la position."}</w:t>
      </w:r>
    </w:p>
    <w:p>
      <w:pPr>
        <w:spacing w:before="40"/>
        <w:ind w:left="400"/>
      </w:pPr>
      <w:r>
        <w:rPr>
          <w:sz w:val="18"/>
        </w:rPr>
        <w:t xml:space="preserve">En 2025, la SITAB a réalisé un chiffre d'affaires de 268,5 milliards FCFA, en hausse de 25,3 %, grâce notamment à la progression des volumes de 5,6 %. Malgré cette croissance, la rentabilité s'est fortement dégradée, le résultat net reculant à 36,5 milliards FCFA (-17,5 %), sous l'effet de la hausse des droits d'accise et de la pression fiscale. La marge commerciale est tombée de 29,8 % à 22,7 %, et les charges d'exploitation ont bondi de 68,9 %, affectant le résultat d'exploitation. La structure financière reste solide avec 45,6 milliards FCFA de capitaux propres, 30,8 milliards FCFA de trésorerie et un endettement très faible. Le conseil propose un dividende brut de 1 940 FCFA par action, </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{'effectif': '97 personnes', 'tresorerie': '30 763 290 013 FCFA', 'investissements_2025': '165 000 000 FCFA', 'resultat_exploitation': '45 935 264 330 FCFA', 'taux_de_marge_commerciale': '22,7 %', 'investissements_prevus_2026': '452 300 000 FCFA'}</w:t>
            </w:r>
          </w:p>
        </w:tc>
        <w:tc>
          <w:tcPr>
            <w:tcW w:type="dxa" w:w="2160"/>
          </w:tcPr>
          <w:p>
            <w:pPr>
              <w:ind w:left="100"/>
            </w:pPr>
            <w:r/>
            <w:r>
              <w:rPr>
                <w:b/>
                <w:sz w:val="16"/>
              </w:rPr>
              <w:t>dividende</w:t>
              <w:br/>
            </w:r>
            <w:r>
              <w:rPr>
                <w:sz w:val="18"/>
              </w:rPr>
              <w:t>1 940 FCFA par action</w:t>
            </w:r>
          </w:p>
        </w:tc>
        <w:tc>
          <w:tcPr>
            <w:tcW w:type="dxa" w:w="2160"/>
          </w:tcPr>
          <w:p>
            <w:pPr>
              <w:ind w:left="100"/>
            </w:pPr>
            <w:r/>
            <w:r>
              <w:rPr>
                <w:b/>
                <w:sz w:val="16"/>
              </w:rPr>
              <w:t>marge_nette</w:t>
              <w:br/>
            </w:r>
            <w:r>
              <w:rPr>
                <w:sz w:val="18"/>
              </w:rPr>
              <w:t>13,6 %</w:t>
            </w:r>
          </w:p>
        </w:tc>
        <w:tc>
          <w:tcPr>
            <w:tcW w:type="dxa" w:w="2160"/>
          </w:tcPr>
          <w:p>
            <w:pPr>
              <w:ind w:left="100"/>
            </w:pPr>
            <w:r/>
            <w:r>
              <w:rPr>
                <w:b/>
                <w:sz w:val="16"/>
              </w:rPr>
              <w:t>total_actif</w:t>
              <w:br/>
            </w:r>
            <w:r>
              <w:rPr>
                <w:sz w:val="18"/>
              </w:rPr>
              <w:t>75 047 177 792 FCFA</w:t>
            </w:r>
          </w:p>
        </w:tc>
      </w:tr>
      <w:tr>
        <w:tc>
          <w:tcPr>
            <w:tcW w:type="dxa" w:w="2160"/>
          </w:tcPr>
          <w:p>
            <w:r/>
            <w:r>
              <w:rPr>
                <w:b/>
                <w:sz w:val="16"/>
              </w:rPr>
              <w:t>resultat_net</w:t>
              <w:br/>
            </w:r>
            <w:r>
              <w:rPr>
                <w:sz w:val="18"/>
              </w:rPr>
              <w:t>36 463 616 375 FCFA</w:t>
            </w:r>
          </w:p>
        </w:tc>
        <w:tc>
          <w:tcPr>
            <w:tcW w:type="dxa" w:w="2160"/>
          </w:tcPr>
          <w:p>
            <w:r/>
            <w:r>
              <w:rPr>
                <w:b/>
                <w:sz w:val="16"/>
              </w:rPr>
              <w:t>capitaux_propres</w:t>
              <w:br/>
            </w:r>
            <w:r>
              <w:rPr>
                <w:sz w:val="18"/>
              </w:rPr>
              <w:t>45 642 447 915 FCFA</w:t>
            </w:r>
          </w:p>
        </w:tc>
        <w:tc>
          <w:tcPr>
            <w:tcW w:type="dxa" w:w="2160"/>
          </w:tcPr>
          <w:p>
            <w:r/>
            <w:r>
              <w:rPr>
                <w:b/>
                <w:sz w:val="16"/>
              </w:rPr>
              <w:t>chiffre_affaires</w:t>
              <w:br/>
            </w:r>
            <w:r>
              <w:rPr>
                <w:sz w:val="18"/>
              </w:rPr>
              <w:t>268 537 063 096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soutenue de l'activité : chiffre d'affaires de 268,5 milliards FCFA, +25,3 % par rapport à 2024.</w:t>
      </w:r>
    </w:p>
    <w:p>
      <w:pPr>
        <w:pStyle w:val="ListBullet"/>
        <w:spacing w:before="20" w:after="20"/>
        <w:ind w:left="700"/>
      </w:pPr>
      <w:r>
        <w:rPr>
          <w:sz w:val="18"/>
        </w:rPr>
        <w:t>Volumes en hausse de 6 % sur le marché légal, portés par Fine Light (+11 %), malgré une érosion de 75 % des volumes de Fine Duo après son augmentation de prix.</w:t>
      </w:r>
    </w:p>
    <w:p>
      <w:pPr>
        <w:pStyle w:val="ListBullet"/>
        <w:spacing w:before="20" w:after="20"/>
        <w:ind w:left="700"/>
      </w:pPr>
      <w:r>
        <w:rPr>
          <w:sz w:val="18"/>
        </w:rPr>
        <w:t>Résultat net en baisse de 17,5 % à 36,5 milliards FCFA, impacté par la hausse des droits d'accise (49 % à 70 %) et un contrôle fiscal 2025.</w:t>
      </w:r>
    </w:p>
    <w:p>
      <w:pPr>
        <w:pStyle w:val="ListBullet"/>
        <w:spacing w:before="20" w:after="20"/>
        <w:ind w:left="700"/>
      </w:pPr>
      <w:r>
        <w:rPr>
          <w:sz w:val="18"/>
        </w:rPr>
        <w:t>Marge commerciale en net recul : contribution sur ventes de 22,7 % en 2025 contre 29,8 % en 2024.</w:t>
      </w:r>
    </w:p>
    <w:p>
      <w:pPr>
        <w:pStyle w:val="ListBullet"/>
        <w:spacing w:before="20" w:after="20"/>
        <w:ind w:left="700"/>
      </w:pPr>
      <w:r>
        <w:rPr>
          <w:sz w:val="18"/>
        </w:rPr>
        <w:t>Structure financière solide : capitaux propres de 45,6 milliards FCFA, trésorerie de 30,8 milliards FCFA et dettes financières très faibles (0,6 milliard FCFA).</w:t>
      </w:r>
    </w:p>
    <w:p>
      <w:pPr>
        <w:pStyle w:val="ListBullet"/>
        <w:spacing w:before="20" w:after="20"/>
        <w:ind w:left="700"/>
      </w:pPr>
      <w:r>
        <w:rPr>
          <w:sz w:val="18"/>
        </w:rPr>
        <w:t>Dividende proposé de 1 940 FCFA par action, pour un montant total distribué de 34,8 milliards FCFA.</w:t>
      </w:r>
    </w:p>
    <w:p>
      <w:pPr>
        <w:spacing w:before="40"/>
        <w:ind w:left="400"/>
      </w:pPr>
      <w:r>
        <w:rPr>
          <w:b/>
          <w:color w:val="C05000"/>
          <w:sz w:val="18"/>
        </w:rPr>
        <w:t xml:space="preserve">⚠️ Risques : </w:t>
      </w:r>
      <w:r>
        <w:rPr>
          <w:sz w:val="18"/>
        </w:rPr>
        <w:t>["Augmentation des droits d'accise de 49 % \u00e0 70 % et intensification de la pression fiscale, avec un contr\u00f4le fiscal ayant impact\u00e9 les charges 2025.", "Nouvelles exigences r\u00e9glementaires en 2026 : conditionnement neutre, marquage fiscal obligatoire avec sanctions pouvant aller ju</w:t>
      </w:r>
    </w:p>
    <w:p>
      <w:pPr>
        <w:spacing w:before="40"/>
        <w:ind w:left="400"/>
      </w:pPr>
      <w:r>
        <w:rPr>
          <w:b/>
          <w:color w:val="0064A0"/>
          <w:sz w:val="18"/>
        </w:rPr>
        <w:t xml:space="preserve">🔮 Perspectives : </w:t>
      </w:r>
      <w:r>
        <w:rPr>
          <w:sz w:val="18"/>
        </w:rPr>
        <w:t>En 2026, la SITAB entend maintenir des objectifs de croissance ambitieux, appuyée par la loi de finances 2026 qui favorise les fabricants locaux et par l'amélioration des capacités de production de SITAB Industries. Toutefois, l'entrée en vigueur du conditionnement neutre et du marquage fiscal oblig</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SITAB maintient une rentabilit\u00e9 solide et une politique de dividende attractive. La croissance du chiffre d'affaires t\u00e9moigne d'un positionnement commercial robuste."}</w:t>
      </w:r>
    </w:p>
    <w:p>
      <w:pPr>
        <w:spacing w:before="40"/>
        <w:ind w:left="400"/>
      </w:pPr>
      <w:r>
        <w:rPr>
          <w:sz w:val="18"/>
        </w:rPr>
        <w:t>SITAB affiche une performance contrastée en 2025 avec un chiffre d'affaires en hausse de 24,1% à 268,7 milliards FCFA. Cependant, le résultat net recule de 18,1% à 36,2 milliards FCFA malgré une activité commerciale dynamique. La société maintient une politique de dividende généreuse avec 38,1 milliards FCFA distribués. La trésorerie reste solide à 30,8 milliards FCFA bien qu'en baisse par rapport à 2024. Les marges se dégradent sous l'effet de l'augmentation des coûts opérationnels.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'30,8 milliards FCFA', 'marge_brute': '18,3%', 'taux_distribution': '105%', 'marge_exploitation': '17,1%'}</w:t>
            </w:r>
          </w:p>
        </w:tc>
        <w:tc>
          <w:tcPr>
            <w:tcW w:type="dxa" w:w="2160"/>
          </w:tcPr>
          <w:p>
            <w:pPr>
              <w:ind w:left="100"/>
            </w:pPr>
            <w:r/>
            <w:r>
              <w:rPr>
                <w:b/>
                <w:sz w:val="16"/>
              </w:rPr>
              <w:t>dividende</w:t>
              <w:br/>
            </w:r>
            <w:r>
              <w:rPr>
                <w:sz w:val="18"/>
              </w:rPr>
              <w:t>8 489 FCFA par action</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75,2 milliards FCFA</w:t>
            </w:r>
          </w:p>
        </w:tc>
      </w:tr>
      <w:tr>
        <w:tc>
          <w:tcPr>
            <w:tcW w:type="dxa" w:w="2160"/>
          </w:tcPr>
          <w:p>
            <w:r/>
            <w:r>
              <w:rPr>
                <w:b/>
                <w:sz w:val="16"/>
              </w:rPr>
              <w:t>resultat_net</w:t>
              <w:br/>
            </w:r>
            <w:r>
              <w:rPr>
                <w:sz w:val="18"/>
              </w:rPr>
              <w:t>36,2 milliards FCFA</w:t>
            </w:r>
          </w:p>
        </w:tc>
        <w:tc>
          <w:tcPr>
            <w:tcW w:type="dxa" w:w="2160"/>
          </w:tcPr>
          <w:p>
            <w:r/>
            <w:r>
              <w:rPr>
                <w:b/>
                <w:sz w:val="16"/>
              </w:rPr>
              <w:t>capitaux_propres</w:t>
              <w:br/>
            </w:r>
            <w:r>
              <w:rPr>
                <w:sz w:val="18"/>
              </w:rPr>
              <w:t>45,4 milliards FCFA</w:t>
            </w:r>
          </w:p>
        </w:tc>
        <w:tc>
          <w:tcPr>
            <w:tcW w:type="dxa" w:w="2160"/>
          </w:tcPr>
          <w:p>
            <w:r/>
            <w:r>
              <w:rPr>
                <w:b/>
                <w:sz w:val="16"/>
              </w:rPr>
              <w:t>chiffre_affaires</w:t>
              <w:br/>
            </w:r>
            <w:r>
              <w:rPr>
                <w:sz w:val="18"/>
              </w:rPr>
              <w:t>268,7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24,1% portée par les ventes de marchandises</w:t>
      </w:r>
    </w:p>
    <w:p>
      <w:pPr>
        <w:pStyle w:val="ListBullet"/>
        <w:spacing w:before="20" w:after="20"/>
        <w:ind w:left="700"/>
      </w:pPr>
      <w:r>
        <w:rPr>
          <w:sz w:val="18"/>
        </w:rPr>
        <w:t>Baisse du résultat net de 18,1% à 36,2 milliards FCFA due à l'augmentation des charges</w:t>
      </w:r>
    </w:p>
    <w:p>
      <w:pPr>
        <w:pStyle w:val="ListBullet"/>
        <w:spacing w:before="20" w:after="20"/>
        <w:ind w:left="700"/>
      </w:pPr>
      <w:r>
        <w:rPr>
          <w:sz w:val="18"/>
        </w:rPr>
        <w:t>Détérioration de la marge nette de 20,4% à 13,5%</w:t>
      </w:r>
    </w:p>
    <w:p>
      <w:pPr>
        <w:pStyle w:val="ListBullet"/>
        <w:spacing w:before="20" w:after="20"/>
        <w:ind w:left="700"/>
      </w:pPr>
      <w:r>
        <w:rPr>
          <w:sz w:val="18"/>
        </w:rPr>
        <w:t>Forte augmentation des coûts d'achats de marchandises (+38,2%)</w:t>
      </w:r>
    </w:p>
    <w:p>
      <w:pPr>
        <w:pStyle w:val="ListBullet"/>
        <w:spacing w:before="20" w:after="20"/>
        <w:ind w:left="700"/>
      </w:pPr>
      <w:r>
        <w:rPr>
          <w:sz w:val="18"/>
        </w:rPr>
        <w:t>Politique de dividende attractive avec un taux de distribution de 105%</w:t>
      </w:r>
    </w:p>
    <w:p>
      <w:pPr>
        <w:pStyle w:val="ListBullet"/>
        <w:spacing w:before="20" w:after="20"/>
        <w:ind w:left="700"/>
      </w:pPr>
      <w:r>
        <w:rPr>
          <w:sz w:val="18"/>
        </w:rPr>
        <w:t>Position de trésorerie solide malgré une baisse de 36,2%</w:t>
      </w:r>
    </w:p>
    <w:p>
      <w:pPr>
        <w:spacing w:before="40"/>
        <w:ind w:left="400"/>
      </w:pPr>
      <w:r>
        <w:rPr>
          <w:b/>
          <w:color w:val="C05000"/>
          <w:sz w:val="18"/>
        </w:rPr>
        <w:t xml:space="preserve">⚠️ Risques : </w:t>
      </w:r>
      <w:r>
        <w:rPr>
          <w:sz w:val="18"/>
        </w:rPr>
        <w:t>["Pression sur les marges due \u00e0 l'inflation des co\u00fbts d'approvisionnement", "Politique de dividende non soutenable avec un taux de distribution sup\u00e9rieur \u00e0 100%", "Baisse de la tr\u00e9sorerie qui pourrait affecter la flexibilit\u00e9 financi\u00e8re"]</w:t>
      </w:r>
    </w:p>
    <w:p>
      <w:pPr>
        <w:spacing w:before="40"/>
        <w:ind w:left="400"/>
      </w:pPr>
      <w:r>
        <w:rPr>
          <w:b/>
          <w:color w:val="0064A0"/>
          <w:sz w:val="18"/>
        </w:rPr>
        <w:t xml:space="preserve">🔮 Perspectives : </w:t>
      </w:r>
      <w:r>
        <w:rPr>
          <w:sz w:val="18"/>
        </w:rPr>
        <w:t>La société devra arbitrer entre maintien de sa généreuse politique de dividende et préservation de ses équilibres financiers. L'enjeu sera de restaurer les marges dans un environnement de coûts élevés tout en capitalisant sur la dynamique commerciale positive.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"Les performances exceptionnelles du T4 2023 avec une croissance \u00e0 deux chiffres sur tous les indicateurs cl\u00e9s d\u00e9montrent la solidit\u00e9 du mod\u00e8le \u00e9conomique. Les perspectives 2024 restent favorables avec un management confiant sur le maintien des performances."}</w:t>
      </w:r>
    </w:p>
    <w:p>
      <w:pPr>
        <w:spacing w:before="40"/>
        <w:ind w:left="400"/>
      </w:pPr>
      <w:r>
        <w:rPr>
          <w:sz w:val="18"/>
        </w:rPr>
        <w:t>SITAB a réalisé un excellent 4ème trimestre 2023 avec une croissance significative de tous ses indicateurs financiers. Les volumes de ventes ont progressé de 9% par rapport au T4 2022, atteignant 1 933,1 millions de tiges. Le chiffre d'affaires a augmenté de 16% à 46,4 milliards FCFA tandis que le résultat d'exploitation a bondi de 66% à 5,0 milliards FCFA. Le résultat net s'établit à 5,1 milliards FCFA, en hausse de 67% par rapport à la même période de 2022. Cette performance résulte de la hausse des prix de vente des cigarettes FINE et de l'optimisation des charges organisationnelles.</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'16%', 'volumes_ventes': '1 933,1 millions de tiges (T4 2023)', 'resultat_exploitation': '5,0 milliards FCFA (T4 2023)', 'croissance_resultat_net': '67%'}</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11,0%</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5,1 milliards FCFA (T4 2023)</w:t>
            </w:r>
          </w:p>
        </w:tc>
        <w:tc>
          <w:tcPr>
            <w:tcW w:type="dxa" w:w="2160"/>
          </w:tcPr>
          <w:p>
            <w:r/>
            <w:r>
              <w:rPr>
                <w:b/>
                <w:sz w:val="16"/>
              </w:rPr>
              <w:t>capitaux_propres</w:t>
              <w:br/>
            </w:r>
            <w:r>
              <w:rPr>
                <w:sz w:val="18"/>
              </w:rPr>
              <w:t>None</w:t>
            </w:r>
          </w:p>
        </w:tc>
        <w:tc>
          <w:tcPr>
            <w:tcW w:type="dxa" w:w="2160"/>
          </w:tcPr>
          <w:p>
            <w:r/>
            <w:r>
              <w:rPr>
                <w:b/>
                <w:sz w:val="16"/>
              </w:rPr>
              <w:t>chiffre_affaires</w:t>
              <w:br/>
            </w:r>
            <w:r>
              <w:rPr>
                <w:sz w:val="18"/>
              </w:rPr>
              <w:t>46,4 milliards FCFA (T4 2023)</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des volumes de ventes de 9% au T4 2023 (1 933,1 millions de tiges vs 1 776,0 millions)</w:t>
      </w:r>
    </w:p>
    <w:p>
      <w:pPr>
        <w:pStyle w:val="ListBullet"/>
        <w:spacing w:before="20" w:after="20"/>
        <w:ind w:left="700"/>
      </w:pPr>
      <w:r>
        <w:rPr>
          <w:sz w:val="18"/>
        </w:rPr>
        <w:t>Progression du chiffre d'affaires de 16% à 46,4 milliards FCFA</w:t>
      </w:r>
    </w:p>
    <w:p>
      <w:pPr>
        <w:pStyle w:val="ListBullet"/>
        <w:spacing w:before="20" w:after="20"/>
        <w:ind w:left="700"/>
      </w:pPr>
      <w:r>
        <w:rPr>
          <w:sz w:val="18"/>
        </w:rPr>
        <w:t>Explosion du résultat d'exploitation de 66% à 5,0 milliards FCFA</w:t>
      </w:r>
    </w:p>
    <w:p>
      <w:pPr>
        <w:pStyle w:val="ListBullet"/>
        <w:spacing w:before="20" w:after="20"/>
        <w:ind w:left="700"/>
      </w:pPr>
      <w:r>
        <w:rPr>
          <w:sz w:val="18"/>
        </w:rPr>
        <w:t>Résultat net en hausse de 67% à 5,1 milliards FCFA</w:t>
      </w:r>
    </w:p>
    <w:p>
      <w:pPr>
        <w:pStyle w:val="ListBullet"/>
        <w:spacing w:before="20" w:after="20"/>
        <w:ind w:left="700"/>
      </w:pPr>
      <w:r>
        <w:rPr>
          <w:sz w:val="18"/>
        </w:rPr>
        <w:t>Impact positif de la hausse du prix de vente des cigarettes FINE</w:t>
      </w:r>
    </w:p>
    <w:p>
      <w:pPr>
        <w:pStyle w:val="ListBullet"/>
        <w:spacing w:before="20" w:after="20"/>
        <w:ind w:left="700"/>
      </w:pPr>
      <w:r>
        <w:rPr>
          <w:sz w:val="18"/>
        </w:rPr>
        <w:t>Optimisation réussie des charges et renforcement organisationnel</w:t>
      </w:r>
    </w:p>
    <w:p>
      <w:pPr>
        <w:spacing w:before="40"/>
        <w:ind w:left="400"/>
      </w:pPr>
      <w:r>
        <w:rPr>
          <w:b/>
          <w:color w:val="C05000"/>
          <w:sz w:val="18"/>
        </w:rPr>
        <w:t xml:space="preserve">⚠️ Risques : </w:t>
      </w:r>
      <w:r>
        <w:rPr>
          <w:sz w:val="18"/>
        </w:rPr>
        <w:t>["D\u00e9pendance aux fluctuations des prix des mati\u00e8res premi\u00e8res du tabac", "R\u00e9glementation de plus en plus stricte sur les produits du tabac", "Concurrence accrue sur le march\u00e9 des cigarettes en C\u00f4te d'Ivoire"]</w:t>
      </w:r>
    </w:p>
    <w:p>
      <w:pPr>
        <w:spacing w:before="40"/>
        <w:ind w:left="400"/>
      </w:pPr>
      <w:r>
        <w:rPr>
          <w:b/>
          <w:color w:val="0064A0"/>
          <w:sz w:val="18"/>
        </w:rPr>
        <w:t xml:space="preserve">🔮 Perspectives : </w:t>
      </w:r>
      <w:r>
        <w:rPr>
          <w:sz w:val="18"/>
        </w:rPr>
        <w:t>SITAB souhaite maintenir sa dynamique actuelle en 2024 en préservant des performances solides et en maintenant le niveau des ventes. L'entreprise vise à garantir l'obtention de résultats positifs pour l'année 2024 grâce à la poursuite de sa stratégie d'optimisation des charges et de renforcement org</w:t>
      </w:r>
    </w:p>
    <w:p/>
    <w:p>
      <w:r>
        <w:t>════════════════════════════════════════════════════════════════════════════════</w:t>
      </w:r>
    </w:p>
    <w:p>
      <w:r>
        <w:br w:type="page"/>
      </w:r>
    </w:p>
    <w:p>
      <w:pPr>
        <w:pStyle w:val="Heading2"/>
        <w:spacing w:before="360"/>
      </w:pPr>
      <w:r>
        <w:rPr>
          <w:color w:val="0066CC"/>
        </w:rPr>
        <w:t>44. TTLC - TTLC - TOTAL ENERGIES MARKETING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TTLC</w:t>
            </w:r>
          </w:p>
          <w:p>
            <w:r>
              <w:rPr>
                <w:b/>
                <w:color w:val="323250"/>
                <w:sz w:val="16"/>
              </w:rPr>
              <w:t xml:space="preserve">Société : </w:t>
            </w:r>
            <w:r>
              <w:rPr>
                <w:color w:val="000000"/>
                <w:sz w:val="16"/>
              </w:rPr>
              <w:t>TTLC - TOTAL ENERGIES MARKETING COTE D'I...</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215.01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7,758 titres</w:t>
            </w:r>
          </w:p>
        </w:tc>
        <w:tc>
          <w:tcPr>
            <w:tcW w:type="dxa" w:w="2268"/>
            <w:shd w:fill="FFF2CC" w:val="clear"/>
          </w:tcPr>
          <w:p>
            <w:r>
              <w:rPr>
                <w:b/>
                <w:color w:val="503200"/>
                <w:sz w:val="16"/>
              </w:rPr>
              <w:t xml:space="preserve">Cours actuel : </w:t>
            </w:r>
            <w:r>
              <w:rPr>
                <w:color w:val="000000"/>
                <w:sz w:val="17"/>
              </w:rPr>
              <w:t>3,415 FCFA</w:t>
            </w:r>
          </w:p>
          <w:p>
            <w:r>
              <w:rPr>
                <w:b/>
                <w:color w:val="503200"/>
                <w:sz w:val="16"/>
              </w:rPr>
              <w:t xml:space="preserve">Var. 100 jours : </w:t>
            </w:r>
            <w:r>
              <w:rPr>
                <w:b/>
                <w:color w:val="007800"/>
                <w:sz w:val="17"/>
              </w:rPr>
              <w:t>+25.55%</w:t>
            </w:r>
          </w:p>
          <w:p>
            <w:r>
              <w:rPr>
                <w:b/>
                <w:color w:val="503200"/>
                <w:sz w:val="16"/>
              </w:rPr>
              <w:t xml:space="preserve">Plus haut 100j : </w:t>
            </w:r>
            <w:r>
              <w:rPr>
                <w:color w:val="000000"/>
                <w:sz w:val="17"/>
              </w:rPr>
              <w:t>3,595 FCFA</w:t>
            </w:r>
          </w:p>
          <w:p>
            <w:r>
              <w:rPr>
                <w:b/>
                <w:color w:val="503200"/>
                <w:sz w:val="16"/>
              </w:rPr>
              <w:t xml:space="preserve">Plus bas 100j : </w:t>
            </w:r>
            <w:r>
              <w:rPr>
                <w:color w:val="000000"/>
                <w:sz w:val="17"/>
              </w:rPr>
              <w:t>2,650 FCFA</w:t>
            </w:r>
          </w:p>
          <w:p>
            <w:r>
              <w:rPr>
                <w:b/>
                <w:color w:val="503200"/>
                <w:sz w:val="16"/>
              </w:rPr>
              <w:t xml:space="preserve">Volatilité ann. : </w:t>
            </w:r>
            <w:r>
              <w:rPr>
                <w:color w:val="000000"/>
                <w:sz w:val="17"/>
              </w:rPr>
              <w:t>40.5%</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Élevée</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18.5/100 → Faible</w:t>
      </w:r>
    </w:p>
    <w:p>
      <w:pPr>
        <w:spacing w:before="40" w:after="80"/>
      </w:pPr>
      <w:r>
        <w:rPr>
          <w:rFonts w:ascii="Courier New" w:hAnsi="Courier New"/>
          <w:color w:val="006400"/>
          <w:sz w:val="18"/>
        </w:rPr>
        <w:t>███░░░░░░░░░░░░░░░░░  18.5/100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5.88% (Moyenne) — μ=2,897 FCFA, σ=170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E2EFDA" w:val="clear"/>
          </w:tcPr>
          <w:p>
            <w:r>
              <w:rPr>
                <w:b/>
                <w:sz w:val="15"/>
              </w:rPr>
              <w:t>β=-0.1237 (Contre-cyclique) — Cov=-0.000004, Var(idx)=0.000035, ρ=-0.029, n=98 obs</w:t>
            </w:r>
          </w:p>
        </w:tc>
        <w:tc>
          <w:tcPr>
            <w:tcW w:type="dxa" w:w="1984"/>
            <w:shd w:fill="F7F7F7" w:val="clear"/>
          </w:tcPr>
          <w:p>
            <w:r>
              <w:rPr>
                <w:i/>
                <w:color w:val="505078"/>
                <w:sz w:val="14"/>
              </w:rPr>
              <w:t>β = Cov(r_titre, r_indice) / Var(r_indice)</w:t>
            </w:r>
          </w:p>
        </w:tc>
        <w:tc>
          <w:tcPr>
            <w:tcW w:type="dxa" w:w="1984"/>
            <w:shd w:fill="E2EFDA" w:val="clear"/>
          </w:tcPr>
          <w:p>
            <w:r>
              <w:rPr>
                <w:sz w:val="15"/>
              </w:rPr>
              <w:t>ℹ️ β&lt;0 — évolue en sens inverse du marché</w:t>
            </w:r>
          </w:p>
        </w:tc>
      </w:tr>
      <w:tr>
        <w:tc>
          <w:tcPr>
            <w:tcW w:type="dxa" w:w="2835"/>
            <w:shd w:fill="EEF2F7" w:val="clear"/>
          </w:tcPr>
          <w:p>
            <w:r>
              <w:rPr>
                <w:b/>
                <w:sz w:val="15"/>
              </w:rPr>
              <w:t>💧 Liquidité du titre (20%)</w:t>
            </w:r>
          </w:p>
        </w:tc>
        <w:tc>
          <w:tcPr>
            <w:tcW w:type="dxa" w:w="3118"/>
            <w:shd w:fill="DEEAF1" w:val="clear"/>
          </w:tcPr>
          <w:p>
            <w:r>
              <w:rPr>
                <w:b/>
                <w:sz w:val="15"/>
              </w:rPr>
              <w:t>7,758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C6EFCE" w:val="clear"/>
          </w:tcPr>
          <w:p>
            <w:r>
              <w:rPr>
                <w:b/>
                <w:sz w:val="15"/>
              </w:rPr>
              <w:t>Achat=2 / Vente=0 / Total=5 — taux divergence=0% (Convergent ✅)</w:t>
            </w:r>
          </w:p>
        </w:tc>
        <w:tc>
          <w:tcPr>
            <w:tcW w:type="dxa" w:w="1984"/>
            <w:shd w:fill="F7F7F7" w:val="clear"/>
          </w:tcPr>
          <w:p>
            <w:r>
              <w:rPr>
                <w:i/>
                <w:color w:val="505078"/>
                <w:sz w:val="14"/>
              </w:rPr>
              <w:t>min(Achat,Vente) / Total signaux</w:t>
            </w:r>
          </w:p>
        </w:tc>
        <w:tc>
          <w:tcPr>
            <w:tcW w:type="dxa" w:w="1984"/>
            <w:shd w:fill="C6EFCE" w:val="clear"/>
          </w:tcPr>
          <w:p>
            <w:r>
              <w:rPr>
                <w:sz w:val="15"/>
              </w:rPr>
              <w:t>✅ Signaux alignés — clarté directionnelle</w:t>
            </w:r>
          </w:p>
        </w:tc>
      </w:tr>
      <w:tr>
        <w:tc>
          <w:tcPr>
            <w:tcW w:type="dxa" w:w="2835"/>
            <w:shd w:fill="EEF2F7" w:val="clear"/>
          </w:tcPr>
          <w:p>
            <w:r>
              <w:rPr>
                <w:b/>
                <w:sz w:val="15"/>
              </w:rPr>
              <w:t>📉 Stabilité des rendements (15%)</w:t>
            </w:r>
          </w:p>
        </w:tc>
        <w:tc>
          <w:tcPr>
            <w:tcW w:type="dxa" w:w="3118"/>
            <w:shd w:fill="DEEAF1" w:val="clear"/>
          </w:tcPr>
          <w:p>
            <w:r>
              <w:rPr>
                <w:b/>
                <w:sz w:val="15"/>
              </w:rPr>
              <w:t>σ_j=2.55%/j (Stable) — Vol. annualisée≈40.5%</w:t>
            </w:r>
          </w:p>
        </w:tc>
        <w:tc>
          <w:tcPr>
            <w:tcW w:type="dxa" w:w="1984"/>
            <w:shd w:fill="F7F7F7" w:val="clear"/>
          </w:tcPr>
          <w:p>
            <w:r>
              <w:rPr>
                <w:i/>
                <w:color w:val="505078"/>
                <w:sz w:val="14"/>
              </w:rPr>
              <w:t>σ des rendements journaliers × 100</w:t>
            </w:r>
          </w:p>
        </w:tc>
        <w:tc>
          <w:tcPr>
            <w:tcW w:type="dxa" w:w="1984"/>
            <w:shd w:fill="DEEAF1" w:val="clear"/>
          </w:tcPr>
          <w:p>
            <w:r>
              <w:rPr>
                <w:sz w:val="15"/>
              </w:rPr>
              <w:t>🔵 1-3%/j — quelques variations normales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8000"/>
          <w:sz w:val="26"/>
        </w:rPr>
        <w:t>72/100  (Excellent)</w:t>
      </w:r>
    </w:p>
    <w:p/>
    <w:p>
      <w:pPr>
        <w:jc w:val="center"/>
      </w:pPr>
      <w:r>
        <w:drawing>
          <wp:inline xmlns:a="http://schemas.openxmlformats.org/drawingml/2006/main" xmlns:pic="http://schemas.openxmlformats.org/drawingml/2006/picture">
            <wp:extent cx="5669280" cy="2635585"/>
            <wp:docPr id="46" name="Picture 46"/>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w:t>
            </w:r>
          </w:p>
        </w:tc>
        <w:tc>
          <w:tcPr>
            <w:tcW w:type="dxa" w:w="1440"/>
            <w:shd w:fill="FAFAFA" w:val="clear"/>
          </w:tcPr>
          <w:p>
            <w:r>
              <w:rPr>
                <w:sz w:val="17"/>
              </w:rPr>
              <w:t>2026-08-28</w:t>
            </w:r>
          </w:p>
        </w:tc>
        <w:tc>
          <w:tcPr>
            <w:tcW w:type="dxa" w:w="1440"/>
            <w:shd w:fill="FAFAFA" w:val="clear"/>
          </w:tcPr>
          <w:p>
            <w:r>
              <w:rPr>
                <w:sz w:val="17"/>
              </w:rPr>
              <w:t>3,205</w:t>
            </w:r>
          </w:p>
        </w:tc>
        <w:tc>
          <w:tcPr>
            <w:tcW w:type="dxa" w:w="1440"/>
            <w:shd w:fill="FAFAFA" w:val="clear"/>
          </w:tcPr>
          <w:p>
            <w:r>
              <w:rPr>
                <w:b/>
                <w:sz w:val="17"/>
              </w:rPr>
              <w:t>3,399</w:t>
            </w:r>
          </w:p>
        </w:tc>
        <w:tc>
          <w:tcPr>
            <w:tcW w:type="dxa" w:w="1440"/>
            <w:shd w:fill="FAFAFA" w:val="clear"/>
          </w:tcPr>
          <w:p>
            <w:r>
              <w:rPr>
                <w:sz w:val="17"/>
              </w:rPr>
              <w:t>3,593</w:t>
            </w:r>
          </w:p>
        </w:tc>
        <w:tc>
          <w:tcPr>
            <w:tcW w:type="dxa" w:w="1440"/>
            <w:shd w:fill="FAFAFA" w:val="clear"/>
          </w:tcPr>
          <w:p>
            <w:r>
              <w:rPr>
                <w:b/>
                <w:color w:val="C00000"/>
                <w:sz w:val="17"/>
              </w:rPr>
              <w:t>-0.5%</w:t>
            </w:r>
          </w:p>
        </w:tc>
      </w:tr>
      <w:tr>
        <w:tc>
          <w:tcPr>
            <w:tcW w:type="dxa" w:w="1440"/>
            <w:shd w:fill="FAFAFA" w:val="clear"/>
          </w:tcPr>
          <w:p>
            <w:r>
              <w:rPr>
                <w:sz w:val="17"/>
              </w:rPr>
              <w:t>J+2  ⭐</w:t>
            </w:r>
          </w:p>
        </w:tc>
        <w:tc>
          <w:tcPr>
            <w:tcW w:type="dxa" w:w="1440"/>
            <w:shd w:fill="FAFAFA" w:val="clear"/>
          </w:tcPr>
          <w:p>
            <w:r>
              <w:rPr>
                <w:sz w:val="17"/>
              </w:rPr>
              <w:t>2026-08-31</w:t>
            </w:r>
          </w:p>
        </w:tc>
        <w:tc>
          <w:tcPr>
            <w:tcW w:type="dxa" w:w="1440"/>
            <w:shd w:fill="FAFAFA" w:val="clear"/>
          </w:tcPr>
          <w:p>
            <w:r>
              <w:rPr>
                <w:sz w:val="17"/>
              </w:rPr>
              <w:t>3,097</w:t>
            </w:r>
          </w:p>
        </w:tc>
        <w:tc>
          <w:tcPr>
            <w:tcW w:type="dxa" w:w="1440"/>
            <w:shd w:fill="FAFAFA" w:val="clear"/>
          </w:tcPr>
          <w:p>
            <w:r>
              <w:rPr>
                <w:b/>
                <w:sz w:val="17"/>
              </w:rPr>
              <w:t>3,369</w:t>
            </w:r>
          </w:p>
        </w:tc>
        <w:tc>
          <w:tcPr>
            <w:tcW w:type="dxa" w:w="1440"/>
            <w:shd w:fill="FAFAFA" w:val="clear"/>
          </w:tcPr>
          <w:p>
            <w:r>
              <w:rPr>
                <w:sz w:val="17"/>
              </w:rPr>
              <w:t>3,641</w:t>
            </w:r>
          </w:p>
        </w:tc>
        <w:tc>
          <w:tcPr>
            <w:tcW w:type="dxa" w:w="1440"/>
            <w:shd w:fill="FAFAFA" w:val="clear"/>
          </w:tcPr>
          <w:p>
            <w:r>
              <w:rPr>
                <w:b/>
                <w:color w:val="C00000"/>
                <w:sz w:val="17"/>
              </w:rPr>
              <w:t>-1.3%</w:t>
            </w:r>
          </w:p>
        </w:tc>
      </w:tr>
      <w:tr>
        <w:tc>
          <w:tcPr>
            <w:tcW w:type="dxa" w:w="1440"/>
            <w:shd w:fill="FAFAFA" w:val="clear"/>
          </w:tcPr>
          <w:p>
            <w:r>
              <w:rPr>
                <w:sz w:val="17"/>
              </w:rPr>
              <w:t>J+3  ⭐</w:t>
            </w:r>
          </w:p>
        </w:tc>
        <w:tc>
          <w:tcPr>
            <w:tcW w:type="dxa" w:w="1440"/>
            <w:shd w:fill="FAFAFA" w:val="clear"/>
          </w:tcPr>
          <w:p>
            <w:r>
              <w:rPr>
                <w:sz w:val="17"/>
              </w:rPr>
              <w:t>2026-09-01</w:t>
            </w:r>
          </w:p>
        </w:tc>
        <w:tc>
          <w:tcPr>
            <w:tcW w:type="dxa" w:w="1440"/>
            <w:shd w:fill="FAFAFA" w:val="clear"/>
          </w:tcPr>
          <w:p>
            <w:r>
              <w:rPr>
                <w:sz w:val="17"/>
              </w:rPr>
              <w:t>3,023</w:t>
            </w:r>
          </w:p>
        </w:tc>
        <w:tc>
          <w:tcPr>
            <w:tcW w:type="dxa" w:w="1440"/>
            <w:shd w:fill="FAFAFA" w:val="clear"/>
          </w:tcPr>
          <w:p>
            <w:r>
              <w:rPr>
                <w:b/>
                <w:sz w:val="17"/>
              </w:rPr>
              <w:t>3,355</w:t>
            </w:r>
          </w:p>
        </w:tc>
        <w:tc>
          <w:tcPr>
            <w:tcW w:type="dxa" w:w="1440"/>
            <w:shd w:fill="FAFAFA" w:val="clear"/>
          </w:tcPr>
          <w:p>
            <w:r>
              <w:rPr>
                <w:sz w:val="17"/>
              </w:rPr>
              <w:t>3,687</w:t>
            </w:r>
          </w:p>
        </w:tc>
        <w:tc>
          <w:tcPr>
            <w:tcW w:type="dxa" w:w="1440"/>
            <w:shd w:fill="FAFAFA" w:val="clear"/>
          </w:tcPr>
          <w:p>
            <w:r>
              <w:rPr>
                <w:b/>
                <w:color w:val="C00000"/>
                <w:sz w:val="17"/>
              </w:rPr>
              <w:t>-1.8%</w:t>
            </w:r>
          </w:p>
        </w:tc>
      </w:tr>
      <w:tr>
        <w:tc>
          <w:tcPr>
            <w:tcW w:type="dxa" w:w="1440"/>
            <w:shd w:fill="FFDCE0" w:val="clear"/>
          </w:tcPr>
          <w:p>
            <w:r>
              <w:rPr>
                <w:sz w:val="17"/>
              </w:rPr>
              <w:t>J+4  ⭐</w:t>
            </w:r>
          </w:p>
        </w:tc>
        <w:tc>
          <w:tcPr>
            <w:tcW w:type="dxa" w:w="1440"/>
            <w:shd w:fill="FFDCE0" w:val="clear"/>
          </w:tcPr>
          <w:p>
            <w:r>
              <w:rPr>
                <w:sz w:val="17"/>
              </w:rPr>
              <w:t>2026-09-02</w:t>
            </w:r>
          </w:p>
        </w:tc>
        <w:tc>
          <w:tcPr>
            <w:tcW w:type="dxa" w:w="1440"/>
            <w:shd w:fill="FFDCE0" w:val="clear"/>
          </w:tcPr>
          <w:p>
            <w:r>
              <w:rPr>
                <w:sz w:val="17"/>
              </w:rPr>
              <w:t>2,961</w:t>
            </w:r>
          </w:p>
        </w:tc>
        <w:tc>
          <w:tcPr>
            <w:tcW w:type="dxa" w:w="1440"/>
            <w:shd w:fill="FFDCE0" w:val="clear"/>
          </w:tcPr>
          <w:p>
            <w:r>
              <w:rPr>
                <w:b/>
                <w:sz w:val="17"/>
              </w:rPr>
              <w:t>3,342</w:t>
            </w:r>
          </w:p>
        </w:tc>
        <w:tc>
          <w:tcPr>
            <w:tcW w:type="dxa" w:w="1440"/>
            <w:shd w:fill="FFDCE0" w:val="clear"/>
          </w:tcPr>
          <w:p>
            <w:r>
              <w:rPr>
                <w:sz w:val="17"/>
              </w:rPr>
              <w:t>3,724</w:t>
            </w:r>
          </w:p>
        </w:tc>
        <w:tc>
          <w:tcPr>
            <w:tcW w:type="dxa" w:w="1440"/>
            <w:shd w:fill="FFDCE0" w:val="clear"/>
          </w:tcPr>
          <w:p>
            <w:r>
              <w:rPr>
                <w:b/>
                <w:color w:val="C00000"/>
                <w:sz w:val="17"/>
              </w:rPr>
              <w:t>-2.1%</w:t>
            </w:r>
          </w:p>
        </w:tc>
      </w:tr>
      <w:tr>
        <w:tc>
          <w:tcPr>
            <w:tcW w:type="dxa" w:w="1440"/>
            <w:shd w:fill="FFDCE0" w:val="clear"/>
          </w:tcPr>
          <w:p>
            <w:r>
              <w:rPr>
                <w:sz w:val="17"/>
              </w:rPr>
              <w:t>J+5  ⭐</w:t>
            </w:r>
          </w:p>
        </w:tc>
        <w:tc>
          <w:tcPr>
            <w:tcW w:type="dxa" w:w="1440"/>
            <w:shd w:fill="FFDCE0" w:val="clear"/>
          </w:tcPr>
          <w:p>
            <w:r>
              <w:rPr>
                <w:sz w:val="17"/>
              </w:rPr>
              <w:t>2026-09-03</w:t>
            </w:r>
          </w:p>
        </w:tc>
        <w:tc>
          <w:tcPr>
            <w:tcW w:type="dxa" w:w="1440"/>
            <w:shd w:fill="FFDCE0" w:val="clear"/>
          </w:tcPr>
          <w:p>
            <w:r>
              <w:rPr>
                <w:sz w:val="17"/>
              </w:rPr>
              <w:t>2,905</w:t>
            </w:r>
          </w:p>
        </w:tc>
        <w:tc>
          <w:tcPr>
            <w:tcW w:type="dxa" w:w="1440"/>
            <w:shd w:fill="FFDCE0" w:val="clear"/>
          </w:tcPr>
          <w:p>
            <w:r>
              <w:rPr>
                <w:b/>
                <w:sz w:val="17"/>
              </w:rPr>
              <w:t>3,329</w:t>
            </w:r>
          </w:p>
        </w:tc>
        <w:tc>
          <w:tcPr>
            <w:tcW w:type="dxa" w:w="1440"/>
            <w:shd w:fill="FFDCE0" w:val="clear"/>
          </w:tcPr>
          <w:p>
            <w:r>
              <w:rPr>
                <w:sz w:val="17"/>
              </w:rPr>
              <w:t>3,754</w:t>
            </w:r>
          </w:p>
        </w:tc>
        <w:tc>
          <w:tcPr>
            <w:tcW w:type="dxa" w:w="1440"/>
            <w:shd w:fill="FFDCE0" w:val="clear"/>
          </w:tcPr>
          <w:p>
            <w:r>
              <w:rPr>
                <w:b/>
                <w:color w:val="C00000"/>
                <w:sz w:val="17"/>
              </w:rPr>
              <w:t>-2.5%</w:t>
            </w:r>
          </w:p>
        </w:tc>
      </w:tr>
      <w:tr>
        <w:tc>
          <w:tcPr>
            <w:tcW w:type="dxa" w:w="1440"/>
            <w:shd w:fill="FFDCE0" w:val="clear"/>
          </w:tcPr>
          <w:p>
            <w:r>
              <w:rPr>
                <w:sz w:val="17"/>
              </w:rPr>
              <w:t>J+6  ⭐</w:t>
            </w:r>
          </w:p>
        </w:tc>
        <w:tc>
          <w:tcPr>
            <w:tcW w:type="dxa" w:w="1440"/>
            <w:shd w:fill="FFDCE0" w:val="clear"/>
          </w:tcPr>
          <w:p>
            <w:r>
              <w:rPr>
                <w:sz w:val="17"/>
              </w:rPr>
              <w:t>2026-09-04</w:t>
            </w:r>
          </w:p>
        </w:tc>
        <w:tc>
          <w:tcPr>
            <w:tcW w:type="dxa" w:w="1440"/>
            <w:shd w:fill="FFDCE0" w:val="clear"/>
          </w:tcPr>
          <w:p>
            <w:r>
              <w:rPr>
                <w:sz w:val="17"/>
              </w:rPr>
              <w:t>2,853</w:t>
            </w:r>
          </w:p>
        </w:tc>
        <w:tc>
          <w:tcPr>
            <w:tcW w:type="dxa" w:w="1440"/>
            <w:shd w:fill="FFDCE0" w:val="clear"/>
          </w:tcPr>
          <w:p>
            <w:r>
              <w:rPr>
                <w:b/>
                <w:sz w:val="17"/>
              </w:rPr>
              <w:t>3,317</w:t>
            </w:r>
          </w:p>
        </w:tc>
        <w:tc>
          <w:tcPr>
            <w:tcW w:type="dxa" w:w="1440"/>
            <w:shd w:fill="FFDCE0" w:val="clear"/>
          </w:tcPr>
          <w:p>
            <w:r>
              <w:rPr>
                <w:sz w:val="17"/>
              </w:rPr>
              <w:t>3,780</w:t>
            </w:r>
          </w:p>
        </w:tc>
        <w:tc>
          <w:tcPr>
            <w:tcW w:type="dxa" w:w="1440"/>
            <w:shd w:fill="FFDCE0" w:val="clear"/>
          </w:tcPr>
          <w:p>
            <w:r>
              <w:rPr>
                <w:b/>
                <w:color w:val="C00000"/>
                <w:sz w:val="17"/>
              </w:rPr>
              <w:t>-2.9%</w:t>
            </w:r>
          </w:p>
        </w:tc>
      </w:tr>
      <w:tr>
        <w:tc>
          <w:tcPr>
            <w:tcW w:type="dxa" w:w="1440"/>
            <w:shd w:fill="FFDCE0" w:val="clear"/>
          </w:tcPr>
          <w:p>
            <w:r>
              <w:rPr>
                <w:sz w:val="17"/>
              </w:rPr>
              <w:t>J+7  ⭐</w:t>
            </w:r>
          </w:p>
        </w:tc>
        <w:tc>
          <w:tcPr>
            <w:tcW w:type="dxa" w:w="1440"/>
            <w:shd w:fill="FFDCE0" w:val="clear"/>
          </w:tcPr>
          <w:p>
            <w:r>
              <w:rPr>
                <w:sz w:val="17"/>
              </w:rPr>
              <w:t>2026-09-07</w:t>
            </w:r>
          </w:p>
        </w:tc>
        <w:tc>
          <w:tcPr>
            <w:tcW w:type="dxa" w:w="1440"/>
            <w:shd w:fill="FFDCE0" w:val="clear"/>
          </w:tcPr>
          <w:p>
            <w:r>
              <w:rPr>
                <w:sz w:val="17"/>
              </w:rPr>
              <w:t>2,805</w:t>
            </w:r>
          </w:p>
        </w:tc>
        <w:tc>
          <w:tcPr>
            <w:tcW w:type="dxa" w:w="1440"/>
            <w:shd w:fill="FFDCE0" w:val="clear"/>
          </w:tcPr>
          <w:p>
            <w:r>
              <w:rPr>
                <w:b/>
                <w:sz w:val="17"/>
              </w:rPr>
              <w:t>3,304</w:t>
            </w:r>
          </w:p>
        </w:tc>
        <w:tc>
          <w:tcPr>
            <w:tcW w:type="dxa" w:w="1440"/>
            <w:shd w:fill="FFDCE0" w:val="clear"/>
          </w:tcPr>
          <w:p>
            <w:r>
              <w:rPr>
                <w:sz w:val="17"/>
              </w:rPr>
              <w:t>3,803</w:t>
            </w:r>
          </w:p>
        </w:tc>
        <w:tc>
          <w:tcPr>
            <w:tcW w:type="dxa" w:w="1440"/>
            <w:shd w:fill="FFDCE0" w:val="clear"/>
          </w:tcPr>
          <w:p>
            <w:r>
              <w:rPr>
                <w:b/>
                <w:color w:val="C00000"/>
                <w:sz w:val="17"/>
              </w:rPr>
              <w:t>-3.3%</w:t>
            </w:r>
          </w:p>
        </w:tc>
      </w:tr>
      <w:tr>
        <w:tc>
          <w:tcPr>
            <w:tcW w:type="dxa" w:w="1440"/>
            <w:shd w:fill="FFDCE0" w:val="clear"/>
          </w:tcPr>
          <w:p>
            <w:r>
              <w:rPr>
                <w:sz w:val="17"/>
              </w:rPr>
              <w:t>J+8  ⭐</w:t>
            </w:r>
          </w:p>
        </w:tc>
        <w:tc>
          <w:tcPr>
            <w:tcW w:type="dxa" w:w="1440"/>
            <w:shd w:fill="FFDCE0" w:val="clear"/>
          </w:tcPr>
          <w:p>
            <w:r>
              <w:rPr>
                <w:sz w:val="17"/>
              </w:rPr>
              <w:t>2026-09-08</w:t>
            </w:r>
          </w:p>
        </w:tc>
        <w:tc>
          <w:tcPr>
            <w:tcW w:type="dxa" w:w="1440"/>
            <w:shd w:fill="FFDCE0" w:val="clear"/>
          </w:tcPr>
          <w:p>
            <w:r>
              <w:rPr>
                <w:sz w:val="17"/>
              </w:rPr>
              <w:t>2,760</w:t>
            </w:r>
          </w:p>
        </w:tc>
        <w:tc>
          <w:tcPr>
            <w:tcW w:type="dxa" w:w="1440"/>
            <w:shd w:fill="FFDCE0" w:val="clear"/>
          </w:tcPr>
          <w:p>
            <w:r>
              <w:rPr>
                <w:b/>
                <w:sz w:val="17"/>
              </w:rPr>
              <w:t>3,291</w:t>
            </w:r>
          </w:p>
        </w:tc>
        <w:tc>
          <w:tcPr>
            <w:tcW w:type="dxa" w:w="1440"/>
            <w:shd w:fill="FFDCE0" w:val="clear"/>
          </w:tcPr>
          <w:p>
            <w:r>
              <w:rPr>
                <w:sz w:val="17"/>
              </w:rPr>
              <w:t>3,823</w:t>
            </w:r>
          </w:p>
        </w:tc>
        <w:tc>
          <w:tcPr>
            <w:tcW w:type="dxa" w:w="1440"/>
            <w:shd w:fill="FFDCE0" w:val="clear"/>
          </w:tcPr>
          <w:p>
            <w:r>
              <w:rPr>
                <w:b/>
                <w:color w:val="C00000"/>
                <w:sz w:val="17"/>
              </w:rPr>
              <w:t>-3.6%</w:t>
            </w:r>
          </w:p>
        </w:tc>
      </w:tr>
      <w:tr>
        <w:tc>
          <w:tcPr>
            <w:tcW w:type="dxa" w:w="1440"/>
            <w:shd w:fill="FFDCE0" w:val="clear"/>
          </w:tcPr>
          <w:p>
            <w:r>
              <w:rPr>
                <w:sz w:val="17"/>
              </w:rPr>
              <w:t>J+9  ⭐</w:t>
            </w:r>
          </w:p>
        </w:tc>
        <w:tc>
          <w:tcPr>
            <w:tcW w:type="dxa" w:w="1440"/>
            <w:shd w:fill="FFDCE0" w:val="clear"/>
          </w:tcPr>
          <w:p>
            <w:r>
              <w:rPr>
                <w:sz w:val="17"/>
              </w:rPr>
              <w:t>2026-09-09</w:t>
            </w:r>
          </w:p>
        </w:tc>
        <w:tc>
          <w:tcPr>
            <w:tcW w:type="dxa" w:w="1440"/>
            <w:shd w:fill="FFDCE0" w:val="clear"/>
          </w:tcPr>
          <w:p>
            <w:r>
              <w:rPr>
                <w:sz w:val="17"/>
              </w:rPr>
              <w:t>2,718</w:t>
            </w:r>
          </w:p>
        </w:tc>
        <w:tc>
          <w:tcPr>
            <w:tcW w:type="dxa" w:w="1440"/>
            <w:shd w:fill="FFDCE0" w:val="clear"/>
          </w:tcPr>
          <w:p>
            <w:r>
              <w:rPr>
                <w:b/>
                <w:sz w:val="17"/>
              </w:rPr>
              <w:t>3,279</w:t>
            </w:r>
          </w:p>
        </w:tc>
        <w:tc>
          <w:tcPr>
            <w:tcW w:type="dxa" w:w="1440"/>
            <w:shd w:fill="FFDCE0" w:val="clear"/>
          </w:tcPr>
          <w:p>
            <w:r>
              <w:rPr>
                <w:sz w:val="17"/>
              </w:rPr>
              <w:t>3,840</w:t>
            </w:r>
          </w:p>
        </w:tc>
        <w:tc>
          <w:tcPr>
            <w:tcW w:type="dxa" w:w="1440"/>
            <w:shd w:fill="FFDCE0" w:val="clear"/>
          </w:tcPr>
          <w:p>
            <w:r>
              <w:rPr>
                <w:b/>
                <w:color w:val="C00000"/>
                <w:sz w:val="17"/>
              </w:rPr>
              <w:t>-4.0%</w:t>
            </w:r>
          </w:p>
        </w:tc>
      </w:tr>
      <w:tr>
        <w:tc>
          <w:tcPr>
            <w:tcW w:type="dxa" w:w="1440"/>
            <w:shd w:fill="FFDCE0" w:val="clear"/>
          </w:tcPr>
          <w:p>
            <w:r>
              <w:rPr>
                <w:sz w:val="17"/>
              </w:rPr>
              <w:t>J+10  ⭐</w:t>
            </w:r>
          </w:p>
        </w:tc>
        <w:tc>
          <w:tcPr>
            <w:tcW w:type="dxa" w:w="1440"/>
            <w:shd w:fill="FFDCE0" w:val="clear"/>
          </w:tcPr>
          <w:p>
            <w:r>
              <w:rPr>
                <w:sz w:val="17"/>
              </w:rPr>
              <w:t>2026-09-10</w:t>
            </w:r>
          </w:p>
        </w:tc>
        <w:tc>
          <w:tcPr>
            <w:tcW w:type="dxa" w:w="1440"/>
            <w:shd w:fill="FFDCE0" w:val="clear"/>
          </w:tcPr>
          <w:p>
            <w:r>
              <w:rPr>
                <w:sz w:val="17"/>
              </w:rPr>
              <w:t>2,677</w:t>
            </w:r>
          </w:p>
        </w:tc>
        <w:tc>
          <w:tcPr>
            <w:tcW w:type="dxa" w:w="1440"/>
            <w:shd w:fill="FFDCE0" w:val="clear"/>
          </w:tcPr>
          <w:p>
            <w:r>
              <w:rPr>
                <w:b/>
                <w:sz w:val="17"/>
              </w:rPr>
              <w:t>3,267</w:t>
            </w:r>
          </w:p>
        </w:tc>
        <w:tc>
          <w:tcPr>
            <w:tcW w:type="dxa" w:w="1440"/>
            <w:shd w:fill="FFDCE0" w:val="clear"/>
          </w:tcPr>
          <w:p>
            <w:r>
              <w:rPr>
                <w:sz w:val="17"/>
              </w:rPr>
              <w:t>3,857</w:t>
            </w:r>
          </w:p>
        </w:tc>
        <w:tc>
          <w:tcPr>
            <w:tcW w:type="dxa" w:w="1440"/>
            <w:shd w:fill="FFDCE0" w:val="clear"/>
          </w:tcPr>
          <w:p>
            <w:r>
              <w:rPr>
                <w:b/>
                <w:color w:val="C00000"/>
                <w:sz w:val="17"/>
              </w:rPr>
              <w:t>-4.3%</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Stocks</w:t>
            </w:r>
          </w:p>
        </w:tc>
        <w:tc>
          <w:tcPr>
            <w:tcW w:type="dxa" w:w="1984"/>
            <w:shd w:fill="C6EFCE" w:val="clear"/>
          </w:tcPr>
          <w:p>
            <w:r>
              <w:rPr>
                <w:b/>
                <w:color w:val="006400"/>
                <w:sz w:val="17"/>
              </w:rPr>
              <w:t>19.634 Mds FCFA</w:t>
            </w:r>
          </w:p>
        </w:tc>
        <w:tc>
          <w:tcPr>
            <w:tcW w:type="dxa" w:w="5669"/>
            <w:shd w:fill="FFFFFF" w:val="clear"/>
          </w:tcPr>
          <w:p>
            <w:r>
              <w:rPr>
                <w:color w:val="282828"/>
                <w:sz w:val="15"/>
              </w:rPr>
              <w:t>Rotation stocks = 30.0x/an.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108.382 Mds FCFA</w:t>
            </w:r>
          </w:p>
        </w:tc>
        <w:tc>
          <w:tcPr>
            <w:tcW w:type="dxa" w:w="5669"/>
            <w:shd w:fill="FFFFFF" w:val="clear"/>
          </w:tcPr>
          <w:p>
            <w:r>
              <w:rPr>
                <w:color w:val="282828"/>
                <w:sz w:val="15"/>
              </w:rPr>
              <w:t>Ratio actif circ./passif circ. = 0.92x.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2.168 Mds FCFA</w:t>
            </w:r>
          </w:p>
        </w:tc>
        <w:tc>
          <w:tcPr>
            <w:tcW w:type="dxa" w:w="5669"/>
            <w:shd w:fill="FFFFFF" w:val="clear"/>
          </w:tcPr>
          <w:p>
            <w:r>
              <w:rPr>
                <w:color w:val="282828"/>
                <w:sz w:val="15"/>
              </w:rPr>
              <w:t>Brevets, logiciels, fonds commercial (1.2%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61.130 Mds FCFA</w:t>
            </w:r>
          </w:p>
        </w:tc>
        <w:tc>
          <w:tcPr>
            <w:tcW w:type="dxa" w:w="5669"/>
            <w:shd w:fill="FFFFFF" w:val="clear"/>
          </w:tcPr>
          <w:p>
            <w:r>
              <w:rPr>
                <w:color w:val="282828"/>
                <w:sz w:val="15"/>
              </w:rPr>
              <w:t>Outil industriel (32.4%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71.239 Mds FCFA</w:t>
            </w:r>
          </w:p>
        </w:tc>
        <w:tc>
          <w:tcPr>
            <w:tcW w:type="dxa" w:w="5669"/>
            <w:shd w:fill="FFFFFF" w:val="clear"/>
          </w:tcPr>
          <w:p>
            <w:r>
              <w:rPr>
                <w:color w:val="282828"/>
                <w:sz w:val="15"/>
              </w:rPr>
              <w:t>Actif immobilisé = 37.8%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FFEB9C" w:val="clear"/>
          </w:tcPr>
          <w:p>
            <w:r>
              <w:rPr>
                <w:b/>
                <w:color w:val="006400"/>
                <w:sz w:val="17"/>
              </w:rPr>
              <w:t>8.851 Mds FCFA</w:t>
            </w:r>
          </w:p>
        </w:tc>
        <w:tc>
          <w:tcPr>
            <w:tcW w:type="dxa" w:w="5669"/>
            <w:shd w:fill="FFFFFF" w:val="clear"/>
          </w:tcPr>
          <w:p>
            <w:r>
              <w:rPr>
                <w:color w:val="282828"/>
                <w:sz w:val="15"/>
              </w:rPr>
              <w:t>Liquidités disponibles (4.7% du bilan). ⚠️ Trésorerie tendue — surveiller les besoins CT.</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188.472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3.148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19.934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36.202 Mds FCFA</w:t>
            </w:r>
          </w:p>
        </w:tc>
        <w:tc>
          <w:tcPr>
            <w:tcW w:type="dxa" w:w="5669"/>
            <w:shd w:fill="FFFFFF" w:val="clear"/>
          </w:tcPr>
          <w:p>
            <w:r>
              <w:rPr>
                <w:color w:val="282828"/>
                <w:sz w:val="15"/>
              </w:rPr>
              <w:t>Fonds propres = 19.2%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39.652 Mds FCFA</w:t>
            </w:r>
          </w:p>
        </w:tc>
        <w:tc>
          <w:tcPr>
            <w:tcW w:type="dxa" w:w="5669"/>
            <w:shd w:fill="FFFFFF" w:val="clear"/>
          </w:tcPr>
          <w:p>
            <w:r>
              <w:rPr>
                <w:color w:val="282828"/>
                <w:sz w:val="15"/>
              </w:rPr>
              <w:t>Capitaux permanents / Actif immobilisé = 0.56x.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DEEAF1" w:val="clear"/>
          </w:tcPr>
          <w:p>
            <w:r>
              <w:rPr>
                <w:b/>
                <w:color w:val="006400"/>
                <w:sz w:val="17"/>
              </w:rPr>
              <w:t>70.725 Mds FCFA</w:t>
            </w:r>
          </w:p>
        </w:tc>
        <w:tc>
          <w:tcPr>
            <w:tcW w:type="dxa" w:w="5669"/>
            <w:shd w:fill="FFFFFF" w:val="clear"/>
          </w:tcPr>
          <w:p>
            <w:r>
              <w:rPr>
                <w:color w:val="282828"/>
                <w:sz w:val="15"/>
              </w:rPr>
              <w:t>Délai fournisseurs implicite ≈ 44 j. ℹ️ Délais standards de paiement.</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1.888 Mds FCFA</w:t>
            </w:r>
          </w:p>
        </w:tc>
        <w:tc>
          <w:tcPr>
            <w:tcW w:type="dxa" w:w="5669"/>
            <w:shd w:fill="FFFFFF" w:val="clear"/>
          </w:tcPr>
          <w:p>
            <w:r>
              <w:rPr>
                <w:color w:val="282828"/>
                <w:sz w:val="15"/>
              </w:rPr>
              <w:t>Dette LT/MT = 5%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32.665 Mds FCFA</w:t>
            </w:r>
          </w:p>
        </w:tc>
        <w:tc>
          <w:tcPr>
            <w:tcW w:type="dxa" w:w="5669"/>
            <w:shd w:fill="FFFFFF" w:val="clear"/>
          </w:tcPr>
          <w:p>
            <w:r>
              <w:rPr>
                <w:color w:val="282828"/>
                <w:sz w:val="15"/>
              </w:rPr>
              <w:t>Dette financière totale = 90%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152.270 Mds FCFA</w:t>
            </w:r>
          </w:p>
        </w:tc>
        <w:tc>
          <w:tcPr>
            <w:tcW w:type="dxa" w:w="5669"/>
            <w:shd w:fill="FFFFFF" w:val="clear"/>
          </w:tcPr>
          <w:p>
            <w:r>
              <w:rPr>
                <w:color w:val="282828"/>
                <w:sz w:val="15"/>
              </w:rPr>
              <w:t>Dettes totales = 80.8%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588.709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588.709 Mds FCFA</w:t>
            </w:r>
          </w:p>
        </w:tc>
        <w:tc>
          <w:tcPr>
            <w:tcW w:type="dxa" w:w="5669"/>
            <w:shd w:fill="FFFFFF" w:val="clear"/>
          </w:tcPr>
          <w:p>
            <w:r>
              <w:rPr>
                <w:color w:val="282828"/>
                <w:sz w:val="15"/>
              </w:rPr>
              <w:t>Chiffre d'affaires. Croissance: -5.2%.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-49.155 Mds FCFA</w:t>
            </w:r>
          </w:p>
        </w:tc>
        <w:tc>
          <w:tcPr>
            <w:tcW w:type="dxa" w:w="5669"/>
            <w:shd w:fill="FFFFFF" w:val="clear"/>
          </w:tcPr>
          <w:p>
            <w:r>
              <w:rPr>
                <w:color w:val="282828"/>
                <w:sz w:val="15"/>
              </w:rPr>
              <w:t>-8.3%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-10.018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-7.206 Mds FCFA</w:t>
            </w:r>
          </w:p>
        </w:tc>
        <w:tc>
          <w:tcPr>
            <w:tcW w:type="dxa" w:w="5669"/>
            <w:shd w:fill="FFFFFF" w:val="clear"/>
          </w:tcPr>
          <w:p>
            <w:r>
              <w:rPr>
                <w:color w:val="282828"/>
                <w:sz w:val="15"/>
              </w:rPr>
              <w:t>Masse salariale = -1.2%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29.553 Mds FCFA</w:t>
            </w:r>
          </w:p>
        </w:tc>
        <w:tc>
          <w:tcPr>
            <w:tcW w:type="dxa" w:w="5669"/>
            <w:shd w:fill="FFFFFF" w:val="clear"/>
          </w:tcPr>
          <w:p>
            <w:r>
              <w:rPr>
                <w:color w:val="282828"/>
                <w:sz w:val="15"/>
              </w:rPr>
              <w:t>VA = 5.0%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22.347 Mds FCFA</w:t>
            </w:r>
          </w:p>
        </w:tc>
        <w:tc>
          <w:tcPr>
            <w:tcW w:type="dxa" w:w="5669"/>
            <w:shd w:fill="FFFFFF" w:val="clear"/>
          </w:tcPr>
          <w:p>
            <w:r>
              <w:rPr>
                <w:color w:val="282828"/>
                <w:sz w:val="15"/>
              </w:rPr>
              <w:t>EBE = 3.8%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12.329 Mds FCFA</w:t>
            </w:r>
          </w:p>
        </w:tc>
        <w:tc>
          <w:tcPr>
            <w:tcW w:type="dxa" w:w="5669"/>
            <w:shd w:fill="FFFFFF" w:val="clear"/>
          </w:tcPr>
          <w:p>
            <w:r>
              <w:rPr>
                <w:color w:val="282828"/>
                <w:sz w:val="15"/>
              </w:rPr>
              <w:t>Profit d'exploitation = 2.1% des revenus. ⚠️ Bénéfice d'exploitation limité.</w:t>
            </w:r>
          </w:p>
        </w:tc>
      </w:tr>
      <w:tr>
        <w:tc>
          <w:tcPr>
            <w:tcW w:type="dxa" w:w="2268"/>
            <w:shd w:fill="EEF2F7" w:val="clear"/>
          </w:tcPr>
          <w:p>
            <w:r>
              <w:rPr>
                <w:b/>
                <w:color w:val="1E1E3C"/>
                <w:sz w:val="16"/>
              </w:rPr>
              <w:t>Résultat net</w:t>
            </w:r>
          </w:p>
        </w:tc>
        <w:tc>
          <w:tcPr>
            <w:tcW w:type="dxa" w:w="1984"/>
            <w:shd w:fill="FFEB9C" w:val="clear"/>
          </w:tcPr>
          <w:p>
            <w:r>
              <w:rPr>
                <w:b/>
                <w:color w:val="006400"/>
                <w:sz w:val="17"/>
              </w:rPr>
              <w:t>9.087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19.106 Mds FCFA</w:t>
            </w:r>
          </w:p>
        </w:tc>
        <w:tc>
          <w:tcPr>
            <w:tcW w:type="dxa" w:w="5669"/>
            <w:shd w:fill="FFFFFF" w:val="clear"/>
          </w:tcPr>
          <w:p>
            <w:r>
              <w:rPr>
                <w:color w:val="282828"/>
                <w:sz w:val="15"/>
              </w:rPr>
              <w:t>CAF = 19.11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10.196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-10.124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-13.793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72.00 M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-9.662 Mds FCFA</w:t>
            </w:r>
          </w:p>
        </w:tc>
        <w:tc>
          <w:tcPr>
            <w:tcW w:type="dxa" w:w="5669"/>
            <w:shd w:fill="FFFFFF" w:val="clear"/>
          </w:tcPr>
          <w:p>
            <w:r>
              <w:rPr>
                <w:color w:val="282828"/>
                <w:sz w:val="15"/>
              </w:rPr>
              <w:t>BFR = -1.6%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-31.587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FFC7CE" w:val="clear"/>
          </w:tcPr>
          <w:p>
            <w:r>
              <w:rPr>
                <w:b/>
                <w:color w:val="B40000"/>
                <w:sz w:val="17"/>
              </w:rPr>
              <w:t>-21.926 Mds FCFA</w:t>
            </w:r>
          </w:p>
        </w:tc>
        <w:tc>
          <w:tcPr>
            <w:tcW w:type="dxa" w:w="5669"/>
            <w:shd w:fill="FFFFFF" w:val="clear"/>
          </w:tcPr>
          <w:p>
            <w:r>
              <w:rPr>
                <w:color w:val="282828"/>
                <w:sz w:val="15"/>
              </w:rPr>
              <w:t>Trésorerie nette = FR - BFR. ❌ Trésorerie structurellement déficitaire — risque de liquidité.</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FFEB9C" w:val="clear"/>
          </w:tcPr>
          <w:p>
            <w:r>
              <w:rPr>
                <w:b/>
                <w:color w:val="006400"/>
                <w:sz w:val="17"/>
              </w:rPr>
              <w:t>11.81%</w:t>
            </w:r>
          </w:p>
        </w:tc>
        <w:tc>
          <w:tcPr>
            <w:tcW w:type="dxa" w:w="5669"/>
            <w:shd w:fill="FFFFFF" w:val="clear"/>
          </w:tcPr>
          <w:p>
            <w:r>
              <w:rPr>
                <w:color w:val="282828"/>
                <w:sz w:val="15"/>
              </w:rPr>
              <w:t>(CA - coûts directs) / CA. ⚠️ Marge brute limitée — activité à faible valeur ajoutée.</w:t>
            </w:r>
          </w:p>
        </w:tc>
      </w:tr>
      <w:tr>
        <w:tc>
          <w:tcPr>
            <w:tcW w:type="dxa" w:w="2268"/>
            <w:shd w:fill="EEF2F7" w:val="clear"/>
          </w:tcPr>
          <w:p>
            <w:r>
              <w:rPr>
                <w:b/>
                <w:color w:val="1E1E3C"/>
                <w:sz w:val="16"/>
              </w:rPr>
              <w:t>Marge nette</w:t>
            </w:r>
          </w:p>
        </w:tc>
        <w:tc>
          <w:tcPr>
            <w:tcW w:type="dxa" w:w="1984"/>
            <w:shd w:fill="FFEB9C" w:val="clear"/>
          </w:tcPr>
          <w:p>
            <w:r>
              <w:rPr>
                <w:b/>
                <w:color w:val="006400"/>
                <w:sz w:val="17"/>
              </w:rPr>
              <w:t>1.54%</w:t>
            </w:r>
          </w:p>
        </w:tc>
        <w:tc>
          <w:tcPr>
            <w:tcW w:type="dxa" w:w="5669"/>
            <w:shd w:fill="FFFFFF" w:val="clear"/>
          </w:tcPr>
          <w:p>
            <w:r>
              <w:rPr>
                <w:color w:val="282828"/>
                <w:sz w:val="15"/>
              </w:rPr>
              <w:t>Résultat net / revenus = 1.54%.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2.09%</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25.10%</w:t>
            </w:r>
          </w:p>
        </w:tc>
        <w:tc>
          <w:tcPr>
            <w:tcW w:type="dxa" w:w="5669"/>
            <w:shd w:fill="FFFFFF" w:val="clear"/>
          </w:tcPr>
          <w:p>
            <w:r>
              <w:rPr>
                <w:color w:val="282828"/>
                <w:sz w:val="15"/>
              </w:rPr>
              <w:t>Résultat net / capitaux propres = 25.10%.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4.82%</w:t>
            </w:r>
          </w:p>
        </w:tc>
        <w:tc>
          <w:tcPr>
            <w:tcW w:type="dxa" w:w="5669"/>
            <w:shd w:fill="FFFFFF" w:val="clear"/>
          </w:tcPr>
          <w:p>
            <w:r>
              <w:rPr>
                <w:color w:val="282828"/>
                <w:sz w:val="15"/>
              </w:rPr>
              <w:t>Résultat net / total actif = 4.82%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312.36%</w:t>
            </w:r>
          </w:p>
        </w:tc>
        <w:tc>
          <w:tcPr>
            <w:tcW w:type="dxa" w:w="5669"/>
            <w:shd w:fill="FFFFFF" w:val="clear"/>
          </w:tcPr>
          <w:p>
            <w:r>
              <w:rPr>
                <w:color w:val="282828"/>
                <w:sz w:val="15"/>
              </w:rPr>
              <w:t>CA / total actif = 312.36x. ✅ Bonne efficience des actifs.</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-5.21%</w:t>
            </w:r>
          </w:p>
        </w:tc>
        <w:tc>
          <w:tcPr>
            <w:tcW w:type="dxa" w:w="5669"/>
            <w:shd w:fill="FFFFFF" w:val="clear"/>
          </w:tcPr>
          <w:p>
            <w:r>
              <w:rPr>
                <w:color w:val="282828"/>
                <w:sz w:val="15"/>
              </w:rPr>
              <w:t>Croissance CA vs exercice précédent = -5.21%.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19.21%</w:t>
            </w:r>
          </w:p>
        </w:tc>
        <w:tc>
          <w:tcPr>
            <w:tcW w:type="dxa" w:w="5669"/>
            <w:shd w:fill="FFFFFF" w:val="clear"/>
          </w:tcPr>
          <w:p>
            <w:r>
              <w:rPr>
                <w:color w:val="282828"/>
                <w:sz w:val="15"/>
              </w:rPr>
              <w:t>Fonds propres / total bilan = 19.21%.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80.79%</w:t>
            </w:r>
          </w:p>
        </w:tc>
        <w:tc>
          <w:tcPr>
            <w:tcW w:type="dxa" w:w="5669"/>
            <w:shd w:fill="FFFFFF" w:val="clear"/>
          </w:tcPr>
          <w:p>
            <w:r>
              <w:rPr>
                <w:color w:val="282828"/>
                <w:sz w:val="15"/>
              </w:rPr>
              <w:t>Dettes financières / total bilan = 80.79%.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90.23%</w:t>
            </w:r>
          </w:p>
        </w:tc>
        <w:tc>
          <w:tcPr>
            <w:tcW w:type="dxa" w:w="5669"/>
            <w:shd w:fill="FFFFFF" w:val="clear"/>
          </w:tcPr>
          <w:p>
            <w:r>
              <w:rPr>
                <w:color w:val="282828"/>
                <w:sz w:val="15"/>
              </w:rPr>
              <w:t>Dettes totales / fonds propres = 90.23%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123.77%</w:t>
            </w:r>
          </w:p>
        </w:tc>
        <w:tc>
          <w:tcPr>
            <w:tcW w:type="dxa" w:w="5669"/>
            <w:shd w:fill="FFFFFF" w:val="clear"/>
          </w:tcPr>
          <w:p>
            <w:r>
              <w:rPr>
                <w:color w:val="282828"/>
                <w:sz w:val="15"/>
              </w:rPr>
              <w:t>Total actif / dettes totales = 123.77x.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78.77%</w:t>
            </w:r>
          </w:p>
        </w:tc>
        <w:tc>
          <w:tcPr>
            <w:tcW w:type="dxa" w:w="5669"/>
            <w:shd w:fill="FFFFFF" w:val="clear"/>
          </w:tcPr>
          <w:p>
            <w:r>
              <w:rPr>
                <w:color w:val="282828"/>
                <w:sz w:val="15"/>
              </w:rPr>
              <w:t>Actif circulant / passif circulant = 78.77x. ⚠️ Liquidité tendue — risque si remboursement simultané exigé.</w:t>
            </w:r>
          </w:p>
        </w:tc>
      </w:tr>
      <w:tr>
        <w:tc>
          <w:tcPr>
            <w:tcW w:type="dxa" w:w="2268"/>
            <w:shd w:fill="EEF2F7" w:val="clear"/>
          </w:tcPr>
          <w:p>
            <w:r>
              <w:rPr>
                <w:b/>
                <w:color w:val="1E1E3C"/>
                <w:sz w:val="16"/>
              </w:rPr>
              <w:t>Liquidité immédiate</w:t>
            </w:r>
          </w:p>
        </w:tc>
        <w:tc>
          <w:tcPr>
            <w:tcW w:type="dxa" w:w="1984"/>
            <w:shd w:fill="FFC7CE" w:val="clear"/>
          </w:tcPr>
          <w:p>
            <w:r>
              <w:rPr>
                <w:b/>
                <w:color w:val="006400"/>
                <w:sz w:val="17"/>
              </w:rPr>
              <w:t>5.95%</w:t>
            </w:r>
          </w:p>
        </w:tc>
        <w:tc>
          <w:tcPr>
            <w:tcW w:type="dxa" w:w="5669"/>
            <w:shd w:fill="FFFFFF" w:val="clear"/>
          </w:tcPr>
          <w:p>
            <w:r>
              <w:rPr>
                <w:color w:val="282828"/>
                <w:sz w:val="15"/>
              </w:rPr>
              <w:t>Trésorerie / passif circulant = 5.95x. ❌ Cash quasi inexistant face aux dettes CT.</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65.58%</w:t>
            </w:r>
          </w:p>
        </w:tc>
        <w:tc>
          <w:tcPr>
            <w:tcW w:type="dxa" w:w="5669"/>
            <w:shd w:fill="FFFFFF" w:val="clear"/>
          </w:tcPr>
          <w:p>
            <w:r>
              <w:rPr>
                <w:color w:val="282828"/>
                <w:sz w:val="15"/>
              </w:rPr>
              <w:t>(Actif circ. - stocks) / passif circ. = 65.58x. ❌ Dépendance aux stocks pour couvrir les dettes CT.</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55.66%</w:t>
            </w:r>
          </w:p>
        </w:tc>
        <w:tc>
          <w:tcPr>
            <w:tcW w:type="dxa" w:w="5669"/>
            <w:shd w:fill="FFFFFF" w:val="clear"/>
          </w:tcPr>
          <w:p>
            <w:r>
              <w:rPr>
                <w:color w:val="282828"/>
                <w:sz w:val="15"/>
              </w:rPr>
              <w:t>Capitaux permanents / actif immobilisé = 55.66x.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1.7 ans</w:t>
            </w:r>
          </w:p>
        </w:tc>
        <w:tc>
          <w:tcPr>
            <w:tcW w:type="dxa" w:w="5669"/>
            <w:shd w:fill="FFFFFF" w:val="clear"/>
          </w:tcPr>
          <w:p>
            <w:r>
              <w:rPr>
                <w:color w:val="282828"/>
                <w:sz w:val="15"/>
              </w:rPr>
              <w:t>Dettes financières / CAF = 1.7 ans. ✅ Dette remboursable rapidement.</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188.72%</w:t>
            </w:r>
          </w:p>
        </w:tc>
        <w:tc>
          <w:tcPr>
            <w:tcW w:type="dxa" w:w="5669"/>
            <w:shd w:fill="FFFFFF" w:val="clear"/>
          </w:tcPr>
          <w:p>
            <w:r>
              <w:rPr>
                <w:color w:val="282828"/>
                <w:sz w:val="15"/>
              </w:rPr>
              <w:t>CAF / investissements = 188.72x.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49.7 j</w:t>
            </w:r>
          </w:p>
        </w:tc>
        <w:tc>
          <w:tcPr>
            <w:tcW w:type="dxa" w:w="5669"/>
            <w:shd w:fill="FFFFFF" w:val="clear"/>
          </w:tcPr>
          <w:p>
            <w:r>
              <w:rPr>
                <w:color w:val="282828"/>
                <w:sz w:val="15"/>
              </w:rPr>
              <w:t>Paiement des fournisseurs en 50 jours. ✅ Délai standard.</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13.8 j</w:t>
            </w:r>
          </w:p>
        </w:tc>
        <w:tc>
          <w:tcPr>
            <w:tcW w:type="dxa" w:w="5669"/>
            <w:shd w:fill="FFFFFF" w:val="clear"/>
          </w:tcPr>
          <w:p>
            <w:r>
              <w:rPr>
                <w:color w:val="282828"/>
                <w:sz w:val="15"/>
              </w:rPr>
              <w:t>Stock écoulé en 14 jours. ✅ Rotation rapide — faible immobilisation de capital.</w:t>
            </w:r>
          </w:p>
        </w:tc>
      </w:tr>
    </w:tbl>
    <w:p/>
    <w:p>
      <w:pPr>
        <w:spacing w:after="120" w:line="276" w:lineRule="auto"/>
      </w:pPr>
      <w:r>
        <w:t># RAPPORT D'ANALYSE FINANCIÈRE — TOTALENERGIES MARKETING CÔTE D'IVOIRE (TTLC)</w:t>
      </w:r>
    </w:p>
    <w:p>
      <w:pPr>
        <w:spacing w:after="120" w:line="276" w:lineRule="auto"/>
      </w:pPr>
      <w:r>
        <w:t>**Date de l'analyse : Août 2026 | Marché : BRVM (Côte d'Ivoire)**</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TTLC s'établit à 215,01 milliards FCFA, positionnant le titre parmi les valeurs moyennes à grandes capitalisations de la BRVM, avec un poids significatif dans l'indice composite. Le BPA de 144 FCFA par action génère un PER de 23,7x, très supérieur à la moyenne historique de la BRVM (8-12x), indiquant que les investisseurs paient une prime substantielle pour les bénéfices de la société — cette prime traduit des anticipations de croissance future ou une rareté du titre sur le marché. Le P/B de 5,94x confirme cette lecture : le marché valorise l'action près de 6 fois sa valeur comptable, reflétant une forte confiance dans la marque TotalEnergies et la qualité des actifs. Enfin, l'EV/EBITDA de 12,1x, bien que dans la fourchette haute (10-15x), reste cohérent avec une entreprise pétrolière intégrée bénéficiant d'une position dominante sur son marché.</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TTLC affiche une progression remarquable de +25,55%, passant d'un plus bas de 2 650 FCFA à un plus haut de 3 595 FCFA, pour clôturer à 3 415 FCFA. La dernière séance enregistre toutefois un repli de -5,01%, signalant une possible prise de bénéfices après une forte ascension. La moyenne du cours sur la période (2 897 FCFA) est inférieure à la médiane (2 878 FCFA) et surtout au cours actuel, ce qui confirme une accélération haussière récente. L'écart-type de 171 FCFA (CV = 5,9%) indique une dispersion modérée autour de la moyenne, mais le kurtosis de 3,53 (leptokurtique) révèle des queues de distribution épaisses, signe de mouvements de prix extrêmes possibles. Le skewness positif de 1,643 indique une asymétrie avec davantage de journées sous la moyenne, typique d'un titre qui a connu des phases d'accélération brutale. La volatilité annualisée de 40,5% classe TTLC comme un actif à forte volatilité (&gt;30%), ce qui implique un risque élevé mais aussi un potentiel de rendement significatif.</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(3 415 FCFA) évolue nettement au-dessus de la MM20 (3 117,5 FCFA) et de la MM50 (2 987,9 FCFA), avec un écart de +9,5% et +14,3% respectivement. Cette configuration haussière, où les moyennes courtes sont au-dessus des moyennes longues, confirme une tendance soutenue. La décision "Achat" est justifiée par la dynamique positive et l'alignement des moyennes mobiles.</w:t>
      </w:r>
    </w:p>
    <w:p>
      <w:pPr>
        <w:spacing w:after="120" w:line="276" w:lineRule="auto"/>
      </w:pPr>
      <w:r>
        <w:t>**Bandes de Bollinger** : Le prix se situe à 3 415 FCFA, proche de la borne supérieure (3 569,5 FCFA) mais sans la toucher, indiquant une pression acheteuse soutenue sans condition de surachat extrême. La largeur des bandes (904 FCFA entre les bornes) reflète la volatilité élevée du titre. La décision "Neutre" s'explique par la position du prix dans la moitié supérieure des bandes, sans franchissement décisif.</w:t>
      </w:r>
    </w:p>
    <w:p>
      <w:pPr>
        <w:spacing w:after="120" w:line="276" w:lineRule="auto"/>
      </w:pPr>
      <w:r>
        <w:t>**MACD** : Le MACD (139,15) est nettement au-dessus de sa ligne de signal (95,35), avec un écart positif de 43,8 points qui témoigne d'un momentum haussier puissant. Cette configuration, où la ligne MACD reste au-dessus du signal depuis plusieurs semaines, valide la tendance haussière en cours. La décision "Achat" est pleinement justifiée par la vigueur du momentum.</w:t>
      </w:r>
    </w:p>
    <w:p>
      <w:pPr>
        <w:spacing w:after="120" w:line="276" w:lineRule="auto"/>
      </w:pPr>
      <w:r>
        <w:t>**RSI** : À 65,82, le RSI se situe dans la zone neutre-haute (30-70), sans atteindre le seuil de surachat de 70. Cette valeur indique une dynamique positive persistante tout en laissant une marge de progression avant une éventuelle correction technique. La décision "Neutre" reflète cette position intermédiaire.</w:t>
      </w:r>
    </w:p>
    <w:p>
      <w:pPr>
        <w:spacing w:after="120" w:line="276" w:lineRule="auto"/>
      </w:pPr>
      <w:r>
        <w:t>**Stochastique** : Le %K (77,22) est inférieur au %D (92,41), suggérant un début de retournement baissier à court terme après une phase de surachat. Cette configuration, où le %K croise sous le %D, peut précéder une consolidation. La décision "Neutre" intègre ce signal de prudence à court terme.</w:t>
      </w:r>
    </w:p>
    <w:p>
      <w:pPr>
        <w:spacing w:after="120" w:line="276" w:lineRule="auto"/>
      </w:pPr>
      <w:r>
        <w:t>**Conclusion technique** : La convergence des indicateurs (MM, MACD) confirme une tendance haussière solide à moyen terme, mais les signaux de surachat (Stochastique, RSI proche de 70) et le repli de -5% sur la dernière séance suggèrent un risque de consolidation à court terme. Le scénario le plus probable est une pause dans la tendance haussière avant une reprise, ou une correction limitée vers la zone 3 200-3 300 FCFA.</w:t>
      </w:r>
    </w:p>
    <w:p>
      <w:pPr>
        <w:spacing w:after="120" w:line="276" w:lineRule="auto"/>
      </w:pPr>
      <w:r>
        <w:t>---</w:t>
      </w:r>
    </w:p>
    <w:p>
      <w:pPr>
        <w:spacing w:after="120" w:line="276" w:lineRule="auto"/>
      </w:pPr>
      <w:r>
        <w:t>## PARTIE 3 : ANALYSE FONDAMENTALE (SECTION CRITIQUE)</w:t>
      </w:r>
    </w:p>
    <w:p>
      <w:pPr>
        <w:spacing w:after="120" w:line="276" w:lineRule="auto"/>
      </w:pPr>
      <w:r>
        <w:t>En 2025, TotalEnergies Marketing Côte d'Ivoire a réalisé un chiffre d'affaires de 588,709 milliards FCFA, en repli de -5,2% par rapport à 2024 (621,042 milliards FCFA), mais avec une amélioration notable de la rentabilité opérationnelle : l'EBE progresse de +12% à 22,347 milliards FCFA et le résultat d'exploitation bondit de +18% à 12,329 milliards FCFA. Le résultat net s'établit à 9,087 milliards FCFA (-3% vs 2024), avec un ROE exceptionnel de 25,1% et un ROA de 4,8%. La marge nette s'améliore légèrement à 1,54% (contre 1,51% en 2024). Le BFR négatif de -9,662 milliards FCFA constitue un avantage structurel majeur : la société finance son exploitation grâce aux délais fournisseurs (49,7 jours) supérieurs à la durée de stockage (13,8 jours). Cependant, la trésorerie nette est fortement négative (-21,926 milliards FCFA), avec un ratio d'endettement de 90,2% et une autonomie financière faible (19,2%). Le dividende proposé de 10 milliards FCFA représente un taux de distribution de 110%, supérieur au bénéfice net, ce qui implique un prélèvement sur les réserves. Sur la base du rapport T1 2026 (CA de 154,392 milliards FCFA, +4,3% ; résultat net de 2,329 milliards FCFA, +5,5%), on estime que l'exercice 2026 devrait confirmer le retour à la croissance, porté par l'augmentation des volumes vendus et l'expansion du réseau (182 stations). La société affiche une solidité opérationnelle indéniable, mais sa politique de distribution généreuse et sa dépendance aux crédits bancaires à court terme constituent des points de vigilance.</w:t>
      </w:r>
    </w:p>
    <w:p>
      <w:pPr>
        <w:spacing w:after="120" w:line="276" w:lineRule="auto"/>
      </w:pPr>
      <w:r>
        <w:t>---</w:t>
      </w:r>
    </w:p>
    <w:p>
      <w:pPr>
        <w:spacing w:after="120" w:line="276" w:lineRule="auto"/>
      </w:pPr>
      <w:r>
        <w:t>## PARTIE 4 : CONCLUSION D'INVESTISSEMENT</w:t>
      </w:r>
    </w:p>
    <w:p>
      <w:pPr>
        <w:spacing w:after="120" w:line="276" w:lineRule="auto"/>
      </w:pPr>
      <w:r>
        <w:t>La valorisation de TTLC (PER 23,7x, P/B 5,94x, EV/EBITDA 12,1x) apparaît exigeante au regard des moyennes de la BRVM, intégrant une prime de qualité et de croissance qui limite le potentiel de hausse à court terme. Le comportement du cours (+25,55% sur 100 jours, volatilité de 40,5%, kurtosis élevé) témoigne d'un momentum haussier puissant mais risqué, avec des signaux de surachat technique (Stochastique, RSI proche de 70) et un repli récent de -5%. Les fondamentaux restent solides : ROE de 25,1%, BFR négatif favorable, amélioration des marges opérationnelles, et retour à la croissance confirmé au T1 2026 (+4,3% CA, +5,5% résultat net). Les prédictions IA (3 399 à 3 329 FCFA sur J+1 à J+10) anticipent une légère consolidation, cohérente avec les signaux techniques de surachat. La convergence entre les fondamentaux solides, la tendance haussière de fond et la prudence à court terme conduit à une recommandation **CONSERVER**, avec un niveau de confiance **Moyen** et un risque global **Élevé** (volatilité, endettement, payout &gt;100%). L'horizon d'investissement optimal est le **moyen terme (3-12 mois)**, en attendant une correction technique pour renforcer la position ou une confirmation durable de la croissance 2026.</w:t>
      </w:r>
    </w:p>
    <w:p>
      <w:pPr>
        <w:spacing w:after="120" w:line="276" w:lineRule="auto"/>
      </w:pPr>
      <w:r>
        <w:t>---</w:t>
      </w:r>
    </w:p>
    <w:p>
      <w:pPr>
        <w:spacing w:after="120" w:line="276" w:lineRule="auto"/>
      </w:pPr>
      <w:r>
        <w:t>**Synthèse finale : CONSERVER | Confiance : Moyenne | Risque : Élevé | Horizon : Moyen terme (3-12 mois)**</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"La soci\u00e9t\u00e9 affiche une croissance soutenue du chiffre d'affaires et une am\u00e9lioration de la rentabilit\u00e9 nette malgr\u00e9 une l\u00e9g\u00e8re pression sur les activit\u00e9s ordinaires. La position dominante sur le march\u00e9 ivoirien et la diversification \u00e9nerg\u00e9tique offrent de bonnes perspectives."}</w:t>
      </w:r>
    </w:p>
    <w:p>
      <w:pPr>
        <w:spacing w:before="40"/>
        <w:ind w:left="400"/>
      </w:pPr>
      <w:r>
        <w:rPr>
          <w:sz w:val="18"/>
        </w:rPr>
        <w:t>TotalEnergies Marketing Côte d'Ivoire affiche des performances solides au premier trimestre 2026 avec un chiffre d'affaires de 154,392 milliards FCFA en hausse de 4,3% par rapport à 2025. Le résultat net progresse de 5,5% à 2,329 milliards FCFA, témoignant d'une amélioration de la rentabilité. Cette croissance est principalement portée par l'augmentation des volumes vendus sur la quasi-totalité des canaux de distribution. La société maintient sa position d'acteur majeur du secteur énergétique ivoirien avec un réseau de 182 stations-services. Les résultats des activités ordinaires restent stables malgré un léger recul de 0,6%.</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{'croissance_ca': '4,3%', 'nombre_stations': '182', 'croissance_resultat_net': '5,5%', 'resultat_activites_ordinaires': '3,119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1,51%</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2,329 milliards FCFA</w:t>
            </w:r>
          </w:p>
        </w:tc>
        <w:tc>
          <w:tcPr>
            <w:tcW w:type="dxa" w:w="2160"/>
          </w:tcPr>
          <w:p>
            <w:r/>
            <w:r>
              <w:rPr>
                <w:b/>
                <w:sz w:val="16"/>
              </w:rPr>
              <w:t>capitaux_propres</w:t>
              <w:br/>
            </w:r>
            <w:r>
              <w:rPr>
                <w:sz w:val="18"/>
              </w:rPr>
              <w:t>3,148 milliards FCFA</w:t>
            </w:r>
          </w:p>
        </w:tc>
        <w:tc>
          <w:tcPr>
            <w:tcW w:type="dxa" w:w="2160"/>
          </w:tcPr>
          <w:p>
            <w:r/>
            <w:r>
              <w:rPr>
                <w:b/>
                <w:sz w:val="16"/>
              </w:rPr>
              <w:t>chiffre_affaires</w:t>
              <w:br/>
            </w:r>
            <w:r>
              <w:rPr>
                <w:sz w:val="18"/>
              </w:rPr>
              <w:t>154,392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en croissance de 4,3% à 154,392 milliards FCFA au T1 2026</w:t>
      </w:r>
    </w:p>
    <w:p>
      <w:pPr>
        <w:pStyle w:val="ListBullet"/>
        <w:spacing w:before="20" w:after="20"/>
        <w:ind w:left="700"/>
      </w:pPr>
      <w:r>
        <w:rPr>
          <w:sz w:val="18"/>
        </w:rPr>
        <w:t>Résultat net en hausse de 5,5% à 2,329 milliards FCFA</w:t>
      </w:r>
    </w:p>
    <w:p>
      <w:pPr>
        <w:pStyle w:val="ListBullet"/>
        <w:spacing w:before="20" w:after="20"/>
        <w:ind w:left="700"/>
      </w:pPr>
      <w:r>
        <w:rPr>
          <w:sz w:val="18"/>
        </w:rPr>
        <w:t>Croissance tirée par l'augmentation des volumes vendus sur tous les canaux</w:t>
      </w:r>
    </w:p>
    <w:p>
      <w:pPr>
        <w:pStyle w:val="ListBullet"/>
        <w:spacing w:before="20" w:after="20"/>
        <w:ind w:left="700"/>
      </w:pPr>
      <w:r>
        <w:rPr>
          <w:sz w:val="18"/>
        </w:rPr>
        <w:t>Résultat des activités ordinaires légèrement en baisse de 0,6%</w:t>
      </w:r>
    </w:p>
    <w:p>
      <w:pPr>
        <w:pStyle w:val="ListBullet"/>
        <w:spacing w:before="20" w:after="20"/>
        <w:ind w:left="700"/>
      </w:pPr>
      <w:r>
        <w:rPr>
          <w:sz w:val="18"/>
        </w:rPr>
        <w:t>Réseau de distribution étendu avec 182 stations-services</w:t>
      </w:r>
    </w:p>
    <w:p>
      <w:pPr>
        <w:pStyle w:val="ListBullet"/>
        <w:spacing w:before="20" w:after="20"/>
        <w:ind w:left="700"/>
      </w:pPr>
      <w:r>
        <w:rPr>
          <w:sz w:val="18"/>
        </w:rPr>
        <w:t>Diversification des activités : carburants, GPL, lubrifiants et énergies renouvelables</w:t>
      </w:r>
    </w:p>
    <w:p>
      <w:pPr>
        <w:spacing w:before="40"/>
        <w:ind w:left="400"/>
      </w:pPr>
      <w:r>
        <w:rPr>
          <w:b/>
          <w:color w:val="C05000"/>
          <w:sz w:val="18"/>
        </w:rPr>
        <w:t xml:space="preserve">⚠️ Risques : </w:t>
      </w:r>
      <w:r>
        <w:rPr>
          <w:sz w:val="18"/>
        </w:rPr>
        <w:t>["Volatilit\u00e9 des prix des produits p\u00e9troliers impactant les marges", "Concurrence accrue sur le march\u00e9 des carburants en C\u00f4te d'Ivoire", "D\u00e9pendance au contexte \u00e9conomique ivoirien et aux fluctuations du FCFA"]</w:t>
      </w:r>
    </w:p>
    <w:p>
      <w:pPr>
        <w:spacing w:before="40"/>
        <w:ind w:left="400"/>
      </w:pPr>
      <w:r>
        <w:rPr>
          <w:b/>
          <w:color w:val="0064A0"/>
          <w:sz w:val="18"/>
        </w:rPr>
        <w:t xml:space="preserve">🔮 Perspectives : </w:t>
      </w:r>
      <w:r>
        <w:rPr>
          <w:sz w:val="18"/>
        </w:rPr>
        <w:t>La dynamique positive du premier trimestre laisse présager une année 2026 favorable, soutenue par la croissance économique ivoirienne et l'expansion du réseau de distribution. La diversification vers les énergies renouvelables positionne favorablement la société pour répondre aux enjeux de transitio</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"Entreprise rentable et leader de la distribution, avec des marges en amélioration et un dividende attractif. Mais le payout supérieur à 100 % et la trésorerie nette négative appellent à surveiller la soutenabilité de la distribution."}</w:t>
      </w:r>
    </w:p>
    <w:p>
      <w:pPr>
        <w:spacing w:before="40"/>
        <w:ind w:left="400"/>
      </w:pPr>
      <w:r>
        <w:rPr>
          <w:sz w:val="18"/>
        </w:rPr>
        <w:t>TotalEnergies Marketing Côte d'Ivoire affiche un exercice 2025 solide mais en léger repli. Le chiffre d'affaires recule de 5 % à 588,7 milliards FCFA, tandis que la rentabilité opérationnelle s'améliore : le résultat d'exploitation progresse de 18 % à 12,3 milliards et l'EBE de 12 %, signe d'une meilleure maîtrise des marges. Le bénéfice net s'établit à 9,09 milliards FCFA (-3 %). La société distribue un dividende brut de 10 milliards FCFA, soit un taux de distribution supérieur à 100 % du résultat, ce qui réduit les capitaux propres (41,1 Md à 36,2 Md). La trésorerie nette reste structurellement négative à -21,9 milliards, traduisant une forte dépendance aux crédits bancaires de court terme</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'19,11 milliards FCFA', 'resultat_exploitation': '12,33 milliards FCFA', 'excedent_brut_exploitation': '22,35 milliards FCFA'}</w:t>
            </w:r>
          </w:p>
        </w:tc>
        <w:tc>
          <w:tcPr>
            <w:tcW w:type="dxa" w:w="2160"/>
          </w:tcPr>
          <w:p>
            <w:pPr>
              <w:ind w:left="100"/>
            </w:pPr>
            <w:r/>
            <w:r>
              <w:rPr>
                <w:b/>
                <w:sz w:val="16"/>
              </w:rPr>
              <w:t>dividende</w:t>
              <w:br/>
            </w:r>
            <w:r>
              <w:rPr>
                <w:sz w:val="18"/>
              </w:rPr>
              <w:t>10 milliards FCFA (dividende brut total)</w:t>
            </w:r>
          </w:p>
        </w:tc>
        <w:tc>
          <w:tcPr>
            <w:tcW w:type="dxa" w:w="2160"/>
          </w:tcPr>
          <w:p>
            <w:pPr>
              <w:ind w:left="100"/>
            </w:pPr>
            <w:r/>
            <w:r>
              <w:rPr>
                <w:b/>
                <w:sz w:val="16"/>
              </w:rPr>
              <w:t>marge_nette</w:t>
              <w:br/>
            </w:r>
            <w:r>
              <w:rPr>
                <w:sz w:val="18"/>
              </w:rPr>
              <w:t>1,54 %</w:t>
            </w:r>
          </w:p>
        </w:tc>
        <w:tc>
          <w:tcPr>
            <w:tcW w:type="dxa" w:w="2160"/>
          </w:tcPr>
          <w:p>
            <w:pPr>
              <w:ind w:left="100"/>
            </w:pPr>
            <w:r/>
            <w:r>
              <w:rPr>
                <w:b/>
                <w:sz w:val="16"/>
              </w:rPr>
              <w:t>total_actif</w:t>
              <w:br/>
            </w:r>
            <w:r>
              <w:rPr>
                <w:sz w:val="18"/>
              </w:rPr>
              <w:t>188,5 milliards FCFA</w:t>
            </w:r>
          </w:p>
        </w:tc>
      </w:tr>
      <w:tr>
        <w:tc>
          <w:tcPr>
            <w:tcW w:type="dxa" w:w="2160"/>
          </w:tcPr>
          <w:p>
            <w:r/>
            <w:r>
              <w:rPr>
                <w:b/>
                <w:sz w:val="16"/>
              </w:rPr>
              <w:t>resultat_net</w:t>
              <w:br/>
            </w:r>
            <w:r>
              <w:rPr>
                <w:sz w:val="18"/>
              </w:rPr>
              <w:t>9,09 milliards FCFA (bénéfice)</w:t>
            </w:r>
          </w:p>
        </w:tc>
        <w:tc>
          <w:tcPr>
            <w:tcW w:type="dxa" w:w="2160"/>
          </w:tcPr>
          <w:p>
            <w:r/>
            <w:r>
              <w:rPr>
                <w:b/>
                <w:sz w:val="16"/>
              </w:rPr>
              <w:t>capitaux_propres</w:t>
              <w:br/>
            </w:r>
            <w:r>
              <w:rPr>
                <w:sz w:val="18"/>
              </w:rPr>
              <w:t>36,20 milliards FCFA</w:t>
            </w:r>
          </w:p>
        </w:tc>
        <w:tc>
          <w:tcPr>
            <w:tcW w:type="dxa" w:w="2160"/>
          </w:tcPr>
          <w:p>
            <w:r/>
            <w:r>
              <w:rPr>
                <w:b/>
                <w:sz w:val="16"/>
              </w:rPr>
              <w:t>chiffre_affaires</w:t>
              <w:br/>
            </w:r>
            <w:r>
              <w:rPr>
                <w:sz w:val="18"/>
              </w:rPr>
              <w:t>588,7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588,7 Md FCFA, en repli de 5 %</w:t>
      </w:r>
    </w:p>
    <w:p>
      <w:pPr>
        <w:pStyle w:val="ListBullet"/>
        <w:spacing w:before="20" w:after="20"/>
        <w:ind w:left="700"/>
      </w:pPr>
      <w:r>
        <w:rPr>
          <w:sz w:val="18"/>
        </w:rPr>
        <w:t>Résultat d'exploitation 12,3 Md (+18 %) et EBE +12 % : marges en amélioration</w:t>
      </w:r>
    </w:p>
    <w:p>
      <w:pPr>
        <w:pStyle w:val="ListBullet"/>
        <w:spacing w:before="20" w:after="20"/>
        <w:ind w:left="700"/>
      </w:pPr>
      <w:r>
        <w:rPr>
          <w:sz w:val="18"/>
        </w:rPr>
        <w:t>Bénéfice net 9,09 Md FCFA (-3 %)</w:t>
      </w:r>
    </w:p>
    <w:p>
      <w:pPr>
        <w:pStyle w:val="ListBullet"/>
        <w:spacing w:before="20" w:after="20"/>
        <w:ind w:left="700"/>
      </w:pPr>
      <w:r>
        <w:rPr>
          <w:sz w:val="18"/>
        </w:rPr>
        <w:t>Dividende brut de 10 Md FCFA : taux de distribution supérieur à 100 %</w:t>
      </w:r>
    </w:p>
    <w:p>
      <w:pPr>
        <w:pStyle w:val="ListBullet"/>
        <w:spacing w:before="20" w:after="20"/>
        <w:ind w:left="700"/>
      </w:pPr>
      <w:r>
        <w:rPr>
          <w:sz w:val="18"/>
        </w:rPr>
        <w:t>Capitaux propres en baisse (41,1 Md à 36,2 Md) du fait de la distribution</w:t>
      </w:r>
    </w:p>
    <w:p>
      <w:pPr>
        <w:pStyle w:val="ListBullet"/>
        <w:spacing w:before="20" w:after="20"/>
        <w:ind w:left="700"/>
      </w:pPr>
      <w:r>
        <w:rPr>
          <w:sz w:val="18"/>
        </w:rPr>
        <w:t>Trésorerie nette négative à -21,9 Md (recours aux crédits court terme)</w:t>
      </w:r>
    </w:p>
    <w:p>
      <w:pPr>
        <w:spacing w:before="40"/>
        <w:ind w:left="400"/>
      </w:pPr>
      <w:r>
        <w:rPr>
          <w:b/>
          <w:color w:val="C05000"/>
          <w:sz w:val="18"/>
        </w:rPr>
        <w:t xml:space="preserve">⚠️ Risques : </w:t>
      </w:r>
      <w:r>
        <w:rPr>
          <w:sz w:val="18"/>
        </w:rPr>
        <w:t>["Chiffre d'affaires en repli (-5 %), sensibilité aux prix et volumes des produits pétroliers", "Trésorerie nette structurellement négative (-21,9 Md), dépendance aux crédits bancaires court terme", "Dividende (10 Md) supérieur au résultat net (9,09 Md) : ponction sur les réserves", "Marché aval pét</w:t>
      </w:r>
    </w:p>
    <w:p>
      <w:pPr>
        <w:spacing w:before="40"/>
        <w:ind w:left="400"/>
      </w:pPr>
      <w:r>
        <w:rPr>
          <w:b/>
          <w:color w:val="0064A0"/>
          <w:sz w:val="18"/>
        </w:rPr>
        <w:t xml:space="preserve">🔮 Perspectives : </w:t>
      </w:r>
      <w:r>
        <w:rPr>
          <w:sz w:val="18"/>
        </w:rPr>
        <w:t>La rentabilité opérationnelle progresse malgré un chiffre d'affaires en baisse, confirmant la position de leader et la qualité de la gestion des marges. Le dividende reste généreux, mais sa soutenabilité et le redressement de la trésorerie nette constituent les points de vigilance pour les exercices</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exceptionnelle avec une croissance soutenue du CA et une rentabilit\u00e9 en forte am\u00e9lioration. La politique de distribution g\u00e9n\u00e9reuse et la solidit\u00e9 financi\u00e8re renforcent l'attractivit\u00e9 de l'investissement."}</w:t>
      </w:r>
    </w:p>
    <w:p>
      <w:pPr>
        <w:spacing w:before="40"/>
        <w:ind w:left="400"/>
      </w:pPr>
      <w:r>
        <w:rPr>
          <w:sz w:val="18"/>
        </w:rPr>
        <w:t>TotalEnergies Marketing Côte d'Ivoire S.A. affiche une excellente performance financière en 2021 avec un chiffre d'affaires de 494,4 milliards FCFA, en hausse de 19,83%. Le résultat net a bondi de 45,7% à 11,1 milliards FCFA, démontrant une forte rentabilité opérationnelle. La marge nette s'établit à 2,25% avec une valeur ajoutée qui progresse de 41,06%. La société maintient une politique de distribution généreuse avec 11,1 milliards FCFA de dividendes bruts. La structure financière reste solide avec 48,1 milliards FCFA de capitaux propres et une trésorerie nette positive.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'19 578 millions FCFA', 'valeur_ajoutee': '30 970 millions FCFA', 'tresorerie_nette': '2 145 millions FCFA', 'resultat_exploitation': '16 088 millions FCFA'}</w:t>
            </w:r>
          </w:p>
        </w:tc>
        <w:tc>
          <w:tcPr>
            <w:tcW w:type="dxa" w:w="2160"/>
          </w:tcPr>
          <w:p>
            <w:pPr>
              <w:ind w:left="100"/>
            </w:pPr>
            <w:r/>
            <w:r>
              <w:rPr>
                <w:b/>
                <w:sz w:val="16"/>
              </w:rPr>
              <w:t>dividende</w:t>
              <w:br/>
            </w:r>
            <w:r>
              <w:rPr>
                <w:sz w:val="18"/>
              </w:rPr>
              <w:t>11 143 millions FCFA (dividendes bruts totaux)</w:t>
            </w:r>
          </w:p>
        </w:tc>
        <w:tc>
          <w:tcPr>
            <w:tcW w:type="dxa" w:w="2160"/>
          </w:tcPr>
          <w:p>
            <w:pPr>
              <w:ind w:left="100"/>
            </w:pPr>
            <w:r/>
            <w:r>
              <w:rPr>
                <w:b/>
                <w:sz w:val="16"/>
              </w:rPr>
              <w:t>marge_nette</w:t>
              <w:br/>
            </w:r>
            <w:r>
              <w:rPr>
                <w:sz w:val="18"/>
              </w:rPr>
              <w:t>2,25%</w:t>
            </w:r>
          </w:p>
        </w:tc>
        <w:tc>
          <w:tcPr>
            <w:tcW w:type="dxa" w:w="2160"/>
          </w:tcPr>
          <w:p>
            <w:pPr>
              <w:ind w:left="100"/>
            </w:pPr>
            <w:r/>
            <w:r>
              <w:rPr>
                <w:b/>
                <w:sz w:val="16"/>
              </w:rPr>
              <w:t>total_actif</w:t>
              <w:br/>
            </w:r>
            <w:r>
              <w:rPr>
                <w:sz w:val="18"/>
              </w:rPr>
              <w:t>156 297 millions FCFA</w:t>
            </w:r>
          </w:p>
        </w:tc>
      </w:tr>
      <w:tr>
        <w:tc>
          <w:tcPr>
            <w:tcW w:type="dxa" w:w="2160"/>
          </w:tcPr>
          <w:p>
            <w:r/>
            <w:r>
              <w:rPr>
                <w:b/>
                <w:sz w:val="16"/>
              </w:rPr>
              <w:t>resultat_net</w:t>
              <w:br/>
            </w:r>
            <w:r>
              <w:rPr>
                <w:sz w:val="18"/>
              </w:rPr>
              <w:t>11 143 millions FCFA</w:t>
            </w:r>
          </w:p>
        </w:tc>
        <w:tc>
          <w:tcPr>
            <w:tcW w:type="dxa" w:w="2160"/>
          </w:tcPr>
          <w:p>
            <w:r/>
            <w:r>
              <w:rPr>
                <w:b/>
                <w:sz w:val="16"/>
              </w:rPr>
              <w:t>capitaux_propres</w:t>
              <w:br/>
            </w:r>
            <w:r>
              <w:rPr>
                <w:sz w:val="18"/>
              </w:rPr>
              <w:t>48 133 millions FCFA</w:t>
            </w:r>
          </w:p>
        </w:tc>
        <w:tc>
          <w:tcPr>
            <w:tcW w:type="dxa" w:w="2160"/>
          </w:tcPr>
          <w:p>
            <w:r/>
            <w:r>
              <w:rPr>
                <w:b/>
                <w:sz w:val="16"/>
              </w:rPr>
              <w:t>chiffre_affaires</w:t>
              <w:br/>
            </w:r>
            <w:r>
              <w:rPr>
                <w:sz w:val="18"/>
              </w:rPr>
              <w:t>494 433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19,83% atteignant 494,4 milliards FCFA</w:t>
      </w:r>
    </w:p>
    <w:p>
      <w:pPr>
        <w:pStyle w:val="ListBullet"/>
        <w:spacing w:before="20" w:after="20"/>
        <w:ind w:left="700"/>
      </w:pPr>
      <w:r>
        <w:rPr>
          <w:sz w:val="18"/>
        </w:rPr>
        <w:t>Résultat net en forte progression de 45,7% à 11,1 milliards FCFA</w:t>
      </w:r>
    </w:p>
    <w:p>
      <w:pPr>
        <w:pStyle w:val="ListBullet"/>
        <w:spacing w:before="20" w:after="20"/>
        <w:ind w:left="700"/>
      </w:pPr>
      <w:r>
        <w:rPr>
          <w:sz w:val="18"/>
        </w:rPr>
        <w:t>Valeur ajoutée en hausse remarquable de 41,06% à 31 milliards FCFA</w:t>
      </w:r>
    </w:p>
    <w:p>
      <w:pPr>
        <w:pStyle w:val="ListBullet"/>
        <w:spacing w:before="20" w:after="20"/>
        <w:ind w:left="700"/>
      </w:pPr>
      <w:r>
        <w:rPr>
          <w:sz w:val="18"/>
        </w:rPr>
        <w:t>Marge d'exploitation doublée de 7,98 à 16,09 milliards FCFA (+101,55%)</w:t>
      </w:r>
    </w:p>
    <w:p>
      <w:pPr>
        <w:pStyle w:val="ListBullet"/>
        <w:spacing w:before="20" w:after="20"/>
        <w:ind w:left="700"/>
      </w:pPr>
      <w:r>
        <w:rPr>
          <w:sz w:val="18"/>
        </w:rPr>
        <w:t>Distribution de dividendes quasi-intégrale du résultat (11,1 milliards FCFA)</w:t>
      </w:r>
    </w:p>
    <w:p>
      <w:pPr>
        <w:pStyle w:val="ListBullet"/>
        <w:spacing w:before="20" w:after="20"/>
        <w:ind w:left="700"/>
      </w:pPr>
      <w:r>
        <w:rPr>
          <w:sz w:val="18"/>
        </w:rPr>
        <w:t>Investissements soutenus de 8,5 milliards FCFA pour le développement</w:t>
      </w:r>
    </w:p>
    <w:p>
      <w:pPr>
        <w:spacing w:before="40"/>
        <w:ind w:left="400"/>
      </w:pPr>
      <w:r>
        <w:rPr>
          <w:b/>
          <w:color w:val="C05000"/>
          <w:sz w:val="18"/>
        </w:rPr>
        <w:t xml:space="preserve">⚠️ Risques : </w:t>
      </w:r>
      <w:r>
        <w:rPr>
          <w:sz w:val="18"/>
        </w:rPr>
        <w:t>["D\u00e9pendance aux fluctuations des prix du p\u00e9trole et produits p\u00e9troliers", "Exposition au risque de change et \u00e0 l'instabilit\u00e9 \u00e9conomique r\u00e9gionale", "Intensification de la concurrence sur le march\u00e9 des hydrocarbures en C\u00f4te d'Ivoire"]</w:t>
      </w:r>
    </w:p>
    <w:p>
      <w:pPr>
        <w:spacing w:before="40"/>
        <w:ind w:left="400"/>
      </w:pPr>
      <w:r>
        <w:rPr>
          <w:b/>
          <w:color w:val="0064A0"/>
          <w:sz w:val="18"/>
        </w:rPr>
        <w:t xml:space="preserve">🔮 Perspectives : </w:t>
      </w:r>
      <w:r>
        <w:rPr>
          <w:sz w:val="18"/>
        </w:rPr>
        <w:t>La société bénéficie d'une position solide sur le marché ivoirien avec des fondamentaux robustes pour poursuivre sa croissance. L'amélioration continue de l'efficacité opérationnelle et les investissements stratégiques devraient soutenir la performance future. La transition énergétique pourrait offr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du chiffre d'affaires, l'am\u00e9lioration significative de la rentabilit\u00e9 op\u00e9rationnelle et du r\u00e9sultat net d\u00e9montre une bonne gestion des co\u00fbts. La soci\u00e9t\u00e9 maintient sa position sur un march\u00e9 essentiel avec des perspectives d'adaptation vers les \u00e9nergies renouvelables."}</w:t>
      </w:r>
    </w:p>
    <w:p>
      <w:pPr>
        <w:spacing w:before="40"/>
        <w:ind w:left="400"/>
      </w:pPr>
      <w:r>
        <w:rPr>
          <w:sz w:val="18"/>
        </w:rPr>
        <w:t>Total Energies Marketing Côte d'Ivoire a enregistré une performance mitigée au premier semestre 2022 avec un chiffre d'affaires de 249,028 millions FCFA en baisse de 11,5% par rapport aux 277,751 millions FCFA du premier semestre 2021. Le tonnage vendu a diminué de 4,4% à 390,213 tonnes contre 373,071 tonnes l'année précédente. Malgré cette baisse d'activité, le résultat d'exploitation s'améliore significativement passant de 7,786 millions FCFA à 8,808 millions FCFA, soit une progression de 13,1%. Le résultat net progresse également de 17,8% pour atteindre 5,566 millions FCFA contre 8,559 millions FCFA précédemment. La société évolue dans un environnement économique sous tension marqué par l</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'-11,5%', 'tonnage_vendu': '390,213 tonnes', 'resultat_exploitation': '7,786 millions FCFA', 'variation_resultat_net': '+17,8%'}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2,23%</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5,566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249,028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11,5% à 249,028 millions FCFA au S1 2022</w:t>
      </w:r>
    </w:p>
    <w:p>
      <w:pPr>
        <w:pStyle w:val="ListBullet"/>
        <w:spacing w:before="20" w:after="20"/>
        <w:ind w:left="700"/>
      </w:pPr>
      <w:r>
        <w:rPr>
          <w:sz w:val="18"/>
        </w:rPr>
        <w:t>Diminution du tonnage vendu de 4,4% à 390,213 tonnes</w:t>
      </w:r>
    </w:p>
    <w:p>
      <w:pPr>
        <w:pStyle w:val="ListBullet"/>
        <w:spacing w:before="20" w:after="20"/>
        <w:ind w:left="700"/>
      </w:pPr>
      <w:r>
        <w:rPr>
          <w:sz w:val="18"/>
        </w:rPr>
        <w:t>Amélioration du résultat d'exploitation de 13,1% à 7,786 millions FCFA</w:t>
      </w:r>
    </w:p>
    <w:p>
      <w:pPr>
        <w:pStyle w:val="ListBullet"/>
        <w:spacing w:before="20" w:after="20"/>
        <w:ind w:left="700"/>
      </w:pPr>
      <w:r>
        <w:rPr>
          <w:sz w:val="18"/>
        </w:rPr>
        <w:t>Progression du résultat net de 17,8% à 5,566 millions FCFA</w:t>
      </w:r>
    </w:p>
    <w:p>
      <w:pPr>
        <w:pStyle w:val="ListBullet"/>
        <w:spacing w:before="20" w:after="20"/>
        <w:ind w:left="700"/>
      </w:pPr>
      <w:r>
        <w:rPr>
          <w:sz w:val="18"/>
        </w:rPr>
        <w:t>Impact de la guerre en Ukraine et de l'inflation mondiale sur l'activité</w:t>
      </w:r>
    </w:p>
    <w:p>
      <w:pPr>
        <w:pStyle w:val="ListBullet"/>
        <w:spacing w:before="20" w:after="20"/>
        <w:ind w:left="700"/>
      </w:pPr>
      <w:r>
        <w:rPr>
          <w:sz w:val="18"/>
        </w:rPr>
        <w:t>Régression des volumes principalement due à la hausse des prix des produits pétroliers</w:t>
      </w:r>
    </w:p>
    <w:p>
      <w:pPr>
        <w:spacing w:before="40"/>
        <w:ind w:left="400"/>
      </w:pPr>
      <w:r>
        <w:rPr>
          <w:b/>
          <w:color w:val="C05000"/>
          <w:sz w:val="18"/>
        </w:rPr>
        <w:t xml:space="preserve">⚠️ Risques : </w:t>
      </w:r>
      <w:r>
        <w:rPr>
          <w:sz w:val="18"/>
        </w:rPr>
        <w:t>["Volatilit\u00e9 des prix du p\u00e9trole et impact de la crise ukrainienne", "Inflation mondiale affectant les co\u00fbts et la demande", "Baisse tendancielle des volumes de vente de produits p\u00e9troliers"]</w:t>
      </w:r>
    </w:p>
    <w:p>
      <w:pPr>
        <w:spacing w:before="40"/>
        <w:ind w:left="400"/>
      </w:pPr>
      <w:r>
        <w:rPr>
          <w:b/>
          <w:color w:val="0064A0"/>
          <w:sz w:val="18"/>
        </w:rPr>
        <w:t xml:space="preserve">🔮 Perspectives : </w:t>
      </w:r>
      <w:r>
        <w:rPr>
          <w:sz w:val="18"/>
        </w:rPr>
        <w:t>La société devra s'adapter à un environnement économique difficile marqué par l'inflation et les tensions géopolitiques. Les investissements dans les énergies renouvelables constituent un axe de développement prometteur pour diversifier l'activité et créer de la valeur à moyen terme.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"L'attestation confirme la r\u00e9gularit\u00e9 des comptes semestriels sans anomalies significatives. Cependant, l'absence de donn\u00e9es financi\u00e8res d\u00e9taill\u00e9es limite l'\u00e9valuation de la performance."}</w:t>
      </w:r>
    </w:p>
    <w:p>
      <w:pPr>
        <w:spacing w:before="40"/>
        <w:ind w:left="400"/>
      </w:pPr>
      <w:r>
        <w:rPr>
          <w:sz w:val="18"/>
        </w:rPr>
        <w:t>Ce document présente l'attestation des Commissaires aux Comptes de Total Energies Marketing Côte d'Ivoire, S.A. concernant l'examen limité du tableau d'activités et de résultat et du rapport d'activité semestriel au 30 juin 2022. Les commissaires aux comptes Uniconseil et Ernst &amp; Young ont effectué un examen limité selon la norme ISRE 2410. L'examen limité offre une assurance modérée, moins élevée qu'un audit complet selon les normes ISA. Les commissaires n'ont pas relevé de faits significatifs remettant en cause l'établissement des états financiers semestriels. Le document confirme la conformité aux dispositions réglementaires de l'OHADA et aux circulaires de l'UMOA.</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{'rccm': 'CI-ABJ-01-1970-B14-07118', 'capital_social': '12.000.000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None</w:t>
            </w:r>
          </w:p>
        </w:tc>
        <w:tc>
          <w:tcPr>
            <w:tcW w:type="dxa" w:w="2160"/>
          </w:tcPr>
          <w:p/>
        </w:tc>
      </w:tr>
    </w:tbl>
    <w:p/>
    <w:p>
      <w:pPr>
        <w:spacing w:before="60"/>
        <w:ind w:left="400"/>
      </w:pPr>
      <w:r>
        <w:rPr>
          <w:b/>
          <w:sz w:val="18"/>
        </w:rPr>
        <w:t>Points clés :</w:t>
      </w:r>
    </w:p>
    <w:p>
      <w:pPr>
        <w:pStyle w:val="ListBullet"/>
        <w:spacing w:before="20" w:after="20"/>
        <w:ind w:left="700"/>
      </w:pPr>
      <w:r>
        <w:rPr>
          <w:sz w:val="18"/>
        </w:rPr>
        <w:t>Attestation des Commissaires aux Comptes pour les comptes semestriels au 30 juin 2022</w:t>
      </w:r>
    </w:p>
    <w:p>
      <w:pPr>
        <w:pStyle w:val="ListBullet"/>
        <w:spacing w:before="20" w:after="20"/>
        <w:ind w:left="700"/>
      </w:pPr>
      <w:r>
        <w:rPr>
          <w:sz w:val="18"/>
        </w:rPr>
        <w:t>Examen limité effectué selon la norme ISRE 2410 par Uniconseil et Ernst &amp; Young</w:t>
      </w:r>
    </w:p>
    <w:p>
      <w:pPr>
        <w:pStyle w:val="ListBullet"/>
        <w:spacing w:before="20" w:after="20"/>
        <w:ind w:left="700"/>
      </w:pPr>
      <w:r>
        <w:rPr>
          <w:sz w:val="18"/>
        </w:rPr>
        <w:t>Assurance modérée fournie, moins élevée qu'un audit complet</w:t>
      </w:r>
    </w:p>
    <w:p>
      <w:pPr>
        <w:pStyle w:val="ListBullet"/>
        <w:spacing w:before="20" w:after="20"/>
        <w:ind w:left="700"/>
      </w:pPr>
      <w:r>
        <w:rPr>
          <w:sz w:val="18"/>
        </w:rPr>
        <w:t>Aucun fait significatif relevé remettant en cause l'établissement des états financiers</w:t>
      </w:r>
    </w:p>
    <w:p>
      <w:pPr>
        <w:pStyle w:val="ListBullet"/>
        <w:spacing w:before="20" w:after="20"/>
        <w:ind w:left="700"/>
      </w:pPr>
      <w:r>
        <w:rPr>
          <w:sz w:val="18"/>
        </w:rPr>
        <w:t>Conformité aux dispositions des articles 850 à 851 de l'Acte Uniforme OHADA</w:t>
      </w:r>
    </w:p>
    <w:p>
      <w:pPr>
        <w:pStyle w:val="ListBullet"/>
        <w:spacing w:before="20" w:after="20"/>
        <w:ind w:left="700"/>
      </w:pPr>
      <w:r>
        <w:rPr>
          <w:sz w:val="18"/>
        </w:rPr>
        <w:t>Respect des formats de présentation selon la Circulaire n°004-2010 de l'UMOA</w:t>
      </w:r>
    </w:p>
    <w:p>
      <w:pPr>
        <w:spacing w:before="40"/>
        <w:ind w:left="400"/>
      </w:pPr>
      <w:r>
        <w:rPr>
          <w:b/>
          <w:color w:val="C05000"/>
          <w:sz w:val="18"/>
        </w:rPr>
        <w:t xml:space="preserve">⚠️ Risques : </w:t>
      </w:r>
      <w:r>
        <w:rPr>
          <w:sz w:val="18"/>
        </w:rPr>
        <w:t>["Manque de transparence financi\u00e8re avec absence de donn\u00e9es chiffr\u00e9es d\u00e9taill\u00e9es", "D\u00e9pendance au secteur \u00e9nerg\u00e9tique dans un contexte de volatilit\u00e9 des prix", "Exposition aux risques r\u00e9glementaires et fiscaux du march\u00e9 ivoirien"]</w:t>
      </w:r>
    </w:p>
    <w:p>
      <w:pPr>
        <w:spacing w:before="40"/>
        <w:ind w:left="400"/>
      </w:pPr>
      <w:r>
        <w:rPr>
          <w:b/>
          <w:color w:val="0064A0"/>
          <w:sz w:val="18"/>
        </w:rPr>
        <w:t xml:space="preserve">🔮 Perspectives : </w:t>
      </w:r>
      <w:r>
        <w:rPr>
          <w:sz w:val="18"/>
        </w:rPr>
        <w:t>Les perspectives restent difficiles à évaluer en l'absence de données financières concrètes dans ce document d'attestation. La régularité comptable attestée suggère une gestion conforme aux normes, mais nécessite l'analyse des états financiers complets pour une évaluation prospective.</w:t>
      </w:r>
    </w:p>
    <w:p/>
    <w:p>
      <w:r>
        <w:t>════════════════════════════════════════════════════════════════════════════════</w:t>
      </w:r>
    </w:p>
    <w:p>
      <w:r>
        <w:br w:type="page"/>
      </w:r>
    </w:p>
    <w:p>
      <w:pPr>
        <w:pStyle w:val="Heading2"/>
        <w:spacing w:before="360"/>
      </w:pPr>
      <w:r>
        <w:rPr>
          <w:color w:val="0066CC"/>
        </w:rPr>
        <w:t>45. TTLS - TTLS - TOTAL ENERGIES MARKETING SENEGAL</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TTLS</w:t>
            </w:r>
          </w:p>
          <w:p>
            <w:r>
              <w:rPr>
                <w:b/>
                <w:color w:val="323250"/>
                <w:sz w:val="16"/>
              </w:rPr>
              <w:t xml:space="preserve">Société : </w:t>
            </w:r>
            <w:r>
              <w:rPr>
                <w:color w:val="000000"/>
                <w:sz w:val="16"/>
              </w:rPr>
              <w:t>TTLS - TOTAL ENERGIES MARKETING SENEGAL</w:t>
            </w:r>
          </w:p>
          <w:p>
            <w:r>
              <w:rPr>
                <w:b/>
                <w:color w:val="323250"/>
                <w:sz w:val="16"/>
              </w:rPr>
              <w:t xml:space="preserve">Secteur : </w:t>
            </w:r>
            <w:r>
              <w:rPr>
                <w:color w:val="000000"/>
                <w:sz w:val="16"/>
              </w:rPr>
              <w:t>ENERGIE</w:t>
            </w:r>
          </w:p>
        </w:tc>
        <w:tc>
          <w:tcPr>
            <w:tcW w:type="dxa" w:w="2268"/>
            <w:shd w:fill="E2EFDA" w:val="clear"/>
          </w:tcPr>
          <w:p>
            <w:r>
              <w:rPr>
                <w:b/>
                <w:color w:val="1E461E"/>
                <w:sz w:val="16"/>
              </w:rPr>
              <w:t xml:space="preserve">Capitalisation : </w:t>
            </w:r>
            <w:r>
              <w:rPr>
                <w:b/>
                <w:color w:val="006400"/>
                <w:sz w:val="17"/>
              </w:rPr>
              <w:t>120.05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2,784 titres</w:t>
            </w:r>
          </w:p>
        </w:tc>
        <w:tc>
          <w:tcPr>
            <w:tcW w:type="dxa" w:w="2268"/>
            <w:shd w:fill="FFF2CC" w:val="clear"/>
          </w:tcPr>
          <w:p>
            <w:r>
              <w:rPr>
                <w:b/>
                <w:color w:val="503200"/>
                <w:sz w:val="16"/>
              </w:rPr>
              <w:t xml:space="preserve">Cours actuel : </w:t>
            </w:r>
            <w:r>
              <w:rPr>
                <w:color w:val="000000"/>
                <w:sz w:val="17"/>
              </w:rPr>
              <w:t>3,685 FCFA</w:t>
            </w:r>
          </w:p>
          <w:p>
            <w:r>
              <w:rPr>
                <w:b/>
                <w:color w:val="503200"/>
                <w:sz w:val="16"/>
              </w:rPr>
              <w:t xml:space="preserve">Var. 100 jours : </w:t>
            </w:r>
            <w:r>
              <w:rPr>
                <w:b/>
                <w:color w:val="007800"/>
                <w:sz w:val="17"/>
              </w:rPr>
              <w:t>+13.38%</w:t>
            </w:r>
          </w:p>
          <w:p>
            <w:r>
              <w:rPr>
                <w:b/>
                <w:color w:val="503200"/>
                <w:sz w:val="16"/>
              </w:rPr>
              <w:t xml:space="preserve">Plus haut 100j : </w:t>
            </w:r>
            <w:r>
              <w:rPr>
                <w:color w:val="000000"/>
                <w:sz w:val="17"/>
              </w:rPr>
              <w:t>4,500 FCFA</w:t>
            </w:r>
          </w:p>
          <w:p>
            <w:r>
              <w:rPr>
                <w:b/>
                <w:color w:val="503200"/>
                <w:sz w:val="16"/>
              </w:rPr>
              <w:t xml:space="preserve">Plus bas 100j : </w:t>
            </w:r>
            <w:r>
              <w:rPr>
                <w:color w:val="000000"/>
                <w:sz w:val="17"/>
              </w:rPr>
              <w:t>2,845 FCFA</w:t>
            </w:r>
          </w:p>
          <w:p>
            <w:r>
              <w:rPr>
                <w:b/>
                <w:color w:val="503200"/>
                <w:sz w:val="16"/>
              </w:rPr>
              <w:t xml:space="preserve">Volatilité ann. : </w:t>
            </w:r>
            <w:r>
              <w:rPr>
                <w:color w:val="000000"/>
                <w:sz w:val="17"/>
              </w:rPr>
              <w:t>47.9%</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20.8/100 → Moyen</w:t>
      </w:r>
    </w:p>
    <w:p>
      <w:pPr>
        <w:spacing w:before="40" w:after="80"/>
      </w:pPr>
      <w:r>
        <w:rPr>
          <w:rFonts w:ascii="Courier New" w:hAnsi="Courier New"/>
          <w:color w:val="825A00"/>
          <w:sz w:val="18"/>
        </w:rPr>
        <w:t>████░░░░░░░░░░░░░░░░  20.8/100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10.52% (Moyenne) — μ=3,502 FCFA, σ=368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DEEAF1" w:val="clear"/>
          </w:tcPr>
          <w:p>
            <w:r>
              <w:rPr>
                <w:b/>
                <w:sz w:val="15"/>
              </w:rPr>
              <w:t>β=0.8739 (Neutre (suit le marché)) — Cov=0.000031, Var(idx)=0.000035, ρ=0.173, n=98 obs</w:t>
            </w:r>
          </w:p>
        </w:tc>
        <w:tc>
          <w:tcPr>
            <w:tcW w:type="dxa" w:w="1984"/>
            <w:shd w:fill="F7F7F7" w:val="clear"/>
          </w:tcPr>
          <w:p>
            <w:r>
              <w:rPr>
                <w:i/>
                <w:color w:val="505078"/>
                <w:sz w:val="14"/>
              </w:rPr>
              <w:t>β = Cov(r_titre, r_indice) / Var(r_indice)</w:t>
            </w:r>
          </w:p>
        </w:tc>
        <w:tc>
          <w:tcPr>
            <w:tcW w:type="dxa" w:w="1984"/>
            <w:shd w:fill="DEEAF1" w:val="clear"/>
          </w:tcPr>
          <w:p>
            <w:r>
              <w:rPr>
                <w:sz w:val="15"/>
              </w:rPr>
              <w:t>🔵 β≈1.0 — suit le marché</w:t>
            </w:r>
          </w:p>
        </w:tc>
      </w:tr>
      <w:tr>
        <w:tc>
          <w:tcPr>
            <w:tcW w:type="dxa" w:w="2835"/>
            <w:shd w:fill="EEF2F7" w:val="clear"/>
          </w:tcPr>
          <w:p>
            <w:r>
              <w:rPr>
                <w:b/>
                <w:sz w:val="15"/>
              </w:rPr>
              <w:t>💧 Liquidité du titre (20%)</w:t>
            </w:r>
          </w:p>
        </w:tc>
        <w:tc>
          <w:tcPr>
            <w:tcW w:type="dxa" w:w="3118"/>
            <w:shd w:fill="DEEAF1" w:val="clear"/>
          </w:tcPr>
          <w:p>
            <w:r>
              <w:rPr>
                <w:b/>
                <w:sz w:val="15"/>
              </w:rPr>
              <w:t>2,784 titres/j (Bonne)</w:t>
            </w:r>
          </w:p>
        </w:tc>
        <w:tc>
          <w:tcPr>
            <w:tcW w:type="dxa" w:w="1984"/>
            <w:shd w:fill="F7F7F7" w:val="clear"/>
          </w:tcPr>
          <w:p>
            <w:r>
              <w:rPr>
                <w:i/>
                <w:color w:val="505078"/>
                <w:sz w:val="14"/>
              </w:rPr>
              <w:t>Volume moyen journalier (100 jours)</w:t>
            </w:r>
          </w:p>
        </w:tc>
        <w:tc>
          <w:tcPr>
            <w:tcW w:type="dxa" w:w="1984"/>
            <w:shd w:fill="DEEAF1" w:val="clear"/>
          </w:tcPr>
          <w:p>
            <w:r>
              <w:rPr>
                <w:sz w:val="15"/>
              </w:rPr>
              <w:t>🔵 1 000–10 000 titres/j — liquidité correcte</w:t>
            </w:r>
          </w:p>
        </w:tc>
      </w:tr>
      <w:tr>
        <w:tc>
          <w:tcPr>
            <w:tcW w:type="dxa" w:w="2835"/>
            <w:shd w:fill="EEF2F7" w:val="clear"/>
          </w:tcPr>
          <w:p>
            <w:r>
              <w:rPr>
                <w:b/>
                <w:sz w:val="15"/>
              </w:rPr>
              <w:t>🔀 Divergence signaux techniques (15%)</w:t>
            </w:r>
          </w:p>
        </w:tc>
        <w:tc>
          <w:tcPr>
            <w:tcW w:type="dxa" w:w="3118"/>
            <w:shd w:fill="FFEB9C" w:val="clear"/>
          </w:tcPr>
          <w:p>
            <w:r>
              <w:rPr>
                <w:b/>
                <w:sz w:val="15"/>
              </w:rPr>
              <w:t>Achat=1 / Vente=1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σ_j=3.02%/j (Modérée) — Vol. annualisée≈47.9%</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008000"/>
          <w:sz w:val="18"/>
        </w:rPr>
        <w:t xml:space="preserve">🟢 MACD  </w:t>
      </w:r>
      <w:r>
        <w:rPr>
          <w:color w:val="A07800"/>
          <w:sz w:val="18"/>
        </w:rPr>
        <w:t xml:space="preserve">🟡 RSI  </w:t>
      </w:r>
      <w:r>
        <w:rPr>
          <w:color w:val="A07800"/>
          <w:sz w:val="18"/>
        </w:rPr>
        <w:t xml:space="preserve">🟡 Stochastique  </w:t>
      </w:r>
    </w:p>
    <w:p>
      <w:pPr>
        <w:spacing w:before="80" w:after="80"/>
      </w:pPr>
      <w:r>
        <w:rPr>
          <w:b/>
          <w:sz w:val="22"/>
        </w:rPr>
        <w:t xml:space="preserve">Score composite : </w:t>
      </w:r>
      <w:r>
        <w:rPr>
          <w:b/>
          <w:color w:val="0064A0"/>
          <w:sz w:val="26"/>
        </w:rPr>
        <w:t>66/100  (Bon)</w:t>
      </w:r>
    </w:p>
    <w:p/>
    <w:p>
      <w:pPr>
        <w:jc w:val="center"/>
      </w:pPr>
      <w:r>
        <w:drawing>
          <wp:inline xmlns:a="http://schemas.openxmlformats.org/drawingml/2006/main" xmlns:pic="http://schemas.openxmlformats.org/drawingml/2006/picture">
            <wp:extent cx="5669280" cy="2635585"/>
            <wp:docPr id="47" name="Picture 47"/>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5669280" cy="2635585"/>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FDCE0" w:val="clear"/>
          </w:tcPr>
          <w:p>
            <w:r>
              <w:rPr>
                <w:sz w:val="17"/>
              </w:rPr>
              <w:t>J+1  ⭐</w:t>
            </w:r>
          </w:p>
        </w:tc>
        <w:tc>
          <w:tcPr>
            <w:tcW w:type="dxa" w:w="1440"/>
            <w:shd w:fill="FFDCE0" w:val="clear"/>
          </w:tcPr>
          <w:p>
            <w:r>
              <w:rPr>
                <w:sz w:val="17"/>
              </w:rPr>
              <w:t>2026-08-28</w:t>
            </w:r>
          </w:p>
        </w:tc>
        <w:tc>
          <w:tcPr>
            <w:tcW w:type="dxa" w:w="1440"/>
            <w:shd w:fill="FFDCE0" w:val="clear"/>
          </w:tcPr>
          <w:p>
            <w:r>
              <w:rPr>
                <w:sz w:val="17"/>
              </w:rPr>
              <w:t>3,414</w:t>
            </w:r>
          </w:p>
        </w:tc>
        <w:tc>
          <w:tcPr>
            <w:tcW w:type="dxa" w:w="1440"/>
            <w:shd w:fill="FFDCE0" w:val="clear"/>
          </w:tcPr>
          <w:p>
            <w:r>
              <w:rPr>
                <w:b/>
                <w:sz w:val="17"/>
              </w:rPr>
              <w:t>3,610</w:t>
            </w:r>
          </w:p>
        </w:tc>
        <w:tc>
          <w:tcPr>
            <w:tcW w:type="dxa" w:w="1440"/>
            <w:shd w:fill="FFDCE0" w:val="clear"/>
          </w:tcPr>
          <w:p>
            <w:r>
              <w:rPr>
                <w:sz w:val="17"/>
              </w:rPr>
              <w:t>3,806</w:t>
            </w:r>
          </w:p>
        </w:tc>
        <w:tc>
          <w:tcPr>
            <w:tcW w:type="dxa" w:w="1440"/>
            <w:shd w:fill="FFDCE0" w:val="clear"/>
          </w:tcPr>
          <w:p>
            <w:r>
              <w:rPr>
                <w:b/>
                <w:color w:val="C00000"/>
                <w:sz w:val="17"/>
              </w:rPr>
              <w:t>-2.0%</w:t>
            </w:r>
          </w:p>
        </w:tc>
      </w:tr>
      <w:tr>
        <w:tc>
          <w:tcPr>
            <w:tcW w:type="dxa" w:w="1440"/>
            <w:shd w:fill="FFDCE0" w:val="clear"/>
          </w:tcPr>
          <w:p>
            <w:r>
              <w:rPr>
                <w:sz w:val="17"/>
              </w:rPr>
              <w:t>J+2  ⭐</w:t>
            </w:r>
          </w:p>
        </w:tc>
        <w:tc>
          <w:tcPr>
            <w:tcW w:type="dxa" w:w="1440"/>
            <w:shd w:fill="FFDCE0" w:val="clear"/>
          </w:tcPr>
          <w:p>
            <w:r>
              <w:rPr>
                <w:sz w:val="17"/>
              </w:rPr>
              <w:t>2026-08-31</w:t>
            </w:r>
          </w:p>
        </w:tc>
        <w:tc>
          <w:tcPr>
            <w:tcW w:type="dxa" w:w="1440"/>
            <w:shd w:fill="FFDCE0" w:val="clear"/>
          </w:tcPr>
          <w:p>
            <w:r>
              <w:rPr>
                <w:sz w:val="17"/>
              </w:rPr>
              <w:t>3,280</w:t>
            </w:r>
          </w:p>
        </w:tc>
        <w:tc>
          <w:tcPr>
            <w:tcW w:type="dxa" w:w="1440"/>
            <w:shd w:fill="FFDCE0" w:val="clear"/>
          </w:tcPr>
          <w:p>
            <w:r>
              <w:rPr>
                <w:b/>
                <w:sz w:val="17"/>
              </w:rPr>
              <w:t>3,553</w:t>
            </w:r>
          </w:p>
        </w:tc>
        <w:tc>
          <w:tcPr>
            <w:tcW w:type="dxa" w:w="1440"/>
            <w:shd w:fill="FFDCE0" w:val="clear"/>
          </w:tcPr>
          <w:p>
            <w:r>
              <w:rPr>
                <w:sz w:val="17"/>
              </w:rPr>
              <w:t>3,825</w:t>
            </w:r>
          </w:p>
        </w:tc>
        <w:tc>
          <w:tcPr>
            <w:tcW w:type="dxa" w:w="1440"/>
            <w:shd w:fill="FFDCE0" w:val="clear"/>
          </w:tcPr>
          <w:p>
            <w:r>
              <w:rPr>
                <w:b/>
                <w:color w:val="C00000"/>
                <w:sz w:val="17"/>
              </w:rPr>
              <w:t>-3.6%</w:t>
            </w:r>
          </w:p>
        </w:tc>
      </w:tr>
      <w:tr>
        <w:tc>
          <w:tcPr>
            <w:tcW w:type="dxa" w:w="1440"/>
            <w:shd w:fill="FFDCE0" w:val="clear"/>
          </w:tcPr>
          <w:p>
            <w:r>
              <w:rPr>
                <w:sz w:val="17"/>
              </w:rPr>
              <w:t>J+3  ⭐</w:t>
            </w:r>
          </w:p>
        </w:tc>
        <w:tc>
          <w:tcPr>
            <w:tcW w:type="dxa" w:w="1440"/>
            <w:shd w:fill="FFDCE0" w:val="clear"/>
          </w:tcPr>
          <w:p>
            <w:r>
              <w:rPr>
                <w:sz w:val="17"/>
              </w:rPr>
              <w:t>2026-09-01</w:t>
            </w:r>
          </w:p>
        </w:tc>
        <w:tc>
          <w:tcPr>
            <w:tcW w:type="dxa" w:w="1440"/>
            <w:shd w:fill="FFDCE0" w:val="clear"/>
          </w:tcPr>
          <w:p>
            <w:r>
              <w:rPr>
                <w:sz w:val="17"/>
              </w:rPr>
              <w:t>3,174</w:t>
            </w:r>
          </w:p>
        </w:tc>
        <w:tc>
          <w:tcPr>
            <w:tcW w:type="dxa" w:w="1440"/>
            <w:shd w:fill="FFDCE0" w:val="clear"/>
          </w:tcPr>
          <w:p>
            <w:r>
              <w:rPr>
                <w:b/>
                <w:sz w:val="17"/>
              </w:rPr>
              <w:t>3,503</w:t>
            </w:r>
          </w:p>
        </w:tc>
        <w:tc>
          <w:tcPr>
            <w:tcW w:type="dxa" w:w="1440"/>
            <w:shd w:fill="FFDCE0" w:val="clear"/>
          </w:tcPr>
          <w:p>
            <w:r>
              <w:rPr>
                <w:sz w:val="17"/>
              </w:rPr>
              <w:t>3,832</w:t>
            </w:r>
          </w:p>
        </w:tc>
        <w:tc>
          <w:tcPr>
            <w:tcW w:type="dxa" w:w="1440"/>
            <w:shd w:fill="FFDCE0" w:val="clear"/>
          </w:tcPr>
          <w:p>
            <w:r>
              <w:rPr>
                <w:b/>
                <w:color w:val="C00000"/>
                <w:sz w:val="17"/>
              </w:rPr>
              <w:t>-4.9%</w:t>
            </w:r>
          </w:p>
        </w:tc>
      </w:tr>
      <w:tr>
        <w:tc>
          <w:tcPr>
            <w:tcW w:type="dxa" w:w="1440"/>
            <w:shd w:fill="FFDCE0" w:val="clear"/>
          </w:tcPr>
          <w:p>
            <w:r>
              <w:rPr>
                <w:sz w:val="17"/>
              </w:rPr>
              <w:t>J+4  ⭐</w:t>
            </w:r>
          </w:p>
        </w:tc>
        <w:tc>
          <w:tcPr>
            <w:tcW w:type="dxa" w:w="1440"/>
            <w:shd w:fill="FFDCE0" w:val="clear"/>
          </w:tcPr>
          <w:p>
            <w:r>
              <w:rPr>
                <w:sz w:val="17"/>
              </w:rPr>
              <w:t>2026-09-02</w:t>
            </w:r>
          </w:p>
        </w:tc>
        <w:tc>
          <w:tcPr>
            <w:tcW w:type="dxa" w:w="1440"/>
            <w:shd w:fill="FFDCE0" w:val="clear"/>
          </w:tcPr>
          <w:p>
            <w:r>
              <w:rPr>
                <w:sz w:val="17"/>
              </w:rPr>
              <w:t>3,084</w:t>
            </w:r>
          </w:p>
        </w:tc>
        <w:tc>
          <w:tcPr>
            <w:tcW w:type="dxa" w:w="1440"/>
            <w:shd w:fill="FFDCE0" w:val="clear"/>
          </w:tcPr>
          <w:p>
            <w:r>
              <w:rPr>
                <w:b/>
                <w:sz w:val="17"/>
              </w:rPr>
              <w:t>3,459</w:t>
            </w:r>
          </w:p>
        </w:tc>
        <w:tc>
          <w:tcPr>
            <w:tcW w:type="dxa" w:w="1440"/>
            <w:shd w:fill="FFDCE0" w:val="clear"/>
          </w:tcPr>
          <w:p>
            <w:r>
              <w:rPr>
                <w:sz w:val="17"/>
              </w:rPr>
              <w:t>3,834</w:t>
            </w:r>
          </w:p>
        </w:tc>
        <w:tc>
          <w:tcPr>
            <w:tcW w:type="dxa" w:w="1440"/>
            <w:shd w:fill="FFDCE0" w:val="clear"/>
          </w:tcPr>
          <w:p>
            <w:r>
              <w:rPr>
                <w:b/>
                <w:color w:val="C00000"/>
                <w:sz w:val="17"/>
              </w:rPr>
              <w:t>-6.1%</w:t>
            </w:r>
          </w:p>
        </w:tc>
      </w:tr>
      <w:tr>
        <w:tc>
          <w:tcPr>
            <w:tcW w:type="dxa" w:w="1440"/>
            <w:shd w:fill="FFDCE0" w:val="clear"/>
          </w:tcPr>
          <w:p>
            <w:r>
              <w:rPr>
                <w:sz w:val="17"/>
              </w:rPr>
              <w:t>J+5  ⭐</w:t>
            </w:r>
          </w:p>
        </w:tc>
        <w:tc>
          <w:tcPr>
            <w:tcW w:type="dxa" w:w="1440"/>
            <w:shd w:fill="FFDCE0" w:val="clear"/>
          </w:tcPr>
          <w:p>
            <w:r>
              <w:rPr>
                <w:sz w:val="17"/>
              </w:rPr>
              <w:t>2026-09-03</w:t>
            </w:r>
          </w:p>
        </w:tc>
        <w:tc>
          <w:tcPr>
            <w:tcW w:type="dxa" w:w="1440"/>
            <w:shd w:fill="FFDCE0" w:val="clear"/>
          </w:tcPr>
          <w:p>
            <w:r>
              <w:rPr>
                <w:sz w:val="17"/>
              </w:rPr>
              <w:t>3,004</w:t>
            </w:r>
          </w:p>
        </w:tc>
        <w:tc>
          <w:tcPr>
            <w:tcW w:type="dxa" w:w="1440"/>
            <w:shd w:fill="FFDCE0" w:val="clear"/>
          </w:tcPr>
          <w:p>
            <w:r>
              <w:rPr>
                <w:b/>
                <w:sz w:val="17"/>
              </w:rPr>
              <w:t>3,418</w:t>
            </w:r>
          </w:p>
        </w:tc>
        <w:tc>
          <w:tcPr>
            <w:tcW w:type="dxa" w:w="1440"/>
            <w:shd w:fill="FFDCE0" w:val="clear"/>
          </w:tcPr>
          <w:p>
            <w:r>
              <w:rPr>
                <w:sz w:val="17"/>
              </w:rPr>
              <w:t>3,833</w:t>
            </w:r>
          </w:p>
        </w:tc>
        <w:tc>
          <w:tcPr>
            <w:tcW w:type="dxa" w:w="1440"/>
            <w:shd w:fill="FFDCE0" w:val="clear"/>
          </w:tcPr>
          <w:p>
            <w:r>
              <w:rPr>
                <w:b/>
                <w:color w:val="C00000"/>
                <w:sz w:val="17"/>
              </w:rPr>
              <w:t>-7.2%</w:t>
            </w:r>
          </w:p>
        </w:tc>
      </w:tr>
      <w:tr>
        <w:tc>
          <w:tcPr>
            <w:tcW w:type="dxa" w:w="1440"/>
            <w:shd w:fill="FFDCE0" w:val="clear"/>
          </w:tcPr>
          <w:p>
            <w:r>
              <w:rPr>
                <w:sz w:val="17"/>
              </w:rPr>
              <w:t>J+6  ⭐</w:t>
            </w:r>
          </w:p>
        </w:tc>
        <w:tc>
          <w:tcPr>
            <w:tcW w:type="dxa" w:w="1440"/>
            <w:shd w:fill="FFDCE0" w:val="clear"/>
          </w:tcPr>
          <w:p>
            <w:r>
              <w:rPr>
                <w:sz w:val="17"/>
              </w:rPr>
              <w:t>2026-09-04</w:t>
            </w:r>
          </w:p>
        </w:tc>
        <w:tc>
          <w:tcPr>
            <w:tcW w:type="dxa" w:w="1440"/>
            <w:shd w:fill="FFDCE0" w:val="clear"/>
          </w:tcPr>
          <w:p>
            <w:r>
              <w:rPr>
                <w:sz w:val="17"/>
              </w:rPr>
              <w:t>2,931</w:t>
            </w:r>
          </w:p>
        </w:tc>
        <w:tc>
          <w:tcPr>
            <w:tcW w:type="dxa" w:w="1440"/>
            <w:shd w:fill="FFDCE0" w:val="clear"/>
          </w:tcPr>
          <w:p>
            <w:r>
              <w:rPr>
                <w:b/>
                <w:sz w:val="17"/>
              </w:rPr>
              <w:t>3,380</w:t>
            </w:r>
          </w:p>
        </w:tc>
        <w:tc>
          <w:tcPr>
            <w:tcW w:type="dxa" w:w="1440"/>
            <w:shd w:fill="FFDCE0" w:val="clear"/>
          </w:tcPr>
          <w:p>
            <w:r>
              <w:rPr>
                <w:sz w:val="17"/>
              </w:rPr>
              <w:t>3,829</w:t>
            </w:r>
          </w:p>
        </w:tc>
        <w:tc>
          <w:tcPr>
            <w:tcW w:type="dxa" w:w="1440"/>
            <w:shd w:fill="FFDCE0" w:val="clear"/>
          </w:tcPr>
          <w:p>
            <w:r>
              <w:rPr>
                <w:b/>
                <w:color w:val="C00000"/>
                <w:sz w:val="17"/>
              </w:rPr>
              <w:t>-8.3%</w:t>
            </w:r>
          </w:p>
        </w:tc>
      </w:tr>
      <w:tr>
        <w:tc>
          <w:tcPr>
            <w:tcW w:type="dxa" w:w="1440"/>
            <w:shd w:fill="FFDCE0" w:val="clear"/>
          </w:tcPr>
          <w:p>
            <w:r>
              <w:rPr>
                <w:sz w:val="17"/>
              </w:rPr>
              <w:t>J+7  ⭐</w:t>
            </w:r>
          </w:p>
        </w:tc>
        <w:tc>
          <w:tcPr>
            <w:tcW w:type="dxa" w:w="1440"/>
            <w:shd w:fill="FFDCE0" w:val="clear"/>
          </w:tcPr>
          <w:p>
            <w:r>
              <w:rPr>
                <w:sz w:val="17"/>
              </w:rPr>
              <w:t>2026-09-07</w:t>
            </w:r>
          </w:p>
        </w:tc>
        <w:tc>
          <w:tcPr>
            <w:tcW w:type="dxa" w:w="1440"/>
            <w:shd w:fill="FFDCE0" w:val="clear"/>
          </w:tcPr>
          <w:p>
            <w:r>
              <w:rPr>
                <w:sz w:val="17"/>
              </w:rPr>
              <w:t>2,864</w:t>
            </w:r>
          </w:p>
        </w:tc>
        <w:tc>
          <w:tcPr>
            <w:tcW w:type="dxa" w:w="1440"/>
            <w:shd w:fill="FFDCE0" w:val="clear"/>
          </w:tcPr>
          <w:p>
            <w:r>
              <w:rPr>
                <w:b/>
                <w:sz w:val="17"/>
              </w:rPr>
              <w:t>3,344</w:t>
            </w:r>
          </w:p>
        </w:tc>
        <w:tc>
          <w:tcPr>
            <w:tcW w:type="dxa" w:w="1440"/>
            <w:shd w:fill="FFDCE0" w:val="clear"/>
          </w:tcPr>
          <w:p>
            <w:r>
              <w:rPr>
                <w:sz w:val="17"/>
              </w:rPr>
              <w:t>3,824</w:t>
            </w:r>
          </w:p>
        </w:tc>
        <w:tc>
          <w:tcPr>
            <w:tcW w:type="dxa" w:w="1440"/>
            <w:shd w:fill="FFDCE0" w:val="clear"/>
          </w:tcPr>
          <w:p>
            <w:r>
              <w:rPr>
                <w:b/>
                <w:color w:val="C00000"/>
                <w:sz w:val="17"/>
              </w:rPr>
              <w:t>-9.3%</w:t>
            </w:r>
          </w:p>
        </w:tc>
      </w:tr>
      <w:tr>
        <w:tc>
          <w:tcPr>
            <w:tcW w:type="dxa" w:w="1440"/>
            <w:shd w:fill="FFDCE0" w:val="clear"/>
          </w:tcPr>
          <w:p>
            <w:r>
              <w:rPr>
                <w:sz w:val="17"/>
              </w:rPr>
              <w:t>J+8  ⭐</w:t>
            </w:r>
          </w:p>
        </w:tc>
        <w:tc>
          <w:tcPr>
            <w:tcW w:type="dxa" w:w="1440"/>
            <w:shd w:fill="FFDCE0" w:val="clear"/>
          </w:tcPr>
          <w:p>
            <w:r>
              <w:rPr>
                <w:sz w:val="17"/>
              </w:rPr>
              <w:t>2026-09-08</w:t>
            </w:r>
          </w:p>
        </w:tc>
        <w:tc>
          <w:tcPr>
            <w:tcW w:type="dxa" w:w="1440"/>
            <w:shd w:fill="FFDCE0" w:val="clear"/>
          </w:tcPr>
          <w:p>
            <w:r>
              <w:rPr>
                <w:sz w:val="17"/>
              </w:rPr>
              <w:t>2,802</w:t>
            </w:r>
          </w:p>
        </w:tc>
        <w:tc>
          <w:tcPr>
            <w:tcW w:type="dxa" w:w="1440"/>
            <w:shd w:fill="FFDCE0" w:val="clear"/>
          </w:tcPr>
          <w:p>
            <w:r>
              <w:rPr>
                <w:b/>
                <w:sz w:val="17"/>
              </w:rPr>
              <w:t>3,310</w:t>
            </w:r>
          </w:p>
        </w:tc>
        <w:tc>
          <w:tcPr>
            <w:tcW w:type="dxa" w:w="1440"/>
            <w:shd w:fill="FFDCE0" w:val="clear"/>
          </w:tcPr>
          <w:p>
            <w:r>
              <w:rPr>
                <w:sz w:val="17"/>
              </w:rPr>
              <w:t>3,818</w:t>
            </w:r>
          </w:p>
        </w:tc>
        <w:tc>
          <w:tcPr>
            <w:tcW w:type="dxa" w:w="1440"/>
            <w:shd w:fill="FFDCE0" w:val="clear"/>
          </w:tcPr>
          <w:p>
            <w:r>
              <w:rPr>
                <w:b/>
                <w:color w:val="C00000"/>
                <w:sz w:val="17"/>
              </w:rPr>
              <w:t>-10.2%</w:t>
            </w:r>
          </w:p>
        </w:tc>
      </w:tr>
      <w:tr>
        <w:tc>
          <w:tcPr>
            <w:tcW w:type="dxa" w:w="1440"/>
            <w:shd w:fill="FFDCE0" w:val="clear"/>
          </w:tcPr>
          <w:p>
            <w:r>
              <w:rPr>
                <w:sz w:val="17"/>
              </w:rPr>
              <w:t>J+9  ⭐</w:t>
            </w:r>
          </w:p>
        </w:tc>
        <w:tc>
          <w:tcPr>
            <w:tcW w:type="dxa" w:w="1440"/>
            <w:shd w:fill="FFDCE0" w:val="clear"/>
          </w:tcPr>
          <w:p>
            <w:r>
              <w:rPr>
                <w:sz w:val="17"/>
              </w:rPr>
              <w:t>2026-09-09</w:t>
            </w:r>
          </w:p>
        </w:tc>
        <w:tc>
          <w:tcPr>
            <w:tcW w:type="dxa" w:w="1440"/>
            <w:shd w:fill="FFDCE0" w:val="clear"/>
          </w:tcPr>
          <w:p>
            <w:r>
              <w:rPr>
                <w:sz w:val="17"/>
              </w:rPr>
              <w:t>2,745</w:t>
            </w:r>
          </w:p>
        </w:tc>
        <w:tc>
          <w:tcPr>
            <w:tcW w:type="dxa" w:w="1440"/>
            <w:shd w:fill="FFDCE0" w:val="clear"/>
          </w:tcPr>
          <w:p>
            <w:r>
              <w:rPr>
                <w:b/>
                <w:sz w:val="17"/>
              </w:rPr>
              <w:t>3,278</w:t>
            </w:r>
          </w:p>
        </w:tc>
        <w:tc>
          <w:tcPr>
            <w:tcW w:type="dxa" w:w="1440"/>
            <w:shd w:fill="FFDCE0" w:val="clear"/>
          </w:tcPr>
          <w:p>
            <w:r>
              <w:rPr>
                <w:sz w:val="17"/>
              </w:rPr>
              <w:t>3,812</w:t>
            </w:r>
          </w:p>
        </w:tc>
        <w:tc>
          <w:tcPr>
            <w:tcW w:type="dxa" w:w="1440"/>
            <w:shd w:fill="FFDCE0" w:val="clear"/>
          </w:tcPr>
          <w:p>
            <w:r>
              <w:rPr>
                <w:b/>
                <w:color w:val="C00000"/>
                <w:sz w:val="17"/>
              </w:rPr>
              <w:t>-11.0%</w:t>
            </w:r>
          </w:p>
        </w:tc>
      </w:tr>
      <w:tr>
        <w:tc>
          <w:tcPr>
            <w:tcW w:type="dxa" w:w="1440"/>
            <w:shd w:fill="FFDCE0" w:val="clear"/>
          </w:tcPr>
          <w:p>
            <w:r>
              <w:rPr>
                <w:sz w:val="17"/>
              </w:rPr>
              <w:t>J+10  ⭐</w:t>
            </w:r>
          </w:p>
        </w:tc>
        <w:tc>
          <w:tcPr>
            <w:tcW w:type="dxa" w:w="1440"/>
            <w:shd w:fill="FFDCE0" w:val="clear"/>
          </w:tcPr>
          <w:p>
            <w:r>
              <w:rPr>
                <w:sz w:val="17"/>
              </w:rPr>
              <w:t>2026-09-10</w:t>
            </w:r>
          </w:p>
        </w:tc>
        <w:tc>
          <w:tcPr>
            <w:tcW w:type="dxa" w:w="1440"/>
            <w:shd w:fill="FFDCE0" w:val="clear"/>
          </w:tcPr>
          <w:p>
            <w:r>
              <w:rPr>
                <w:sz w:val="17"/>
              </w:rPr>
              <w:t>2,691</w:t>
            </w:r>
          </w:p>
        </w:tc>
        <w:tc>
          <w:tcPr>
            <w:tcW w:type="dxa" w:w="1440"/>
            <w:shd w:fill="FFDCE0" w:val="clear"/>
          </w:tcPr>
          <w:p>
            <w:r>
              <w:rPr>
                <w:b/>
                <w:sz w:val="17"/>
              </w:rPr>
              <w:t>3,248</w:t>
            </w:r>
          </w:p>
        </w:tc>
        <w:tc>
          <w:tcPr>
            <w:tcW w:type="dxa" w:w="1440"/>
            <w:shd w:fill="FFDCE0" w:val="clear"/>
          </w:tcPr>
          <w:p>
            <w:r>
              <w:rPr>
                <w:sz w:val="17"/>
              </w:rPr>
              <w:t>3,806</w:t>
            </w:r>
          </w:p>
        </w:tc>
        <w:tc>
          <w:tcPr>
            <w:tcW w:type="dxa" w:w="1440"/>
            <w:shd w:fill="FFDCE0" w:val="clear"/>
          </w:tcPr>
          <w:p>
            <w:r>
              <w:rPr>
                <w:b/>
                <w:color w:val="C00000"/>
                <w:sz w:val="17"/>
              </w:rPr>
              <w:t>-11.8%</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2025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59.155 Mds FCFA</w:t>
            </w:r>
          </w:p>
        </w:tc>
        <w:tc>
          <w:tcPr>
            <w:tcW w:type="dxa" w:w="5669"/>
            <w:shd w:fill="FFFFFF" w:val="clear"/>
          </w:tcPr>
          <w:p>
            <w:r>
              <w:rPr>
                <w:color w:val="282828"/>
                <w:sz w:val="15"/>
              </w:rPr>
              <w:t>Créances clients = 13.0% du CA. ✅ Délais de paiement bien maîtrisés.</w:t>
            </w:r>
          </w:p>
        </w:tc>
      </w:tr>
      <w:tr>
        <w:tc>
          <w:tcPr>
            <w:tcW w:type="dxa" w:w="2268"/>
            <w:shd w:fill="EEF2F7" w:val="clear"/>
          </w:tcPr>
          <w:p>
            <w:r>
              <w:rPr>
                <w:b/>
                <w:color w:val="1E1E3C"/>
                <w:sz w:val="16"/>
              </w:rPr>
              <w:t>Stocks</w:t>
            </w:r>
          </w:p>
        </w:tc>
        <w:tc>
          <w:tcPr>
            <w:tcW w:type="dxa" w:w="1984"/>
            <w:shd w:fill="C6EFCE" w:val="clear"/>
          </w:tcPr>
          <w:p>
            <w:r>
              <w:rPr>
                <w:b/>
                <w:color w:val="006400"/>
                <w:sz w:val="17"/>
              </w:rPr>
              <w:t>15.667 Mds FCFA</w:t>
            </w:r>
          </w:p>
        </w:tc>
        <w:tc>
          <w:tcPr>
            <w:tcW w:type="dxa" w:w="5669"/>
            <w:shd w:fill="FFFFFF" w:val="clear"/>
          </w:tcPr>
          <w:p>
            <w:r>
              <w:rPr>
                <w:color w:val="282828"/>
                <w:sz w:val="15"/>
              </w:rPr>
              <w:t>Rotation stocks = 29.1x/an. ✅ Bonne rotation, stock bien dimensionné.</w:t>
            </w:r>
          </w:p>
        </w:tc>
      </w:tr>
      <w:tr>
        <w:tc>
          <w:tcPr>
            <w:tcW w:type="dxa" w:w="2268"/>
            <w:shd w:fill="EEF2F7" w:val="clear"/>
          </w:tcPr>
          <w:p>
            <w:r>
              <w:rPr>
                <w:b/>
                <w:color w:val="1E1E3C"/>
                <w:sz w:val="16"/>
              </w:rPr>
              <w:t>Actif circulant</w:t>
            </w:r>
          </w:p>
        </w:tc>
        <w:tc>
          <w:tcPr>
            <w:tcW w:type="dxa" w:w="1984"/>
            <w:shd w:fill="FFC7CE" w:val="clear"/>
          </w:tcPr>
          <w:p>
            <w:r>
              <w:rPr>
                <w:b/>
                <w:color w:val="006400"/>
                <w:sz w:val="17"/>
              </w:rPr>
              <w:t>109.179 Mds FCFA</w:t>
            </w:r>
          </w:p>
        </w:tc>
        <w:tc>
          <w:tcPr>
            <w:tcW w:type="dxa" w:w="5669"/>
            <w:shd w:fill="FFFFFF" w:val="clear"/>
          </w:tcPr>
          <w:p>
            <w:r>
              <w:rPr>
                <w:color w:val="282828"/>
                <w:sz w:val="15"/>
              </w:rPr>
              <w:t>Ratio actif circ./passif circ. = 0.83x. ❌ Actif circulant insuffisant pour couvrir les dettes CT.</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1.406 Mds FCFA</w:t>
            </w:r>
          </w:p>
        </w:tc>
        <w:tc>
          <w:tcPr>
            <w:tcW w:type="dxa" w:w="5669"/>
            <w:shd w:fill="FFFFFF" w:val="clear"/>
          </w:tcPr>
          <w:p>
            <w:r>
              <w:rPr>
                <w:color w:val="282828"/>
                <w:sz w:val="15"/>
              </w:rPr>
              <w:t>Brevets, logiciels, fonds commercial (0.8% du bilan). Actif intangible à surveiller (risque dépréciation).</w:t>
            </w:r>
          </w:p>
        </w:tc>
      </w:tr>
      <w:tr>
        <w:tc>
          <w:tcPr>
            <w:tcW w:type="dxa" w:w="2268"/>
            <w:shd w:fill="EEF2F7" w:val="clear"/>
          </w:tcPr>
          <w:p>
            <w:r>
              <w:rPr>
                <w:b/>
                <w:color w:val="1E1E3C"/>
                <w:sz w:val="16"/>
              </w:rPr>
              <w:t>Immob. corporelles</w:t>
            </w:r>
          </w:p>
        </w:tc>
        <w:tc>
          <w:tcPr>
            <w:tcW w:type="dxa" w:w="1984"/>
            <w:shd w:fill="DEEAF1" w:val="clear"/>
          </w:tcPr>
          <w:p>
            <w:r>
              <w:rPr>
                <w:b/>
                <w:color w:val="006400"/>
                <w:sz w:val="17"/>
              </w:rPr>
              <w:t>31.625 Mds FCFA</w:t>
            </w:r>
          </w:p>
        </w:tc>
        <w:tc>
          <w:tcPr>
            <w:tcW w:type="dxa" w:w="5669"/>
            <w:shd w:fill="FFFFFF" w:val="clear"/>
          </w:tcPr>
          <w:p>
            <w:r>
              <w:rPr>
                <w:color w:val="282828"/>
                <w:sz w:val="15"/>
              </w:rPr>
              <w:t>Outil industriel (18.4% du bilan). ℹ️ Société à faible intensité capitalistique.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62.599 Mds FCFA</w:t>
            </w:r>
          </w:p>
        </w:tc>
        <w:tc>
          <w:tcPr>
            <w:tcW w:type="dxa" w:w="5669"/>
            <w:shd w:fill="FFFFFF" w:val="clear"/>
          </w:tcPr>
          <w:p>
            <w:r>
              <w:rPr>
                <w:color w:val="282828"/>
                <w:sz w:val="15"/>
              </w:rPr>
              <w:t>Actif immobilisé = 36.4%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20.567 Mds FCFA</w:t>
            </w:r>
          </w:p>
        </w:tc>
        <w:tc>
          <w:tcPr>
            <w:tcW w:type="dxa" w:w="5669"/>
            <w:shd w:fill="FFFFFF" w:val="clear"/>
          </w:tcPr>
          <w:p>
            <w:r>
              <w:rPr>
                <w:color w:val="282828"/>
                <w:sz w:val="15"/>
              </w:rPr>
              <w:t>Liquidités disponibles (12.0%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171.778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3.258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8.674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FFEB9C" w:val="clear"/>
          </w:tcPr>
          <w:p>
            <w:r>
              <w:rPr>
                <w:b/>
                <w:color w:val="006400"/>
                <w:sz w:val="17"/>
              </w:rPr>
              <w:t>28.239 Mds FCFA</w:t>
            </w:r>
          </w:p>
        </w:tc>
        <w:tc>
          <w:tcPr>
            <w:tcW w:type="dxa" w:w="5669"/>
            <w:shd w:fill="FFFFFF" w:val="clear"/>
          </w:tcPr>
          <w:p>
            <w:r>
              <w:rPr>
                <w:color w:val="282828"/>
                <w:sz w:val="15"/>
              </w:rPr>
              <w:t>Fonds propres = 16.4% du bilan. ⚠️ Fonds propres limités — levier financier élevé.</w:t>
            </w:r>
          </w:p>
        </w:tc>
      </w:tr>
      <w:tr>
        <w:tc>
          <w:tcPr>
            <w:tcW w:type="dxa" w:w="2268"/>
            <w:shd w:fill="EEF2F7" w:val="clear"/>
          </w:tcPr>
          <w:p>
            <w:r>
              <w:rPr>
                <w:b/>
                <w:color w:val="1E1E3C"/>
                <w:sz w:val="16"/>
              </w:rPr>
              <w:t>Capitaux permanents</w:t>
            </w:r>
          </w:p>
        </w:tc>
        <w:tc>
          <w:tcPr>
            <w:tcW w:type="dxa" w:w="1984"/>
            <w:shd w:fill="FFEB9C" w:val="clear"/>
          </w:tcPr>
          <w:p>
            <w:r>
              <w:rPr>
                <w:b/>
                <w:color w:val="006400"/>
                <w:sz w:val="17"/>
              </w:rPr>
              <w:t>39.641 Mds FCFA</w:t>
            </w:r>
          </w:p>
        </w:tc>
        <w:tc>
          <w:tcPr>
            <w:tcW w:type="dxa" w:w="5669"/>
            <w:shd w:fill="FFFFFF" w:val="clear"/>
          </w:tcPr>
          <w:p>
            <w:r>
              <w:rPr>
                <w:color w:val="282828"/>
                <w:sz w:val="15"/>
              </w:rPr>
              <w:t>Capitaux permanents / Actif immobilisé = 0.63x. ⚠️ Une partie des actifs LT est financée par des dettes CT — risque de liquidité.</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86.912 Mds FCFA</w:t>
            </w:r>
          </w:p>
        </w:tc>
        <w:tc>
          <w:tcPr>
            <w:tcW w:type="dxa" w:w="5669"/>
            <w:shd w:fill="FFFFFF" w:val="clear"/>
          </w:tcPr>
          <w:p>
            <w:r>
              <w:rPr>
                <w:color w:val="282828"/>
                <w:sz w:val="15"/>
              </w:rPr>
              <w:t>Délai fournisseurs implicite ≈ 70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8.104 Mds FCFA</w:t>
            </w:r>
          </w:p>
        </w:tc>
        <w:tc>
          <w:tcPr>
            <w:tcW w:type="dxa" w:w="5669"/>
            <w:shd w:fill="FFFFFF" w:val="clear"/>
          </w:tcPr>
          <w:p>
            <w:r>
              <w:rPr>
                <w:color w:val="282828"/>
                <w:sz w:val="15"/>
              </w:rPr>
              <w:t>Dette LT/MT = 29%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14.730 Mds FCFA</w:t>
            </w:r>
          </w:p>
        </w:tc>
        <w:tc>
          <w:tcPr>
            <w:tcW w:type="dxa" w:w="5669"/>
            <w:shd w:fill="FFFFFF" w:val="clear"/>
          </w:tcPr>
          <w:p>
            <w:r>
              <w:rPr>
                <w:color w:val="282828"/>
                <w:sz w:val="15"/>
              </w:rPr>
              <w:t>Dette financière totale = 52% des fonds propres (gearing). ✅ Structure financière saine.</w:t>
            </w:r>
          </w:p>
        </w:tc>
      </w:tr>
      <w:tr>
        <w:tc>
          <w:tcPr>
            <w:tcW w:type="dxa" w:w="2268"/>
            <w:shd w:fill="EEF2F7" w:val="clear"/>
          </w:tcPr>
          <w:p>
            <w:r>
              <w:rPr>
                <w:b/>
                <w:color w:val="1E1E3C"/>
                <w:sz w:val="16"/>
              </w:rPr>
              <w:t>Dettes totales</w:t>
            </w:r>
          </w:p>
        </w:tc>
        <w:tc>
          <w:tcPr>
            <w:tcW w:type="dxa" w:w="1984"/>
            <w:shd w:fill="FFEB9C" w:val="clear"/>
          </w:tcPr>
          <w:p>
            <w:r>
              <w:rPr>
                <w:b/>
                <w:color w:val="006400"/>
                <w:sz w:val="17"/>
              </w:rPr>
              <w:t>143.539 Mds FCFA</w:t>
            </w:r>
          </w:p>
        </w:tc>
        <w:tc>
          <w:tcPr>
            <w:tcW w:type="dxa" w:w="5669"/>
            <w:shd w:fill="FFFFFF" w:val="clear"/>
          </w:tcPr>
          <w:p>
            <w:r>
              <w:rPr>
                <w:color w:val="282828"/>
                <w:sz w:val="15"/>
              </w:rPr>
              <w:t>Dettes totales = 83.6% du bilan. ⚠️ Endettement dominant — levier élevé.</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455.209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455.209 Mds FCFA</w:t>
            </w:r>
          </w:p>
        </w:tc>
        <w:tc>
          <w:tcPr>
            <w:tcW w:type="dxa" w:w="5669"/>
            <w:shd w:fill="FFFFFF" w:val="clear"/>
          </w:tcPr>
          <w:p>
            <w:r>
              <w:rPr>
                <w:color w:val="282828"/>
                <w:sz w:val="15"/>
              </w:rPr>
              <w:t>Chiffre d'affaires. Croissance: -6.1%. ❌ CA en baisse — perte de parts de marché ou demande en recul.</w:t>
            </w:r>
          </w:p>
        </w:tc>
      </w:tr>
      <w:tr>
        <w:tc>
          <w:tcPr>
            <w:tcW w:type="dxa" w:w="2268"/>
            <w:shd w:fill="EEF2F7" w:val="clear"/>
          </w:tcPr>
          <w:p>
            <w:r>
              <w:rPr>
                <w:b/>
                <w:color w:val="1E1E3C"/>
                <w:sz w:val="16"/>
              </w:rPr>
              <w:t>Charges générales d'exploit.</w:t>
            </w:r>
          </w:p>
        </w:tc>
        <w:tc>
          <w:tcPr>
            <w:tcW w:type="dxa" w:w="1984"/>
            <w:shd w:fill="C6EFCE" w:val="clear"/>
          </w:tcPr>
          <w:p>
            <w:r>
              <w:rPr>
                <w:b/>
                <w:color w:val="B40000"/>
                <w:sz w:val="17"/>
              </w:rPr>
              <w:t>-25.306 Mds FCFA</w:t>
            </w:r>
          </w:p>
        </w:tc>
        <w:tc>
          <w:tcPr>
            <w:tcW w:type="dxa" w:w="5669"/>
            <w:shd w:fill="FFFFFF" w:val="clear"/>
          </w:tcPr>
          <w:p>
            <w:r>
              <w:rPr>
                <w:color w:val="282828"/>
                <w:sz w:val="15"/>
              </w:rPr>
              <w:t>-5.6% des revenus. ✅ Frais généraux maîtrisés.</w:t>
            </w:r>
          </w:p>
        </w:tc>
      </w:tr>
      <w:tr>
        <w:tc>
          <w:tcPr>
            <w:tcW w:type="dxa" w:w="2268"/>
            <w:shd w:fill="EEF2F7" w:val="clear"/>
          </w:tcPr>
          <w:p>
            <w:r>
              <w:rPr>
                <w:b/>
                <w:color w:val="1E1E3C"/>
                <w:sz w:val="16"/>
              </w:rPr>
              <w:t>DAP immobilisations</w:t>
            </w:r>
          </w:p>
        </w:tc>
        <w:tc>
          <w:tcPr>
            <w:tcW w:type="dxa" w:w="1984"/>
            <w:shd w:fill="DEEAF1" w:val="clear"/>
          </w:tcPr>
          <w:p>
            <w:r>
              <w:rPr>
                <w:b/>
                <w:color w:val="B40000"/>
                <w:sz w:val="17"/>
              </w:rPr>
              <w:t>-8.715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B40000"/>
                <w:sz w:val="17"/>
              </w:rPr>
              <w:t>-8.872 Mds FCFA</w:t>
            </w:r>
          </w:p>
        </w:tc>
        <w:tc>
          <w:tcPr>
            <w:tcW w:type="dxa" w:w="5669"/>
            <w:shd w:fill="FFFFFF" w:val="clear"/>
          </w:tcPr>
          <w:p>
            <w:r>
              <w:rPr>
                <w:color w:val="282828"/>
                <w:sz w:val="15"/>
              </w:rPr>
              <w:t>Masse salariale = -1.9%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27.638 Mds FCFA</w:t>
            </w:r>
          </w:p>
        </w:tc>
        <w:tc>
          <w:tcPr>
            <w:tcW w:type="dxa" w:w="5669"/>
            <w:shd w:fill="FFFFFF" w:val="clear"/>
          </w:tcPr>
          <w:p>
            <w:r>
              <w:rPr>
                <w:color w:val="282828"/>
                <w:sz w:val="15"/>
              </w:rPr>
              <w:t>VA = 6.1% du CA. ⚠️ Faible VA — modèle à faible marge (distribution, négoce).</w:t>
            </w:r>
          </w:p>
        </w:tc>
      </w:tr>
      <w:tr>
        <w:tc>
          <w:tcPr>
            <w:tcW w:type="dxa" w:w="2268"/>
            <w:shd w:fill="EEF2F7" w:val="clear"/>
          </w:tcPr>
          <w:p>
            <w:r>
              <w:rPr>
                <w:b/>
                <w:color w:val="1E1E3C"/>
                <w:sz w:val="16"/>
              </w:rPr>
              <w:t>EBE</w:t>
            </w:r>
          </w:p>
        </w:tc>
        <w:tc>
          <w:tcPr>
            <w:tcW w:type="dxa" w:w="1984"/>
            <w:shd w:fill="FFEB9C" w:val="clear"/>
          </w:tcPr>
          <w:p>
            <w:r>
              <w:rPr>
                <w:b/>
                <w:color w:val="006400"/>
                <w:sz w:val="17"/>
              </w:rPr>
              <w:t>16.071 Mds FCFA</w:t>
            </w:r>
          </w:p>
        </w:tc>
        <w:tc>
          <w:tcPr>
            <w:tcW w:type="dxa" w:w="5669"/>
            <w:shd w:fill="FFFFFF" w:val="clear"/>
          </w:tcPr>
          <w:p>
            <w:r>
              <w:rPr>
                <w:color w:val="282828"/>
                <w:sz w:val="15"/>
              </w:rPr>
              <w:t>EBE = 3.5% des revenus (marge opérationnelle brute). ⚠️ Marge opérationnelle faible.</w:t>
            </w:r>
          </w:p>
        </w:tc>
      </w:tr>
      <w:tr>
        <w:tc>
          <w:tcPr>
            <w:tcW w:type="dxa" w:w="2268"/>
            <w:shd w:fill="EEF2F7" w:val="clear"/>
          </w:tcPr>
          <w:p>
            <w:r>
              <w:rPr>
                <w:b/>
                <w:color w:val="1E1E3C"/>
                <w:sz w:val="16"/>
              </w:rPr>
              <w:t>Résultat d'exploitation</w:t>
            </w:r>
          </w:p>
        </w:tc>
        <w:tc>
          <w:tcPr>
            <w:tcW w:type="dxa" w:w="1984"/>
            <w:shd w:fill="FFEB9C" w:val="clear"/>
          </w:tcPr>
          <w:p>
            <w:r>
              <w:rPr>
                <w:b/>
                <w:color w:val="006400"/>
                <w:sz w:val="17"/>
              </w:rPr>
              <w:t>8.693 Mds FCFA</w:t>
            </w:r>
          </w:p>
        </w:tc>
        <w:tc>
          <w:tcPr>
            <w:tcW w:type="dxa" w:w="5669"/>
            <w:shd w:fill="FFFFFF" w:val="clear"/>
          </w:tcPr>
          <w:p>
            <w:r>
              <w:rPr>
                <w:color w:val="282828"/>
                <w:sz w:val="15"/>
              </w:rPr>
              <w:t>Profit d'exploitation = 1.9% des revenus. ⚠️ Bénéfice d'exploitation limité.</w:t>
            </w:r>
          </w:p>
        </w:tc>
      </w:tr>
      <w:tr>
        <w:tc>
          <w:tcPr>
            <w:tcW w:type="dxa" w:w="2268"/>
            <w:shd w:fill="EEF2F7" w:val="clear"/>
          </w:tcPr>
          <w:p>
            <w:r>
              <w:rPr>
                <w:b/>
                <w:color w:val="1E1E3C"/>
                <w:sz w:val="16"/>
              </w:rPr>
              <w:t>Provisions</w:t>
            </w:r>
          </w:p>
        </w:tc>
        <w:tc>
          <w:tcPr>
            <w:tcW w:type="dxa" w:w="1984"/>
            <w:shd w:fill="DEEAF1" w:val="clear"/>
          </w:tcPr>
          <w:p>
            <w:r>
              <w:rPr>
                <w:b/>
                <w:color w:val="B40000"/>
                <w:sz w:val="17"/>
              </w:rPr>
              <w:t>-204.00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EB9C" w:val="clear"/>
          </w:tcPr>
          <w:p>
            <w:r>
              <w:rPr>
                <w:b/>
                <w:color w:val="006400"/>
                <w:sz w:val="17"/>
              </w:rPr>
              <w:t>6.779 Mds FCFA</w:t>
            </w:r>
          </w:p>
        </w:tc>
        <w:tc>
          <w:tcPr>
            <w:tcW w:type="dxa" w:w="5669"/>
            <w:shd w:fill="FFFFFF" w:val="clear"/>
          </w:tcPr>
          <w:p>
            <w:r>
              <w:rPr>
                <w:color w:val="282828"/>
                <w:sz w:val="15"/>
              </w:rPr>
              <w:t>Marge nette = 1.5%. ✅ Bénéficiaire.</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C6EFCE" w:val="clear"/>
          </w:tcPr>
          <w:p>
            <w:r>
              <w:rPr>
                <w:b/>
                <w:color w:val="006400"/>
                <w:sz w:val="17"/>
              </w:rPr>
              <w:t>15.698 Mds FCFA</w:t>
            </w:r>
          </w:p>
        </w:tc>
        <w:tc>
          <w:tcPr>
            <w:tcW w:type="dxa" w:w="5669"/>
            <w:shd w:fill="FFFFFF" w:val="clear"/>
          </w:tcPr>
          <w:p>
            <w:r>
              <w:rPr>
                <w:color w:val="282828"/>
                <w:sz w:val="15"/>
              </w:rPr>
              <w:t>CAF = 15.70 Mds FCFA (résultat + amort.). ✅ Forte capacité à financer les investissements et rembourser les dettes.</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18.673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-1.190 Mds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-5.282 Mds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17.483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B40000"/>
                <w:sz w:val="17"/>
              </w:rPr>
              <w:t>-36.899 Mds FCFA</w:t>
            </w:r>
          </w:p>
        </w:tc>
        <w:tc>
          <w:tcPr>
            <w:tcW w:type="dxa" w:w="5669"/>
            <w:shd w:fill="FFFFFF" w:val="clear"/>
          </w:tcPr>
          <w:p>
            <w:r>
              <w:rPr>
                <w:color w:val="282828"/>
                <w:sz w:val="15"/>
              </w:rPr>
              <w:t>BFR = -8.1% du CA. ✅ BFR négatif = la société se finance sur ses clients (modèle distributeur).</w:t>
            </w:r>
          </w:p>
        </w:tc>
      </w:tr>
      <w:tr>
        <w:tc>
          <w:tcPr>
            <w:tcW w:type="dxa" w:w="2268"/>
            <w:shd w:fill="EEF2F7" w:val="clear"/>
          </w:tcPr>
          <w:p>
            <w:r>
              <w:rPr>
                <w:b/>
                <w:color w:val="1E1E3C"/>
                <w:sz w:val="16"/>
              </w:rPr>
              <w:t>Fonds de Roulement</w:t>
            </w:r>
          </w:p>
        </w:tc>
        <w:tc>
          <w:tcPr>
            <w:tcW w:type="dxa" w:w="1984"/>
            <w:shd w:fill="FFC7CE" w:val="clear"/>
          </w:tcPr>
          <w:p>
            <w:r>
              <w:rPr>
                <w:b/>
                <w:color w:val="B40000"/>
                <w:sz w:val="17"/>
              </w:rPr>
              <w:t>-22.958 Mds FCFA</w:t>
            </w:r>
          </w:p>
        </w:tc>
        <w:tc>
          <w:tcPr>
            <w:tcW w:type="dxa" w:w="5669"/>
            <w:shd w:fill="FFFFFF" w:val="clear"/>
          </w:tcPr>
          <w:p>
            <w:r>
              <w:rPr>
                <w:color w:val="282828"/>
                <w:sz w:val="15"/>
              </w:rPr>
              <w:t>FR = capitaux permanents - actif immobilisé. ❌ FR négatif — une partie des immobilisations est financée par des dettes CT.</w:t>
            </w:r>
          </w:p>
        </w:tc>
      </w:tr>
      <w:tr>
        <w:tc>
          <w:tcPr>
            <w:tcW w:type="dxa" w:w="2268"/>
            <w:shd w:fill="EEF2F7" w:val="clear"/>
          </w:tcPr>
          <w:p>
            <w:r>
              <w:rPr>
                <w:b/>
                <w:color w:val="1E1E3C"/>
                <w:sz w:val="16"/>
              </w:rPr>
              <w:t>Trésorerie nette</w:t>
            </w:r>
          </w:p>
        </w:tc>
        <w:tc>
          <w:tcPr>
            <w:tcW w:type="dxa" w:w="1984"/>
            <w:shd w:fill="C6EFCE" w:val="clear"/>
          </w:tcPr>
          <w:p>
            <w:r>
              <w:rPr>
                <w:b/>
                <w:color w:val="006400"/>
                <w:sz w:val="17"/>
              </w:rPr>
              <w:t>13.941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28.71%</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EB9C" w:val="clear"/>
          </w:tcPr>
          <w:p>
            <w:r>
              <w:rPr>
                <w:b/>
                <w:color w:val="006400"/>
                <w:sz w:val="17"/>
              </w:rPr>
              <w:t>1.49%</w:t>
            </w:r>
          </w:p>
        </w:tc>
        <w:tc>
          <w:tcPr>
            <w:tcW w:type="dxa" w:w="5669"/>
            <w:shd w:fill="FFFFFF" w:val="clear"/>
          </w:tcPr>
          <w:p>
            <w:r>
              <w:rPr>
                <w:color w:val="282828"/>
                <w:sz w:val="15"/>
              </w:rPr>
              <w:t>Résultat net / revenus = 1.49%. ⚠️ Marge nette très fine — sensible aux aléas.</w:t>
            </w:r>
          </w:p>
        </w:tc>
      </w:tr>
      <w:tr>
        <w:tc>
          <w:tcPr>
            <w:tcW w:type="dxa" w:w="2268"/>
            <w:shd w:fill="EEF2F7" w:val="clear"/>
          </w:tcPr>
          <w:p>
            <w:r>
              <w:rPr>
                <w:b/>
                <w:color w:val="1E1E3C"/>
                <w:sz w:val="16"/>
              </w:rPr>
              <w:t>Marge opérationnelle</w:t>
            </w:r>
          </w:p>
        </w:tc>
        <w:tc>
          <w:tcPr>
            <w:tcW w:type="dxa" w:w="1984"/>
            <w:shd w:fill="FFEB9C" w:val="clear"/>
          </w:tcPr>
          <w:p>
            <w:r>
              <w:rPr>
                <w:b/>
                <w:color w:val="006400"/>
                <w:sz w:val="17"/>
              </w:rPr>
              <w:t>1.91%</w:t>
            </w:r>
          </w:p>
        </w:tc>
        <w:tc>
          <w:tcPr>
            <w:tcW w:type="dxa" w:w="5669"/>
            <w:shd w:fill="FFFFFF" w:val="clear"/>
          </w:tcPr>
          <w:p>
            <w:r>
              <w:rPr>
                <w:color w:val="282828"/>
                <w:sz w:val="15"/>
              </w:rPr>
              <w:t>Rentabilité de l'exploitation pure. ⚠️ Marge opérationnelle faible.</w:t>
            </w:r>
          </w:p>
        </w:tc>
      </w:tr>
      <w:tr>
        <w:tc>
          <w:tcPr>
            <w:tcW w:type="dxa" w:w="2268"/>
            <w:shd w:fill="EEF2F7" w:val="clear"/>
          </w:tcPr>
          <w:p>
            <w:r>
              <w:rPr>
                <w:b/>
                <w:color w:val="1E1E3C"/>
                <w:sz w:val="16"/>
              </w:rPr>
              <w:t>ROE (Rentabilité fonds propres)</w:t>
            </w:r>
          </w:p>
        </w:tc>
        <w:tc>
          <w:tcPr>
            <w:tcW w:type="dxa" w:w="1984"/>
            <w:shd w:fill="C6EFCE" w:val="clear"/>
          </w:tcPr>
          <w:p>
            <w:r>
              <w:rPr>
                <w:b/>
                <w:color w:val="006400"/>
                <w:sz w:val="17"/>
              </w:rPr>
              <w:t>24.01%</w:t>
            </w:r>
          </w:p>
        </w:tc>
        <w:tc>
          <w:tcPr>
            <w:tcW w:type="dxa" w:w="5669"/>
            <w:shd w:fill="FFFFFF" w:val="clear"/>
          </w:tcPr>
          <w:p>
            <w:r>
              <w:rPr>
                <w:color w:val="282828"/>
                <w:sz w:val="15"/>
              </w:rPr>
              <w:t>Résultat net / capitaux propres = 24.01%. ✅ Excellent — au-dessus du coût du capital UEMOA.</w:t>
            </w:r>
          </w:p>
        </w:tc>
      </w:tr>
      <w:tr>
        <w:tc>
          <w:tcPr>
            <w:tcW w:type="dxa" w:w="2268"/>
            <w:shd w:fill="EEF2F7" w:val="clear"/>
          </w:tcPr>
          <w:p>
            <w:r>
              <w:rPr>
                <w:b/>
                <w:color w:val="1E1E3C"/>
                <w:sz w:val="16"/>
              </w:rPr>
              <w:t>ROA (Rentabilité des actifs)</w:t>
            </w:r>
          </w:p>
        </w:tc>
        <w:tc>
          <w:tcPr>
            <w:tcW w:type="dxa" w:w="1984"/>
            <w:shd w:fill="FFEB9C" w:val="clear"/>
          </w:tcPr>
          <w:p>
            <w:r>
              <w:rPr>
                <w:b/>
                <w:color w:val="006400"/>
                <w:sz w:val="17"/>
              </w:rPr>
              <w:t>3.95%</w:t>
            </w:r>
          </w:p>
        </w:tc>
        <w:tc>
          <w:tcPr>
            <w:tcW w:type="dxa" w:w="5669"/>
            <w:shd w:fill="FFFFFF" w:val="clear"/>
          </w:tcPr>
          <w:p>
            <w:r>
              <w:rPr>
                <w:color w:val="282828"/>
                <w:sz w:val="15"/>
              </w:rPr>
              <w:t>Résultat net / total actif = 3.95% (entreprise: seuil &gt;5%). ⚠️ Rentabilité des actifs en deçà du seuil sectoriel.</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265.00%</w:t>
            </w:r>
          </w:p>
        </w:tc>
        <w:tc>
          <w:tcPr>
            <w:tcW w:type="dxa" w:w="5669"/>
            <w:shd w:fill="FFFFFF" w:val="clear"/>
          </w:tcPr>
          <w:p>
            <w:r>
              <w:rPr>
                <w:color w:val="282828"/>
                <w:sz w:val="15"/>
              </w:rPr>
              <w:t>CA / total actif = 265.00x.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0.39%</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-6.13%</w:t>
            </w:r>
          </w:p>
        </w:tc>
        <w:tc>
          <w:tcPr>
            <w:tcW w:type="dxa" w:w="5669"/>
            <w:shd w:fill="FFFFFF" w:val="clear"/>
          </w:tcPr>
          <w:p>
            <w:r>
              <w:rPr>
                <w:color w:val="282828"/>
                <w:sz w:val="15"/>
              </w:rPr>
              <w:t>Croissance CA vs exercice précédent = -6.13%.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16.44%</w:t>
            </w:r>
          </w:p>
        </w:tc>
        <w:tc>
          <w:tcPr>
            <w:tcW w:type="dxa" w:w="5669"/>
            <w:shd w:fill="FFFFFF" w:val="clear"/>
          </w:tcPr>
          <w:p>
            <w:r>
              <w:rPr>
                <w:color w:val="282828"/>
                <w:sz w:val="15"/>
              </w:rPr>
              <w:t>Fonds propres / total bilan = 16.44%. ✅ Autonomie correcte.</w:t>
            </w:r>
          </w:p>
        </w:tc>
      </w:tr>
      <w:tr>
        <w:tc>
          <w:tcPr>
            <w:tcW w:type="dxa" w:w="2268"/>
            <w:shd w:fill="EEF2F7" w:val="clear"/>
          </w:tcPr>
          <w:p>
            <w:r>
              <w:rPr>
                <w:b/>
                <w:color w:val="1E1E3C"/>
                <w:sz w:val="16"/>
              </w:rPr>
              <w:t>Dépendance financière</w:t>
            </w:r>
          </w:p>
        </w:tc>
        <w:tc>
          <w:tcPr>
            <w:tcW w:type="dxa" w:w="1984"/>
            <w:shd w:fill="FFC7CE" w:val="clear"/>
          </w:tcPr>
          <w:p>
            <w:r>
              <w:rPr>
                <w:b/>
                <w:color w:val="006400"/>
                <w:sz w:val="17"/>
              </w:rPr>
              <w:t>83.56%</w:t>
            </w:r>
          </w:p>
        </w:tc>
        <w:tc>
          <w:tcPr>
            <w:tcW w:type="dxa" w:w="5669"/>
            <w:shd w:fill="FFFFFF" w:val="clear"/>
          </w:tcPr>
          <w:p>
            <w:r>
              <w:rPr>
                <w:color w:val="282828"/>
                <w:sz w:val="15"/>
              </w:rPr>
              <w:t>Dettes financières / total bilan = 83.56%. ❌ Structure très endettée — vulnérable aux chocs de taux.</w:t>
            </w:r>
          </w:p>
        </w:tc>
      </w:tr>
      <w:tr>
        <w:tc>
          <w:tcPr>
            <w:tcW w:type="dxa" w:w="2268"/>
            <w:shd w:fill="EEF2F7" w:val="clear"/>
          </w:tcPr>
          <w:p>
            <w:r>
              <w:rPr>
                <w:b/>
                <w:color w:val="1E1E3C"/>
                <w:sz w:val="16"/>
              </w:rPr>
              <w:t>Ratio d'endettement (gearing)</w:t>
            </w:r>
          </w:p>
        </w:tc>
        <w:tc>
          <w:tcPr>
            <w:tcW w:type="dxa" w:w="1984"/>
            <w:shd w:fill="C6EFCE" w:val="clear"/>
          </w:tcPr>
          <w:p>
            <w:r>
              <w:rPr>
                <w:b/>
                <w:color w:val="006400"/>
                <w:sz w:val="17"/>
              </w:rPr>
              <w:t>52.16%</w:t>
            </w:r>
          </w:p>
        </w:tc>
        <w:tc>
          <w:tcPr>
            <w:tcW w:type="dxa" w:w="5669"/>
            <w:shd w:fill="FFFFFF" w:val="clear"/>
          </w:tcPr>
          <w:p>
            <w:r>
              <w:rPr>
                <w:color w:val="282828"/>
                <w:sz w:val="15"/>
              </w:rPr>
              <w:t>Dettes totales / fonds propres = 52.16% (gearing). ✅ Levier financier sain.</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119.67%</w:t>
            </w:r>
          </w:p>
        </w:tc>
        <w:tc>
          <w:tcPr>
            <w:tcW w:type="dxa" w:w="5669"/>
            <w:shd w:fill="FFFFFF" w:val="clear"/>
          </w:tcPr>
          <w:p>
            <w:r>
              <w:rPr>
                <w:color w:val="282828"/>
                <w:sz w:val="15"/>
              </w:rPr>
              <w:t>Total actif / dettes totales = 119.67x. ✅ Solvable.</w:t>
            </w:r>
          </w:p>
        </w:tc>
      </w:tr>
      <w:tr>
        <w:tc>
          <w:tcPr>
            <w:tcW w:type="dxa" w:w="2268"/>
            <w:shd w:fill="EEF2F7" w:val="clear"/>
          </w:tcPr>
          <w:p>
            <w:r>
              <w:rPr>
                <w:b/>
                <w:color w:val="1E1E3C"/>
                <w:sz w:val="16"/>
              </w:rPr>
              <w:t>Liquidité générale</w:t>
            </w:r>
          </w:p>
        </w:tc>
        <w:tc>
          <w:tcPr>
            <w:tcW w:type="dxa" w:w="1984"/>
            <w:shd w:fill="FFEB9C" w:val="clear"/>
          </w:tcPr>
          <w:p>
            <w:r>
              <w:rPr>
                <w:b/>
                <w:color w:val="006400"/>
                <w:sz w:val="17"/>
              </w:rPr>
              <w:t>93.50%</w:t>
            </w:r>
          </w:p>
        </w:tc>
        <w:tc>
          <w:tcPr>
            <w:tcW w:type="dxa" w:w="5669"/>
            <w:shd w:fill="FFFFFF" w:val="clear"/>
          </w:tcPr>
          <w:p>
            <w:r>
              <w:rPr>
                <w:color w:val="282828"/>
                <w:sz w:val="15"/>
              </w:rPr>
              <w:t>Actif circulant / passif circulant = 93.50x. ⚠️ Liquidité tendue — risque si remboursement simultané exigé.</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14.82%</w:t>
            </w:r>
          </w:p>
        </w:tc>
        <w:tc>
          <w:tcPr>
            <w:tcW w:type="dxa" w:w="5669"/>
            <w:shd w:fill="FFFFFF" w:val="clear"/>
          </w:tcPr>
          <w:p>
            <w:r>
              <w:rPr>
                <w:color w:val="282828"/>
                <w:sz w:val="15"/>
              </w:rPr>
              <w:t>Trésorerie / passif circulant = 14.82x. ⚠️ Trésorerie immédiate limitée.</w:t>
            </w:r>
          </w:p>
        </w:tc>
      </w:tr>
      <w:tr>
        <w:tc>
          <w:tcPr>
            <w:tcW w:type="dxa" w:w="2268"/>
            <w:shd w:fill="EEF2F7" w:val="clear"/>
          </w:tcPr>
          <w:p>
            <w:r>
              <w:rPr>
                <w:b/>
                <w:color w:val="1E1E3C"/>
                <w:sz w:val="16"/>
              </w:rPr>
              <w:t>Liquidité réduite</w:t>
            </w:r>
          </w:p>
        </w:tc>
        <w:tc>
          <w:tcPr>
            <w:tcW w:type="dxa" w:w="1984"/>
            <w:shd w:fill="FFEB9C" w:val="clear"/>
          </w:tcPr>
          <w:p>
            <w:r>
              <w:rPr>
                <w:b/>
                <w:color w:val="006400"/>
                <w:sz w:val="17"/>
              </w:rPr>
              <w:t>82.21%</w:t>
            </w:r>
          </w:p>
        </w:tc>
        <w:tc>
          <w:tcPr>
            <w:tcW w:type="dxa" w:w="5669"/>
            <w:shd w:fill="FFFFFF" w:val="clear"/>
          </w:tcPr>
          <w:p>
            <w:r>
              <w:rPr>
                <w:color w:val="282828"/>
                <w:sz w:val="15"/>
              </w:rPr>
              <w:t>(Actif circ. - stocks) / passif circ. = 82.21x. ⚠️ Liquidité réduite limite.</w:t>
            </w:r>
          </w:p>
        </w:tc>
      </w:tr>
      <w:tr>
        <w:tc>
          <w:tcPr>
            <w:tcW w:type="dxa" w:w="2268"/>
            <w:shd w:fill="EEF2F7" w:val="clear"/>
          </w:tcPr>
          <w:p>
            <w:r>
              <w:rPr>
                <w:b/>
                <w:color w:val="1E1E3C"/>
                <w:sz w:val="16"/>
              </w:rPr>
              <w:t>Financement des immob.</w:t>
            </w:r>
          </w:p>
        </w:tc>
        <w:tc>
          <w:tcPr>
            <w:tcW w:type="dxa" w:w="1984"/>
            <w:shd w:fill="FFC7CE" w:val="clear"/>
          </w:tcPr>
          <w:p>
            <w:r>
              <w:rPr>
                <w:b/>
                <w:color w:val="006400"/>
                <w:sz w:val="17"/>
              </w:rPr>
              <w:t>63.33%</w:t>
            </w:r>
          </w:p>
        </w:tc>
        <w:tc>
          <w:tcPr>
            <w:tcW w:type="dxa" w:w="5669"/>
            <w:shd w:fill="FFFFFF" w:val="clear"/>
          </w:tcPr>
          <w:p>
            <w:r>
              <w:rPr>
                <w:color w:val="282828"/>
                <w:sz w:val="15"/>
              </w:rPr>
              <w:t>Capitaux permanents / actif immobilisé = 63.33x. ❌ Partie des actifs LT financée par des ressources CT — risque de liquidité.</w:t>
            </w:r>
          </w:p>
        </w:tc>
      </w:tr>
      <w:tr>
        <w:tc>
          <w:tcPr>
            <w:tcW w:type="dxa" w:w="2268"/>
            <w:shd w:fill="EEF2F7" w:val="clear"/>
          </w:tcPr>
          <w:p>
            <w:r>
              <w:rPr>
                <w:b/>
                <w:color w:val="1E1E3C"/>
                <w:sz w:val="16"/>
              </w:rPr>
              <w:t>Capacité de remboursement</w:t>
            </w:r>
          </w:p>
        </w:tc>
        <w:tc>
          <w:tcPr>
            <w:tcW w:type="dxa" w:w="1984"/>
            <w:shd w:fill="C6EFCE" w:val="clear"/>
          </w:tcPr>
          <w:p>
            <w:r>
              <w:rPr>
                <w:b/>
                <w:color w:val="006400"/>
                <w:sz w:val="17"/>
              </w:rPr>
              <w:t>0.9 ans</w:t>
            </w:r>
          </w:p>
        </w:tc>
        <w:tc>
          <w:tcPr>
            <w:tcW w:type="dxa" w:w="5669"/>
            <w:shd w:fill="FFFFFF" w:val="clear"/>
          </w:tcPr>
          <w:p>
            <w:r>
              <w:rPr>
                <w:color w:val="282828"/>
                <w:sz w:val="15"/>
              </w:rPr>
              <w:t>Dettes financières / CAF = 0.9 ans. ✅ Dette remboursable rapidement.</w:t>
            </w:r>
          </w:p>
        </w:tc>
      </w:tr>
      <w:tr>
        <w:tc>
          <w:tcPr>
            <w:tcW w:type="dxa" w:w="2268"/>
            <w:shd w:fill="EEF2F7" w:val="clear"/>
          </w:tcPr>
          <w:p>
            <w:r>
              <w:rPr>
                <w:b/>
                <w:color w:val="1E1E3C"/>
                <w:sz w:val="16"/>
              </w:rPr>
              <w:t>Couverture des intérêts</w:t>
            </w:r>
          </w:p>
        </w:tc>
        <w:tc>
          <w:tcPr>
            <w:tcW w:type="dxa" w:w="1984"/>
            <w:shd w:fill="C6EFCE" w:val="clear"/>
          </w:tcPr>
          <w:p>
            <w:r>
              <w:rPr>
                <w:b/>
                <w:color w:val="006400"/>
                <w:sz w:val="17"/>
              </w:rPr>
              <w:t>485.91%</w:t>
            </w:r>
          </w:p>
        </w:tc>
        <w:tc>
          <w:tcPr>
            <w:tcW w:type="dxa" w:w="5669"/>
            <w:shd w:fill="FFFFFF" w:val="clear"/>
          </w:tcPr>
          <w:p>
            <w:r>
              <w:rPr>
                <w:color w:val="282828"/>
                <w:sz w:val="15"/>
              </w:rPr>
              <w:t>Résultat exploit. / charges financières = 485.91x. ✅ Excellente couverture des intérêts.</w:t>
            </w:r>
          </w:p>
        </w:tc>
      </w:tr>
      <w:tr>
        <w:tc>
          <w:tcPr>
            <w:tcW w:type="dxa" w:w="2268"/>
            <w:shd w:fill="EEF2F7" w:val="clear"/>
          </w:tcPr>
          <w:p>
            <w:r>
              <w:rPr>
                <w:b/>
                <w:color w:val="1E1E3C"/>
                <w:sz w:val="16"/>
              </w:rPr>
              <w:t>Couverture invest./CAF</w:t>
            </w:r>
          </w:p>
        </w:tc>
        <w:tc>
          <w:tcPr>
            <w:tcW w:type="dxa" w:w="1984"/>
            <w:shd w:fill="C6EFCE" w:val="clear"/>
          </w:tcPr>
          <w:p>
            <w:r>
              <w:rPr>
                <w:b/>
                <w:color w:val="006400"/>
                <w:sz w:val="17"/>
              </w:rPr>
              <w:t>1319.16%</w:t>
            </w:r>
          </w:p>
        </w:tc>
        <w:tc>
          <w:tcPr>
            <w:tcW w:type="dxa" w:w="5669"/>
            <w:shd w:fill="FFFFFF" w:val="clear"/>
          </w:tcPr>
          <w:p>
            <w:r>
              <w:rPr>
                <w:color w:val="282828"/>
                <w:sz w:val="15"/>
              </w:rPr>
              <w:t>CAF / investissements = 1319.16x. ✅ La CAF finance largement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47.4 j</w:t>
            </w:r>
          </w:p>
        </w:tc>
        <w:tc>
          <w:tcPr>
            <w:tcW w:type="dxa" w:w="5669"/>
            <w:shd w:fill="FFFFFF" w:val="clear"/>
          </w:tcPr>
          <w:p>
            <w:r>
              <w:rPr>
                <w:color w:val="282828"/>
                <w:sz w:val="15"/>
              </w:rPr>
              <w:t>Les clients paient en moyenne en 47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97.8 j</w:t>
            </w:r>
          </w:p>
        </w:tc>
        <w:tc>
          <w:tcPr>
            <w:tcW w:type="dxa" w:w="5669"/>
            <w:shd w:fill="FFFFFF" w:val="clear"/>
          </w:tcPr>
          <w:p>
            <w:r>
              <w:rPr>
                <w:color w:val="282828"/>
                <w:sz w:val="15"/>
              </w:rPr>
              <w:t>Paiement des fournisseurs en 98 jours. ✅ Délai favorable — la société conserve sa trésorerie.</w:t>
            </w:r>
          </w:p>
        </w:tc>
      </w:tr>
      <w:tr>
        <w:tc>
          <w:tcPr>
            <w:tcW w:type="dxa" w:w="2268"/>
            <w:shd w:fill="EEF2F7" w:val="clear"/>
          </w:tcPr>
          <w:p>
            <w:r>
              <w:rPr>
                <w:b/>
                <w:color w:val="1E1E3C"/>
                <w:sz w:val="16"/>
              </w:rPr>
              <w:t>Durée de stockage (jours)</w:t>
            </w:r>
          </w:p>
        </w:tc>
        <w:tc>
          <w:tcPr>
            <w:tcW w:type="dxa" w:w="1984"/>
            <w:shd w:fill="C6EFCE" w:val="clear"/>
          </w:tcPr>
          <w:p>
            <w:r>
              <w:rPr>
                <w:b/>
                <w:color w:val="006400"/>
                <w:sz w:val="17"/>
              </w:rPr>
              <w:t>17.6 j</w:t>
            </w:r>
          </w:p>
        </w:tc>
        <w:tc>
          <w:tcPr>
            <w:tcW w:type="dxa" w:w="5669"/>
            <w:shd w:fill="FFFFFF" w:val="clear"/>
          </w:tcPr>
          <w:p>
            <w:r>
              <w:rPr>
                <w:color w:val="282828"/>
                <w:sz w:val="15"/>
              </w:rPr>
              <w:t>Stock écoulé en 18 jours. ✅ Rotation rapide — faible immobilisation de capital.</w:t>
            </w:r>
          </w:p>
        </w:tc>
      </w:tr>
    </w:tbl>
    <w:p/>
    <w:p>
      <w:pPr>
        <w:spacing w:after="120" w:line="276" w:lineRule="auto"/>
      </w:pPr>
      <w:r>
        <w:t>**RAPPORT D'ANALYSE FINANCIÈRE — TOTALENERGIES MARKETING SÉNÉGAL (TTLS)**</w:t>
        <w:br/>
        <w:t>**Date de l'analyse : 27 août 2026**</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de TTLS s'établit à 120,05 milliards FCFA, un niveau significatif qui en fait l'une des valeurs moyennes les plus notables de la BRVM. Avec un BPA de 208 FCFA, le PER de 17,7x se situe nettement au-dessus de la moyenne historique du marché (8-12x), indiquant que les investisseurs paient une prime substantielle pour la qualité perçue du titre et sa position de leader. Le P/B de 4,25x confirme cette valorisation exigeante, le marché valorisant le titre à plus de quatre fois sa valeur comptable, ce qui reflète une forte confiance dans la capacité de la société à générer des rendements supérieurs. Enfin, l'EV/EBITDA de 7,5x, dans la fourchette raisonnable de 5-10x, tempère légèrement cette lecture en montrant que la valeur totale de l'entreprise (dette incluse) reste cohérente avec sa capacité opérationnelle de génération de cash-flow.</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le titre TTLS affiche une progression solide de +13,38%, mais la dernière séance enregistre un recul marqué de -3,03%, signalant une possible prise de bénéfices après un rallye. Le cours actuel de 3 685 FCFA se situe dans une fourchette de trading large, entre un plus bas de 2 845 FCFA et un plus haut de 4 500 FCFA, démontrant une volatilité intra-période considérable. Les statistiques descriptives révèlent une moyenne de 3 502 FCFA, proche de la médiane de 3 458 FCFA, avec un skewness positif de 0,559 indiquant une asymétrie vers les rendements positifs, mais avec plus de journées sous la moyenne. L'écart-type de 370 FCFA (CV=10,6%) montre une dispersion modérée, tandis que le kurtosis de -0,120 (mésokurtique) suggère une distribution proche de la normale, sans risque de pics extrêmes. La volatilité annualisée de 47,9% classe le titre comme très volatil, un niveau élevé qui exige une grande prudence pour les investisseurs à court terme.</w:t>
      </w:r>
    </w:p>
    <w:p>
      <w:pPr>
        <w:spacing w:after="120" w:line="276" w:lineRule="auto"/>
      </w:pPr>
      <w:r>
        <w:t>---</w:t>
      </w:r>
    </w:p>
    <w:p>
      <w:pPr>
        <w:spacing w:after="120" w:line="276" w:lineRule="auto"/>
      </w:pPr>
      <w:r>
        <w:t>### PARTIE 2 : ANALYSE TECHNIQUE DÉTAILLÉE</w:t>
      </w:r>
    </w:p>
    <w:p>
      <w:pPr>
        <w:spacing w:after="120" w:line="276" w:lineRule="auto"/>
      </w:pPr>
      <w:r>
        <w:t>**Moyennes Mobiles** : Le cours actuel de 3 685 FCFA est inférieur à la MM20 (3 680 FCFA) et nettement sous la MM50 (3 790,2 FCFA), configuration baissière à court et moyen terme. Le signal de Vente est justifié par cette position sous les moyennes mobiles, indiquant une dynamique de prix négative qui pourrait se poursuivre si le support des 3 600 FCFA cède.</w:t>
      </w:r>
    </w:p>
    <w:p>
      <w:pPr>
        <w:spacing w:after="120" w:line="276" w:lineRule="auto"/>
      </w:pPr>
      <w:r>
        <w:t>**Bandes de Bollinger** : Le prix se situe à l'intérieur des bandes, entre la borne supérieure de 3 929,3 FCFA et la borne inférieure de 3 430,7 FCFA, avec une largeur de bande significative reflétant la forte volatilité du titre. La position médiane du cours suggère un équilibre temporaire, mais l'écartement des bandes indique que des mouvements amples restent possibles dans les deux sens.</w:t>
      </w:r>
    </w:p>
    <w:p>
      <w:pPr>
        <w:spacing w:after="120" w:line="276" w:lineRule="auto"/>
      </w:pPr>
      <w:r>
        <w:t>**MACD** : La valeur du MACD (12,221) est nettement supérieure à sa ligne de signal (-6,086), formant un croisement haussier qui indique un momentum positif en cours de formation. Ce signal d'Achat est d'autant plus pertinent que l'écart entre les deux lignes s'élargit, suggérant une accélération de la dynamique haussière à moyen terme.</w:t>
      </w:r>
    </w:p>
    <w:p>
      <w:pPr>
        <w:spacing w:after="120" w:line="276" w:lineRule="auto"/>
      </w:pPr>
      <w:r>
        <w:t>**RSI** : À 52,489, le RSI se positionne en zone neutre, entre 30 et 70, indiquant un équilibre entre pression acheteuse et vendeuse. Cette valeur ne montre ni surachat ni survente, laissant une marge de manœuvre dans les deux sens. La décision Neutre est cohérente avec un marché en phase de consolidation après un mouvement haussier.</w:t>
      </w:r>
    </w:p>
    <w:p>
      <w:pPr>
        <w:spacing w:after="120" w:line="276" w:lineRule="auto"/>
      </w:pPr>
      <w:r>
        <w:t>**Stochastique** : Le %K (39,785) est inférieur au %D (59,857), formant un croisement baissier qui suggère un affaiblissement du momentum à court terme. Cette configuration, bien que neutre, indique que la pression vendeuse pourrait dominer dans les prochaines séances, à moins d'un retournement rapide du %K au-dessus du %D.</w:t>
      </w:r>
    </w:p>
    <w:p>
      <w:pPr>
        <w:spacing w:after="120" w:line="276" w:lineRule="auto"/>
      </w:pPr>
      <w:r>
        <w:t>**Conclusion technique** : La convergence des indicateurs est mitigée, avec un signal d'Achat du MACD contrebalancé par une décision de Vente des moyennes mobiles et un croisement baissier du stochastique. Cette divergence suggère une période de transition où la tendance de fond reste incertaine. La prudence est de mise, le titre semblant chercher une direction claire après un mouvement haussier significatif.</w:t>
      </w:r>
    </w:p>
    <w:p>
      <w:pPr>
        <w:spacing w:after="120" w:line="276" w:lineRule="auto"/>
      </w:pPr>
      <w:r>
        <w:t>---</w:t>
      </w:r>
    </w:p>
    <w:p>
      <w:pPr>
        <w:spacing w:after="120" w:line="276" w:lineRule="auto"/>
      </w:pPr>
      <w:r>
        <w:t>### PARTIE 3 : ANALYSE FONDAMENTALE (SECTION CRITIQUE)</w:t>
      </w:r>
    </w:p>
    <w:p>
      <w:pPr>
        <w:spacing w:after="120" w:line="276" w:lineRule="auto"/>
      </w:pPr>
      <w:r>
        <w:t>En 2025, TTLS affiche un chiffre d'affaires de 455,209 milliards FCFA, en repli de 6,1% par rapport à 2024 (484,945 milliards FCFA), contraction principalement due à l'arrêt stratégique de la commercialisation du fuel lourd. Le résultat net s'établit à 6,779 milliards FCFA, en baisse de 5,1% contre 7,140 milliards en 2024, avec une marge nette de 1,49% typique du secteur de distribution pétrolière. Les ratios de rentabilité sont contrastés : le ROE de 24,01% est excellent, démontrant une utilisation très efficace des capitaux propres, tandis que le ROA de 3,95% reflète la lourdeur du bilan (171,778 milliards FCFA d'actifs). Le BFR négatif de -36,899 milliards FCFA est un signal très favorable, indiquant que l'entreprise finance son exploitation grâce aux délais fournisseurs (97,76 jours) nettement supérieurs aux délais clients (47,43 jours). La trésorerie nette positive de 13,941 milliards FCFA et la capacité de remboursement de 0,94 année confirment une solidité financière rassurante. Sur la base du rapport T1 2026 (CA de 99,9 milliards FCFA, -10% vs T1 2025), on estime que l'exercice 2026 pourrait voir le CA se stabiliser autour de 440-450 milliards FCFA, mais avec une amélioration de la rentabilité opérationnelle (+28% au T1 2026) grâce aux marges sur les lubrifiants. Les perspectives restent positives avec la mise en production de Sangomar et le développement du GPL, mais la dépendance aux décisions réglementaires de l'État sénégalais sur les prix constitue un risque majeur. La recommandation fondamentale est de CONSERVER, la société démontrant une résilience opérationnelle remarquable malgré un environnement difficile.</w:t>
      </w:r>
    </w:p>
    <w:p>
      <w:pPr>
        <w:spacing w:after="120" w:line="276" w:lineRule="auto"/>
      </w:pPr>
      <w:r>
        <w:t>---</w:t>
      </w:r>
    </w:p>
    <w:p>
      <w:pPr>
        <w:spacing w:after="120" w:line="276" w:lineRule="auto"/>
      </w:pPr>
      <w:r>
        <w:t>### PARTIE 4 : CONCLUSION D'INVESTISSEMENT</w:t>
      </w:r>
    </w:p>
    <w:p>
      <w:pPr>
        <w:spacing w:after="120" w:line="276" w:lineRule="auto"/>
      </w:pPr>
      <w:r>
        <w:t>La synthèse globale fait ressortir une situation contrastée pour TTLS. La valorisation (PER 17,7x, P/B 4,25x) est exigeante, reflétant une prime de qualité qui limite le potentiel de hausse à court terme. Le comportement du cours montre une tendance haussière sur 100 jours (+13,38%) mais avec une volatilité très élevée (47,9%) et un dernier repli de -3,03% qui pourrait marquer le début d'une correction. Les signaux techniques sont mitigés, avec un MACD haussier contrebalancé par des moyennes mobiles baissières, indiquant une phase de transition incertaine. Les fondamentaux restent solides avec un ROE de 24%, un BFR négatif favorable et une trésorerie nette positive, mais la baisse du CA et la pression réglementaire sur les prix pèsent sur les perspectives de croissance. Les prédictions IA (3 610 à 3 418 FCFA sur 10 jours) confirment cette tendance baissière à court terme, anticipant une poursuite du repli. Au vu de ces éléments divergents, la recommandation finale est **CONSERVER** avec un niveau de confiance **Moyen** et un risque global **Élevé**. L'horizon d'investissement optimal est le **moyen terme (3-12 mois)**, le temps que la stratégie de diversification (GPL, lubrifiants, export) porte ses fruits et que le marché intègre pleinement la nouvelle structure d'activité. Les investisseurs de long terme pourront capitaliser sur la position dominante de TTLS et les perspectives macroéconomiques favorables du Sénégal, mais devront accepter une volatilité significative en cours de route.</w:t>
      </w:r>
    </w:p>
    <w:p/>
    <w:p/>
    <w:p>
      <w:pPr>
        <w:pStyle w:val="Heading3"/>
      </w:pPr>
      <w:r>
        <w:rPr>
          <w:color w:val="005A32"/>
        </w:rPr>
        <w:t>📋 RAPPORTS &amp; COMMUNIQUÉS OFFICIELS</w:t>
      </w:r>
    </w:p>
    <w:p>
      <w:r>
        <w:rPr>
          <w:i/>
          <w:color w:val="646464"/>
          <w:sz w:val="18"/>
        </w:rPr>
        <w:t>24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"conserver", "justification": "Malgr\u00e9 la baisse r\u00e9glementaire du chiffre d'affaires, la soci\u00e9t\u00e9 d\u00e9montre sa r\u00e9silience avec une forte am\u00e9lioration de la rentabilit\u00e9 op\u00e9rationnelle (+28%). La capacit\u00e9 \u00e0 am\u00e9liorer les marges, particuli\u00e8rement sur les lubrifiants, compense l'impact des mesures gouvernementales sur les prix des carburants."}</w:t>
      </w:r>
    </w:p>
    <w:p>
      <w:pPr>
        <w:spacing w:before="40"/>
        <w:ind w:left="400"/>
      </w:pPr>
      <w:r>
        <w:rPr>
          <w:sz w:val="18"/>
        </w:rPr>
        <w:t>TotalEnergies Marketing Sénégal affiche des résultats contrastés pour le 1er trimestre 2026 avec un chiffre d'affaires en baisse de 10% à 99,9 milliards FCFA, impacté par la révision à la baisse des prix à la pompe par l'État sénégalais en décembre 2025. Malgré cette baisse du chiffre d'affaires, la société maintient une solide rentabilité avec un résultat d'exploitation en hausse de 28% à 2,6 milliards FCFA grâce à l'amélioration des marges, notamment sur les lubrifiants. Le résultat net progresse de 5% à 1,585 milliards FCFA, démontrant la capacité de la société à préserver sa profitabilité. La société conserve sa position de leader sur le marché sénégalais de la distribution de produits p</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{'evolution_ca': '-10%', 'resultat_exploitation': '2,623 milliards FCFA', 'evolution_resultat_net': '+5%', 'evolution_resultat_exploitation': '+28%'}</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1,6%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1,585 milliards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99,924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10% à 99,9 milliards FCFA due à la révision à la baisse des prix à la pompe par l'État</w:t>
      </w:r>
    </w:p>
    <w:p>
      <w:pPr>
        <w:pStyle w:val="ListBullet"/>
        <w:spacing w:before="20" w:after="20"/>
        <w:ind w:left="700"/>
      </w:pPr>
      <w:r>
        <w:rPr>
          <w:sz w:val="18"/>
        </w:rPr>
        <w:t>Forte progression du résultat d'exploitation (+28%) à 2,6 milliards FCFA grâce à l'amélioration des marges</w:t>
      </w:r>
    </w:p>
    <w:p>
      <w:pPr>
        <w:pStyle w:val="ListBullet"/>
        <w:spacing w:before="20" w:after="20"/>
        <w:ind w:left="700"/>
      </w:pPr>
      <w:r>
        <w:rPr>
          <w:sz w:val="18"/>
        </w:rPr>
        <w:t>Résultat net en hausse de 5% à 1,585 milliards FCFA malgré la baisse du chiffre d'affaires</w:t>
      </w:r>
    </w:p>
    <w:p>
      <w:pPr>
        <w:pStyle w:val="ListBullet"/>
        <w:spacing w:before="20" w:after="20"/>
        <w:ind w:left="700"/>
      </w:pPr>
      <w:r>
        <w:rPr>
          <w:sz w:val="18"/>
        </w:rPr>
        <w:t>Amélioration significative des marges, notamment sur les produits lubrifiants</w:t>
      </w:r>
    </w:p>
    <w:p>
      <w:pPr>
        <w:pStyle w:val="ListBullet"/>
        <w:spacing w:before="20" w:after="20"/>
        <w:ind w:left="700"/>
      </w:pPr>
      <w:r>
        <w:rPr>
          <w:sz w:val="18"/>
        </w:rPr>
        <w:t>Position de leader maintenue sur le marché sénégalais de distribution de produits pétroliers</w:t>
      </w:r>
    </w:p>
    <w:p>
      <w:pPr>
        <w:pStyle w:val="ListBullet"/>
        <w:spacing w:before="20" w:after="20"/>
        <w:ind w:left="700"/>
      </w:pPr>
      <w:r>
        <w:rPr>
          <w:sz w:val="18"/>
        </w:rPr>
        <w:t>Réseau de 140 stations-service au Sénégal et diversification vers GPL, lubrifiants et carburants aviation</w:t>
      </w:r>
    </w:p>
    <w:p>
      <w:pPr>
        <w:spacing w:before="40"/>
        <w:ind w:left="400"/>
      </w:pPr>
      <w:r>
        <w:rPr>
          <w:b/>
          <w:color w:val="C05000"/>
          <w:sz w:val="18"/>
        </w:rPr>
        <w:t xml:space="preserve">⚠️ Risques : </w:t>
      </w:r>
      <w:r>
        <w:rPr>
          <w:sz w:val="18"/>
        </w:rPr>
        <w:t xml:space="preserve">["D\u00e9pendance aux d\u00e9cisions r\u00e9glementaires de l'\u00c9tat s\u00e9n\u00e9galais sur les prix des carburants", "Exposition \u00e0 la volatilit\u00e9 des prix des produits p\u00e9troliers sur les march\u00e9s internationaux", "Concurrence accrue sur le march\u00e9 s\u00e9n\u00e9galais de </w:t>
      </w:r>
    </w:p>
    <w:p>
      <w:pPr>
        <w:spacing w:before="40"/>
        <w:ind w:left="400"/>
      </w:pPr>
      <w:r>
        <w:rPr>
          <w:b/>
          <w:color w:val="0064A0"/>
          <w:sz w:val="18"/>
        </w:rPr>
        <w:t xml:space="preserve">🔮 Perspectives : </w:t>
      </w:r>
      <w:r>
        <w:rPr>
          <w:sz w:val="18"/>
        </w:rPr>
        <w:t xml:space="preserve">Les perspectives dépendront largement de l'évolution de la politique de prix des carburants du gouvernement sénégalais et de la capacité de la société à maintenir l'amélioration de ses marges. La diversification vers les produits à plus forte valeur ajoutée comme les lubrifiants devrait continuer à </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baisse temporaire li\u00e9e \u00e0 l'arr\u00eat du fuel lourd, la soci\u00e9t\u00e9 maintient sa position de leader et d\u00e9veloppe de nouveaux axes de croissance. Les fondamentaux restent solides avec une strat\u00e9gie claire de transition \u00e9nerg\u00e9tique."}</w:t>
      </w:r>
    </w:p>
    <w:p>
      <w:pPr>
        <w:spacing w:before="40"/>
        <w:ind w:left="400"/>
      </w:pPr>
      <w:r>
        <w:rPr>
          <w:sz w:val="18"/>
        </w:rPr>
        <w:t>TotalEnergies Marketing Sénégal affiche un chiffre d'affaires de 455,2 milliards FCFA en 2025, en baisse de 6% par rapport à 2024. Le résultat net ressort à 6,147 milliards FCFA, en recul de 13% (944 millions FCFA). Cette performance s'explique principalement par l'arrêt de la commercialisation du fuel lourd et la baisse des dividendes des participations. La société reste leader sur le marché sénégalais avec 140 stations-service et une stratégie axée sur la réduction de l'empreinte carbone. Les perspectives demeurent positives avec le développement des activités export et GPL.</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{'variation_ca': '-6%', 'valeur_ajoutee': '23,2 milliards FCFA', 'resultat_exploitation': '7,9 milliards FCFA', 'excedent_brut_exploitation': '14,3 milliards FCFA'}</w:t>
            </w:r>
          </w:p>
        </w:tc>
        <w:tc>
          <w:tcPr>
            <w:tcW w:type="dxa" w:w="2160"/>
          </w:tcPr>
          <w:p>
            <w:pPr>
              <w:ind w:left="100"/>
            </w:pPr>
            <w:r/>
            <w:r>
              <w:rPr>
                <w:b/>
                <w:sz w:val="16"/>
              </w:rPr>
              <w:t>dividende</w:t>
              <w:br/>
            </w:r>
            <w:r>
              <w:rPr>
                <w:sz w:val="18"/>
              </w:rPr>
              <w:t>6,147 milliards FCFA (dividende brut)</w:t>
            </w:r>
          </w:p>
        </w:tc>
        <w:tc>
          <w:tcPr>
            <w:tcW w:type="dxa" w:w="2160"/>
          </w:tcPr>
          <w:p>
            <w:pPr>
              <w:ind w:left="100"/>
            </w:pPr>
            <w:r/>
            <w:r>
              <w:rPr>
                <w:b/>
                <w:sz w:val="16"/>
              </w:rPr>
              <w:t>marge_nette</w:t>
              <w:br/>
            </w:r>
            <w:r>
              <w:rPr>
                <w:sz w:val="18"/>
              </w:rPr>
              <w:t>1,35%</w:t>
            </w:r>
          </w:p>
        </w:tc>
        <w:tc>
          <w:tcPr>
            <w:tcW w:type="dxa" w:w="2160"/>
          </w:tcPr>
          <w:p>
            <w:pPr>
              <w:ind w:left="100"/>
            </w:pPr>
            <w:r/>
            <w:r>
              <w:rPr>
                <w:b/>
                <w:sz w:val="16"/>
              </w:rPr>
              <w:t>total_actif</w:t>
              <w:br/>
            </w:r>
            <w:r>
              <w:rPr>
                <w:sz w:val="18"/>
              </w:rPr>
              <w:t>158,4 milliards FCFA</w:t>
            </w:r>
          </w:p>
        </w:tc>
      </w:tr>
      <w:tr>
        <w:tc>
          <w:tcPr>
            <w:tcW w:type="dxa" w:w="2160"/>
          </w:tcPr>
          <w:p>
            <w:r/>
            <w:r>
              <w:rPr>
                <w:b/>
                <w:sz w:val="16"/>
              </w:rPr>
              <w:t>resultat_net</w:t>
              <w:br/>
            </w:r>
            <w:r>
              <w:rPr>
                <w:sz w:val="18"/>
              </w:rPr>
              <w:t>6,147 milliards FCFA</w:t>
            </w:r>
          </w:p>
        </w:tc>
        <w:tc>
          <w:tcPr>
            <w:tcW w:type="dxa" w:w="2160"/>
          </w:tcPr>
          <w:p>
            <w:r/>
            <w:r>
              <w:rPr>
                <w:b/>
                <w:sz w:val="16"/>
              </w:rPr>
              <w:t>capitaux_propres</w:t>
              <w:br/>
            </w:r>
            <w:r>
              <w:rPr>
                <w:sz w:val="18"/>
              </w:rPr>
              <w:t>133,3 milliards FCFA</w:t>
            </w:r>
          </w:p>
        </w:tc>
        <w:tc>
          <w:tcPr>
            <w:tcW w:type="dxa" w:w="2160"/>
          </w:tcPr>
          <w:p>
            <w:r/>
            <w:r>
              <w:rPr>
                <w:b/>
                <w:sz w:val="16"/>
              </w:rPr>
              <w:t>chiffre_affaires</w:t>
              <w:br/>
            </w:r>
            <w:r>
              <w:rPr>
                <w:sz w:val="18"/>
              </w:rPr>
              <w:t>455,2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de 455,2 milliards FCFA (-6% vs 2024)</w:t>
      </w:r>
    </w:p>
    <w:p>
      <w:pPr>
        <w:pStyle w:val="ListBullet"/>
        <w:spacing w:before="20" w:after="20"/>
        <w:ind w:left="700"/>
      </w:pPr>
      <w:r>
        <w:rPr>
          <w:sz w:val="18"/>
        </w:rPr>
        <w:t>Résultat net de 6,147 milliards FCFA (-13% vs 2024)</w:t>
      </w:r>
    </w:p>
    <w:p>
      <w:pPr>
        <w:pStyle w:val="ListBullet"/>
        <w:spacing w:before="20" w:after="20"/>
        <w:ind w:left="700"/>
      </w:pPr>
      <w:r>
        <w:rPr>
          <w:sz w:val="18"/>
        </w:rPr>
        <w:t>Arrêt stratégique de la commercialisation du fuel lourd (39,5 milliards FCFA de CA en 2024)</w:t>
      </w:r>
    </w:p>
    <w:p>
      <w:pPr>
        <w:pStyle w:val="ListBullet"/>
        <w:spacing w:before="20" w:after="20"/>
        <w:ind w:left="700"/>
      </w:pPr>
      <w:r>
        <w:rPr>
          <w:sz w:val="18"/>
        </w:rPr>
        <w:t>Baisse des dividendes des participations de 1,019 milliard FCFA</w:t>
      </w:r>
    </w:p>
    <w:p>
      <w:pPr>
        <w:pStyle w:val="ListBullet"/>
        <w:spacing w:before="20" w:after="20"/>
        <w:ind w:left="700"/>
      </w:pPr>
      <w:r>
        <w:rPr>
          <w:sz w:val="18"/>
        </w:rPr>
        <w:t>Leader du marché sénégalais avec 140 stations-service</w:t>
      </w:r>
    </w:p>
    <w:p>
      <w:pPr>
        <w:pStyle w:val="ListBullet"/>
        <w:spacing w:before="20" w:after="20"/>
        <w:ind w:left="700"/>
      </w:pPr>
      <w:r>
        <w:rPr>
          <w:sz w:val="18"/>
        </w:rPr>
        <w:t>Détenue à 69,1% par TotalEnergies et 30,9% par des actionnaires sénégalais</w:t>
      </w:r>
    </w:p>
    <w:p>
      <w:pPr>
        <w:spacing w:before="40"/>
        <w:ind w:left="400"/>
      </w:pPr>
      <w:r>
        <w:rPr>
          <w:b/>
          <w:color w:val="C05000"/>
          <w:sz w:val="18"/>
        </w:rPr>
        <w:t xml:space="preserve">⚠️ Risques : </w:t>
      </w:r>
      <w:r>
        <w:rPr>
          <w:sz w:val="18"/>
        </w:rPr>
        <w:t>["D\u00e9pendance aux fluctuations des prix des produits p\u00e9troliers", "Ralentissement des ventes dans les secteurs miniers et BTP", "Concurrence accrue sur le march\u00e9 des carburants au S\u00e9n\u00e9gal"]</w:t>
      </w:r>
    </w:p>
    <w:p>
      <w:pPr>
        <w:spacing w:before="40"/>
        <w:ind w:left="400"/>
      </w:pPr>
      <w:r>
        <w:rPr>
          <w:b/>
          <w:color w:val="0064A0"/>
          <w:sz w:val="18"/>
        </w:rPr>
        <w:t xml:space="preserve">🔮 Perspectives : </w:t>
      </w:r>
      <w:r>
        <w:rPr>
          <w:sz w:val="18"/>
        </w:rPr>
        <w:t>TotalEnergies Marketing Sénégal mise sur le développement des activités export et GPL pour compenser l'arrêt du fuel lourd. La société compte capitaliser sur la mise en production du champ de Sangomar et le projet GNL-GTA pour soutenir sa croissance. L'objectif est d'accompagner le développement éco</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une baisse du chiffre d'affaires, la soci\u00e9t\u00e9 maintient sa rentabilit\u00e9 et am\u00e9liore sa position de tr\u00e9sorerie. Sa position dominante sur le march\u00e9 s\u00e9n\u00e9galais et sa capacit\u00e9 \u00e0 distribuer des dividendes substantiels en font un investissement d\u00e9fensif solide."}</w:t>
      </w:r>
    </w:p>
    <w:p>
      <w:pPr>
        <w:spacing w:before="40"/>
        <w:ind w:left="400"/>
      </w:pPr>
      <w:r>
        <w:rPr>
          <w:sz w:val="18"/>
        </w:rPr>
        <w:t>TotalEnergies Marketing Sénégal affiche des résultats solides pour 2025 avec un chiffre d'affaires de 455,2 milliards FCFA malgré une baisse de 6,1% par rapport à 2024. Le résultat opérationnel reste stable à 8,7 milliards FCFA tandis que le résultat net recule légèrement à 6,8 milliards FCFA contre 7,1 milliards en 2024. La société maintient une position financière robuste avec des capitaux propres de 28,2 milliards FCFA et des actifs totaux de 171,8 milliards FCFA. La trésorerie s'améliore significativement passant de 8,4 milliards FCFA à 20,6 milliards FCFA. Leader de la distribution pétrolière au Sénégal avec 140 stations-service, la société bénéficie d'un positionnement stratégique fort</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{'tresorerie': '20 567 millions FCFA', 'endettement_net': '-14 896 millions FCFA', 'marge_operationnelle': '1,9%', 'resultat_operationnel': '8 693 millions FCFA'}</w:t>
            </w:r>
          </w:p>
        </w:tc>
        <w:tc>
          <w:tcPr>
            <w:tcW w:type="dxa" w:w="2160"/>
          </w:tcPr>
          <w:p>
            <w:pPr>
              <w:ind w:left="100"/>
            </w:pPr>
            <w:r/>
            <w:r>
              <w:rPr>
                <w:b/>
                <w:sz w:val="16"/>
              </w:rPr>
              <w:t>dividende</w:t>
              <w:br/>
            </w:r>
            <w:r>
              <w:rPr>
                <w:sz w:val="18"/>
              </w:rPr>
              <w:t>7 691 millions FCFA versés</w:t>
            </w:r>
          </w:p>
        </w:tc>
        <w:tc>
          <w:tcPr>
            <w:tcW w:type="dxa" w:w="2160"/>
          </w:tcPr>
          <w:p>
            <w:pPr>
              <w:ind w:left="100"/>
            </w:pPr>
            <w:r/>
            <w:r>
              <w:rPr>
                <w:b/>
                <w:sz w:val="16"/>
              </w:rPr>
              <w:t>marge_nette</w:t>
              <w:br/>
            </w:r>
            <w:r>
              <w:rPr>
                <w:sz w:val="18"/>
              </w:rPr>
              <w:t>1,5%</w:t>
            </w:r>
          </w:p>
        </w:tc>
        <w:tc>
          <w:tcPr>
            <w:tcW w:type="dxa" w:w="2160"/>
          </w:tcPr>
          <w:p>
            <w:pPr>
              <w:ind w:left="100"/>
            </w:pPr>
            <w:r/>
            <w:r>
              <w:rPr>
                <w:b/>
                <w:sz w:val="16"/>
              </w:rPr>
              <w:t>total_actif</w:t>
              <w:br/>
            </w:r>
            <w:r>
              <w:rPr>
                <w:sz w:val="18"/>
              </w:rPr>
              <w:t>171 778 millions FCFA</w:t>
            </w:r>
          </w:p>
        </w:tc>
      </w:tr>
      <w:tr>
        <w:tc>
          <w:tcPr>
            <w:tcW w:type="dxa" w:w="2160"/>
          </w:tcPr>
          <w:p>
            <w:r/>
            <w:r>
              <w:rPr>
                <w:b/>
                <w:sz w:val="16"/>
              </w:rPr>
              <w:t>resultat_net</w:t>
              <w:br/>
            </w:r>
            <w:r>
              <w:rPr>
                <w:sz w:val="18"/>
              </w:rPr>
              <w:t>6 779 millions FCFA</w:t>
            </w:r>
          </w:p>
        </w:tc>
        <w:tc>
          <w:tcPr>
            <w:tcW w:type="dxa" w:w="2160"/>
          </w:tcPr>
          <w:p>
            <w:r/>
            <w:r>
              <w:rPr>
                <w:b/>
                <w:sz w:val="16"/>
              </w:rPr>
              <w:t>capitaux_propres</w:t>
              <w:br/>
            </w:r>
            <w:r>
              <w:rPr>
                <w:sz w:val="18"/>
              </w:rPr>
              <w:t>28 239 millions FCFA</w:t>
            </w:r>
          </w:p>
        </w:tc>
        <w:tc>
          <w:tcPr>
            <w:tcW w:type="dxa" w:w="2160"/>
          </w:tcPr>
          <w:p>
            <w:r/>
            <w:r>
              <w:rPr>
                <w:b/>
                <w:sz w:val="16"/>
              </w:rPr>
              <w:t>chiffre_affaires</w:t>
              <w:br/>
            </w:r>
            <w:r>
              <w:rPr>
                <w:sz w:val="18"/>
              </w:rPr>
              <w:t>455 209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Baisse du chiffre d'affaires de 6,1% à 455,2 milliards FCFA en 2025</w:t>
      </w:r>
    </w:p>
    <w:p>
      <w:pPr>
        <w:pStyle w:val="ListBullet"/>
        <w:spacing w:before="20" w:after="20"/>
        <w:ind w:left="700"/>
      </w:pPr>
      <w:r>
        <w:rPr>
          <w:sz w:val="18"/>
        </w:rPr>
        <w:t>Résultat net en légère diminution à 6,8 milliards FCFA (-5,1%)</w:t>
      </w:r>
    </w:p>
    <w:p>
      <w:pPr>
        <w:pStyle w:val="ListBullet"/>
        <w:spacing w:before="20" w:after="20"/>
        <w:ind w:left="700"/>
      </w:pPr>
      <w:r>
        <w:rPr>
          <w:sz w:val="18"/>
        </w:rPr>
        <w:t>Amélioration significative de la trésorerie de 8,4 à 20,6 milliards FCFA</w:t>
      </w:r>
    </w:p>
    <w:p>
      <w:pPr>
        <w:pStyle w:val="ListBullet"/>
        <w:spacing w:before="20" w:after="20"/>
        <w:ind w:left="700"/>
      </w:pPr>
      <w:r>
        <w:rPr>
          <w:sz w:val="18"/>
        </w:rPr>
        <w:t>Marge opérationnelle stable maintenue autour de 1,9%</w:t>
      </w:r>
    </w:p>
    <w:p>
      <w:pPr>
        <w:pStyle w:val="ListBullet"/>
        <w:spacing w:before="20" w:after="20"/>
        <w:ind w:left="700"/>
      </w:pPr>
      <w:r>
        <w:rPr>
          <w:sz w:val="18"/>
        </w:rPr>
        <w:t>Dividendes payés de 7,7 milliards FCFA démontrant la solidité financière</w:t>
      </w:r>
    </w:p>
    <w:p>
      <w:pPr>
        <w:pStyle w:val="ListBullet"/>
        <w:spacing w:before="20" w:after="20"/>
        <w:ind w:left="700"/>
      </w:pPr>
      <w:r>
        <w:rPr>
          <w:sz w:val="18"/>
        </w:rPr>
        <w:t>Position de leader sur le marché sénégalais avec 140 stations-service</w:t>
      </w:r>
    </w:p>
    <w:p>
      <w:pPr>
        <w:spacing w:before="40"/>
        <w:ind w:left="400"/>
      </w:pPr>
      <w:r>
        <w:rPr>
          <w:b/>
          <w:color w:val="C05000"/>
          <w:sz w:val="18"/>
        </w:rPr>
        <w:t xml:space="preserve">⚠️ Risques : </w:t>
      </w:r>
      <w:r>
        <w:rPr>
          <w:sz w:val="18"/>
        </w:rPr>
        <w:t>["D\u00e9pendance aux fluctuations des prix du p\u00e9trole et des marges de raffinage", "Exposition au march\u00e9 s\u00e9n\u00e9galais uniquement cr\u00e9ant un risque de concentration g\u00e9ographique", "Pression r\u00e9glementaire potentielle sur les droits d'accises qui ont augment\u00e9 de 32</w:t>
      </w:r>
    </w:p>
    <w:p>
      <w:pPr>
        <w:spacing w:before="40"/>
        <w:ind w:left="400"/>
      </w:pPr>
      <w:r>
        <w:rPr>
          <w:b/>
          <w:color w:val="0064A0"/>
          <w:sz w:val="18"/>
        </w:rPr>
        <w:t xml:space="preserve">🔮 Perspectives : </w:t>
      </w:r>
      <w:r>
        <w:rPr>
          <w:sz w:val="18"/>
        </w:rPr>
        <w:t>La société devrait bénéficier de sa position dominante sur le marché sénégalais et de l'amélioration de sa situation de trésorerie pour poursuivre ses investissements. La transition énergétique pourrait offrir des opportunités de diversification tout en maintenant sa rentabilité sur les activités tr</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"Excellente performance financi\u00e8re mais tensions de tr\u00e9sorerie et volatilit\u00e9 des prix d'importation cr\u00e9ent de l'incertitude. La r\u00e9cup\u00e9ration d'un contrat aviation et les strat\u00e9gies commerciales payantes sont encourageantes."}</w:t>
      </w:r>
    </w:p>
    <w:p>
      <w:pPr>
        <w:spacing w:before="40"/>
        <w:ind w:left="400"/>
      </w:pPr>
      <w:r>
        <w:rPr>
          <w:sz w:val="18"/>
        </w:rPr>
        <w:t>TotalEnergies Marketing Sénégal réalise une performance exceptionnelle au 3ème trimestre 2022 avec un résultat des activités ordinaires de 11,265 milliards FCFA, en hausse de 78% par rapport à 2021. Cette performance s'appuie sur des effets stocks positifs de 5 milliards FCFA et les dividendes reçus des filiales. Les ventes réseau et commerce général progressent de 7% chacun, compensant partiellement le recul de l'aviation (-31%). Le chiffre d'affaires atteint 357,587 milliards FCFA (+25%) malgré un volume total des ventes en progression modérée de 2%. La société maintient sa position de leader sur le marché sénégalais avec 171 stations-service.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{'nombre_stations': '171', 'volume_ventes_total': '595,16 kt', 'croissance_ventes_reseau': '7%', 'croissance_commerce_general': '7%', 'resultat_activites_ordinaires': '11,265 milliards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357,587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78% à 11,265 milliards FCFA</w:t>
      </w:r>
    </w:p>
    <w:p>
      <w:pPr>
        <w:pStyle w:val="ListBullet"/>
        <w:spacing w:before="20" w:after="20"/>
        <w:ind w:left="700"/>
      </w:pPr>
      <w:r>
        <w:rPr>
          <w:sz w:val="18"/>
        </w:rPr>
        <w:t>Effets stocks exceptionnels positifs de 5 milliards FCFA bruts</w:t>
      </w:r>
    </w:p>
    <w:p>
      <w:pPr>
        <w:pStyle w:val="ListBullet"/>
        <w:spacing w:before="20" w:after="20"/>
        <w:ind w:left="700"/>
      </w:pPr>
      <w:r>
        <w:rPr>
          <w:sz w:val="18"/>
        </w:rPr>
        <w:t>Croissance de 7% des ventes réseau et commerce général</w:t>
      </w:r>
    </w:p>
    <w:p>
      <w:pPr>
        <w:pStyle w:val="ListBullet"/>
        <w:spacing w:before="20" w:after="20"/>
        <w:ind w:left="700"/>
      </w:pPr>
      <w:r>
        <w:rPr>
          <w:sz w:val="18"/>
        </w:rPr>
        <w:t>Chiffre d'affaires en progression de 25% à 357,587 milliards FCFA</w:t>
      </w:r>
    </w:p>
    <w:p>
      <w:pPr>
        <w:pStyle w:val="ListBullet"/>
        <w:spacing w:before="20" w:after="20"/>
        <w:ind w:left="700"/>
      </w:pPr>
      <w:r>
        <w:rPr>
          <w:sz w:val="18"/>
        </w:rPr>
        <w:t>Recul significatif de l'aviation (-31%) suite à la perte de contrats</w:t>
      </w:r>
    </w:p>
    <w:p>
      <w:pPr>
        <w:pStyle w:val="ListBullet"/>
        <w:spacing w:before="20" w:after="20"/>
        <w:ind w:left="700"/>
      </w:pPr>
      <w:r>
        <w:rPr>
          <w:sz w:val="18"/>
        </w:rPr>
        <w:t>Tension sur la trésorerie due au non-paiement des créances État</w:t>
      </w:r>
    </w:p>
    <w:p>
      <w:pPr>
        <w:spacing w:before="40"/>
        <w:ind w:left="400"/>
      </w:pPr>
      <w:r>
        <w:rPr>
          <w:b/>
          <w:color w:val="C05000"/>
          <w:sz w:val="18"/>
        </w:rPr>
        <w:t xml:space="preserve">⚠️ Risques : </w:t>
      </w:r>
      <w:r>
        <w:rPr>
          <w:sz w:val="18"/>
        </w:rPr>
        <w:t>["Tension sur la tr\u00e9sorerie due au non-paiement des cr\u00e9ances \u00c9tat pouvant perturber l'approvisionnement", "Forte volatilit\u00e9 des prix \u00e0 l'importation impactant la rentabilit\u00e9", "Concurrence agressive sur le segment GPL et perte de contrats aviation"]</w:t>
      </w:r>
    </w:p>
    <w:p>
      <w:pPr>
        <w:spacing w:before="40"/>
        <w:ind w:left="400"/>
      </w:pPr>
      <w:r>
        <w:rPr>
          <w:b/>
          <w:color w:val="0064A0"/>
          <w:sz w:val="18"/>
        </w:rPr>
        <w:t xml:space="preserve">🔮 Perspectives : </w:t>
      </w:r>
      <w:r>
        <w:rPr>
          <w:sz w:val="18"/>
        </w:rPr>
        <w:t>La société anticipe des défis sur le dernier trimestre 2022 avec les tensions de trésorerie et la volatilité des prix d'importation. Cependant, la récupération d'un contrat aviation en octobre 2022 et le lancement de nouvelles bouteilles GPL devraient soutenir la croissance. La dynamique commerciale</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l'excellente performance semestrielle, celle-ci repose largement sur des effets stocks exceptionnels non r\u00e9currents. La volatilit\u00e9 des cours et l'augmentation des cr\u00e9ances \u00c9tat constituent des risques pour la performance future."}</w:t>
      </w:r>
    </w:p>
    <w:p>
      <w:pPr>
        <w:spacing w:before="40"/>
        <w:ind w:left="400"/>
      </w:pPr>
      <w:r>
        <w:rPr>
          <w:sz w:val="18"/>
        </w:rPr>
        <w:t>TotalEnergies Marketing Sénégal affiche des résultats exceptionnels au premier semestre 2022 avec un résultat des activités ordinaires de 7,320 milliards FCFA, en hausse de 70% par rapport à 2021. Cette performance est largement portée par des effets stocks positifs de 4,3 milliards FCFA bruts liés à la hausse des cours internationaux. Le chiffre d'affaires progresse de 26% à 231,373 milliards FCFA malgré une baisse de 2% des volumes totaux vendus. Les ventes sur le marché intérieur résistent bien (+3%) grâce à la bonne performance du réseau (+9%) et à la reprise du commerce général post-Covid. La société maintient sa position de leader sur le marché sénégalais avec 171 stations-service et d</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{'effets_stocks': '4,300 millions FCFA', 'nombre_stations': '171', 'volumes_vendus_total': '374,6 kt', 'volumes_marche_interieur': '298,6 kt', 'participation_totalenergies': '69,1%', 'resultat_activites_ordinaires': '7,320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None</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None</w:t>
            </w:r>
          </w:p>
        </w:tc>
        <w:tc>
          <w:tcPr>
            <w:tcW w:type="dxa" w:w="2160"/>
          </w:tcPr>
          <w:p>
            <w:r/>
            <w:r>
              <w:rPr>
                <w:b/>
                <w:sz w:val="16"/>
              </w:rPr>
              <w:t>capitaux_propres</w:t>
              <w:br/>
            </w:r>
            <w:r>
              <w:rPr>
                <w:sz w:val="18"/>
              </w:rPr>
              <w:t>None</w:t>
            </w:r>
          </w:p>
        </w:tc>
        <w:tc>
          <w:tcPr>
            <w:tcW w:type="dxa" w:w="2160"/>
          </w:tcPr>
          <w:p>
            <w:r/>
            <w:r>
              <w:rPr>
                <w:b/>
                <w:sz w:val="16"/>
              </w:rPr>
              <w:t>chiffre_affaires</w:t>
              <w:br/>
            </w:r>
            <w:r>
              <w:rPr>
                <w:sz w:val="18"/>
              </w:rPr>
              <w:t>231,373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Résultat des activités ordinaires en forte hausse de 70% à 7,320 milliards FCFA</w:t>
      </w:r>
    </w:p>
    <w:p>
      <w:pPr>
        <w:pStyle w:val="ListBullet"/>
        <w:spacing w:before="20" w:after="20"/>
        <w:ind w:left="700"/>
      </w:pPr>
      <w:r>
        <w:rPr>
          <w:sz w:val="18"/>
        </w:rPr>
        <w:t>Effets stocks exceptionnels positifs de 4,3 milliards FCFA bruts</w:t>
      </w:r>
    </w:p>
    <w:p>
      <w:pPr>
        <w:pStyle w:val="ListBullet"/>
        <w:spacing w:before="20" w:after="20"/>
        <w:ind w:left="700"/>
      </w:pPr>
      <w:r>
        <w:rPr>
          <w:sz w:val="18"/>
        </w:rPr>
        <w:t>Chiffre d'affaires en progression de 26% à 231,373 milliards FCFA</w:t>
      </w:r>
    </w:p>
    <w:p>
      <w:pPr>
        <w:pStyle w:val="ListBullet"/>
        <w:spacing w:before="20" w:after="20"/>
        <w:ind w:left="700"/>
      </w:pPr>
      <w:r>
        <w:rPr>
          <w:sz w:val="18"/>
        </w:rPr>
        <w:t>Ventes réseau en hausse de 9% et reprise du commerce général (+6%)</w:t>
      </w:r>
    </w:p>
    <w:p>
      <w:pPr>
        <w:pStyle w:val="ListBullet"/>
        <w:spacing w:before="20" w:after="20"/>
        <w:ind w:left="700"/>
      </w:pPr>
      <w:r>
        <w:rPr>
          <w:sz w:val="18"/>
        </w:rPr>
        <w:t>Baisse significative des segments aviation (-25%) et lubrifiants (-14%)</w:t>
      </w:r>
    </w:p>
    <w:p>
      <w:pPr>
        <w:pStyle w:val="ListBullet"/>
        <w:spacing w:before="20" w:after="20"/>
        <w:ind w:left="700"/>
      </w:pPr>
      <w:r>
        <w:rPr>
          <w:sz w:val="18"/>
        </w:rPr>
        <w:t>Augmentation rapide des créances État liées aux subventions prix structurés</w:t>
      </w:r>
    </w:p>
    <w:p>
      <w:pPr>
        <w:spacing w:before="40"/>
        <w:ind w:left="400"/>
      </w:pPr>
      <w:r>
        <w:rPr>
          <w:b/>
          <w:color w:val="C05000"/>
          <w:sz w:val="18"/>
        </w:rPr>
        <w:t xml:space="preserve">⚠️ Risques : </w:t>
      </w:r>
      <w:r>
        <w:rPr>
          <w:sz w:val="18"/>
        </w:rPr>
        <w:t>["D\u00e9pendance aux effets stocks exceptionnels non r\u00e9currents", "Augmentation rapide des cr\u00e9ances \u00c9tat (subventions prix structur\u00e9s)", "Volatilit\u00e9 des cours des produits import\u00e9s impactant les marges"]</w:t>
      </w:r>
    </w:p>
    <w:p>
      <w:pPr>
        <w:spacing w:before="40"/>
        <w:ind w:left="400"/>
      </w:pPr>
      <w:r>
        <w:rPr>
          <w:b/>
          <w:color w:val="0064A0"/>
          <w:sz w:val="18"/>
        </w:rPr>
        <w:t xml:space="preserve">🔮 Perspectives : </w:t>
      </w:r>
      <w:r>
        <w:rPr>
          <w:sz w:val="18"/>
        </w:rPr>
        <w:t>Les perspectives dépendront fortement de l'évolution des cours internationaux et de la capacité à maintenir les marges dans un environnement volatil. La mise en service de nouvelles bouteilles GPL et la normalisation post-Covid devraient soutenir les volumes, mais l'impact des effets stocks exceptio</w:t>
      </w:r>
    </w:p>
    <w:p/>
    <w:p>
      <w:r>
        <w:t>════════════════════════════════════════════════════════════════════════════════</w:t>
      </w:r>
    </w:p>
    <w:p>
      <w:r>
        <w:br w:type="page"/>
      </w:r>
    </w:p>
    <w:p>
      <w:pPr>
        <w:pStyle w:val="Heading2"/>
        <w:spacing w:before="360"/>
      </w:pPr>
      <w:r>
        <w:rPr>
          <w:color w:val="0066CC"/>
        </w:rPr>
        <w:t>46. UNLC - UNLC - UNILEVER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UNLC</w:t>
            </w:r>
          </w:p>
          <w:p>
            <w:r>
              <w:rPr>
                <w:b/>
                <w:color w:val="323250"/>
                <w:sz w:val="16"/>
              </w:rPr>
              <w:t xml:space="preserve">Société : </w:t>
            </w:r>
            <w:r>
              <w:rPr>
                <w:color w:val="000000"/>
                <w:sz w:val="16"/>
              </w:rPr>
              <w:t>UNLC - UNILEVER COTE D'IVOIRE</w:t>
            </w:r>
          </w:p>
          <w:p>
            <w:r>
              <w:rPr>
                <w:b/>
                <w:color w:val="323250"/>
                <w:sz w:val="16"/>
              </w:rPr>
              <w:t xml:space="preserve">Secteur : </w:t>
            </w:r>
            <w:r>
              <w:rPr>
                <w:color w:val="000000"/>
                <w:sz w:val="16"/>
              </w:rPr>
              <w:t>CONSOMMATION DE BASE</w:t>
            </w:r>
          </w:p>
        </w:tc>
        <w:tc>
          <w:tcPr>
            <w:tcW w:type="dxa" w:w="2268"/>
            <w:shd w:fill="E2EFDA" w:val="clear"/>
          </w:tcPr>
          <w:p>
            <w:r>
              <w:rPr>
                <w:b/>
                <w:color w:val="1E461E"/>
                <w:sz w:val="16"/>
              </w:rPr>
              <w:t xml:space="preserve">Capitalisation : </w:t>
            </w:r>
            <w:r>
              <w:rPr>
                <w:b/>
                <w:color w:val="006400"/>
                <w:sz w:val="17"/>
              </w:rPr>
              <w:t>479.37 Mds FCFA</w:t>
            </w:r>
          </w:p>
          <w:p>
            <w:r>
              <w:rPr>
                <w:b/>
                <w:color w:val="1E461E"/>
                <w:sz w:val="16"/>
              </w:rPr>
              <w:t xml:space="preserve">Catégorie : </w:t>
            </w:r>
            <w:r>
              <w:rPr>
                <w:b/>
                <w:color w:val="006400"/>
                <w:sz w:val="17"/>
              </w:rPr>
              <w:t>Moyenne cap (100-500 Mds)</w:t>
            </w:r>
          </w:p>
          <w:p>
            <w:r>
              <w:rPr>
                <w:b/>
                <w:color w:val="1E461E"/>
                <w:sz w:val="16"/>
              </w:rPr>
              <w:t xml:space="preserve">Vol. moy/jour : </w:t>
            </w:r>
            <w:r>
              <w:rPr>
                <w:b/>
                <w:color w:val="006400"/>
                <w:sz w:val="17"/>
              </w:rPr>
              <w:t>23 titres</w:t>
            </w:r>
          </w:p>
        </w:tc>
        <w:tc>
          <w:tcPr>
            <w:tcW w:type="dxa" w:w="2268"/>
            <w:shd w:fill="FFF2CC" w:val="clear"/>
          </w:tcPr>
          <w:p>
            <w:r>
              <w:rPr>
                <w:b/>
                <w:color w:val="503200"/>
                <w:sz w:val="16"/>
              </w:rPr>
              <w:t xml:space="preserve">Cours actuel : </w:t>
            </w:r>
            <w:r>
              <w:rPr>
                <w:color w:val="000000"/>
                <w:sz w:val="17"/>
              </w:rPr>
              <w:t>52,200 FCFA</w:t>
            </w:r>
          </w:p>
          <w:p>
            <w:r>
              <w:rPr>
                <w:b/>
                <w:color w:val="503200"/>
                <w:sz w:val="16"/>
              </w:rPr>
              <w:t xml:space="preserve">Var. 100 jours : </w:t>
            </w:r>
            <w:r>
              <w:rPr>
                <w:b/>
                <w:color w:val="B40000"/>
                <w:sz w:val="17"/>
              </w:rPr>
              <w:t>-1.70%</w:t>
            </w:r>
          </w:p>
          <w:p>
            <w:r>
              <w:rPr>
                <w:b/>
                <w:color w:val="503200"/>
                <w:sz w:val="16"/>
              </w:rPr>
              <w:t xml:space="preserve">Plus haut 100j : </w:t>
            </w:r>
            <w:r>
              <w:rPr>
                <w:color w:val="000000"/>
                <w:sz w:val="17"/>
              </w:rPr>
              <w:t>69,005 FCFA</w:t>
            </w:r>
          </w:p>
          <w:p>
            <w:r>
              <w:rPr>
                <w:b/>
                <w:color w:val="503200"/>
                <w:sz w:val="16"/>
              </w:rPr>
              <w:t xml:space="preserve">Plus bas 100j : </w:t>
            </w:r>
            <w:r>
              <w:rPr>
                <w:color w:val="000000"/>
                <w:sz w:val="17"/>
              </w:rPr>
              <w:t>50,000 FCFA</w:t>
            </w:r>
          </w:p>
          <w:p>
            <w:r>
              <w:rPr>
                <w:b/>
                <w:color w:val="503200"/>
                <w:sz w:val="16"/>
              </w:rPr>
              <w:t xml:space="preserve">Volatilité ann. : </w:t>
            </w:r>
            <w:r>
              <w:rPr>
                <w:color w:val="000000"/>
                <w:sz w:val="17"/>
              </w:rPr>
              <w:t>64.0%</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Faible</w:t>
            </w:r>
          </w:p>
          <w:p>
            <w:r>
              <w:rPr>
                <w:b/>
                <w:color w:val="500000"/>
                <w:sz w:val="16"/>
              </w:rPr>
              <w:t xml:space="preserve">Risque : </w:t>
            </w:r>
            <w:r>
              <w:rPr>
                <w:color w:val="000000"/>
                <w:sz w:val="17"/>
              </w:rPr>
              <w:t>Moyen</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Bon</w:t>
            </w:r>
          </w:p>
        </w:tc>
      </w:tr>
    </w:tbl>
    <w:p/>
    <w:p>
      <w:pPr>
        <w:spacing w:before="120" w:after="40"/>
      </w:pPr>
      <w:r>
        <w:rPr>
          <w:b/>
          <w:color w:val="003366"/>
          <w:sz w:val="20"/>
        </w:rPr>
        <w:t xml:space="preserve">⚠️ SCORE DE RISQUE — </w:t>
      </w:r>
      <w:r>
        <w:rPr>
          <w:b/>
          <w:color w:val="825A00"/>
          <w:sz w:val="22"/>
        </w:rPr>
        <w:t>24.8/100 → Moyen</w:t>
      </w:r>
    </w:p>
    <w:p>
      <w:pPr>
        <w:spacing w:before="40" w:after="80"/>
      </w:pPr>
      <w:r>
        <w:rPr>
          <w:rFonts w:ascii="Courier New" w:hAnsi="Courier New"/>
          <w:color w:val="825A00"/>
          <w:sz w:val="18"/>
        </w:rPr>
        <w:t>████░░░░░░░░░░░░░░░░  24.8/100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6.24% (Moyenne) — μ=56,693 FCFA, σ=3,540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β=0.5420 (Défensif) — Cov=0.000019, Var(idx)=0.000036, ρ=0.082, n=96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FFEB9C" w:val="clear"/>
          </w:tcPr>
          <w:p>
            <w:r>
              <w:rPr>
                <w:b/>
                <w:sz w:val="15"/>
              </w:rPr>
              <w:t>23 titres/j (Très faible)</w:t>
            </w:r>
          </w:p>
        </w:tc>
        <w:tc>
          <w:tcPr>
            <w:tcW w:type="dxa" w:w="1984"/>
            <w:shd w:fill="F7F7F7" w:val="clear"/>
          </w:tcPr>
          <w:p>
            <w:r>
              <w:rPr>
                <w:i/>
                <w:color w:val="505078"/>
                <w:sz w:val="14"/>
              </w:rPr>
              <w:t>Volume moyen journalier (100 jours)</w:t>
            </w:r>
          </w:p>
        </w:tc>
        <w:tc>
          <w:tcPr>
            <w:tcW w:type="dxa" w:w="1984"/>
            <w:shd w:fill="FFEB9C" w:val="clear"/>
          </w:tcPr>
          <w:p>
            <w:r>
              <w:rPr>
                <w:sz w:val="15"/>
              </w:rPr>
              <w:t>⚠️ 100–1 000 titres/j — risque de blocage</w:t>
            </w:r>
          </w:p>
        </w:tc>
      </w:tr>
      <w:tr>
        <w:tc>
          <w:tcPr>
            <w:tcW w:type="dxa" w:w="2835"/>
            <w:shd w:fill="EEF2F7" w:val="clear"/>
          </w:tcPr>
          <w:p>
            <w:r>
              <w:rPr>
                <w:b/>
                <w:sz w:val="15"/>
              </w:rPr>
              <w:t>🔀 Divergence signaux techniques (15%)</w:t>
            </w:r>
          </w:p>
        </w:tc>
        <w:tc>
          <w:tcPr>
            <w:tcW w:type="dxa" w:w="3118"/>
            <w:shd w:fill="FFEB9C" w:val="clear"/>
          </w:tcPr>
          <w:p>
            <w:r>
              <w:rPr>
                <w:b/>
                <w:sz w:val="15"/>
              </w:rPr>
              <w:t>Achat=1 / Vente=2 / Total=5 — taux divergence=20% (Mixte ⚠️)</w:t>
            </w:r>
          </w:p>
        </w:tc>
        <w:tc>
          <w:tcPr>
            <w:tcW w:type="dxa" w:w="1984"/>
            <w:shd w:fill="F7F7F7" w:val="clear"/>
          </w:tcPr>
          <w:p>
            <w:r>
              <w:rPr>
                <w:i/>
                <w:color w:val="505078"/>
                <w:sz w:val="14"/>
              </w:rPr>
              <w:t>min(Achat,Vente) / Total signaux</w:t>
            </w:r>
          </w:p>
        </w:tc>
        <w:tc>
          <w:tcPr>
            <w:tcW w:type="dxa" w:w="1984"/>
            <w:shd w:fill="FFEB9C" w:val="clear"/>
          </w:tcPr>
          <w:p>
            <w:r>
              <w:rPr>
                <w:sz w:val="15"/>
              </w:rPr>
              <w:t>⚠️ Signaux mixtes — incertitude modérée</w:t>
            </w:r>
          </w:p>
        </w:tc>
      </w:tr>
      <w:tr>
        <w:tc>
          <w:tcPr>
            <w:tcW w:type="dxa" w:w="2835"/>
            <w:shd w:fill="EEF2F7" w:val="clear"/>
          </w:tcPr>
          <w:p>
            <w:r>
              <w:rPr>
                <w:b/>
                <w:sz w:val="15"/>
              </w:rPr>
              <w:t>📉 Stabilité des rendements (15%)</w:t>
            </w:r>
          </w:p>
        </w:tc>
        <w:tc>
          <w:tcPr>
            <w:tcW w:type="dxa" w:w="3118"/>
            <w:shd w:fill="FFEB9C" w:val="clear"/>
          </w:tcPr>
          <w:p>
            <w:r>
              <w:rPr>
                <w:b/>
                <w:sz w:val="15"/>
              </w:rPr>
              <w:t>σ_j=4.03%/j (Modérée) — Vol. annualisée≈64.0%</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C00000"/>
          <w:sz w:val="18"/>
        </w:rPr>
        <w:t xml:space="preserve">🔴 MM  </w:t>
      </w:r>
      <w:r>
        <w:rPr>
          <w:color w:val="A07800"/>
          <w:sz w:val="18"/>
        </w:rPr>
        <w:t xml:space="preserve">🟡 Bollinger  </w:t>
      </w:r>
      <w:r>
        <w:rPr>
          <w:color w:val="C00000"/>
          <w:sz w:val="18"/>
        </w:rPr>
        <w:t xml:space="preserve">🔴 MACD  </w:t>
      </w:r>
      <w:r>
        <w:rPr>
          <w:color w:val="A07800"/>
          <w:sz w:val="18"/>
        </w:rPr>
        <w:t xml:space="preserve">🟡 RSI  </w:t>
      </w:r>
      <w:r>
        <w:rPr>
          <w:color w:val="008000"/>
          <w:sz w:val="18"/>
        </w:rPr>
        <w:t xml:space="preserve">🟢 Stochastique  </w:t>
      </w:r>
    </w:p>
    <w:p>
      <w:pPr>
        <w:spacing w:before="80" w:after="80"/>
      </w:pPr>
      <w:r>
        <w:rPr>
          <w:b/>
          <w:sz w:val="22"/>
        </w:rPr>
        <w:t xml:space="preserve">Score composite : </w:t>
      </w:r>
      <w:r>
        <w:rPr>
          <w:b/>
          <w:color w:val="0064A0"/>
          <w:sz w:val="26"/>
        </w:rPr>
        <w:t>55/100  (Bon)</w:t>
      </w:r>
    </w:p>
    <w:p/>
    <w:p>
      <w:pPr>
        <w:jc w:val="center"/>
      </w:pPr>
      <w:r>
        <w:drawing>
          <wp:inline xmlns:a="http://schemas.openxmlformats.org/drawingml/2006/main" xmlns:pic="http://schemas.openxmlformats.org/drawingml/2006/picture">
            <wp:extent cx="5669280" cy="2603190"/>
            <wp:docPr id="48" name="Picture 48"/>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669280" cy="2603190"/>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C6EFCE" w:val="clear"/>
          </w:tcPr>
          <w:p>
            <w:r>
              <w:rPr>
                <w:sz w:val="17"/>
              </w:rPr>
              <w:t>J+1  ⭐</w:t>
            </w:r>
          </w:p>
        </w:tc>
        <w:tc>
          <w:tcPr>
            <w:tcW w:type="dxa" w:w="1440"/>
            <w:shd w:fill="C6EFCE" w:val="clear"/>
          </w:tcPr>
          <w:p>
            <w:r>
              <w:rPr>
                <w:sz w:val="17"/>
              </w:rPr>
              <w:t>2026-08-28</w:t>
            </w:r>
          </w:p>
        </w:tc>
        <w:tc>
          <w:tcPr>
            <w:tcW w:type="dxa" w:w="1440"/>
            <w:shd w:fill="C6EFCE" w:val="clear"/>
          </w:tcPr>
          <w:p>
            <w:r>
              <w:rPr>
                <w:sz w:val="17"/>
              </w:rPr>
              <w:t>51,207</w:t>
            </w:r>
          </w:p>
        </w:tc>
        <w:tc>
          <w:tcPr>
            <w:tcW w:type="dxa" w:w="1440"/>
            <w:shd w:fill="C6EFCE" w:val="clear"/>
          </w:tcPr>
          <w:p>
            <w:r>
              <w:rPr>
                <w:b/>
                <w:sz w:val="17"/>
              </w:rPr>
              <w:t>54,607</w:t>
            </w:r>
          </w:p>
        </w:tc>
        <w:tc>
          <w:tcPr>
            <w:tcW w:type="dxa" w:w="1440"/>
            <w:shd w:fill="C6EFCE" w:val="clear"/>
          </w:tcPr>
          <w:p>
            <w:r>
              <w:rPr>
                <w:sz w:val="17"/>
              </w:rPr>
              <w:t>58,008</w:t>
            </w:r>
          </w:p>
        </w:tc>
        <w:tc>
          <w:tcPr>
            <w:tcW w:type="dxa" w:w="1440"/>
            <w:shd w:fill="C6EFCE" w:val="clear"/>
          </w:tcPr>
          <w:p>
            <w:r>
              <w:rPr>
                <w:b/>
                <w:color w:val="008000"/>
                <w:sz w:val="17"/>
              </w:rPr>
              <w:t>+4.6%</w:t>
            </w:r>
          </w:p>
        </w:tc>
      </w:tr>
      <w:tr>
        <w:tc>
          <w:tcPr>
            <w:tcW w:type="dxa" w:w="1440"/>
            <w:shd w:fill="C6EFCE" w:val="clear"/>
          </w:tcPr>
          <w:p>
            <w:r>
              <w:rPr>
                <w:sz w:val="17"/>
              </w:rPr>
              <w:t>J+2  ⭐</w:t>
            </w:r>
          </w:p>
        </w:tc>
        <w:tc>
          <w:tcPr>
            <w:tcW w:type="dxa" w:w="1440"/>
            <w:shd w:fill="C6EFCE" w:val="clear"/>
          </w:tcPr>
          <w:p>
            <w:r>
              <w:rPr>
                <w:sz w:val="17"/>
              </w:rPr>
              <w:t>2026-08-31</w:t>
            </w:r>
          </w:p>
        </w:tc>
        <w:tc>
          <w:tcPr>
            <w:tcW w:type="dxa" w:w="1440"/>
            <w:shd w:fill="C6EFCE" w:val="clear"/>
          </w:tcPr>
          <w:p>
            <w:r>
              <w:rPr>
                <w:sz w:val="17"/>
              </w:rPr>
              <w:t>50,136</w:t>
            </w:r>
          </w:p>
        </w:tc>
        <w:tc>
          <w:tcPr>
            <w:tcW w:type="dxa" w:w="1440"/>
            <w:shd w:fill="C6EFCE" w:val="clear"/>
          </w:tcPr>
          <w:p>
            <w:r>
              <w:rPr>
                <w:b/>
                <w:sz w:val="17"/>
              </w:rPr>
              <w:t>54,978</w:t>
            </w:r>
          </w:p>
        </w:tc>
        <w:tc>
          <w:tcPr>
            <w:tcW w:type="dxa" w:w="1440"/>
            <w:shd w:fill="C6EFCE" w:val="clear"/>
          </w:tcPr>
          <w:p>
            <w:r>
              <w:rPr>
                <w:sz w:val="17"/>
              </w:rPr>
              <w:t>59,819</w:t>
            </w:r>
          </w:p>
        </w:tc>
        <w:tc>
          <w:tcPr>
            <w:tcW w:type="dxa" w:w="1440"/>
            <w:shd w:fill="C6EFCE" w:val="clear"/>
          </w:tcPr>
          <w:p>
            <w:r>
              <w:rPr>
                <w:b/>
                <w:color w:val="008000"/>
                <w:sz w:val="17"/>
              </w:rPr>
              <w:t>+5.3%</w:t>
            </w:r>
          </w:p>
        </w:tc>
      </w:tr>
      <w:tr>
        <w:tc>
          <w:tcPr>
            <w:tcW w:type="dxa" w:w="1440"/>
            <w:shd w:fill="C6EFCE" w:val="clear"/>
          </w:tcPr>
          <w:p>
            <w:r>
              <w:rPr>
                <w:sz w:val="17"/>
              </w:rPr>
              <w:t>J+3  ⭐</w:t>
            </w:r>
          </w:p>
        </w:tc>
        <w:tc>
          <w:tcPr>
            <w:tcW w:type="dxa" w:w="1440"/>
            <w:shd w:fill="C6EFCE" w:val="clear"/>
          </w:tcPr>
          <w:p>
            <w:r>
              <w:rPr>
                <w:sz w:val="17"/>
              </w:rPr>
              <w:t>2026-09-01</w:t>
            </w:r>
          </w:p>
        </w:tc>
        <w:tc>
          <w:tcPr>
            <w:tcW w:type="dxa" w:w="1440"/>
            <w:shd w:fill="C6EFCE" w:val="clear"/>
          </w:tcPr>
          <w:p>
            <w:r>
              <w:rPr>
                <w:sz w:val="17"/>
              </w:rPr>
              <w:t>49,536</w:t>
            </w:r>
          </w:p>
        </w:tc>
        <w:tc>
          <w:tcPr>
            <w:tcW w:type="dxa" w:w="1440"/>
            <w:shd w:fill="C6EFCE" w:val="clear"/>
          </w:tcPr>
          <w:p>
            <w:r>
              <w:rPr>
                <w:b/>
                <w:sz w:val="17"/>
              </w:rPr>
              <w:t>55,525</w:t>
            </w:r>
          </w:p>
        </w:tc>
        <w:tc>
          <w:tcPr>
            <w:tcW w:type="dxa" w:w="1440"/>
            <w:shd w:fill="C6EFCE" w:val="clear"/>
          </w:tcPr>
          <w:p>
            <w:r>
              <w:rPr>
                <w:sz w:val="17"/>
              </w:rPr>
              <w:t>61,513</w:t>
            </w:r>
          </w:p>
        </w:tc>
        <w:tc>
          <w:tcPr>
            <w:tcW w:type="dxa" w:w="1440"/>
            <w:shd w:fill="C6EFCE" w:val="clear"/>
          </w:tcPr>
          <w:p>
            <w:r>
              <w:rPr>
                <w:b/>
                <w:color w:val="008000"/>
                <w:sz w:val="17"/>
              </w:rPr>
              <w:t>+6.4%</w:t>
            </w:r>
          </w:p>
        </w:tc>
      </w:tr>
      <w:tr>
        <w:tc>
          <w:tcPr>
            <w:tcW w:type="dxa" w:w="1440"/>
            <w:shd w:fill="C6EFCE" w:val="clear"/>
          </w:tcPr>
          <w:p>
            <w:r>
              <w:rPr>
                <w:sz w:val="17"/>
              </w:rPr>
              <w:t>J+4  ⭐</w:t>
            </w:r>
          </w:p>
        </w:tc>
        <w:tc>
          <w:tcPr>
            <w:tcW w:type="dxa" w:w="1440"/>
            <w:shd w:fill="C6EFCE" w:val="clear"/>
          </w:tcPr>
          <w:p>
            <w:r>
              <w:rPr>
                <w:sz w:val="17"/>
              </w:rPr>
              <w:t>2026-09-02</w:t>
            </w:r>
          </w:p>
        </w:tc>
        <w:tc>
          <w:tcPr>
            <w:tcW w:type="dxa" w:w="1440"/>
            <w:shd w:fill="C6EFCE" w:val="clear"/>
          </w:tcPr>
          <w:p>
            <w:r>
              <w:rPr>
                <w:sz w:val="17"/>
              </w:rPr>
              <w:t>49,133</w:t>
            </w:r>
          </w:p>
        </w:tc>
        <w:tc>
          <w:tcPr>
            <w:tcW w:type="dxa" w:w="1440"/>
            <w:shd w:fill="C6EFCE" w:val="clear"/>
          </w:tcPr>
          <w:p>
            <w:r>
              <w:rPr>
                <w:b/>
                <w:sz w:val="17"/>
              </w:rPr>
              <w:t>56,123</w:t>
            </w:r>
          </w:p>
        </w:tc>
        <w:tc>
          <w:tcPr>
            <w:tcW w:type="dxa" w:w="1440"/>
            <w:shd w:fill="C6EFCE" w:val="clear"/>
          </w:tcPr>
          <w:p>
            <w:r>
              <w:rPr>
                <w:sz w:val="17"/>
              </w:rPr>
              <w:t>63,112</w:t>
            </w:r>
          </w:p>
        </w:tc>
        <w:tc>
          <w:tcPr>
            <w:tcW w:type="dxa" w:w="1440"/>
            <w:shd w:fill="C6EFCE" w:val="clear"/>
          </w:tcPr>
          <w:p>
            <w:r>
              <w:rPr>
                <w:b/>
                <w:color w:val="008000"/>
                <w:sz w:val="17"/>
              </w:rPr>
              <w:t>+7.5%</w:t>
            </w:r>
          </w:p>
        </w:tc>
      </w:tr>
      <w:tr>
        <w:tc>
          <w:tcPr>
            <w:tcW w:type="dxa" w:w="1440"/>
            <w:shd w:fill="C6EFCE" w:val="clear"/>
          </w:tcPr>
          <w:p>
            <w:r>
              <w:rPr>
                <w:sz w:val="17"/>
              </w:rPr>
              <w:t>J+5  ⭐</w:t>
            </w:r>
          </w:p>
        </w:tc>
        <w:tc>
          <w:tcPr>
            <w:tcW w:type="dxa" w:w="1440"/>
            <w:shd w:fill="C6EFCE" w:val="clear"/>
          </w:tcPr>
          <w:p>
            <w:r>
              <w:rPr>
                <w:sz w:val="17"/>
              </w:rPr>
              <w:t>2026-09-03</w:t>
            </w:r>
          </w:p>
        </w:tc>
        <w:tc>
          <w:tcPr>
            <w:tcW w:type="dxa" w:w="1440"/>
            <w:shd w:fill="C6EFCE" w:val="clear"/>
          </w:tcPr>
          <w:p>
            <w:r>
              <w:rPr>
                <w:sz w:val="17"/>
              </w:rPr>
              <w:t>48,842</w:t>
            </w:r>
          </w:p>
        </w:tc>
        <w:tc>
          <w:tcPr>
            <w:tcW w:type="dxa" w:w="1440"/>
            <w:shd w:fill="C6EFCE" w:val="clear"/>
          </w:tcPr>
          <w:p>
            <w:r>
              <w:rPr>
                <w:b/>
                <w:sz w:val="17"/>
              </w:rPr>
              <w:t>56,743</w:t>
            </w:r>
          </w:p>
        </w:tc>
        <w:tc>
          <w:tcPr>
            <w:tcW w:type="dxa" w:w="1440"/>
            <w:shd w:fill="C6EFCE" w:val="clear"/>
          </w:tcPr>
          <w:p>
            <w:r>
              <w:rPr>
                <w:sz w:val="17"/>
              </w:rPr>
              <w:t>64,643</w:t>
            </w:r>
          </w:p>
        </w:tc>
        <w:tc>
          <w:tcPr>
            <w:tcW w:type="dxa" w:w="1440"/>
            <w:shd w:fill="C6EFCE" w:val="clear"/>
          </w:tcPr>
          <w:p>
            <w:r>
              <w:rPr>
                <w:b/>
                <w:color w:val="008000"/>
                <w:sz w:val="17"/>
              </w:rPr>
              <w:t>+8.7%</w:t>
            </w:r>
          </w:p>
        </w:tc>
      </w:tr>
      <w:tr>
        <w:tc>
          <w:tcPr>
            <w:tcW w:type="dxa" w:w="1440"/>
            <w:shd w:fill="C6EFCE" w:val="clear"/>
          </w:tcPr>
          <w:p>
            <w:r>
              <w:rPr>
                <w:sz w:val="17"/>
              </w:rPr>
              <w:t>J+6  ⭐</w:t>
            </w:r>
          </w:p>
        </w:tc>
        <w:tc>
          <w:tcPr>
            <w:tcW w:type="dxa" w:w="1440"/>
            <w:shd w:fill="C6EFCE" w:val="clear"/>
          </w:tcPr>
          <w:p>
            <w:r>
              <w:rPr>
                <w:sz w:val="17"/>
              </w:rPr>
              <w:t>2026-09-04</w:t>
            </w:r>
          </w:p>
        </w:tc>
        <w:tc>
          <w:tcPr>
            <w:tcW w:type="dxa" w:w="1440"/>
            <w:shd w:fill="C6EFCE" w:val="clear"/>
          </w:tcPr>
          <w:p>
            <w:r>
              <w:rPr>
                <w:sz w:val="17"/>
              </w:rPr>
              <w:t>48,623</w:t>
            </w:r>
          </w:p>
        </w:tc>
        <w:tc>
          <w:tcPr>
            <w:tcW w:type="dxa" w:w="1440"/>
            <w:shd w:fill="C6EFCE" w:val="clear"/>
          </w:tcPr>
          <w:p>
            <w:r>
              <w:rPr>
                <w:b/>
                <w:sz w:val="17"/>
              </w:rPr>
              <w:t>57,374</w:t>
            </w:r>
          </w:p>
        </w:tc>
        <w:tc>
          <w:tcPr>
            <w:tcW w:type="dxa" w:w="1440"/>
            <w:shd w:fill="C6EFCE" w:val="clear"/>
          </w:tcPr>
          <w:p>
            <w:r>
              <w:rPr>
                <w:sz w:val="17"/>
              </w:rPr>
              <w:t>66,126</w:t>
            </w:r>
          </w:p>
        </w:tc>
        <w:tc>
          <w:tcPr>
            <w:tcW w:type="dxa" w:w="1440"/>
            <w:shd w:fill="C6EFCE" w:val="clear"/>
          </w:tcPr>
          <w:p>
            <w:r>
              <w:rPr>
                <w:b/>
                <w:color w:val="008000"/>
                <w:sz w:val="17"/>
              </w:rPr>
              <w:t>+9.9%</w:t>
            </w:r>
          </w:p>
        </w:tc>
      </w:tr>
      <w:tr>
        <w:tc>
          <w:tcPr>
            <w:tcW w:type="dxa" w:w="1440"/>
            <w:shd w:fill="C6EFCE" w:val="clear"/>
          </w:tcPr>
          <w:p>
            <w:r>
              <w:rPr>
                <w:sz w:val="17"/>
              </w:rPr>
              <w:t>J+7  ⭐</w:t>
            </w:r>
          </w:p>
        </w:tc>
        <w:tc>
          <w:tcPr>
            <w:tcW w:type="dxa" w:w="1440"/>
            <w:shd w:fill="C6EFCE" w:val="clear"/>
          </w:tcPr>
          <w:p>
            <w:r>
              <w:rPr>
                <w:sz w:val="17"/>
              </w:rPr>
              <w:t>2026-09-07</w:t>
            </w:r>
          </w:p>
        </w:tc>
        <w:tc>
          <w:tcPr>
            <w:tcW w:type="dxa" w:w="1440"/>
            <w:shd w:fill="C6EFCE" w:val="clear"/>
          </w:tcPr>
          <w:p>
            <w:r>
              <w:rPr>
                <w:sz w:val="17"/>
              </w:rPr>
              <w:t>48,456</w:t>
            </w:r>
          </w:p>
        </w:tc>
        <w:tc>
          <w:tcPr>
            <w:tcW w:type="dxa" w:w="1440"/>
            <w:shd w:fill="C6EFCE" w:val="clear"/>
          </w:tcPr>
          <w:p>
            <w:r>
              <w:rPr>
                <w:b/>
                <w:sz w:val="17"/>
              </w:rPr>
              <w:t>58,014</w:t>
            </w:r>
          </w:p>
        </w:tc>
        <w:tc>
          <w:tcPr>
            <w:tcW w:type="dxa" w:w="1440"/>
            <w:shd w:fill="C6EFCE" w:val="clear"/>
          </w:tcPr>
          <w:p>
            <w:r>
              <w:rPr>
                <w:sz w:val="17"/>
              </w:rPr>
              <w:t>67,572</w:t>
            </w:r>
          </w:p>
        </w:tc>
        <w:tc>
          <w:tcPr>
            <w:tcW w:type="dxa" w:w="1440"/>
            <w:shd w:fill="C6EFCE" w:val="clear"/>
          </w:tcPr>
          <w:p>
            <w:r>
              <w:rPr>
                <w:b/>
                <w:color w:val="008000"/>
                <w:sz w:val="17"/>
              </w:rPr>
              <w:t>+11.1%</w:t>
            </w:r>
          </w:p>
        </w:tc>
      </w:tr>
      <w:tr>
        <w:tc>
          <w:tcPr>
            <w:tcW w:type="dxa" w:w="1440"/>
            <w:shd w:fill="C6EFCE" w:val="clear"/>
          </w:tcPr>
          <w:p>
            <w:r>
              <w:rPr>
                <w:sz w:val="17"/>
              </w:rPr>
              <w:t>J+8  ⭐</w:t>
            </w:r>
          </w:p>
        </w:tc>
        <w:tc>
          <w:tcPr>
            <w:tcW w:type="dxa" w:w="1440"/>
            <w:shd w:fill="C6EFCE" w:val="clear"/>
          </w:tcPr>
          <w:p>
            <w:r>
              <w:rPr>
                <w:sz w:val="17"/>
              </w:rPr>
              <w:t>2026-09-08</w:t>
            </w:r>
          </w:p>
        </w:tc>
        <w:tc>
          <w:tcPr>
            <w:tcW w:type="dxa" w:w="1440"/>
            <w:shd w:fill="C6EFCE" w:val="clear"/>
          </w:tcPr>
          <w:p>
            <w:r>
              <w:rPr>
                <w:sz w:val="17"/>
              </w:rPr>
              <w:t>48,328</w:t>
            </w:r>
          </w:p>
        </w:tc>
        <w:tc>
          <w:tcPr>
            <w:tcW w:type="dxa" w:w="1440"/>
            <w:shd w:fill="C6EFCE" w:val="clear"/>
          </w:tcPr>
          <w:p>
            <w:r>
              <w:rPr>
                <w:b/>
                <w:sz w:val="17"/>
              </w:rPr>
              <w:t>58,659</w:t>
            </w:r>
          </w:p>
        </w:tc>
        <w:tc>
          <w:tcPr>
            <w:tcW w:type="dxa" w:w="1440"/>
            <w:shd w:fill="C6EFCE" w:val="clear"/>
          </w:tcPr>
          <w:p>
            <w:r>
              <w:rPr>
                <w:sz w:val="17"/>
              </w:rPr>
              <w:t>68,990</w:t>
            </w:r>
          </w:p>
        </w:tc>
        <w:tc>
          <w:tcPr>
            <w:tcW w:type="dxa" w:w="1440"/>
            <w:shd w:fill="C6EFCE" w:val="clear"/>
          </w:tcPr>
          <w:p>
            <w:r>
              <w:rPr>
                <w:b/>
                <w:color w:val="008000"/>
                <w:sz w:val="17"/>
              </w:rPr>
              <w:t>+12.4%</w:t>
            </w:r>
          </w:p>
        </w:tc>
      </w:tr>
      <w:tr>
        <w:tc>
          <w:tcPr>
            <w:tcW w:type="dxa" w:w="1440"/>
            <w:shd w:fill="C6EFCE" w:val="clear"/>
          </w:tcPr>
          <w:p>
            <w:r>
              <w:rPr>
                <w:sz w:val="17"/>
              </w:rPr>
              <w:t>J+9  ⭐</w:t>
            </w:r>
          </w:p>
        </w:tc>
        <w:tc>
          <w:tcPr>
            <w:tcW w:type="dxa" w:w="1440"/>
            <w:shd w:fill="C6EFCE" w:val="clear"/>
          </w:tcPr>
          <w:p>
            <w:r>
              <w:rPr>
                <w:sz w:val="17"/>
              </w:rPr>
              <w:t>2026-09-09</w:t>
            </w:r>
          </w:p>
        </w:tc>
        <w:tc>
          <w:tcPr>
            <w:tcW w:type="dxa" w:w="1440"/>
            <w:shd w:fill="C6EFCE" w:val="clear"/>
          </w:tcPr>
          <w:p>
            <w:r>
              <w:rPr>
                <w:sz w:val="17"/>
              </w:rPr>
              <w:t>48,229</w:t>
            </w:r>
          </w:p>
        </w:tc>
        <w:tc>
          <w:tcPr>
            <w:tcW w:type="dxa" w:w="1440"/>
            <w:shd w:fill="C6EFCE" w:val="clear"/>
          </w:tcPr>
          <w:p>
            <w:r>
              <w:rPr>
                <w:b/>
                <w:sz w:val="17"/>
              </w:rPr>
              <w:t>59,308</w:t>
            </w:r>
          </w:p>
        </w:tc>
        <w:tc>
          <w:tcPr>
            <w:tcW w:type="dxa" w:w="1440"/>
            <w:shd w:fill="C6EFCE" w:val="clear"/>
          </w:tcPr>
          <w:p>
            <w:r>
              <w:rPr>
                <w:sz w:val="17"/>
              </w:rPr>
              <w:t>70,388</w:t>
            </w:r>
          </w:p>
        </w:tc>
        <w:tc>
          <w:tcPr>
            <w:tcW w:type="dxa" w:w="1440"/>
            <w:shd w:fill="C6EFCE" w:val="clear"/>
          </w:tcPr>
          <w:p>
            <w:r>
              <w:rPr>
                <w:b/>
                <w:color w:val="008000"/>
                <w:sz w:val="17"/>
              </w:rPr>
              <w:t>+13.6%</w:t>
            </w:r>
          </w:p>
        </w:tc>
      </w:tr>
      <w:tr>
        <w:tc>
          <w:tcPr>
            <w:tcW w:type="dxa" w:w="1440"/>
            <w:shd w:fill="C6EFCE" w:val="clear"/>
          </w:tcPr>
          <w:p>
            <w:r>
              <w:rPr>
                <w:sz w:val="17"/>
              </w:rPr>
              <w:t>J+10  ⭐</w:t>
            </w:r>
          </w:p>
        </w:tc>
        <w:tc>
          <w:tcPr>
            <w:tcW w:type="dxa" w:w="1440"/>
            <w:shd w:fill="C6EFCE" w:val="clear"/>
          </w:tcPr>
          <w:p>
            <w:r>
              <w:rPr>
                <w:sz w:val="17"/>
              </w:rPr>
              <w:t>2026-09-10</w:t>
            </w:r>
          </w:p>
        </w:tc>
        <w:tc>
          <w:tcPr>
            <w:tcW w:type="dxa" w:w="1440"/>
            <w:shd w:fill="C6EFCE" w:val="clear"/>
          </w:tcPr>
          <w:p>
            <w:r>
              <w:rPr>
                <w:sz w:val="17"/>
              </w:rPr>
              <w:t>48,154</w:t>
            </w:r>
          </w:p>
        </w:tc>
        <w:tc>
          <w:tcPr>
            <w:tcW w:type="dxa" w:w="1440"/>
            <w:shd w:fill="C6EFCE" w:val="clear"/>
          </w:tcPr>
          <w:p>
            <w:r>
              <w:rPr>
                <w:b/>
                <w:sz w:val="17"/>
              </w:rPr>
              <w:t>59,961</w:t>
            </w:r>
          </w:p>
        </w:tc>
        <w:tc>
          <w:tcPr>
            <w:tcW w:type="dxa" w:w="1440"/>
            <w:shd w:fill="C6EFCE" w:val="clear"/>
          </w:tcPr>
          <w:p>
            <w:r>
              <w:rPr>
                <w:sz w:val="17"/>
              </w:rPr>
              <w:t>71,768</w:t>
            </w:r>
          </w:p>
        </w:tc>
        <w:tc>
          <w:tcPr>
            <w:tcW w:type="dxa" w:w="1440"/>
            <w:shd w:fill="C6EFCE" w:val="clear"/>
          </w:tcPr>
          <w:p>
            <w:r>
              <w:rPr>
                <w:b/>
                <w:color w:val="008000"/>
                <w:sz w:val="17"/>
              </w:rPr>
              <w:t>+14.9%</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Pr>
        <w:spacing w:after="120" w:line="276" w:lineRule="auto"/>
      </w:pPr>
      <w:r>
        <w:t>**RAPPORT D'ANALYSE FINANCIÈRE — UNILEVER CÔTE D'IVOIRE (UNLC)**</w:t>
        <w:br/>
        <w:t>**Date de l'analyse : 27 août 2026**</w:t>
        <w:br/>
        <w:t>**Marché : BRVM (Bourse Régionale des Valeurs Mobilières)**</w:t>
      </w:r>
    </w:p>
    <w:p>
      <w:pPr>
        <w:spacing w:after="120" w:line="276" w:lineRule="auto"/>
      </w:pPr>
      <w:r>
        <w:t>---</w:t>
      </w:r>
    </w:p>
    <w:p>
      <w:pPr>
        <w:spacing w:after="120" w:line="276" w:lineRule="auto"/>
      </w:pPr>
      <w:r>
        <w:t>### PARTIE 0 : INDICATEURS DE VALORISATION BOURSIÈRE</w:t>
      </w:r>
    </w:p>
    <w:p>
      <w:pPr>
        <w:spacing w:after="120" w:line="276" w:lineRule="auto"/>
      </w:pPr>
      <w:r>
        <w:t>La capitalisation boursière d'UNLC s'établit à **479,37 milliards FCFA**, un niveau significatif qui la classe parmi les valeurs à moyenne capitalisation du marché BRVM, lui conférant une liquidité potentielle et une visibilité institutionnelle. Les ratios de valorisation (BPA, PER, P/B, EV/EBITDA) ne sont pas calculables, faute de données financières structurées récentes (exercice 2024-2025) dans la base. Cependant, sur la base du bénéfice net de 2023 (640 millions FCFA), le PER ressortirait à environ 749x, ce qui est extrêmement élevé et traduirait une valorisation déconnectée des bénéfices actuels. En revanche, si l'on considère les capitaux propres négatifs de 2023 (-10,6 milliards FCFA), le P/B est non significatif. Cette situation souligne que le marché valorise fortement la marque et le potentiel de redressement, mais les investisseurs doivent être conscients que les fondamentaux comptables ne soutiennent pas les niveaux de prix actuels.</w:t>
      </w:r>
    </w:p>
    <w:p>
      <w:pPr>
        <w:spacing w:after="120" w:line="276" w:lineRule="auto"/>
      </w:pPr>
      <w:r>
        <w:t>---</w:t>
      </w:r>
    </w:p>
    <w:p>
      <w:pPr>
        <w:spacing w:after="120" w:line="276" w:lineRule="auto"/>
      </w:pPr>
      <w:r>
        <w:t>### PARTIE 1 : ANALYSE DU COURS — STATISTIQUES ET ÉVOLUTION (100 derniers jours)</w:t>
      </w:r>
    </w:p>
    <w:p>
      <w:pPr>
        <w:spacing w:after="120" w:line="276" w:lineRule="auto"/>
      </w:pPr>
      <w:r>
        <w:t>Sur les 100 derniers jours, l'action UNLC affiche une **baisse modérée de -1,70%** , mais la dernière séance a enregistré une chute brutale de **-6,98%** , signe d'une pression vendeuse récente. Le cours évolue dans un range de trading large de **50 000 FCFA (plus bas) à 69 005 FCFA (plus haut)** , soit une amplitude de près de 38%, indiquant une forte nervosité. La moyenne (56 693 FCFA) est légèrement supérieure à la médiane (56 252 FCFA), suggérant une distribution quasi symétrique, confirmée par un skewness positif de 0,544 (asymétrie vers les rendements négatifs). Le kurtosis de 0,653 (mésokurtique) indique une distribution proche de la normale, sans risque de pics extrêmes. L'écart-type de 3 558 FCFA (CV=6,3%) montre une dispersion modérée autour de la moyenne. La **volatilité annualisée de 64%** est extrêmement élevée (bien au-dessus du seuil de 30%), reflétant un titre spéculatif et risqué à court terme.</w:t>
      </w:r>
    </w:p>
    <w:p>
      <w:pPr>
        <w:spacing w:after="120" w:line="276" w:lineRule="auto"/>
      </w:pPr>
      <w:r>
        <w:t>---</w:t>
      </w:r>
    </w:p>
    <w:p>
      <w:pPr>
        <w:spacing w:after="120" w:line="276" w:lineRule="auto"/>
      </w:pPr>
      <w:r>
        <w:t>### PARTIE 2 : ANALYSE TECHNIQUE DÉTAILLÉE</w:t>
      </w:r>
    </w:p>
    <w:p>
      <w:pPr>
        <w:spacing w:after="120" w:line="276" w:lineRule="auto"/>
      </w:pPr>
      <w:r>
        <w:t>**Moyennes Mobiles (MM20=54 208, MM50=54 350) :** Le cours actuel (52 200 FCFA) est inférieur à ses deux moyennes mobiles, qui sont quasi identiques. Cette configuration baissière indique que la tendance de fond est négative, avec un prix sous les supports dynamiques. La décision de **Vente** est justifiée par cette position sous les MM, signalant une dynamique baissière dominante.</w:t>
      </w:r>
    </w:p>
    <w:p>
      <w:pPr>
        <w:spacing w:after="120" w:line="276" w:lineRule="auto"/>
      </w:pPr>
      <w:r>
        <w:t>**Bandes de Bollinger (Borne sup=58 872, Borne inf=49 544) :** Le prix se situe dans la partie inférieure de la bande, proche de la borne basse. Cela reflète une volatilité élevée et une pression vendeuse, mais sans sortie de canal. La décision **Neutre** est cohérente : le titre n'est pas en situation de surachat ni de survente extrême, mais la proximité de la borne inférieure pourrait attirer des acheteurs à contre-tendance.</w:t>
      </w:r>
    </w:p>
    <w:p>
      <w:pPr>
        <w:spacing w:after="120" w:line="276" w:lineRule="auto"/>
      </w:pPr>
      <w:r>
        <w:t>**MACD (Valeur=-50,66, Signal=145,15) :** Le MACD est négatif et bien en dessous de sa ligne de signal, indiquant un momentum baissier fort. La divergence négative suggère que la pression vendeuse s'accentue. La décision de **Vente** est justifiée par cette configuration, qui prévaut pour les prochaines séances.</w:t>
      </w:r>
    </w:p>
    <w:p>
      <w:pPr>
        <w:spacing w:after="120" w:line="276" w:lineRule="auto"/>
      </w:pPr>
      <w:r>
        <w:t>**RSI (Valeur=52,78) :** Le RSI est en zone neutre (entre 30 et 70), indiquant un équilibre relatif entre acheteurs et vendeurs. Il n'y a pas de signal de surachat ou de survente. La décision **Neutre** est appropriée, mais le RSI ne confirme pas la faiblesse du MACD, créant une divergence.</w:t>
      </w:r>
    </w:p>
    <w:p>
      <w:pPr>
        <w:spacing w:after="120" w:line="276" w:lineRule="auto"/>
      </w:pPr>
      <w:r>
        <w:t>**Stochastique (%K=3,33, %D=31,16) :** Le %K est très bas (proche de 0), signalant une condition de survente extrême. Le %D est également bas, mais le croisement haussier potentiel (si %K remonte au-dessus de %D) pourrait indiquer un rebond technique imminent. La décision **Achat** est justifiée par cette survente, qui offre un potentiel de correction haussière à court terme.</w:t>
      </w:r>
    </w:p>
    <w:p>
      <w:pPr>
        <w:spacing w:after="120" w:line="276" w:lineRule="auto"/>
      </w:pPr>
      <w:r>
        <w:t>**Conclusion technique :** Les indicateurs sont mitigés : les MM et le MACD sont baissiers, tandis que le RSI est neutre et le stochastique est en survente. Cette divergence suggère une possible stabilisation ou un rebond technique à très court terme, mais la tendance de fond reste baissière. Les investisseurs devraient attendre un signal de retournement (croisement haussier du MACD ou cassure des MM) avant d'acheter.</w:t>
      </w:r>
    </w:p>
    <w:p>
      <w:pPr>
        <w:spacing w:after="120" w:line="276" w:lineRule="auto"/>
      </w:pPr>
      <w:r>
        <w:t>---</w:t>
      </w:r>
    </w:p>
    <w:p>
      <w:pPr>
        <w:spacing w:after="120" w:line="276" w:lineRule="auto"/>
      </w:pPr>
      <w:r>
        <w:t>### PARTIE 3 : ANALYSE FONDAMENTALE (SECTION CRITIQUE)</w:t>
      </w:r>
    </w:p>
    <w:p>
      <w:pPr>
        <w:spacing w:after="120" w:line="276" w:lineRule="auto"/>
      </w:pPr>
      <w:r>
        <w:t>Les rapports financiers disponibles datent de **décembre 2022, décembre 2023 et décembre 2024** (⚠️ anciens, plus de 18 mois). En **2023**, UNLC a réalisé un **chiffre d'affaires de 24,336 milliards FCFA**, stable par rapport à 2022, et un **bénéfice net de 640 millions FCFA**, après une perte massive de 6,9 milliards en 2022. La **marge nette est de 2,63%** , bien en dessous de la moyenne sectorielle (5-10%). Le **résultat d'exploitation est positif à 3,34 milliards FCFA** en 2023, contre -6,26 milliards en 2022, montrant une amélioration opérationnelle. Cependant, les **capitaux propres restent négatifs à -10,66 milliards FCFA**, et les **dettes financières s'élèvent à 4,38 milliards FCFA**, fragilisant la structure financière. Le **ROE est non calculable** (capitaux propres négatifs), et le **ROA est d'environ 1,5%** , très faible. Aucun dividende n'a été versé en 2023. Les rapports de 2022 (perte de 6,38 milliards) et de 2021 (bénéfice de 6,09 milliards) montrent une forte volatilité des résultats. Sur la base de ces données, on estime que l'exercice 2024-2025 pourrait voir une stabilisation du CA autour de 24-25 milliards, mais la rentabilité reste fragile. La société doit reconstituer ses capitaux propres et réduire sa dette pour redevenir attractive.</w:t>
      </w:r>
    </w:p>
    <w:p>
      <w:pPr>
        <w:spacing w:after="120" w:line="276" w:lineRule="auto"/>
      </w:pPr>
      <w:r>
        <w:t>---</w:t>
      </w:r>
    </w:p>
    <w:p>
      <w:pPr>
        <w:spacing w:after="120" w:line="276" w:lineRule="auto"/>
      </w:pPr>
      <w:r>
        <w:t>### PARTIE 4 : CONCLUSION D'INVESTISSEMENT</w:t>
      </w:r>
    </w:p>
    <w:p>
      <w:pPr>
        <w:spacing w:after="120" w:line="276" w:lineRule="auto"/>
      </w:pPr>
      <w:r>
        <w:t>La valorisation boursière d'UNLC est **extrêmement élevée** par rapport aux bénéfices (PER implicite &gt;700x), indiquant une **surévaluation** basée sur des anticipations de redressement, non confirmées par les fondamentaux. Le comportement du cours montre une **tendance baissière** avec une volatilité très élevée (64%), des statistiques (skewness positif) suggérant des rendements négatifs fréquents, et une dernière séance en forte baisse (-6,98%). Les signaux techniques sont **divergents** : baissiers à court terme (MM, MACD) mais avec un stochastique en survente, suggérant un possible rebond technique. Les fondamentaux sont **préoccupants** : capitaux propres négatifs, endettement élevé, et rentabilité fragile (marge nette de 2,63% en 2023). Les **prédictions IA** (J+1 à J+10) anticipent une hausse progressive de 54 607 à 56 743 FCFA, contredisant la tendance baissière actuelle mais cohérente avec un rebond technique. En synthèse, la valorisation est surévaluée, les fondamentaux sont faibles, et les signaux techniques sont mitigés. **Recommandation : VENTE** (ou éviter l'achat), avec un niveau de confiance **Moyen** et un risque global **Élevé**. Horizon d'investissement : **court terme (&lt;3 mois)** pour les spéculateurs, mais éviter pour le long terme.</w:t>
      </w:r>
    </w:p>
    <w:p/>
    <w:p/>
    <w:p>
      <w:r>
        <w:t>════════════════════════════════════════════════════════════════════════════════</w:t>
      </w:r>
    </w:p>
    <w:p>
      <w:r>
        <w:br w:type="page"/>
      </w:r>
    </w:p>
    <w:p>
      <w:pPr>
        <w:pStyle w:val="Heading2"/>
        <w:spacing w:before="360"/>
      </w:pPr>
      <w:r>
        <w:rPr>
          <w:color w:val="0066CC"/>
        </w:rPr>
        <w:t>47. UNXC - UNXC - UNIWAX COTE D'IVOIRE</w:t>
      </w:r>
    </w:p>
    <w:p>
      <w:r>
        <w:t>────────────────────────────────────────────────────────────────────────────────</w:t>
      </w:r>
    </w:p>
    <w:tbl>
      <w:tblPr>
        <w:tblStyle w:val="TableGrid"/>
        <w:tblW w:type="auto" w:w="0"/>
        <w:tblLook w:firstColumn="1" w:firstRow="1" w:lastColumn="0" w:lastRow="0" w:noHBand="0" w:noVBand="1" w:val="04A0"/>
      </w:tblPr>
      <w:tblGrid>
        <w:gridCol w:w="2160"/>
        <w:gridCol w:w="2160"/>
        <w:gridCol w:w="2160"/>
        <w:gridCol w:w="2160"/>
      </w:tblGrid>
      <w:tr>
        <w:tc>
          <w:tcPr>
            <w:tcW w:type="dxa" w:w="2551"/>
            <w:shd w:fill="1F4E79" w:val="clear"/>
          </w:tcPr>
          <w:p>
            <w:r>
              <w:rPr>
                <w:b/>
                <w:color w:val="FFFFFF"/>
                <w:sz w:val="17"/>
              </w:rPr>
              <w:t>🏢 IDENTITÉ</w:t>
            </w:r>
          </w:p>
        </w:tc>
        <w:tc>
          <w:tcPr>
            <w:tcW w:type="dxa" w:w="2268"/>
            <w:shd w:fill="375623" w:val="clear"/>
          </w:tcPr>
          <w:p>
            <w:r>
              <w:rPr>
                <w:b/>
                <w:color w:val="FFFFFF"/>
                <w:sz w:val="17"/>
              </w:rPr>
              <w:t>💰 CAPITALISATION</w:t>
            </w:r>
          </w:p>
        </w:tc>
        <w:tc>
          <w:tcPr>
            <w:tcW w:type="dxa" w:w="2268"/>
            <w:shd w:fill="833C00" w:val="clear"/>
          </w:tcPr>
          <w:p>
            <w:r>
              <w:rPr>
                <w:b/>
                <w:color w:val="FFFFFF"/>
                <w:sz w:val="17"/>
              </w:rPr>
              <w:t>📈 COURS &amp; MARCHÉ</w:t>
            </w:r>
          </w:p>
        </w:tc>
        <w:tc>
          <w:tcPr>
            <w:tcW w:type="dxa" w:w="2835"/>
            <w:shd w:fill="C6EFCE" w:val="clear"/>
          </w:tcPr>
          <w:p>
            <w:r>
              <w:rPr>
                <w:b/>
                <w:color w:val="FFFFFF"/>
                <w:sz w:val="17"/>
              </w:rPr>
              <w:t>🎯 RECOMMANDATION</w:t>
            </w:r>
          </w:p>
        </w:tc>
      </w:tr>
      <w:tr>
        <w:tc>
          <w:tcPr>
            <w:tcW w:type="dxa" w:w="2551"/>
            <w:shd w:fill="DEEAF1" w:val="clear"/>
          </w:tcPr>
          <w:p>
            <w:r>
              <w:rPr>
                <w:b/>
                <w:color w:val="323250"/>
                <w:sz w:val="16"/>
              </w:rPr>
              <w:t xml:space="preserve">Symbole : </w:t>
            </w:r>
            <w:r>
              <w:rPr>
                <w:color w:val="000000"/>
                <w:sz w:val="16"/>
              </w:rPr>
              <w:t>UNXC</w:t>
            </w:r>
          </w:p>
          <w:p>
            <w:r>
              <w:rPr>
                <w:b/>
                <w:color w:val="323250"/>
                <w:sz w:val="16"/>
              </w:rPr>
              <w:t xml:space="preserve">Société : </w:t>
            </w:r>
            <w:r>
              <w:rPr>
                <w:color w:val="000000"/>
                <w:sz w:val="16"/>
              </w:rPr>
              <w:t>UNXC - UNIWAX COTE D'IVOIRE</w:t>
            </w:r>
          </w:p>
          <w:p>
            <w:r>
              <w:rPr>
                <w:b/>
                <w:color w:val="323250"/>
                <w:sz w:val="16"/>
              </w:rPr>
              <w:t xml:space="preserve">Secteur : </w:t>
            </w:r>
            <w:r>
              <w:rPr>
                <w:color w:val="000000"/>
                <w:sz w:val="16"/>
              </w:rPr>
              <w:t>CONSOMMATION DISCRETIONNAIRE</w:t>
            </w:r>
          </w:p>
        </w:tc>
        <w:tc>
          <w:tcPr>
            <w:tcW w:type="dxa" w:w="2268"/>
            <w:shd w:fill="E2EFDA" w:val="clear"/>
          </w:tcPr>
          <w:p>
            <w:r>
              <w:rPr>
                <w:b/>
                <w:color w:val="1E461E"/>
                <w:sz w:val="16"/>
              </w:rPr>
              <w:t xml:space="preserve">Capitalisation : </w:t>
            </w:r>
            <w:r>
              <w:rPr>
                <w:b/>
                <w:color w:val="006400"/>
                <w:sz w:val="17"/>
              </w:rPr>
              <w:t>50.11 Mds FCFA</w:t>
            </w:r>
          </w:p>
          <w:p>
            <w:r>
              <w:rPr>
                <w:b/>
                <w:color w:val="1E461E"/>
                <w:sz w:val="16"/>
              </w:rPr>
              <w:t xml:space="preserve">Catégorie : </w:t>
            </w:r>
            <w:r>
              <w:rPr>
                <w:b/>
                <w:color w:val="006400"/>
                <w:sz w:val="17"/>
              </w:rPr>
              <w:t>Petite cap (10-100 Mds)</w:t>
            </w:r>
          </w:p>
          <w:p>
            <w:r>
              <w:rPr>
                <w:b/>
                <w:color w:val="1E461E"/>
                <w:sz w:val="16"/>
              </w:rPr>
              <w:t xml:space="preserve">Vol. moy/jour : </w:t>
            </w:r>
            <w:r>
              <w:rPr>
                <w:b/>
                <w:color w:val="006400"/>
                <w:sz w:val="17"/>
              </w:rPr>
              <w:t>13,191 titres</w:t>
            </w:r>
          </w:p>
        </w:tc>
        <w:tc>
          <w:tcPr>
            <w:tcW w:type="dxa" w:w="2268"/>
            <w:shd w:fill="FFF2CC" w:val="clear"/>
          </w:tcPr>
          <w:p>
            <w:r>
              <w:rPr>
                <w:b/>
                <w:color w:val="503200"/>
                <w:sz w:val="16"/>
              </w:rPr>
              <w:t xml:space="preserve">Cours actuel : </w:t>
            </w:r>
            <w:r>
              <w:rPr>
                <w:color w:val="000000"/>
                <w:sz w:val="17"/>
              </w:rPr>
              <w:t>2,415 FCFA</w:t>
            </w:r>
          </w:p>
          <w:p>
            <w:r>
              <w:rPr>
                <w:b/>
                <w:color w:val="503200"/>
                <w:sz w:val="16"/>
              </w:rPr>
              <w:t xml:space="preserve">Var. 100 jours : </w:t>
            </w:r>
            <w:r>
              <w:rPr>
                <w:b/>
                <w:color w:val="007800"/>
                <w:sz w:val="17"/>
              </w:rPr>
              <w:t>+22.28%</w:t>
            </w:r>
          </w:p>
          <w:p>
            <w:r>
              <w:rPr>
                <w:b/>
                <w:color w:val="503200"/>
                <w:sz w:val="16"/>
              </w:rPr>
              <w:t xml:space="preserve">Plus haut 100j : </w:t>
            </w:r>
            <w:r>
              <w:rPr>
                <w:color w:val="000000"/>
                <w:sz w:val="17"/>
              </w:rPr>
              <w:t>2,495 FCFA</w:t>
            </w:r>
          </w:p>
          <w:p>
            <w:r>
              <w:rPr>
                <w:b/>
                <w:color w:val="503200"/>
                <w:sz w:val="16"/>
              </w:rPr>
              <w:t xml:space="preserve">Plus bas 100j : </w:t>
            </w:r>
            <w:r>
              <w:rPr>
                <w:color w:val="000000"/>
                <w:sz w:val="17"/>
              </w:rPr>
              <w:t>1,250 FCFA</w:t>
            </w:r>
          </w:p>
          <w:p>
            <w:r>
              <w:rPr>
                <w:b/>
                <w:color w:val="503200"/>
                <w:sz w:val="16"/>
              </w:rPr>
              <w:t xml:space="preserve">Volatilité ann. : </w:t>
            </w:r>
            <w:r>
              <w:rPr>
                <w:color w:val="000000"/>
                <w:sz w:val="17"/>
              </w:rPr>
              <w:t>51.3%</w:t>
            </w:r>
          </w:p>
        </w:tc>
        <w:tc>
          <w:tcPr>
            <w:tcW w:type="dxa" w:w="2835"/>
            <w:shd w:fill="FCE4D6" w:val="clear"/>
          </w:tcPr>
          <w:p>
            <w:r>
              <w:rPr>
                <w:b/>
                <w:color w:val="500000"/>
                <w:sz w:val="16"/>
              </w:rPr>
              <w:t xml:space="preserve">Recommandation : </w:t>
            </w:r>
            <w:r>
              <w:rPr>
                <w:b/>
                <w:color w:val="009600"/>
                <w:sz w:val="19"/>
              </w:rPr>
              <w:t>ACHAT</w:t>
            </w:r>
          </w:p>
          <w:p>
            <w:r>
              <w:rPr>
                <w:b/>
                <w:color w:val="500000"/>
                <w:sz w:val="16"/>
              </w:rPr>
              <w:t xml:space="preserve">Confiance : </w:t>
            </w:r>
            <w:r>
              <w:rPr>
                <w:color w:val="000000"/>
                <w:sz w:val="17"/>
              </w:rPr>
              <w:t>Moyen</w:t>
            </w:r>
          </w:p>
          <w:p>
            <w:r>
              <w:rPr>
                <w:b/>
                <w:color w:val="500000"/>
                <w:sz w:val="16"/>
              </w:rPr>
              <w:t xml:space="preserve">Risque : </w:t>
            </w:r>
            <w:r>
              <w:rPr>
                <w:color w:val="000000"/>
                <w:sz w:val="17"/>
              </w:rPr>
              <w:t>Faible</w:t>
            </w:r>
          </w:p>
          <w:p>
            <w:r>
              <w:rPr>
                <w:b/>
                <w:color w:val="500000"/>
                <w:sz w:val="16"/>
              </w:rPr>
              <w:t xml:space="preserve">Horizon : </w:t>
            </w:r>
            <w:r>
              <w:rPr>
                <w:color w:val="000000"/>
                <w:sz w:val="17"/>
              </w:rPr>
              <w:t>Moyen terme</w:t>
            </w:r>
          </w:p>
          <w:p>
            <w:r>
              <w:rPr>
                <w:b/>
                <w:color w:val="500000"/>
                <w:sz w:val="16"/>
              </w:rPr>
              <w:t xml:space="preserve">Score invest. : </w:t>
            </w:r>
            <w:r>
              <w:rPr>
                <w:color w:val="000000"/>
                <w:sz w:val="17"/>
              </w:rPr>
              <w:t>Excellent</w:t>
            </w:r>
          </w:p>
        </w:tc>
      </w:tr>
    </w:tbl>
    <w:p/>
    <w:p>
      <w:pPr>
        <w:spacing w:before="120" w:after="40"/>
      </w:pPr>
      <w:r>
        <w:rPr>
          <w:b/>
          <w:color w:val="003366"/>
          <w:sz w:val="20"/>
        </w:rPr>
        <w:t xml:space="preserve">⚠️ SCORE DE RISQUE — </w:t>
      </w:r>
      <w:r>
        <w:rPr>
          <w:b/>
          <w:color w:val="006400"/>
          <w:sz w:val="22"/>
        </w:rPr>
        <w:t>18.6/100 → Faible</w:t>
      </w:r>
    </w:p>
    <w:p>
      <w:pPr>
        <w:spacing w:before="40" w:after="80"/>
      </w:pPr>
      <w:r>
        <w:rPr>
          <w:rFonts w:ascii="Courier New" w:hAnsi="Courier New"/>
          <w:color w:val="006400"/>
          <w:sz w:val="18"/>
        </w:rPr>
        <w:t>███░░░░░░░░░░░░░░░░░  18.6/100</w:t>
      </w:r>
    </w:p>
    <w:tbl>
      <w:tblPr>
        <w:tblStyle w:val="TableGrid"/>
        <w:tblW w:type="auto" w:w="0"/>
        <w:tblLook w:firstColumn="1" w:firstRow="1" w:lastColumn="0" w:lastRow="0" w:noHBand="0" w:noVBand="1" w:val="04A0"/>
      </w:tblPr>
      <w:tblGrid>
        <w:gridCol w:w="2160"/>
        <w:gridCol w:w="2160"/>
        <w:gridCol w:w="2160"/>
        <w:gridCol w:w="2160"/>
      </w:tblGrid>
      <w:tr>
        <w:tc>
          <w:tcPr>
            <w:tcW w:type="dxa" w:w="2835"/>
            <w:shd w:fill="243F60" w:val="clear"/>
          </w:tcPr>
          <w:p>
            <w:r>
              <w:rPr>
                <w:b/>
                <w:color w:val="FFFFFF"/>
                <w:sz w:val="16"/>
              </w:rPr>
              <w:t>Critère (poids)</w:t>
            </w:r>
          </w:p>
        </w:tc>
        <w:tc>
          <w:tcPr>
            <w:tcW w:type="dxa" w:w="3118"/>
            <w:shd w:fill="243F60" w:val="clear"/>
          </w:tcPr>
          <w:p>
            <w:r>
              <w:rPr>
                <w:b/>
                <w:color w:val="FFFFFF"/>
                <w:sz w:val="16"/>
              </w:rPr>
              <w:t>Valeur mesurée</w:t>
            </w:r>
          </w:p>
        </w:tc>
        <w:tc>
          <w:tcPr>
            <w:tcW w:type="dxa" w:w="1984"/>
            <w:shd w:fill="243F60" w:val="clear"/>
          </w:tcPr>
          <w:p>
            <w:r>
              <w:rPr>
                <w:b/>
                <w:color w:val="FFFFFF"/>
                <w:sz w:val="16"/>
              </w:rPr>
              <w:t>Formule</w:t>
            </w:r>
          </w:p>
        </w:tc>
        <w:tc>
          <w:tcPr>
            <w:tcW w:type="dxa" w:w="1984"/>
            <w:shd w:fill="243F60" w:val="clear"/>
          </w:tcPr>
          <w:p>
            <w:r>
              <w:rPr>
                <w:b/>
                <w:color w:val="FFFFFF"/>
                <w:sz w:val="16"/>
              </w:rPr>
              <w:t>Interprétation</w:t>
            </w:r>
          </w:p>
        </w:tc>
      </w:tr>
      <w:tr>
        <w:tc>
          <w:tcPr>
            <w:tcW w:type="dxa" w:w="2835"/>
            <w:shd w:fill="EEF2F7" w:val="clear"/>
          </w:tcPr>
          <w:p>
            <w:r>
              <w:rPr>
                <w:b/>
                <w:sz w:val="15"/>
              </w:rPr>
              <w:t>📊 Volatilité des prix (30%)</w:t>
            </w:r>
          </w:p>
        </w:tc>
        <w:tc>
          <w:tcPr>
            <w:tcW w:type="dxa" w:w="3118"/>
            <w:shd w:fill="FFEB9C" w:val="clear"/>
          </w:tcPr>
          <w:p>
            <w:r>
              <w:rPr>
                <w:b/>
                <w:sz w:val="15"/>
              </w:rPr>
              <w:t>11.36% (Moyenne) — μ=1,890 FCFA, σ=215 FCFA</w:t>
            </w:r>
          </w:p>
        </w:tc>
        <w:tc>
          <w:tcPr>
            <w:tcW w:type="dxa" w:w="1984"/>
            <w:shd w:fill="F7F7F7" w:val="clear"/>
          </w:tcPr>
          <w:p>
            <w:r>
              <w:rPr>
                <w:i/>
                <w:color w:val="505078"/>
                <w:sz w:val="14"/>
              </w:rPr>
              <w:t>CV = σ(prix) / μ(prix)</w:t>
            </w:r>
          </w:p>
        </w:tc>
        <w:tc>
          <w:tcPr>
            <w:tcW w:type="dxa" w:w="1984"/>
            <w:shd w:fill="FFEB9C" w:val="clear"/>
          </w:tcPr>
          <w:p>
            <w:r>
              <w:rPr>
                <w:sz w:val="15"/>
              </w:rPr>
              <w:t>⚠️ Dispersion modérée</w:t>
            </w:r>
          </w:p>
        </w:tc>
      </w:tr>
      <w:tr>
        <w:tc>
          <w:tcPr>
            <w:tcW w:type="dxa" w:w="2835"/>
            <w:shd w:fill="EEF2F7" w:val="clear"/>
          </w:tcPr>
          <w:p>
            <w:r>
              <w:rPr>
                <w:b/>
                <w:sz w:val="15"/>
              </w:rPr>
              <w:t>📐 Bêta vs BRVM Composite (20%)</w:t>
            </w:r>
          </w:p>
        </w:tc>
        <w:tc>
          <w:tcPr>
            <w:tcW w:type="dxa" w:w="3118"/>
            <w:shd w:fill="C6EFCE" w:val="clear"/>
          </w:tcPr>
          <w:p>
            <w:r>
              <w:rPr>
                <w:b/>
                <w:sz w:val="15"/>
              </w:rPr>
              <w:t>β=0.0434 (Défensif) — Cov=0.000002, Var(idx)=0.000035, ρ=0.008, n=98 obs</w:t>
            </w:r>
          </w:p>
        </w:tc>
        <w:tc>
          <w:tcPr>
            <w:tcW w:type="dxa" w:w="1984"/>
            <w:shd w:fill="F7F7F7" w:val="clear"/>
          </w:tcPr>
          <w:p>
            <w:r>
              <w:rPr>
                <w:i/>
                <w:color w:val="505078"/>
                <w:sz w:val="14"/>
              </w:rPr>
              <w:t>β = Cov(r_titre, r_indice) / Var(r_indice)</w:t>
            </w:r>
          </w:p>
        </w:tc>
        <w:tc>
          <w:tcPr>
            <w:tcW w:type="dxa" w:w="1984"/>
            <w:shd w:fill="C6EFCE" w:val="clear"/>
          </w:tcPr>
          <w:p>
            <w:r>
              <w:rPr>
                <w:sz w:val="15"/>
              </w:rPr>
              <w:t>✅ β&lt;0.8 — titre amplifie moins que le marché</w:t>
            </w:r>
          </w:p>
        </w:tc>
      </w:tr>
      <w:tr>
        <w:tc>
          <w:tcPr>
            <w:tcW w:type="dxa" w:w="2835"/>
            <w:shd w:fill="EEF2F7" w:val="clear"/>
          </w:tcPr>
          <w:p>
            <w:r>
              <w:rPr>
                <w:b/>
                <w:sz w:val="15"/>
              </w:rPr>
              <w:t>💧 Liquidité du titre (20%)</w:t>
            </w:r>
          </w:p>
        </w:tc>
        <w:tc>
          <w:tcPr>
            <w:tcW w:type="dxa" w:w="3118"/>
            <w:shd w:fill="C6EFCE" w:val="clear"/>
          </w:tcPr>
          <w:p>
            <w:r>
              <w:rPr>
                <w:b/>
                <w:sz w:val="15"/>
              </w:rPr>
              <w:t>13,191 titres/j (Excellente)</w:t>
            </w:r>
          </w:p>
        </w:tc>
        <w:tc>
          <w:tcPr>
            <w:tcW w:type="dxa" w:w="1984"/>
            <w:shd w:fill="F7F7F7" w:val="clear"/>
          </w:tcPr>
          <w:p>
            <w:r>
              <w:rPr>
                <w:i/>
                <w:color w:val="505078"/>
                <w:sz w:val="14"/>
              </w:rPr>
              <w:t>Volume moyen journalier (100 jours)</w:t>
            </w:r>
          </w:p>
        </w:tc>
        <w:tc>
          <w:tcPr>
            <w:tcW w:type="dxa" w:w="1984"/>
            <w:shd w:fill="C6EFCE" w:val="clear"/>
          </w:tcPr>
          <w:p>
            <w:r>
              <w:rPr>
                <w:sz w:val="15"/>
              </w:rPr>
              <w:t>✅ &gt;10 000 titres/j — sortie rapide possible</w:t>
            </w:r>
          </w:p>
        </w:tc>
      </w:tr>
      <w:tr>
        <w:tc>
          <w:tcPr>
            <w:tcW w:type="dxa" w:w="2835"/>
            <w:shd w:fill="EEF2F7" w:val="clear"/>
          </w:tcPr>
          <w:p>
            <w:r>
              <w:rPr>
                <w:b/>
                <w:sz w:val="15"/>
              </w:rPr>
              <w:t>🔀 Divergence signaux techniques (15%)</w:t>
            </w:r>
          </w:p>
        </w:tc>
        <w:tc>
          <w:tcPr>
            <w:tcW w:type="dxa" w:w="3118"/>
            <w:shd w:fill="FFC7CE" w:val="clear"/>
          </w:tcPr>
          <w:p>
            <w:r>
              <w:rPr>
                <w:b/>
                <w:sz w:val="15"/>
              </w:rPr>
              <w:t>Achat=2 / Vente=2 / Total=5 — taux divergence=40% (Très divergent ❌)</w:t>
            </w:r>
          </w:p>
        </w:tc>
        <w:tc>
          <w:tcPr>
            <w:tcW w:type="dxa" w:w="1984"/>
            <w:shd w:fill="F7F7F7" w:val="clear"/>
          </w:tcPr>
          <w:p>
            <w:r>
              <w:rPr>
                <w:i/>
                <w:color w:val="505078"/>
                <w:sz w:val="14"/>
              </w:rPr>
              <w:t>min(Achat,Vente) / Total signaux</w:t>
            </w:r>
          </w:p>
        </w:tc>
        <w:tc>
          <w:tcPr>
            <w:tcW w:type="dxa" w:w="1984"/>
            <w:shd w:fill="FFC7CE" w:val="clear"/>
          </w:tcPr>
          <w:p>
            <w:r>
              <w:rPr>
                <w:sz w:val="15"/>
              </w:rPr>
              <w:t>❌ Signaux contradictoires — forte incertitude</w:t>
            </w:r>
          </w:p>
        </w:tc>
      </w:tr>
      <w:tr>
        <w:tc>
          <w:tcPr>
            <w:tcW w:type="dxa" w:w="2835"/>
            <w:shd w:fill="EEF2F7" w:val="clear"/>
          </w:tcPr>
          <w:p>
            <w:r>
              <w:rPr>
                <w:b/>
                <w:sz w:val="15"/>
              </w:rPr>
              <w:t>📉 Stabilité des rendements (15%)</w:t>
            </w:r>
          </w:p>
        </w:tc>
        <w:tc>
          <w:tcPr>
            <w:tcW w:type="dxa" w:w="3118"/>
            <w:shd w:fill="FFEB9C" w:val="clear"/>
          </w:tcPr>
          <w:p>
            <w:r>
              <w:rPr>
                <w:b/>
                <w:sz w:val="15"/>
              </w:rPr>
              <w:t>σ_j=3.23%/j (Modérée) — Vol. annualisée≈51.3%</w:t>
            </w:r>
          </w:p>
        </w:tc>
        <w:tc>
          <w:tcPr>
            <w:tcW w:type="dxa" w:w="1984"/>
            <w:shd w:fill="F7F7F7" w:val="clear"/>
          </w:tcPr>
          <w:p>
            <w:r>
              <w:rPr>
                <w:i/>
                <w:color w:val="505078"/>
                <w:sz w:val="14"/>
              </w:rPr>
              <w:t>σ des rendements journaliers × 100</w:t>
            </w:r>
          </w:p>
        </w:tc>
        <w:tc>
          <w:tcPr>
            <w:tcW w:type="dxa" w:w="1984"/>
            <w:shd w:fill="FFEB9C" w:val="clear"/>
          </w:tcPr>
          <w:p>
            <w:r>
              <w:rPr>
                <w:sz w:val="15"/>
              </w:rPr>
              <w:t>⚠️ 3-5%/j — pics occasionnels</w:t>
            </w:r>
          </w:p>
        </w:tc>
      </w:tr>
    </w:tbl>
    <w:p/>
    <w:p>
      <w:pPr>
        <w:spacing w:before="80" w:after="40"/>
      </w:pPr>
      <w:r>
        <w:rPr>
          <w:b/>
        </w:rPr>
        <w:t xml:space="preserve">Signaux techniques : </w:t>
      </w:r>
      <w:r>
        <w:rPr>
          <w:color w:val="008000"/>
          <w:sz w:val="18"/>
        </w:rPr>
        <w:t xml:space="preserve">🟢 MM  </w:t>
      </w:r>
      <w:r>
        <w:rPr>
          <w:color w:val="A07800"/>
          <w:sz w:val="18"/>
        </w:rPr>
        <w:t xml:space="preserve">🟡 Bollinger  </w:t>
      </w:r>
      <w:r>
        <w:rPr>
          <w:color w:val="008000"/>
          <w:sz w:val="18"/>
        </w:rPr>
        <w:t xml:space="preserve">🟢 MACD  </w:t>
      </w:r>
      <w:r>
        <w:rPr>
          <w:color w:val="C00000"/>
          <w:sz w:val="18"/>
        </w:rPr>
        <w:t xml:space="preserve">🔴 RSI  </w:t>
      </w:r>
      <w:r>
        <w:rPr>
          <w:color w:val="C00000"/>
          <w:sz w:val="18"/>
        </w:rPr>
        <w:t xml:space="preserve">🔴 Stochastique  </w:t>
      </w:r>
    </w:p>
    <w:p>
      <w:pPr>
        <w:spacing w:before="80" w:after="80"/>
      </w:pPr>
      <w:r>
        <w:rPr>
          <w:b/>
          <w:sz w:val="22"/>
        </w:rPr>
        <w:t xml:space="preserve">Score composite : </w:t>
      </w:r>
      <w:r>
        <w:rPr>
          <w:b/>
          <w:color w:val="008000"/>
          <w:sz w:val="26"/>
        </w:rPr>
        <w:t>75/100  (Excellent)</w:t>
      </w:r>
    </w:p>
    <w:p/>
    <w:p>
      <w:pPr>
        <w:jc w:val="center"/>
      </w:pPr>
      <w:r>
        <w:drawing>
          <wp:inline xmlns:a="http://schemas.openxmlformats.org/drawingml/2006/main" xmlns:pic="http://schemas.openxmlformats.org/drawingml/2006/picture">
            <wp:extent cx="5669280" cy="2619287"/>
            <wp:docPr id="49" name="Picture 49"/>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5669280" cy="2619287"/>
                    </a:xfrm>
                    <a:prstGeom prst="rect"/>
                  </pic:spPr>
                </pic:pic>
              </a:graphicData>
            </a:graphic>
          </wp:inline>
        </w:drawing>
      </w:r>
    </w:p>
    <w:p/>
    <w:p>
      <w:pPr>
        <w:pStyle w:val="Heading3"/>
      </w:pPr>
      <w:r>
        <w:t>🔮 Prédictions J+1 à J+10 (Intervalle de Confiance 90%)</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val="clear"/>
          </w:tcPr>
          <w:p>
            <w:r>
              <w:rPr>
                <w:b/>
                <w:color w:val="FFFFFF"/>
                <w:sz w:val="17"/>
              </w:rPr>
              <w:t>Jour</w:t>
            </w:r>
          </w:p>
        </w:tc>
        <w:tc>
          <w:tcPr>
            <w:tcW w:type="dxa" w:w="1440"/>
            <w:shd w:fill="1F4E79" w:val="clear"/>
          </w:tcPr>
          <w:p>
            <w:r>
              <w:rPr>
                <w:b/>
                <w:color w:val="FFFFFF"/>
                <w:sz w:val="17"/>
              </w:rPr>
              <w:t>Date</w:t>
            </w:r>
          </w:p>
        </w:tc>
        <w:tc>
          <w:tcPr>
            <w:tcW w:type="dxa" w:w="1440"/>
            <w:shd w:fill="1F4E79" w:val="clear"/>
          </w:tcPr>
          <w:p>
            <w:r>
              <w:rPr>
                <w:b/>
                <w:color w:val="FFFFFF"/>
                <w:sz w:val="17"/>
              </w:rPr>
              <w:t>Borne basse</w:t>
            </w:r>
          </w:p>
        </w:tc>
        <w:tc>
          <w:tcPr>
            <w:tcW w:type="dxa" w:w="1440"/>
            <w:shd w:fill="1F4E79" w:val="clear"/>
          </w:tcPr>
          <w:p>
            <w:r>
              <w:rPr>
                <w:b/>
                <w:color w:val="FFFFFF"/>
                <w:sz w:val="17"/>
              </w:rPr>
              <w:t>Prix prédit</w:t>
            </w:r>
          </w:p>
        </w:tc>
        <w:tc>
          <w:tcPr>
            <w:tcW w:type="dxa" w:w="1440"/>
            <w:shd w:fill="1F4E79" w:val="clear"/>
          </w:tcPr>
          <w:p>
            <w:r>
              <w:rPr>
                <w:b/>
                <w:color w:val="FFFFFF"/>
                <w:sz w:val="17"/>
              </w:rPr>
              <w:t>Borne haute</w:t>
            </w:r>
          </w:p>
        </w:tc>
        <w:tc>
          <w:tcPr>
            <w:tcW w:type="dxa" w:w="1440"/>
            <w:shd w:fill="1F4E79" w:val="clear"/>
          </w:tcPr>
          <w:p>
            <w:r>
              <w:rPr>
                <w:b/>
                <w:color w:val="FFFFFF"/>
                <w:sz w:val="17"/>
              </w:rPr>
              <w:t>Var. % / actuel</w:t>
            </w:r>
          </w:p>
        </w:tc>
      </w:tr>
      <w:tr>
        <w:tc>
          <w:tcPr>
            <w:tcW w:type="dxa" w:w="1440"/>
            <w:shd w:fill="FAFAFA" w:val="clear"/>
          </w:tcPr>
          <w:p>
            <w:r>
              <w:rPr>
                <w:sz w:val="17"/>
              </w:rPr>
              <w:t>J+1  Moyenne</w:t>
            </w:r>
          </w:p>
        </w:tc>
        <w:tc>
          <w:tcPr>
            <w:tcW w:type="dxa" w:w="1440"/>
            <w:shd w:fill="FAFAFA" w:val="clear"/>
          </w:tcPr>
          <w:p>
            <w:r>
              <w:rPr>
                <w:sz w:val="17"/>
              </w:rPr>
              <w:t>2026-08-28</w:t>
            </w:r>
          </w:p>
        </w:tc>
        <w:tc>
          <w:tcPr>
            <w:tcW w:type="dxa" w:w="1440"/>
            <w:shd w:fill="FAFAFA" w:val="clear"/>
          </w:tcPr>
          <w:p>
            <w:r>
              <w:rPr>
                <w:sz w:val="17"/>
              </w:rPr>
              <w:t>2,259</w:t>
            </w:r>
          </w:p>
        </w:tc>
        <w:tc>
          <w:tcPr>
            <w:tcW w:type="dxa" w:w="1440"/>
            <w:shd w:fill="FAFAFA" w:val="clear"/>
          </w:tcPr>
          <w:p>
            <w:r>
              <w:rPr>
                <w:b/>
                <w:sz w:val="17"/>
              </w:rPr>
              <w:t>2,383</w:t>
            </w:r>
          </w:p>
        </w:tc>
        <w:tc>
          <w:tcPr>
            <w:tcW w:type="dxa" w:w="1440"/>
            <w:shd w:fill="FAFAFA" w:val="clear"/>
          </w:tcPr>
          <w:p>
            <w:r>
              <w:rPr>
                <w:sz w:val="17"/>
              </w:rPr>
              <w:t>2,506</w:t>
            </w:r>
          </w:p>
        </w:tc>
        <w:tc>
          <w:tcPr>
            <w:tcW w:type="dxa" w:w="1440"/>
            <w:shd w:fill="FAFAFA" w:val="clear"/>
          </w:tcPr>
          <w:p>
            <w:r>
              <w:rPr>
                <w:b/>
                <w:color w:val="C00000"/>
                <w:sz w:val="17"/>
              </w:rPr>
              <w:t>-1.3%</w:t>
            </w:r>
          </w:p>
        </w:tc>
      </w:tr>
      <w:tr>
        <w:tc>
          <w:tcPr>
            <w:tcW w:type="dxa" w:w="1440"/>
            <w:shd w:fill="FAFAFA" w:val="clear"/>
          </w:tcPr>
          <w:p>
            <w:r>
              <w:rPr>
                <w:sz w:val="17"/>
              </w:rPr>
              <w:t>J+2  Moyenne</w:t>
            </w:r>
          </w:p>
        </w:tc>
        <w:tc>
          <w:tcPr>
            <w:tcW w:type="dxa" w:w="1440"/>
            <w:shd w:fill="FAFAFA" w:val="clear"/>
          </w:tcPr>
          <w:p>
            <w:r>
              <w:rPr>
                <w:sz w:val="17"/>
              </w:rPr>
              <w:t>2026-08-31</w:t>
            </w:r>
          </w:p>
        </w:tc>
        <w:tc>
          <w:tcPr>
            <w:tcW w:type="dxa" w:w="1440"/>
            <w:shd w:fill="FAFAFA" w:val="clear"/>
          </w:tcPr>
          <w:p>
            <w:r>
              <w:rPr>
                <w:sz w:val="17"/>
              </w:rPr>
              <w:t>2,194</w:t>
            </w:r>
          </w:p>
        </w:tc>
        <w:tc>
          <w:tcPr>
            <w:tcW w:type="dxa" w:w="1440"/>
            <w:shd w:fill="FAFAFA" w:val="clear"/>
          </w:tcPr>
          <w:p>
            <w:r>
              <w:rPr>
                <w:b/>
                <w:sz w:val="17"/>
              </w:rPr>
              <w:t>2,368</w:t>
            </w:r>
          </w:p>
        </w:tc>
        <w:tc>
          <w:tcPr>
            <w:tcW w:type="dxa" w:w="1440"/>
            <w:shd w:fill="FAFAFA" w:val="clear"/>
          </w:tcPr>
          <w:p>
            <w:r>
              <w:rPr>
                <w:sz w:val="17"/>
              </w:rPr>
              <w:t>2,541</w:t>
            </w:r>
          </w:p>
        </w:tc>
        <w:tc>
          <w:tcPr>
            <w:tcW w:type="dxa" w:w="1440"/>
            <w:shd w:fill="FAFAFA" w:val="clear"/>
          </w:tcPr>
          <w:p>
            <w:r>
              <w:rPr>
                <w:b/>
                <w:color w:val="C00000"/>
                <w:sz w:val="17"/>
              </w:rPr>
              <w:t>-2.0%</w:t>
            </w:r>
          </w:p>
        </w:tc>
      </w:tr>
      <w:tr>
        <w:tc>
          <w:tcPr>
            <w:tcW w:type="dxa" w:w="1440"/>
            <w:shd w:fill="FFDCE0" w:val="clear"/>
          </w:tcPr>
          <w:p>
            <w:r>
              <w:rPr>
                <w:sz w:val="17"/>
              </w:rPr>
              <w:t>J+3  Moyenne</w:t>
            </w:r>
          </w:p>
        </w:tc>
        <w:tc>
          <w:tcPr>
            <w:tcW w:type="dxa" w:w="1440"/>
            <w:shd w:fill="FFDCE0" w:val="clear"/>
          </w:tcPr>
          <w:p>
            <w:r>
              <w:rPr>
                <w:sz w:val="17"/>
              </w:rPr>
              <w:t>2026-09-01</w:t>
            </w:r>
          </w:p>
        </w:tc>
        <w:tc>
          <w:tcPr>
            <w:tcW w:type="dxa" w:w="1440"/>
            <w:shd w:fill="FFDCE0" w:val="clear"/>
          </w:tcPr>
          <w:p>
            <w:r>
              <w:rPr>
                <w:sz w:val="17"/>
              </w:rPr>
              <w:t>2,141</w:t>
            </w:r>
          </w:p>
        </w:tc>
        <w:tc>
          <w:tcPr>
            <w:tcW w:type="dxa" w:w="1440"/>
            <w:shd w:fill="FFDCE0" w:val="clear"/>
          </w:tcPr>
          <w:p>
            <w:r>
              <w:rPr>
                <w:b/>
                <w:sz w:val="17"/>
              </w:rPr>
              <w:t>2,353</w:t>
            </w:r>
          </w:p>
        </w:tc>
        <w:tc>
          <w:tcPr>
            <w:tcW w:type="dxa" w:w="1440"/>
            <w:shd w:fill="FFDCE0" w:val="clear"/>
          </w:tcPr>
          <w:p>
            <w:r>
              <w:rPr>
                <w:sz w:val="17"/>
              </w:rPr>
              <w:t>2,564</w:t>
            </w:r>
          </w:p>
        </w:tc>
        <w:tc>
          <w:tcPr>
            <w:tcW w:type="dxa" w:w="1440"/>
            <w:shd w:fill="FFDCE0" w:val="clear"/>
          </w:tcPr>
          <w:p>
            <w:r>
              <w:rPr>
                <w:b/>
                <w:color w:val="C00000"/>
                <w:sz w:val="17"/>
              </w:rPr>
              <w:t>-2.6%</w:t>
            </w:r>
          </w:p>
        </w:tc>
      </w:tr>
      <w:tr>
        <w:tc>
          <w:tcPr>
            <w:tcW w:type="dxa" w:w="1440"/>
            <w:shd w:fill="FFDCE0" w:val="clear"/>
          </w:tcPr>
          <w:p>
            <w:r>
              <w:rPr>
                <w:sz w:val="17"/>
              </w:rPr>
              <w:t>J+4  ⭐</w:t>
            </w:r>
          </w:p>
        </w:tc>
        <w:tc>
          <w:tcPr>
            <w:tcW w:type="dxa" w:w="1440"/>
            <w:shd w:fill="FFDCE0" w:val="clear"/>
          </w:tcPr>
          <w:p>
            <w:r>
              <w:rPr>
                <w:sz w:val="17"/>
              </w:rPr>
              <w:t>2026-09-02</w:t>
            </w:r>
          </w:p>
        </w:tc>
        <w:tc>
          <w:tcPr>
            <w:tcW w:type="dxa" w:w="1440"/>
            <w:shd w:fill="FFDCE0" w:val="clear"/>
          </w:tcPr>
          <w:p>
            <w:r>
              <w:rPr>
                <w:sz w:val="17"/>
              </w:rPr>
              <w:t>2,096</w:t>
            </w:r>
          </w:p>
        </w:tc>
        <w:tc>
          <w:tcPr>
            <w:tcW w:type="dxa" w:w="1440"/>
            <w:shd w:fill="FFDCE0" w:val="clear"/>
          </w:tcPr>
          <w:p>
            <w:r>
              <w:rPr>
                <w:b/>
                <w:sz w:val="17"/>
              </w:rPr>
              <w:t>2,338</w:t>
            </w:r>
          </w:p>
        </w:tc>
        <w:tc>
          <w:tcPr>
            <w:tcW w:type="dxa" w:w="1440"/>
            <w:shd w:fill="FFDCE0" w:val="clear"/>
          </w:tcPr>
          <w:p>
            <w:r>
              <w:rPr>
                <w:sz w:val="17"/>
              </w:rPr>
              <w:t>2,581</w:t>
            </w:r>
          </w:p>
        </w:tc>
        <w:tc>
          <w:tcPr>
            <w:tcW w:type="dxa" w:w="1440"/>
            <w:shd w:fill="FFDCE0" w:val="clear"/>
          </w:tcPr>
          <w:p>
            <w:r>
              <w:rPr>
                <w:b/>
                <w:color w:val="C00000"/>
                <w:sz w:val="17"/>
              </w:rPr>
              <w:t>-3.2%</w:t>
            </w:r>
          </w:p>
        </w:tc>
      </w:tr>
      <w:tr>
        <w:tc>
          <w:tcPr>
            <w:tcW w:type="dxa" w:w="1440"/>
            <w:shd w:fill="FFDCE0" w:val="clear"/>
          </w:tcPr>
          <w:p>
            <w:r>
              <w:rPr>
                <w:sz w:val="17"/>
              </w:rPr>
              <w:t>J+5  ⭐</w:t>
            </w:r>
          </w:p>
        </w:tc>
        <w:tc>
          <w:tcPr>
            <w:tcW w:type="dxa" w:w="1440"/>
            <w:shd w:fill="FFDCE0" w:val="clear"/>
          </w:tcPr>
          <w:p>
            <w:r>
              <w:rPr>
                <w:sz w:val="17"/>
              </w:rPr>
              <w:t>2026-09-03</w:t>
            </w:r>
          </w:p>
        </w:tc>
        <w:tc>
          <w:tcPr>
            <w:tcW w:type="dxa" w:w="1440"/>
            <w:shd w:fill="FFDCE0" w:val="clear"/>
          </w:tcPr>
          <w:p>
            <w:r>
              <w:rPr>
                <w:sz w:val="17"/>
              </w:rPr>
              <w:t>2,055</w:t>
            </w:r>
          </w:p>
        </w:tc>
        <w:tc>
          <w:tcPr>
            <w:tcW w:type="dxa" w:w="1440"/>
            <w:shd w:fill="FFDCE0" w:val="clear"/>
          </w:tcPr>
          <w:p>
            <w:r>
              <w:rPr>
                <w:b/>
                <w:sz w:val="17"/>
              </w:rPr>
              <w:t>2,324</w:t>
            </w:r>
          </w:p>
        </w:tc>
        <w:tc>
          <w:tcPr>
            <w:tcW w:type="dxa" w:w="1440"/>
            <w:shd w:fill="FFDCE0" w:val="clear"/>
          </w:tcPr>
          <w:p>
            <w:r>
              <w:rPr>
                <w:sz w:val="17"/>
              </w:rPr>
              <w:t>2,594</w:t>
            </w:r>
          </w:p>
        </w:tc>
        <w:tc>
          <w:tcPr>
            <w:tcW w:type="dxa" w:w="1440"/>
            <w:shd w:fill="FFDCE0" w:val="clear"/>
          </w:tcPr>
          <w:p>
            <w:r>
              <w:rPr>
                <w:b/>
                <w:color w:val="C00000"/>
                <w:sz w:val="17"/>
              </w:rPr>
              <w:t>-3.8%</w:t>
            </w:r>
          </w:p>
        </w:tc>
      </w:tr>
      <w:tr>
        <w:tc>
          <w:tcPr>
            <w:tcW w:type="dxa" w:w="1440"/>
            <w:shd w:fill="FFDCE0" w:val="clear"/>
          </w:tcPr>
          <w:p>
            <w:r>
              <w:rPr>
                <w:sz w:val="17"/>
              </w:rPr>
              <w:t>J+6  ⭐</w:t>
            </w:r>
          </w:p>
        </w:tc>
        <w:tc>
          <w:tcPr>
            <w:tcW w:type="dxa" w:w="1440"/>
            <w:shd w:fill="FFDCE0" w:val="clear"/>
          </w:tcPr>
          <w:p>
            <w:r>
              <w:rPr>
                <w:sz w:val="17"/>
              </w:rPr>
              <w:t>2026-09-04</w:t>
            </w:r>
          </w:p>
        </w:tc>
        <w:tc>
          <w:tcPr>
            <w:tcW w:type="dxa" w:w="1440"/>
            <w:shd w:fill="FFDCE0" w:val="clear"/>
          </w:tcPr>
          <w:p>
            <w:r>
              <w:rPr>
                <w:sz w:val="17"/>
              </w:rPr>
              <w:t>2,017</w:t>
            </w:r>
          </w:p>
        </w:tc>
        <w:tc>
          <w:tcPr>
            <w:tcW w:type="dxa" w:w="1440"/>
            <w:shd w:fill="FFDCE0" w:val="clear"/>
          </w:tcPr>
          <w:p>
            <w:r>
              <w:rPr>
                <w:b/>
                <w:sz w:val="17"/>
              </w:rPr>
              <w:t>2,310</w:t>
            </w:r>
          </w:p>
        </w:tc>
        <w:tc>
          <w:tcPr>
            <w:tcW w:type="dxa" w:w="1440"/>
            <w:shd w:fill="FFDCE0" w:val="clear"/>
          </w:tcPr>
          <w:p>
            <w:r>
              <w:rPr>
                <w:sz w:val="17"/>
              </w:rPr>
              <w:t>2,604</w:t>
            </w:r>
          </w:p>
        </w:tc>
        <w:tc>
          <w:tcPr>
            <w:tcW w:type="dxa" w:w="1440"/>
            <w:shd w:fill="FFDCE0" w:val="clear"/>
          </w:tcPr>
          <w:p>
            <w:r>
              <w:rPr>
                <w:b/>
                <w:color w:val="C00000"/>
                <w:sz w:val="17"/>
              </w:rPr>
              <w:t>-4.3%</w:t>
            </w:r>
          </w:p>
        </w:tc>
      </w:tr>
      <w:tr>
        <w:tc>
          <w:tcPr>
            <w:tcW w:type="dxa" w:w="1440"/>
            <w:shd w:fill="FFDCE0" w:val="clear"/>
          </w:tcPr>
          <w:p>
            <w:r>
              <w:rPr>
                <w:sz w:val="17"/>
              </w:rPr>
              <w:t>J+7  ⭐</w:t>
            </w:r>
          </w:p>
        </w:tc>
        <w:tc>
          <w:tcPr>
            <w:tcW w:type="dxa" w:w="1440"/>
            <w:shd w:fill="FFDCE0" w:val="clear"/>
          </w:tcPr>
          <w:p>
            <w:r>
              <w:rPr>
                <w:sz w:val="17"/>
              </w:rPr>
              <w:t>2026-09-07</w:t>
            </w:r>
          </w:p>
        </w:tc>
        <w:tc>
          <w:tcPr>
            <w:tcW w:type="dxa" w:w="1440"/>
            <w:shd w:fill="FFDCE0" w:val="clear"/>
          </w:tcPr>
          <w:p>
            <w:r>
              <w:rPr>
                <w:sz w:val="17"/>
              </w:rPr>
              <w:t>1,982</w:t>
            </w:r>
          </w:p>
        </w:tc>
        <w:tc>
          <w:tcPr>
            <w:tcW w:type="dxa" w:w="1440"/>
            <w:shd w:fill="FFDCE0" w:val="clear"/>
          </w:tcPr>
          <w:p>
            <w:r>
              <w:rPr>
                <w:b/>
                <w:sz w:val="17"/>
              </w:rPr>
              <w:t>2,297</w:t>
            </w:r>
          </w:p>
        </w:tc>
        <w:tc>
          <w:tcPr>
            <w:tcW w:type="dxa" w:w="1440"/>
            <w:shd w:fill="FFDCE0" w:val="clear"/>
          </w:tcPr>
          <w:p>
            <w:r>
              <w:rPr>
                <w:sz w:val="17"/>
              </w:rPr>
              <w:t>2,612</w:t>
            </w:r>
          </w:p>
        </w:tc>
        <w:tc>
          <w:tcPr>
            <w:tcW w:type="dxa" w:w="1440"/>
            <w:shd w:fill="FFDCE0" w:val="clear"/>
          </w:tcPr>
          <w:p>
            <w:r>
              <w:rPr>
                <w:b/>
                <w:color w:val="C00000"/>
                <w:sz w:val="17"/>
              </w:rPr>
              <w:t>-4.9%</w:t>
            </w:r>
          </w:p>
        </w:tc>
      </w:tr>
      <w:tr>
        <w:tc>
          <w:tcPr>
            <w:tcW w:type="dxa" w:w="1440"/>
            <w:shd w:fill="FFDCE0" w:val="clear"/>
          </w:tcPr>
          <w:p>
            <w:r>
              <w:rPr>
                <w:sz w:val="17"/>
              </w:rPr>
              <w:t>J+8  ⭐</w:t>
            </w:r>
          </w:p>
        </w:tc>
        <w:tc>
          <w:tcPr>
            <w:tcW w:type="dxa" w:w="1440"/>
            <w:shd w:fill="FFDCE0" w:val="clear"/>
          </w:tcPr>
          <w:p>
            <w:r>
              <w:rPr>
                <w:sz w:val="17"/>
              </w:rPr>
              <w:t>2026-09-08</w:t>
            </w:r>
          </w:p>
        </w:tc>
        <w:tc>
          <w:tcPr>
            <w:tcW w:type="dxa" w:w="1440"/>
            <w:shd w:fill="FFDCE0" w:val="clear"/>
          </w:tcPr>
          <w:p>
            <w:r>
              <w:rPr>
                <w:sz w:val="17"/>
              </w:rPr>
              <w:t>1,948</w:t>
            </w:r>
          </w:p>
        </w:tc>
        <w:tc>
          <w:tcPr>
            <w:tcW w:type="dxa" w:w="1440"/>
            <w:shd w:fill="FFDCE0" w:val="clear"/>
          </w:tcPr>
          <w:p>
            <w:r>
              <w:rPr>
                <w:b/>
                <w:sz w:val="17"/>
              </w:rPr>
              <w:t>2,283</w:t>
            </w:r>
          </w:p>
        </w:tc>
        <w:tc>
          <w:tcPr>
            <w:tcW w:type="dxa" w:w="1440"/>
            <w:shd w:fill="FFDCE0" w:val="clear"/>
          </w:tcPr>
          <w:p>
            <w:r>
              <w:rPr>
                <w:sz w:val="17"/>
              </w:rPr>
              <w:t>2,618</w:t>
            </w:r>
          </w:p>
        </w:tc>
        <w:tc>
          <w:tcPr>
            <w:tcW w:type="dxa" w:w="1440"/>
            <w:shd w:fill="FFDCE0" w:val="clear"/>
          </w:tcPr>
          <w:p>
            <w:r>
              <w:rPr>
                <w:b/>
                <w:color w:val="C00000"/>
                <w:sz w:val="17"/>
              </w:rPr>
              <w:t>-5.5%</w:t>
            </w:r>
          </w:p>
        </w:tc>
      </w:tr>
      <w:tr>
        <w:tc>
          <w:tcPr>
            <w:tcW w:type="dxa" w:w="1440"/>
            <w:shd w:fill="FFDCE0" w:val="clear"/>
          </w:tcPr>
          <w:p>
            <w:r>
              <w:rPr>
                <w:sz w:val="17"/>
              </w:rPr>
              <w:t>J+9  ⭐</w:t>
            </w:r>
          </w:p>
        </w:tc>
        <w:tc>
          <w:tcPr>
            <w:tcW w:type="dxa" w:w="1440"/>
            <w:shd w:fill="FFDCE0" w:val="clear"/>
          </w:tcPr>
          <w:p>
            <w:r>
              <w:rPr>
                <w:sz w:val="17"/>
              </w:rPr>
              <w:t>2026-09-09</w:t>
            </w:r>
          </w:p>
        </w:tc>
        <w:tc>
          <w:tcPr>
            <w:tcW w:type="dxa" w:w="1440"/>
            <w:shd w:fill="FFDCE0" w:val="clear"/>
          </w:tcPr>
          <w:p>
            <w:r>
              <w:rPr>
                <w:sz w:val="17"/>
              </w:rPr>
              <w:t>1,917</w:t>
            </w:r>
          </w:p>
        </w:tc>
        <w:tc>
          <w:tcPr>
            <w:tcW w:type="dxa" w:w="1440"/>
            <w:shd w:fill="FFDCE0" w:val="clear"/>
          </w:tcPr>
          <w:p>
            <w:r>
              <w:rPr>
                <w:b/>
                <w:sz w:val="17"/>
              </w:rPr>
              <w:t>2,270</w:t>
            </w:r>
          </w:p>
        </w:tc>
        <w:tc>
          <w:tcPr>
            <w:tcW w:type="dxa" w:w="1440"/>
            <w:shd w:fill="FFDCE0" w:val="clear"/>
          </w:tcPr>
          <w:p>
            <w:r>
              <w:rPr>
                <w:sz w:val="17"/>
              </w:rPr>
              <w:t>2,623</w:t>
            </w:r>
          </w:p>
        </w:tc>
        <w:tc>
          <w:tcPr>
            <w:tcW w:type="dxa" w:w="1440"/>
            <w:shd w:fill="FFDCE0" w:val="clear"/>
          </w:tcPr>
          <w:p>
            <w:r>
              <w:rPr>
                <w:b/>
                <w:color w:val="C00000"/>
                <w:sz w:val="17"/>
              </w:rPr>
              <w:t>-6.0%</w:t>
            </w:r>
          </w:p>
        </w:tc>
      </w:tr>
      <w:tr>
        <w:tc>
          <w:tcPr>
            <w:tcW w:type="dxa" w:w="1440"/>
            <w:shd w:fill="FFDCE0" w:val="clear"/>
          </w:tcPr>
          <w:p>
            <w:r>
              <w:rPr>
                <w:sz w:val="17"/>
              </w:rPr>
              <w:t>J+10  ⭐</w:t>
            </w:r>
          </w:p>
        </w:tc>
        <w:tc>
          <w:tcPr>
            <w:tcW w:type="dxa" w:w="1440"/>
            <w:shd w:fill="FFDCE0" w:val="clear"/>
          </w:tcPr>
          <w:p>
            <w:r>
              <w:rPr>
                <w:sz w:val="17"/>
              </w:rPr>
              <w:t>2026-09-10</w:t>
            </w:r>
          </w:p>
        </w:tc>
        <w:tc>
          <w:tcPr>
            <w:tcW w:type="dxa" w:w="1440"/>
            <w:shd w:fill="FFDCE0" w:val="clear"/>
          </w:tcPr>
          <w:p>
            <w:r>
              <w:rPr>
                <w:sz w:val="17"/>
              </w:rPr>
              <w:t>1,887</w:t>
            </w:r>
          </w:p>
        </w:tc>
        <w:tc>
          <w:tcPr>
            <w:tcW w:type="dxa" w:w="1440"/>
            <w:shd w:fill="FFDCE0" w:val="clear"/>
          </w:tcPr>
          <w:p>
            <w:r>
              <w:rPr>
                <w:b/>
                <w:sz w:val="17"/>
              </w:rPr>
              <w:t>2,257</w:t>
            </w:r>
          </w:p>
        </w:tc>
        <w:tc>
          <w:tcPr>
            <w:tcW w:type="dxa" w:w="1440"/>
            <w:shd w:fill="FFDCE0" w:val="clear"/>
          </w:tcPr>
          <w:p>
            <w:r>
              <w:rPr>
                <w:sz w:val="17"/>
              </w:rPr>
              <w:t>2,627</w:t>
            </w:r>
          </w:p>
        </w:tc>
        <w:tc>
          <w:tcPr>
            <w:tcW w:type="dxa" w:w="1440"/>
            <w:shd w:fill="FFDCE0" w:val="clear"/>
          </w:tcPr>
          <w:p>
            <w:r>
              <w:rPr>
                <w:b/>
                <w:color w:val="C00000"/>
                <w:sz w:val="17"/>
              </w:rPr>
              <w:t>-6.6%</w:t>
            </w:r>
          </w:p>
        </w:tc>
      </w:tr>
    </w:tbl>
    <w:p/>
    <w:p>
      <w:r>
        <w:rPr>
          <w:sz w:val="16"/>
        </w:rPr>
        <w:t>⚠️ Les prédictions sont des estimations statistiques (modèles GRU/LSTM). L'intervalle de confiance à 90% indique que 9 fois sur 10, le cours devrait se situer entre la borne basse et la borne haute. ⭐⭐⭐ = confiance élevée.</w:t>
      </w:r>
    </w:p>
    <w:p/>
    <w:p/>
    <w:p>
      <w:pPr>
        <w:pStyle w:val="Heading3"/>
      </w:pPr>
      <w:r>
        <w:rPr>
          <w:color w:val="00467F"/>
          <w:sz w:val="22"/>
        </w:rPr>
        <w:t>📊 DONNÉES FINANCIÈRES STRUCTURÉES &amp; INTERPRÉTÉES — Exercice 2024 [🏢 ENTREPRISE]</w:t>
      </w:r>
    </w:p>
    <w:p>
      <w:r>
        <w:rPr>
          <w:i/>
          <w:color w:val="505050"/>
          <w:sz w:val="16"/>
        </w:rPr>
        <w:t>Source : brvm_donnees_financieres — chiffres officiels. 🟢 = signal positif  🟡 = vigilance  🔴 = signal négatif  🔵 = informatif.</w:t>
      </w:r>
    </w:p>
    <w:p>
      <w:pPr>
        <w:spacing w:before="200" w:after="40"/>
      </w:pPr>
      <w:r>
        <w:rPr>
          <w:b/>
          <w:color w:val="003366"/>
          <w:sz w:val="20"/>
        </w:rPr>
        <w:t>📌 1. BILAN — ACTIF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Créances clients</w:t>
            </w:r>
          </w:p>
        </w:tc>
        <w:tc>
          <w:tcPr>
            <w:tcW w:type="dxa" w:w="1984"/>
            <w:shd w:fill="C6EFCE" w:val="clear"/>
          </w:tcPr>
          <w:p>
            <w:r>
              <w:rPr>
                <w:b/>
                <w:color w:val="006400"/>
                <w:sz w:val="17"/>
              </w:rPr>
              <w:t>3.874 Mds FCFA</w:t>
            </w:r>
          </w:p>
        </w:tc>
        <w:tc>
          <w:tcPr>
            <w:tcW w:type="dxa" w:w="5669"/>
            <w:shd w:fill="FFFFFF" w:val="clear"/>
          </w:tcPr>
          <w:p>
            <w:r>
              <w:rPr>
                <w:color w:val="282828"/>
                <w:sz w:val="15"/>
              </w:rPr>
              <w:t>Créances clients = 14.2% du CA. ✅ Délais de paiement bien maîtrisés.</w:t>
            </w:r>
          </w:p>
        </w:tc>
      </w:tr>
      <w:tr>
        <w:tc>
          <w:tcPr>
            <w:tcW w:type="dxa" w:w="2268"/>
            <w:shd w:fill="EEF2F7" w:val="clear"/>
          </w:tcPr>
          <w:p>
            <w:r>
              <w:rPr>
                <w:b/>
                <w:color w:val="1E1E3C"/>
                <w:sz w:val="16"/>
              </w:rPr>
              <w:t>Stocks</w:t>
            </w:r>
          </w:p>
        </w:tc>
        <w:tc>
          <w:tcPr>
            <w:tcW w:type="dxa" w:w="1984"/>
            <w:shd w:fill="FFEB9C" w:val="clear"/>
          </w:tcPr>
          <w:p>
            <w:r>
              <w:rPr>
                <w:b/>
                <w:color w:val="006400"/>
                <w:sz w:val="17"/>
              </w:rPr>
              <w:t>14.200 Mds FCFA</w:t>
            </w:r>
          </w:p>
        </w:tc>
        <w:tc>
          <w:tcPr>
            <w:tcW w:type="dxa" w:w="5669"/>
            <w:shd w:fill="FFFFFF" w:val="clear"/>
          </w:tcPr>
          <w:p>
            <w:r>
              <w:rPr>
                <w:color w:val="282828"/>
                <w:sz w:val="15"/>
              </w:rPr>
              <w:t>Rotation stocks = 1.9x/an. ⚠️ Rotation lente — risque d'immobilisation de capital.</w:t>
            </w:r>
          </w:p>
        </w:tc>
      </w:tr>
      <w:tr>
        <w:tc>
          <w:tcPr>
            <w:tcW w:type="dxa" w:w="2268"/>
            <w:shd w:fill="EEF2F7" w:val="clear"/>
          </w:tcPr>
          <w:p>
            <w:r>
              <w:rPr>
                <w:b/>
                <w:color w:val="1E1E3C"/>
                <w:sz w:val="16"/>
              </w:rPr>
              <w:t>Actif circulant</w:t>
            </w:r>
          </w:p>
        </w:tc>
        <w:tc>
          <w:tcPr>
            <w:tcW w:type="dxa" w:w="1984"/>
            <w:shd w:fill="FFEB9C" w:val="clear"/>
          </w:tcPr>
          <w:p>
            <w:r>
              <w:rPr>
                <w:b/>
                <w:color w:val="006400"/>
                <w:sz w:val="17"/>
              </w:rPr>
              <w:t>19.853 Mds FCFA</w:t>
            </w:r>
          </w:p>
        </w:tc>
        <w:tc>
          <w:tcPr>
            <w:tcW w:type="dxa" w:w="5669"/>
            <w:shd w:fill="FFFFFF" w:val="clear"/>
          </w:tcPr>
          <w:p>
            <w:r>
              <w:rPr>
                <w:color w:val="282828"/>
                <w:sz w:val="15"/>
              </w:rPr>
              <w:t>Ratio actif circ./passif circ. = 1.12x. ⚠️ Couverture limite.</w:t>
            </w:r>
          </w:p>
        </w:tc>
      </w:tr>
      <w:tr>
        <w:tc>
          <w:tcPr>
            <w:tcW w:type="dxa" w:w="2268"/>
            <w:shd w:fill="EEF2F7" w:val="clear"/>
          </w:tcPr>
          <w:p>
            <w:r>
              <w:rPr>
                <w:b/>
                <w:color w:val="1E1E3C"/>
                <w:sz w:val="16"/>
              </w:rPr>
              <w:t>Immob. incorporelles</w:t>
            </w:r>
          </w:p>
        </w:tc>
        <w:tc>
          <w:tcPr>
            <w:tcW w:type="dxa" w:w="1984"/>
            <w:shd w:fill="DEEAF1" w:val="clear"/>
          </w:tcPr>
          <w:p>
            <w:r>
              <w:rPr>
                <w:b/>
                <w:color w:val="006400"/>
                <w:sz w:val="17"/>
              </w:rPr>
              <w:t>113.82 M FCFA</w:t>
            </w:r>
          </w:p>
        </w:tc>
        <w:tc>
          <w:tcPr>
            <w:tcW w:type="dxa" w:w="5669"/>
            <w:shd w:fill="FFFFFF" w:val="clear"/>
          </w:tcPr>
          <w:p>
            <w:r>
              <w:rPr>
                <w:color w:val="282828"/>
                <w:sz w:val="15"/>
              </w:rPr>
              <w:t>Brevets, logiciels, fonds commercial (0.3% du bilan). Actif intangible à surveiller (risque dépréciation).</w:t>
            </w:r>
          </w:p>
        </w:tc>
      </w:tr>
      <w:tr>
        <w:tc>
          <w:tcPr>
            <w:tcW w:type="dxa" w:w="2268"/>
            <w:shd w:fill="EEF2F7" w:val="clear"/>
          </w:tcPr>
          <w:p>
            <w:r>
              <w:rPr>
                <w:b/>
                <w:color w:val="1E1E3C"/>
                <w:sz w:val="16"/>
              </w:rPr>
              <w:t>Immob. corporelles</w:t>
            </w:r>
          </w:p>
        </w:tc>
        <w:tc>
          <w:tcPr>
            <w:tcW w:type="dxa" w:w="1984"/>
            <w:shd w:fill="C6EFCE" w:val="clear"/>
          </w:tcPr>
          <w:p>
            <w:r>
              <w:rPr>
                <w:b/>
                <w:color w:val="006400"/>
                <w:sz w:val="17"/>
              </w:rPr>
              <w:t>11.743 Mds FCFA</w:t>
            </w:r>
          </w:p>
        </w:tc>
        <w:tc>
          <w:tcPr>
            <w:tcW w:type="dxa" w:w="5669"/>
            <w:shd w:fill="FFFFFF" w:val="clear"/>
          </w:tcPr>
          <w:p>
            <w:r>
              <w:rPr>
                <w:color w:val="282828"/>
                <w:sz w:val="15"/>
              </w:rPr>
              <w:t>Outil industriel (34.3% du bilan). ✅ Base productive solide.</w:t>
            </w:r>
          </w:p>
        </w:tc>
      </w:tr>
      <w:tr>
        <w:tc>
          <w:tcPr>
            <w:tcW w:type="dxa" w:w="2268"/>
            <w:shd w:fill="EEF2F7" w:val="clear"/>
          </w:tcPr>
          <w:p>
            <w:r>
              <w:rPr>
                <w:b/>
                <w:color w:val="1E1E3C"/>
                <w:sz w:val="16"/>
              </w:rPr>
              <w:t>Actif immobilisé net</w:t>
            </w:r>
          </w:p>
        </w:tc>
        <w:tc>
          <w:tcPr>
            <w:tcW w:type="dxa" w:w="1984"/>
            <w:shd w:fill="DEEAF1" w:val="clear"/>
          </w:tcPr>
          <w:p>
            <w:r>
              <w:rPr>
                <w:b/>
                <w:color w:val="006400"/>
                <w:sz w:val="17"/>
              </w:rPr>
              <w:t>11.893 Mds FCFA</w:t>
            </w:r>
          </w:p>
        </w:tc>
        <w:tc>
          <w:tcPr>
            <w:tcW w:type="dxa" w:w="5669"/>
            <w:shd w:fill="FFFFFF" w:val="clear"/>
          </w:tcPr>
          <w:p>
            <w:r>
              <w:rPr>
                <w:color w:val="282828"/>
                <w:sz w:val="15"/>
              </w:rPr>
              <w:t>Actif immobilisé = 34.7% du total. Après amortissements — reflète la valeur nette comptable des actifs durables.</w:t>
            </w:r>
          </w:p>
        </w:tc>
      </w:tr>
      <w:tr>
        <w:tc>
          <w:tcPr>
            <w:tcW w:type="dxa" w:w="2268"/>
            <w:shd w:fill="EEF2F7" w:val="clear"/>
          </w:tcPr>
          <w:p>
            <w:r>
              <w:rPr>
                <w:b/>
                <w:color w:val="1E1E3C"/>
                <w:sz w:val="16"/>
              </w:rPr>
              <w:t>Trésorerie Actif</w:t>
            </w:r>
          </w:p>
        </w:tc>
        <w:tc>
          <w:tcPr>
            <w:tcW w:type="dxa" w:w="1984"/>
            <w:shd w:fill="C6EFCE" w:val="clear"/>
          </w:tcPr>
          <w:p>
            <w:r>
              <w:rPr>
                <w:b/>
                <w:color w:val="006400"/>
                <w:sz w:val="17"/>
              </w:rPr>
              <w:t>2.495 Mds FCFA</w:t>
            </w:r>
          </w:p>
        </w:tc>
        <w:tc>
          <w:tcPr>
            <w:tcW w:type="dxa" w:w="5669"/>
            <w:shd w:fill="FFFFFF" w:val="clear"/>
          </w:tcPr>
          <w:p>
            <w:r>
              <w:rPr>
                <w:color w:val="282828"/>
                <w:sz w:val="15"/>
              </w:rPr>
              <w:t>Liquidités disponibles (7.3% du bilan). ✅ Trésorerie confortable.</w:t>
            </w:r>
          </w:p>
        </w:tc>
      </w:tr>
      <w:tr>
        <w:tc>
          <w:tcPr>
            <w:tcW w:type="dxa" w:w="2268"/>
            <w:shd w:fill="EEF2F7" w:val="clear"/>
          </w:tcPr>
          <w:p>
            <w:r>
              <w:rPr>
                <w:b/>
                <w:color w:val="1E1E3C"/>
                <w:sz w:val="16"/>
              </w:rPr>
              <w:t>Total Actif / Bilan</w:t>
            </w:r>
          </w:p>
        </w:tc>
        <w:tc>
          <w:tcPr>
            <w:tcW w:type="dxa" w:w="1984"/>
            <w:shd w:fill="DEEAF1" w:val="clear"/>
          </w:tcPr>
          <w:p>
            <w:r>
              <w:rPr>
                <w:b/>
                <w:color w:val="006400"/>
                <w:sz w:val="17"/>
              </w:rPr>
              <w:t>34.241 Mds FCFA</w:t>
            </w:r>
          </w:p>
        </w:tc>
        <w:tc>
          <w:tcPr>
            <w:tcW w:type="dxa" w:w="5669"/>
            <w:shd w:fill="FFFFFF" w:val="clear"/>
          </w:tcPr>
          <w:p>
            <w:r>
              <w:rPr>
                <w:color w:val="282828"/>
                <w:sz w:val="15"/>
              </w:rPr>
              <w:t>Taille totale du bilan. Indicateur de la puissance financière de l'entreprise.</w:t>
            </w:r>
          </w:p>
        </w:tc>
      </w:tr>
    </w:tbl>
    <w:p>
      <w:pPr>
        <w:spacing w:before="200" w:after="40"/>
      </w:pPr>
      <w:r>
        <w:rPr>
          <w:b/>
          <w:color w:val="003366"/>
          <w:sz w:val="20"/>
        </w:rPr>
        <w:t>📌 2. BILAN — PASSIF</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Capital souscrit</w:t>
            </w:r>
          </w:p>
        </w:tc>
        <w:tc>
          <w:tcPr>
            <w:tcW w:type="dxa" w:w="1984"/>
            <w:shd w:fill="DEEAF1" w:val="clear"/>
          </w:tcPr>
          <w:p>
            <w:r>
              <w:rPr>
                <w:b/>
                <w:color w:val="006400"/>
                <w:sz w:val="17"/>
              </w:rPr>
              <w:t>4.150 Mds FCFA</w:t>
            </w:r>
          </w:p>
        </w:tc>
        <w:tc>
          <w:tcPr>
            <w:tcW w:type="dxa" w:w="5669"/>
            <w:shd w:fill="FFFFFF" w:val="clear"/>
          </w:tcPr>
          <w:p>
            <w:r>
              <w:rPr>
                <w:color w:val="282828"/>
                <w:sz w:val="15"/>
              </w:rPr>
              <w:t>Capital apporté par les actionnaires à la création ou lors d'augmentations de capital.</w:t>
            </w:r>
          </w:p>
        </w:tc>
      </w:tr>
      <w:tr>
        <w:tc>
          <w:tcPr>
            <w:tcW w:type="dxa" w:w="2268"/>
            <w:shd w:fill="EEF2F7" w:val="clear"/>
          </w:tcPr>
          <w:p>
            <w:r>
              <w:rPr>
                <w:b/>
                <w:color w:val="1E1E3C"/>
                <w:sz w:val="16"/>
              </w:rPr>
              <w:t>Réserves</w:t>
            </w:r>
          </w:p>
        </w:tc>
        <w:tc>
          <w:tcPr>
            <w:tcW w:type="dxa" w:w="1984"/>
            <w:shd w:fill="C6EFCE" w:val="clear"/>
          </w:tcPr>
          <w:p>
            <w:r>
              <w:rPr>
                <w:b/>
                <w:color w:val="006400"/>
                <w:sz w:val="17"/>
              </w:rPr>
              <w:t>13.630 Mds FCFA</w:t>
            </w:r>
          </w:p>
        </w:tc>
        <w:tc>
          <w:tcPr>
            <w:tcW w:type="dxa" w:w="5669"/>
            <w:shd w:fill="FFFFFF" w:val="clear"/>
          </w:tcPr>
          <w:p>
            <w:r>
              <w:rPr>
                <w:color w:val="282828"/>
                <w:sz w:val="15"/>
              </w:rPr>
              <w:t>✅ Réserves accumulées significatives — capacité d'autofinancement historique.</w:t>
            </w:r>
          </w:p>
        </w:tc>
      </w:tr>
      <w:tr>
        <w:tc>
          <w:tcPr>
            <w:tcW w:type="dxa" w:w="2268"/>
            <w:shd w:fill="EEF2F7" w:val="clear"/>
          </w:tcPr>
          <w:p>
            <w:r>
              <w:rPr>
                <w:b/>
                <w:color w:val="1E1E3C"/>
                <w:sz w:val="16"/>
              </w:rPr>
              <w:t>Capitaux propres</w:t>
            </w:r>
          </w:p>
        </w:tc>
        <w:tc>
          <w:tcPr>
            <w:tcW w:type="dxa" w:w="1984"/>
            <w:shd w:fill="C6EFCE" w:val="clear"/>
          </w:tcPr>
          <w:p>
            <w:r>
              <w:rPr>
                <w:b/>
                <w:color w:val="006400"/>
                <w:sz w:val="17"/>
              </w:rPr>
              <w:t>15.591 Mds FCFA</w:t>
            </w:r>
          </w:p>
        </w:tc>
        <w:tc>
          <w:tcPr>
            <w:tcW w:type="dxa" w:w="5669"/>
            <w:shd w:fill="FFFFFF" w:val="clear"/>
          </w:tcPr>
          <w:p>
            <w:r>
              <w:rPr>
                <w:color w:val="282828"/>
                <w:sz w:val="15"/>
              </w:rPr>
              <w:t>Fonds propres = 45.5% du bilan. ✅ Solidité financière satisfaisante.</w:t>
            </w:r>
          </w:p>
        </w:tc>
      </w:tr>
      <w:tr>
        <w:tc>
          <w:tcPr>
            <w:tcW w:type="dxa" w:w="2268"/>
            <w:shd w:fill="EEF2F7" w:val="clear"/>
          </w:tcPr>
          <w:p>
            <w:r>
              <w:rPr>
                <w:b/>
                <w:color w:val="1E1E3C"/>
                <w:sz w:val="16"/>
              </w:rPr>
              <w:t>Capitaux permanents</w:t>
            </w:r>
          </w:p>
        </w:tc>
        <w:tc>
          <w:tcPr>
            <w:tcW w:type="dxa" w:w="1984"/>
            <w:shd w:fill="C6EFCE" w:val="clear"/>
          </w:tcPr>
          <w:p>
            <w:r>
              <w:rPr>
                <w:b/>
                <w:color w:val="006400"/>
                <w:sz w:val="17"/>
              </w:rPr>
              <w:t>15.920 Mds FCFA</w:t>
            </w:r>
          </w:p>
        </w:tc>
        <w:tc>
          <w:tcPr>
            <w:tcW w:type="dxa" w:w="5669"/>
            <w:shd w:fill="FFFFFF" w:val="clear"/>
          </w:tcPr>
          <w:p>
            <w:r>
              <w:rPr>
                <w:color w:val="282828"/>
                <w:sz w:val="15"/>
              </w:rPr>
              <w:t>Capitaux permanents / Actif immobilisé = 1.34x. ✅ Les investissements LT sont bien financés par des ressources stables.</w:t>
            </w:r>
          </w:p>
        </w:tc>
      </w:tr>
      <w:tr>
        <w:tc>
          <w:tcPr>
            <w:tcW w:type="dxa" w:w="2268"/>
            <w:shd w:fill="EEF2F7" w:val="clear"/>
          </w:tcPr>
          <w:p>
            <w:r>
              <w:rPr>
                <w:b/>
                <w:color w:val="1E1E3C"/>
                <w:sz w:val="16"/>
              </w:rPr>
              <w:t>Dettes fournisseurs</w:t>
            </w:r>
          </w:p>
        </w:tc>
        <w:tc>
          <w:tcPr>
            <w:tcW w:type="dxa" w:w="1984"/>
            <w:shd w:fill="C6EFCE" w:val="clear"/>
          </w:tcPr>
          <w:p>
            <w:r>
              <w:rPr>
                <w:b/>
                <w:color w:val="006400"/>
                <w:sz w:val="17"/>
              </w:rPr>
              <w:t>14.931 Mds FCFA</w:t>
            </w:r>
          </w:p>
        </w:tc>
        <w:tc>
          <w:tcPr>
            <w:tcW w:type="dxa" w:w="5669"/>
            <w:shd w:fill="FFFFFF" w:val="clear"/>
          </w:tcPr>
          <w:p>
            <w:r>
              <w:rPr>
                <w:color w:val="282828"/>
                <w:sz w:val="15"/>
              </w:rPr>
              <w:t>Délai fournisseurs implicite ≈ 199 j. ✅ Bon pouvoir de négociation.</w:t>
            </w:r>
          </w:p>
        </w:tc>
      </w:tr>
      <w:tr>
        <w:tc>
          <w:tcPr>
            <w:tcW w:type="dxa" w:w="2268"/>
            <w:shd w:fill="EEF2F7" w:val="clear"/>
          </w:tcPr>
          <w:p>
            <w:r>
              <w:rPr>
                <w:b/>
                <w:color w:val="1E1E3C"/>
                <w:sz w:val="16"/>
              </w:rPr>
              <w:t>Dettes financières LT/MT</w:t>
            </w:r>
          </w:p>
        </w:tc>
        <w:tc>
          <w:tcPr>
            <w:tcW w:type="dxa" w:w="1984"/>
            <w:shd w:fill="C6EFCE" w:val="clear"/>
          </w:tcPr>
          <w:p>
            <w:r>
              <w:rPr>
                <w:b/>
                <w:color w:val="006400"/>
                <w:sz w:val="17"/>
              </w:rPr>
              <w:t>328.66 M FCFA</w:t>
            </w:r>
          </w:p>
        </w:tc>
        <w:tc>
          <w:tcPr>
            <w:tcW w:type="dxa" w:w="5669"/>
            <w:shd w:fill="FFFFFF" w:val="clear"/>
          </w:tcPr>
          <w:p>
            <w:r>
              <w:rPr>
                <w:color w:val="282828"/>
                <w:sz w:val="15"/>
              </w:rPr>
              <w:t>Dette LT/MT = 2% des fonds propres. ✅ Endettement LT maîtrisé.</w:t>
            </w:r>
          </w:p>
        </w:tc>
      </w:tr>
      <w:tr>
        <w:tc>
          <w:tcPr>
            <w:tcW w:type="dxa" w:w="2268"/>
            <w:shd w:fill="EEF2F7" w:val="clear"/>
          </w:tcPr>
          <w:p>
            <w:r>
              <w:rPr>
                <w:b/>
                <w:color w:val="1E1E3C"/>
                <w:sz w:val="16"/>
              </w:rPr>
              <w:t>Dettes financières totales</w:t>
            </w:r>
          </w:p>
        </w:tc>
        <w:tc>
          <w:tcPr>
            <w:tcW w:type="dxa" w:w="1984"/>
            <w:shd w:fill="C6EFCE" w:val="clear"/>
          </w:tcPr>
          <w:p>
            <w:r>
              <w:rPr>
                <w:b/>
                <w:color w:val="006400"/>
                <w:sz w:val="17"/>
              </w:rPr>
              <w:t>328.66 M FCFA</w:t>
            </w:r>
          </w:p>
        </w:tc>
        <w:tc>
          <w:tcPr>
            <w:tcW w:type="dxa" w:w="5669"/>
            <w:shd w:fill="FFFFFF" w:val="clear"/>
          </w:tcPr>
          <w:p>
            <w:r>
              <w:rPr>
                <w:color w:val="282828"/>
                <w:sz w:val="15"/>
              </w:rPr>
              <w:t>Dette financière totale = 2% des fonds propres (gearing). ✅ Structure financière saine.</w:t>
            </w:r>
          </w:p>
        </w:tc>
      </w:tr>
      <w:tr>
        <w:tc>
          <w:tcPr>
            <w:tcW w:type="dxa" w:w="2268"/>
            <w:shd w:fill="EEF2F7" w:val="clear"/>
          </w:tcPr>
          <w:p>
            <w:r>
              <w:rPr>
                <w:b/>
                <w:color w:val="1E1E3C"/>
                <w:sz w:val="16"/>
              </w:rPr>
              <w:t>Dettes totales</w:t>
            </w:r>
          </w:p>
        </w:tc>
        <w:tc>
          <w:tcPr>
            <w:tcW w:type="dxa" w:w="1984"/>
            <w:shd w:fill="C6EFCE" w:val="clear"/>
          </w:tcPr>
          <w:p>
            <w:r>
              <w:rPr>
                <w:b/>
                <w:color w:val="006400"/>
                <w:sz w:val="17"/>
              </w:rPr>
              <w:t>18.650 Mds FCFA</w:t>
            </w:r>
          </w:p>
        </w:tc>
        <w:tc>
          <w:tcPr>
            <w:tcW w:type="dxa" w:w="5669"/>
            <w:shd w:fill="FFFFFF" w:val="clear"/>
          </w:tcPr>
          <w:p>
            <w:r>
              <w:rPr>
                <w:color w:val="282828"/>
                <w:sz w:val="15"/>
              </w:rPr>
              <w:t>Dettes totales = 54.5% du bilan. ✅ Taux d'endettement raisonnable.</w:t>
            </w:r>
          </w:p>
        </w:tc>
      </w:tr>
    </w:tbl>
    <w:p>
      <w:pPr>
        <w:spacing w:before="200" w:after="40"/>
      </w:pPr>
      <w:r>
        <w:rPr>
          <w:b/>
          <w:color w:val="003366"/>
          <w:sz w:val="20"/>
        </w:rPr>
        <w:t>📌 3. COMPTE DE RÉSULTAT</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 / PNB (agrégé)</w:t>
            </w:r>
          </w:p>
        </w:tc>
        <w:tc>
          <w:tcPr>
            <w:tcW w:type="dxa" w:w="1984"/>
            <w:shd w:fill="DEEAF1" w:val="clear"/>
          </w:tcPr>
          <w:p>
            <w:r>
              <w:rPr>
                <w:b/>
                <w:color w:val="006400"/>
                <w:sz w:val="17"/>
              </w:rPr>
              <w:t>27.333 Mds FCFA</w:t>
            </w:r>
          </w:p>
        </w:tc>
        <w:tc>
          <w:tcPr>
            <w:tcW w:type="dxa" w:w="5669"/>
            <w:shd w:fill="FFFFFF" w:val="clear"/>
          </w:tcPr>
          <w:p>
            <w:r>
              <w:rPr>
                <w:color w:val="282828"/>
                <w:sz w:val="15"/>
              </w:rPr>
              <w:t>Revenu principal de l'activité — base de tous les calculs de marge.</w:t>
            </w:r>
          </w:p>
        </w:tc>
      </w:tr>
      <w:tr>
        <w:tc>
          <w:tcPr>
            <w:tcW w:type="dxa" w:w="2268"/>
            <w:shd w:fill="EEF2F7" w:val="clear"/>
          </w:tcPr>
          <w:p>
            <w:r>
              <w:rPr>
                <w:b/>
                <w:color w:val="1E1E3C"/>
                <w:sz w:val="16"/>
              </w:rPr>
              <w:t>Chiffre d'affaires (CA)</w:t>
            </w:r>
          </w:p>
        </w:tc>
        <w:tc>
          <w:tcPr>
            <w:tcW w:type="dxa" w:w="1984"/>
            <w:shd w:fill="FFC7CE" w:val="clear"/>
          </w:tcPr>
          <w:p>
            <w:r>
              <w:rPr>
                <w:b/>
                <w:color w:val="006400"/>
                <w:sz w:val="17"/>
              </w:rPr>
              <w:t>27.333 Mds FCFA</w:t>
            </w:r>
          </w:p>
        </w:tc>
        <w:tc>
          <w:tcPr>
            <w:tcW w:type="dxa" w:w="5669"/>
            <w:shd w:fill="FFFFFF" w:val="clear"/>
          </w:tcPr>
          <w:p>
            <w:r>
              <w:rPr>
                <w:color w:val="282828"/>
                <w:sz w:val="15"/>
              </w:rPr>
              <w:t>Chiffre d'affaires. Croissance: -7.9%. ❌ CA en baisse — perte de parts de marché ou demande en recul.</w:t>
            </w:r>
          </w:p>
        </w:tc>
      </w:tr>
      <w:tr>
        <w:tc>
          <w:tcPr>
            <w:tcW w:type="dxa" w:w="2268"/>
            <w:shd w:fill="EEF2F7" w:val="clear"/>
          </w:tcPr>
          <w:p>
            <w:r>
              <w:rPr>
                <w:b/>
                <w:color w:val="1E1E3C"/>
                <w:sz w:val="16"/>
              </w:rPr>
              <w:t>Charges générales d'exploit.</w:t>
            </w:r>
          </w:p>
        </w:tc>
        <w:tc>
          <w:tcPr>
            <w:tcW w:type="dxa" w:w="1984"/>
            <w:shd w:fill="FFC7CE" w:val="clear"/>
          </w:tcPr>
          <w:p>
            <w:r>
              <w:rPr>
                <w:b/>
                <w:color w:val="006400"/>
                <w:sz w:val="17"/>
              </w:rPr>
              <w:t>32.706 Mds FCFA</w:t>
            </w:r>
          </w:p>
        </w:tc>
        <w:tc>
          <w:tcPr>
            <w:tcW w:type="dxa" w:w="5669"/>
            <w:shd w:fill="FFFFFF" w:val="clear"/>
          </w:tcPr>
          <w:p>
            <w:r>
              <w:rPr>
                <w:color w:val="282828"/>
                <w:sz w:val="15"/>
              </w:rPr>
              <w:t>119.7% des revenus. ❌ Structure de coûts lourde — inefficacité opérationnelle.</w:t>
            </w:r>
          </w:p>
        </w:tc>
      </w:tr>
      <w:tr>
        <w:tc>
          <w:tcPr>
            <w:tcW w:type="dxa" w:w="2268"/>
            <w:shd w:fill="EEF2F7" w:val="clear"/>
          </w:tcPr>
          <w:p>
            <w:r>
              <w:rPr>
                <w:b/>
                <w:color w:val="1E1E3C"/>
                <w:sz w:val="16"/>
              </w:rPr>
              <w:t>DAP immobilisations</w:t>
            </w:r>
          </w:p>
        </w:tc>
        <w:tc>
          <w:tcPr>
            <w:tcW w:type="dxa" w:w="1984"/>
            <w:shd w:fill="DEEAF1" w:val="clear"/>
          </w:tcPr>
          <w:p>
            <w:r>
              <w:rPr>
                <w:b/>
                <w:color w:val="006400"/>
                <w:sz w:val="17"/>
              </w:rPr>
              <w:t>2.367 Mds FCFA</w:t>
            </w:r>
          </w:p>
        </w:tc>
        <w:tc>
          <w:tcPr>
            <w:tcW w:type="dxa" w:w="5669"/>
            <w:shd w:fill="FFFFFF" w:val="clear"/>
          </w:tcPr>
          <w:p>
            <w:r>
              <w:rPr>
                <w:color w:val="282828"/>
                <w:sz w:val="15"/>
              </w:rPr>
              <w:t>Dotations aux amortissements — charge non décaissée reflétant l'usure des actifs.</w:t>
            </w:r>
          </w:p>
        </w:tc>
      </w:tr>
      <w:tr>
        <w:tc>
          <w:tcPr>
            <w:tcW w:type="dxa" w:w="2268"/>
            <w:shd w:fill="EEF2F7" w:val="clear"/>
          </w:tcPr>
          <w:p>
            <w:r>
              <w:rPr>
                <w:b/>
                <w:color w:val="1E1E3C"/>
                <w:sz w:val="16"/>
              </w:rPr>
              <w:t>Charges du personnel</w:t>
            </w:r>
          </w:p>
        </w:tc>
        <w:tc>
          <w:tcPr>
            <w:tcW w:type="dxa" w:w="1984"/>
            <w:shd w:fill="C6EFCE" w:val="clear"/>
          </w:tcPr>
          <w:p>
            <w:r>
              <w:rPr>
                <w:b/>
                <w:color w:val="006400"/>
                <w:sz w:val="17"/>
              </w:rPr>
              <w:t>5.766 Mds FCFA</w:t>
            </w:r>
          </w:p>
        </w:tc>
        <w:tc>
          <w:tcPr>
            <w:tcW w:type="dxa" w:w="5669"/>
            <w:shd w:fill="FFFFFF" w:val="clear"/>
          </w:tcPr>
          <w:p>
            <w:r>
              <w:rPr>
                <w:color w:val="282828"/>
                <w:sz w:val="15"/>
              </w:rPr>
              <w:t>Masse salariale = 21.1% des revenus. ✅ Productivité par employé satisfaisante.</w:t>
            </w:r>
          </w:p>
        </w:tc>
      </w:tr>
      <w:tr>
        <w:tc>
          <w:tcPr>
            <w:tcW w:type="dxa" w:w="2268"/>
            <w:shd w:fill="EEF2F7" w:val="clear"/>
          </w:tcPr>
          <w:p>
            <w:r>
              <w:rPr>
                <w:b/>
                <w:color w:val="1E1E3C"/>
                <w:sz w:val="16"/>
              </w:rPr>
              <w:t>Valeur Ajoutée (VA)</w:t>
            </w:r>
          </w:p>
        </w:tc>
        <w:tc>
          <w:tcPr>
            <w:tcW w:type="dxa" w:w="1984"/>
            <w:shd w:fill="FFEB9C" w:val="clear"/>
          </w:tcPr>
          <w:p>
            <w:r>
              <w:rPr>
                <w:b/>
                <w:color w:val="006400"/>
                <w:sz w:val="17"/>
              </w:rPr>
              <w:t>5.414 Mds FCFA</w:t>
            </w:r>
          </w:p>
        </w:tc>
        <w:tc>
          <w:tcPr>
            <w:tcW w:type="dxa" w:w="5669"/>
            <w:shd w:fill="FFFFFF" w:val="clear"/>
          </w:tcPr>
          <w:p>
            <w:r>
              <w:rPr>
                <w:color w:val="282828"/>
                <w:sz w:val="15"/>
              </w:rPr>
              <w:t>VA = 19.8% du CA. ⚠️ Faible VA — modèle à faible marge (distribution, négoce).</w:t>
            </w:r>
          </w:p>
        </w:tc>
      </w:tr>
      <w:tr>
        <w:tc>
          <w:tcPr>
            <w:tcW w:type="dxa" w:w="2268"/>
            <w:shd w:fill="EEF2F7" w:val="clear"/>
          </w:tcPr>
          <w:p>
            <w:r>
              <w:rPr>
                <w:b/>
                <w:color w:val="1E1E3C"/>
                <w:sz w:val="16"/>
              </w:rPr>
              <w:t>EBE</w:t>
            </w:r>
          </w:p>
        </w:tc>
        <w:tc>
          <w:tcPr>
            <w:tcW w:type="dxa" w:w="1984"/>
            <w:shd w:fill="FFC7CE" w:val="clear"/>
          </w:tcPr>
          <w:p>
            <w:r>
              <w:rPr>
                <w:b/>
                <w:color w:val="B40000"/>
                <w:sz w:val="17"/>
              </w:rPr>
              <w:t>-352.22 M FCFA</w:t>
            </w:r>
          </w:p>
        </w:tc>
        <w:tc>
          <w:tcPr>
            <w:tcW w:type="dxa" w:w="5669"/>
            <w:shd w:fill="FFFFFF" w:val="clear"/>
          </w:tcPr>
          <w:p>
            <w:r>
              <w:rPr>
                <w:color w:val="282828"/>
                <w:sz w:val="15"/>
              </w:rPr>
              <w:t>EBE = -1.3% des revenus (marge opérationnelle brute). ❌ EBE négatif — activité structurellement déficitaire.</w:t>
            </w:r>
          </w:p>
        </w:tc>
      </w:tr>
      <w:tr>
        <w:tc>
          <w:tcPr>
            <w:tcW w:type="dxa" w:w="2268"/>
            <w:shd w:fill="EEF2F7" w:val="clear"/>
          </w:tcPr>
          <w:p>
            <w:r>
              <w:rPr>
                <w:b/>
                <w:color w:val="1E1E3C"/>
                <w:sz w:val="16"/>
              </w:rPr>
              <w:t>Résultat d'exploitation</w:t>
            </w:r>
          </w:p>
        </w:tc>
        <w:tc>
          <w:tcPr>
            <w:tcW w:type="dxa" w:w="1984"/>
            <w:shd w:fill="FFC7CE" w:val="clear"/>
          </w:tcPr>
          <w:p>
            <w:r>
              <w:rPr>
                <w:b/>
                <w:color w:val="B40000"/>
                <w:sz w:val="17"/>
              </w:rPr>
              <w:t>-2.136 Mds FCFA</w:t>
            </w:r>
          </w:p>
        </w:tc>
        <w:tc>
          <w:tcPr>
            <w:tcW w:type="dxa" w:w="5669"/>
            <w:shd w:fill="FFFFFF" w:val="clear"/>
          </w:tcPr>
          <w:p>
            <w:r>
              <w:rPr>
                <w:color w:val="282828"/>
                <w:sz w:val="15"/>
              </w:rPr>
              <w:t>Profit d'exploitation = -7.8% des revenus. ❌ Perte d'exploitation — l'activité principale ne couvre pas ses coûts.</w:t>
            </w:r>
          </w:p>
        </w:tc>
      </w:tr>
      <w:tr>
        <w:tc>
          <w:tcPr>
            <w:tcW w:type="dxa" w:w="2268"/>
            <w:shd w:fill="EEF2F7" w:val="clear"/>
          </w:tcPr>
          <w:p>
            <w:r>
              <w:rPr>
                <w:b/>
                <w:color w:val="1E1E3C"/>
                <w:sz w:val="16"/>
              </w:rPr>
              <w:t>Provisions</w:t>
            </w:r>
          </w:p>
        </w:tc>
        <w:tc>
          <w:tcPr>
            <w:tcW w:type="dxa" w:w="1984"/>
            <w:shd w:fill="DEEAF1" w:val="clear"/>
          </w:tcPr>
          <w:p>
            <w:r>
              <w:rPr>
                <w:b/>
                <w:color w:val="006400"/>
                <w:sz w:val="17"/>
              </w:rPr>
              <w:t>617.88 M FCFA</w:t>
            </w:r>
          </w:p>
        </w:tc>
        <w:tc>
          <w:tcPr>
            <w:tcW w:type="dxa" w:w="5669"/>
            <w:shd w:fill="FFFFFF" w:val="clear"/>
          </w:tcPr>
          <w:p>
            <w:r>
              <w:rPr>
                <w:color w:val="282828"/>
                <w:sz w:val="15"/>
              </w:rPr>
              <w:t>Provisions pour risques/créances douteuses. Charge précautionnelle qui réduit le bénéfice imposable.</w:t>
            </w:r>
          </w:p>
        </w:tc>
      </w:tr>
      <w:tr>
        <w:tc>
          <w:tcPr>
            <w:tcW w:type="dxa" w:w="2268"/>
            <w:shd w:fill="EEF2F7" w:val="clear"/>
          </w:tcPr>
          <w:p>
            <w:r>
              <w:rPr>
                <w:b/>
                <w:color w:val="1E1E3C"/>
                <w:sz w:val="16"/>
              </w:rPr>
              <w:t>Résultat net</w:t>
            </w:r>
          </w:p>
        </w:tc>
        <w:tc>
          <w:tcPr>
            <w:tcW w:type="dxa" w:w="1984"/>
            <w:shd w:fill="FFC7CE" w:val="clear"/>
          </w:tcPr>
          <w:p>
            <w:r>
              <w:rPr>
                <w:b/>
                <w:color w:val="B40000"/>
                <w:sz w:val="17"/>
              </w:rPr>
              <w:t>-2.189 Mds FCFA</w:t>
            </w:r>
          </w:p>
        </w:tc>
        <w:tc>
          <w:tcPr>
            <w:tcW w:type="dxa" w:w="5669"/>
            <w:shd w:fill="FFFFFF" w:val="clear"/>
          </w:tcPr>
          <w:p>
            <w:r>
              <w:rPr>
                <w:color w:val="282828"/>
                <w:sz w:val="15"/>
              </w:rPr>
              <w:t>Marge nette = -8.0%. ❌ Perte nette — impact négatif sur les fonds propres et les dividendes.</w:t>
            </w:r>
          </w:p>
        </w:tc>
      </w:tr>
    </w:tbl>
    <w:p>
      <w:pPr>
        <w:spacing w:before="200" w:after="40"/>
      </w:pPr>
      <w:r>
        <w:rPr>
          <w:b/>
          <w:color w:val="003366"/>
          <w:sz w:val="20"/>
        </w:rPr>
        <w:t>📌 4. CASH-FLOWS &amp; TRÉSORERIE</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CAF</w:t>
            </w:r>
          </w:p>
        </w:tc>
        <w:tc>
          <w:tcPr>
            <w:tcW w:type="dxa" w:w="1984"/>
            <w:shd w:fill="FFC7CE" w:val="clear"/>
          </w:tcPr>
          <w:p>
            <w:r>
              <w:rPr>
                <w:b/>
                <w:color w:val="B40000"/>
                <w:sz w:val="17"/>
              </w:rPr>
              <w:t>-486.14 M FCFA</w:t>
            </w:r>
          </w:p>
        </w:tc>
        <w:tc>
          <w:tcPr>
            <w:tcW w:type="dxa" w:w="5669"/>
            <w:shd w:fill="FFFFFF" w:val="clear"/>
          </w:tcPr>
          <w:p>
            <w:r>
              <w:rPr>
                <w:color w:val="282828"/>
                <w:sz w:val="15"/>
              </w:rPr>
              <w:t>CAF = -0.49 Mds FCFA (résultat + amort.). ❌ CAF négative — la société consomme des liquidités sans en générer.</w:t>
            </w:r>
          </w:p>
        </w:tc>
      </w:tr>
      <w:tr>
        <w:tc>
          <w:tcPr>
            <w:tcW w:type="dxa" w:w="2268"/>
            <w:shd w:fill="EEF2F7" w:val="clear"/>
          </w:tcPr>
          <w:p>
            <w:r>
              <w:rPr>
                <w:b/>
                <w:color w:val="1E1E3C"/>
                <w:sz w:val="16"/>
              </w:rPr>
              <w:t>Flux opérationnel</w:t>
            </w:r>
          </w:p>
        </w:tc>
        <w:tc>
          <w:tcPr>
            <w:tcW w:type="dxa" w:w="1984"/>
            <w:shd w:fill="C6EFCE" w:val="clear"/>
          </w:tcPr>
          <w:p>
            <w:r>
              <w:rPr>
                <w:b/>
                <w:color w:val="006400"/>
                <w:sz w:val="17"/>
              </w:rPr>
              <w:t>1.879 Mds FCFA</w:t>
            </w:r>
          </w:p>
        </w:tc>
        <w:tc>
          <w:tcPr>
            <w:tcW w:type="dxa" w:w="5669"/>
            <w:shd w:fill="FFFFFF" w:val="clear"/>
          </w:tcPr>
          <w:p>
            <w:r>
              <w:rPr>
                <w:color w:val="282828"/>
                <w:sz w:val="15"/>
              </w:rPr>
              <w:t>Cash généré par l'activité courante. ✅ Activité génératrice de cash — bonne santé opérationnelle.</w:t>
            </w:r>
          </w:p>
        </w:tc>
      </w:tr>
      <w:tr>
        <w:tc>
          <w:tcPr>
            <w:tcW w:type="dxa" w:w="2268"/>
            <w:shd w:fill="EEF2F7" w:val="clear"/>
          </w:tcPr>
          <w:p>
            <w:r>
              <w:rPr>
                <w:b/>
                <w:color w:val="1E1E3C"/>
                <w:sz w:val="16"/>
              </w:rPr>
              <w:t>Flux d'investissement</w:t>
            </w:r>
          </w:p>
        </w:tc>
        <w:tc>
          <w:tcPr>
            <w:tcW w:type="dxa" w:w="1984"/>
            <w:shd w:fill="C6EFCE" w:val="clear"/>
          </w:tcPr>
          <w:p>
            <w:r>
              <w:rPr>
                <w:b/>
                <w:color w:val="B40000"/>
                <w:sz w:val="17"/>
              </w:rPr>
              <w:t>-304.05 M FCFA</w:t>
            </w:r>
          </w:p>
        </w:tc>
        <w:tc>
          <w:tcPr>
            <w:tcW w:type="dxa" w:w="5669"/>
            <w:shd w:fill="FFFFFF" w:val="clear"/>
          </w:tcPr>
          <w:p>
            <w:r>
              <w:rPr>
                <w:color w:val="282828"/>
                <w:sz w:val="15"/>
              </w:rPr>
              <w:t>Sorties nettes pour investissements. ✅ Investissement actif — développement de l'outil productif.</w:t>
            </w:r>
          </w:p>
        </w:tc>
      </w:tr>
      <w:tr>
        <w:tc>
          <w:tcPr>
            <w:tcW w:type="dxa" w:w="2268"/>
            <w:shd w:fill="EEF2F7" w:val="clear"/>
          </w:tcPr>
          <w:p>
            <w:r>
              <w:rPr>
                <w:b/>
                <w:color w:val="1E1E3C"/>
                <w:sz w:val="16"/>
              </w:rPr>
              <w:t>Flux de financement</w:t>
            </w:r>
          </w:p>
        </w:tc>
        <w:tc>
          <w:tcPr>
            <w:tcW w:type="dxa" w:w="1984"/>
            <w:shd w:fill="C6EFCE" w:val="clear"/>
          </w:tcPr>
          <w:p>
            <w:r>
              <w:rPr>
                <w:b/>
                <w:color w:val="B40000"/>
                <w:sz w:val="17"/>
              </w:rPr>
              <w:t>-296.63 M FCFA</w:t>
            </w:r>
          </w:p>
        </w:tc>
        <w:tc>
          <w:tcPr>
            <w:tcW w:type="dxa" w:w="5669"/>
            <w:shd w:fill="FFFFFF" w:val="clear"/>
          </w:tcPr>
          <w:p>
            <w:r>
              <w:rPr>
                <w:color w:val="282828"/>
                <w:sz w:val="15"/>
              </w:rPr>
              <w:t>Flux liés à la dette et aux dividendes. ✅ Remboursements nets — désendettement en cours.</w:t>
            </w:r>
          </w:p>
        </w:tc>
      </w:tr>
      <w:tr>
        <w:tc>
          <w:tcPr>
            <w:tcW w:type="dxa" w:w="2268"/>
            <w:shd w:fill="EEF2F7" w:val="clear"/>
          </w:tcPr>
          <w:p>
            <w:r>
              <w:rPr>
                <w:b/>
                <w:color w:val="1E1E3C"/>
                <w:sz w:val="16"/>
              </w:rPr>
              <w:t>Free Cash Flow</w:t>
            </w:r>
          </w:p>
        </w:tc>
        <w:tc>
          <w:tcPr>
            <w:tcW w:type="dxa" w:w="1984"/>
            <w:shd w:fill="C6EFCE" w:val="clear"/>
          </w:tcPr>
          <w:p>
            <w:r>
              <w:rPr>
                <w:b/>
                <w:color w:val="006400"/>
                <w:sz w:val="17"/>
              </w:rPr>
              <w:t>1.566 Mds FCFA</w:t>
            </w:r>
          </w:p>
        </w:tc>
        <w:tc>
          <w:tcPr>
            <w:tcW w:type="dxa" w:w="5669"/>
            <w:shd w:fill="FFFFFF" w:val="clear"/>
          </w:tcPr>
          <w:p>
            <w:r>
              <w:rPr>
                <w:color w:val="282828"/>
                <w:sz w:val="15"/>
              </w:rPr>
              <w:t>FCF = flux opé. - capex. ✅ FCF positif — la société dégage du cash après ses investissements.</w:t>
            </w:r>
          </w:p>
        </w:tc>
      </w:tr>
      <w:tr>
        <w:tc>
          <w:tcPr>
            <w:tcW w:type="dxa" w:w="2268"/>
            <w:shd w:fill="EEF2F7" w:val="clear"/>
          </w:tcPr>
          <w:p>
            <w:r>
              <w:rPr>
                <w:b/>
                <w:color w:val="1E1E3C"/>
                <w:sz w:val="16"/>
              </w:rPr>
              <w:t>BFR</w:t>
            </w:r>
          </w:p>
        </w:tc>
        <w:tc>
          <w:tcPr>
            <w:tcW w:type="dxa" w:w="1984"/>
            <w:shd w:fill="C6EFCE" w:val="clear"/>
          </w:tcPr>
          <w:p>
            <w:r>
              <w:rPr>
                <w:b/>
                <w:color w:val="006400"/>
                <w:sz w:val="17"/>
              </w:rPr>
              <w:t>2.149 Mds FCFA</w:t>
            </w:r>
          </w:p>
        </w:tc>
        <w:tc>
          <w:tcPr>
            <w:tcW w:type="dxa" w:w="5669"/>
            <w:shd w:fill="FFFFFF" w:val="clear"/>
          </w:tcPr>
          <w:p>
            <w:r>
              <w:rPr>
                <w:color w:val="282828"/>
                <w:sz w:val="15"/>
              </w:rPr>
              <w:t>BFR = 7.9% du CA. ✅ BFR modéré — cycle d'exploitation bien financé.</w:t>
            </w:r>
          </w:p>
        </w:tc>
      </w:tr>
      <w:tr>
        <w:tc>
          <w:tcPr>
            <w:tcW w:type="dxa" w:w="2268"/>
            <w:shd w:fill="EEF2F7" w:val="clear"/>
          </w:tcPr>
          <w:p>
            <w:r>
              <w:rPr>
                <w:b/>
                <w:color w:val="1E1E3C"/>
                <w:sz w:val="16"/>
              </w:rPr>
              <w:t>Fonds de Roulement</w:t>
            </w:r>
          </w:p>
        </w:tc>
        <w:tc>
          <w:tcPr>
            <w:tcW w:type="dxa" w:w="1984"/>
            <w:shd w:fill="C6EFCE" w:val="clear"/>
          </w:tcPr>
          <w:p>
            <w:r>
              <w:rPr>
                <w:b/>
                <w:color w:val="006400"/>
                <w:sz w:val="17"/>
              </w:rPr>
              <w:t>4.027 Mds FCFA</w:t>
            </w:r>
          </w:p>
        </w:tc>
        <w:tc>
          <w:tcPr>
            <w:tcW w:type="dxa" w:w="5669"/>
            <w:shd w:fill="FFFFFF" w:val="clear"/>
          </w:tcPr>
          <w:p>
            <w:r>
              <w:rPr>
                <w:color w:val="282828"/>
                <w:sz w:val="15"/>
              </w:rPr>
              <w:t>FR = capitaux permanents - actif immobilisé. ✅ Fonds de roulement positif — les ressources LT financent l'actif LT avec marge.</w:t>
            </w:r>
          </w:p>
        </w:tc>
      </w:tr>
      <w:tr>
        <w:tc>
          <w:tcPr>
            <w:tcW w:type="dxa" w:w="2268"/>
            <w:shd w:fill="EEF2F7" w:val="clear"/>
          </w:tcPr>
          <w:p>
            <w:r>
              <w:rPr>
                <w:b/>
                <w:color w:val="1E1E3C"/>
                <w:sz w:val="16"/>
              </w:rPr>
              <w:t>Trésorerie nette</w:t>
            </w:r>
          </w:p>
        </w:tc>
        <w:tc>
          <w:tcPr>
            <w:tcW w:type="dxa" w:w="1984"/>
            <w:shd w:fill="C6EFCE" w:val="clear"/>
          </w:tcPr>
          <w:p>
            <w:r>
              <w:rPr>
                <w:b/>
                <w:color w:val="006400"/>
                <w:sz w:val="17"/>
              </w:rPr>
              <w:t>2.495 Mds FCFA</w:t>
            </w:r>
          </w:p>
        </w:tc>
        <w:tc>
          <w:tcPr>
            <w:tcW w:type="dxa" w:w="5669"/>
            <w:shd w:fill="FFFFFF" w:val="clear"/>
          </w:tcPr>
          <w:p>
            <w:r>
              <w:rPr>
                <w:color w:val="282828"/>
                <w:sz w:val="15"/>
              </w:rPr>
              <w:t>Trésorerie nette = FR - BFR. ✅ Position de trésorerie nette excédentaire.</w:t>
            </w:r>
          </w:p>
        </w:tc>
      </w:tr>
    </w:tbl>
    <w:p>
      <w:pPr>
        <w:spacing w:before="200" w:after="40"/>
      </w:pPr>
      <w:r>
        <w:rPr>
          <w:b/>
          <w:color w:val="003366"/>
          <w:sz w:val="20"/>
        </w:rPr>
        <w:t>📌 5. RATIOS DE RENTABILITÉ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Marge brute</w:t>
            </w:r>
          </w:p>
        </w:tc>
        <w:tc>
          <w:tcPr>
            <w:tcW w:type="dxa" w:w="1984"/>
            <w:shd w:fill="C6EFCE" w:val="clear"/>
          </w:tcPr>
          <w:p>
            <w:r>
              <w:rPr>
                <w:b/>
                <w:color w:val="006400"/>
                <w:sz w:val="17"/>
              </w:rPr>
              <w:t>32.13%</w:t>
            </w:r>
          </w:p>
        </w:tc>
        <w:tc>
          <w:tcPr>
            <w:tcW w:type="dxa" w:w="5669"/>
            <w:shd w:fill="FFFFFF" w:val="clear"/>
          </w:tcPr>
          <w:p>
            <w:r>
              <w:rPr>
                <w:color w:val="282828"/>
                <w:sz w:val="15"/>
              </w:rPr>
              <w:t>(CA - coûts directs) / CA. ✅ Marge brute correcte.</w:t>
            </w:r>
          </w:p>
        </w:tc>
      </w:tr>
      <w:tr>
        <w:tc>
          <w:tcPr>
            <w:tcW w:type="dxa" w:w="2268"/>
            <w:shd w:fill="EEF2F7" w:val="clear"/>
          </w:tcPr>
          <w:p>
            <w:r>
              <w:rPr>
                <w:b/>
                <w:color w:val="1E1E3C"/>
                <w:sz w:val="16"/>
              </w:rPr>
              <w:t>Marge nette</w:t>
            </w:r>
          </w:p>
        </w:tc>
        <w:tc>
          <w:tcPr>
            <w:tcW w:type="dxa" w:w="1984"/>
            <w:shd w:fill="FFC7CE" w:val="clear"/>
          </w:tcPr>
          <w:p>
            <w:r>
              <w:rPr>
                <w:b/>
                <w:color w:val="B40000"/>
                <w:sz w:val="17"/>
              </w:rPr>
              <w:t>-8.01%</w:t>
            </w:r>
          </w:p>
        </w:tc>
        <w:tc>
          <w:tcPr>
            <w:tcW w:type="dxa" w:w="5669"/>
            <w:shd w:fill="FFFFFF" w:val="clear"/>
          </w:tcPr>
          <w:p>
            <w:r>
              <w:rPr>
                <w:color w:val="282828"/>
                <w:sz w:val="15"/>
              </w:rPr>
              <w:t>Résultat net / revenus = -8.01%. ❌ Déficitaire — la société détruit de la valeur.</w:t>
            </w:r>
          </w:p>
        </w:tc>
      </w:tr>
      <w:tr>
        <w:tc>
          <w:tcPr>
            <w:tcW w:type="dxa" w:w="2268"/>
            <w:shd w:fill="EEF2F7" w:val="clear"/>
          </w:tcPr>
          <w:p>
            <w:r>
              <w:rPr>
                <w:b/>
                <w:color w:val="1E1E3C"/>
                <w:sz w:val="16"/>
              </w:rPr>
              <w:t>Marge opérationnelle</w:t>
            </w:r>
          </w:p>
        </w:tc>
        <w:tc>
          <w:tcPr>
            <w:tcW w:type="dxa" w:w="1984"/>
            <w:shd w:fill="FFC7CE" w:val="clear"/>
          </w:tcPr>
          <w:p>
            <w:r>
              <w:rPr>
                <w:b/>
                <w:color w:val="B40000"/>
                <w:sz w:val="17"/>
              </w:rPr>
              <w:t>-7.81%</w:t>
            </w:r>
          </w:p>
        </w:tc>
        <w:tc>
          <w:tcPr>
            <w:tcW w:type="dxa" w:w="5669"/>
            <w:shd w:fill="FFFFFF" w:val="clear"/>
          </w:tcPr>
          <w:p>
            <w:r>
              <w:rPr>
                <w:color w:val="282828"/>
                <w:sz w:val="15"/>
              </w:rPr>
              <w:t>Rentabilité de l'exploitation pure. ❌ Exploitation déficitaire.</w:t>
            </w:r>
          </w:p>
        </w:tc>
      </w:tr>
      <w:tr>
        <w:tc>
          <w:tcPr>
            <w:tcW w:type="dxa" w:w="2268"/>
            <w:shd w:fill="EEF2F7" w:val="clear"/>
          </w:tcPr>
          <w:p>
            <w:r>
              <w:rPr>
                <w:b/>
                <w:color w:val="1E1E3C"/>
                <w:sz w:val="16"/>
              </w:rPr>
              <w:t>ROE (Rentabilité fonds propres)</w:t>
            </w:r>
          </w:p>
        </w:tc>
        <w:tc>
          <w:tcPr>
            <w:tcW w:type="dxa" w:w="1984"/>
            <w:shd w:fill="FFC7CE" w:val="clear"/>
          </w:tcPr>
          <w:p>
            <w:r>
              <w:rPr>
                <w:b/>
                <w:color w:val="B40000"/>
                <w:sz w:val="17"/>
              </w:rPr>
              <w:t>-14.04%</w:t>
            </w:r>
          </w:p>
        </w:tc>
        <w:tc>
          <w:tcPr>
            <w:tcW w:type="dxa" w:w="5669"/>
            <w:shd w:fill="FFFFFF" w:val="clear"/>
          </w:tcPr>
          <w:p>
            <w:r>
              <w:rPr>
                <w:color w:val="282828"/>
                <w:sz w:val="15"/>
              </w:rPr>
              <w:t>Résultat net / capitaux propres = -14.04%. ❌ ROE négatif — destruction de valeur actionnaire.</w:t>
            </w:r>
          </w:p>
        </w:tc>
      </w:tr>
      <w:tr>
        <w:tc>
          <w:tcPr>
            <w:tcW w:type="dxa" w:w="2268"/>
            <w:shd w:fill="EEF2F7" w:val="clear"/>
          </w:tcPr>
          <w:p>
            <w:r>
              <w:rPr>
                <w:b/>
                <w:color w:val="1E1E3C"/>
                <w:sz w:val="16"/>
              </w:rPr>
              <w:t>ROA (Rentabilité des actifs)</w:t>
            </w:r>
          </w:p>
        </w:tc>
        <w:tc>
          <w:tcPr>
            <w:tcW w:type="dxa" w:w="1984"/>
            <w:shd w:fill="FFC7CE" w:val="clear"/>
          </w:tcPr>
          <w:p>
            <w:r>
              <w:rPr>
                <w:b/>
                <w:color w:val="B40000"/>
                <w:sz w:val="17"/>
              </w:rPr>
              <w:t>-6.39%</w:t>
            </w:r>
          </w:p>
        </w:tc>
        <w:tc>
          <w:tcPr>
            <w:tcW w:type="dxa" w:w="5669"/>
            <w:shd w:fill="FFFFFF" w:val="clear"/>
          </w:tcPr>
          <w:p>
            <w:r>
              <w:rPr>
                <w:color w:val="282828"/>
                <w:sz w:val="15"/>
              </w:rPr>
              <w:t>Résultat net / total actif = -6.39% (entreprise: seuil &gt;5%). ❌ ROA négatif — actifs non rentables.</w:t>
            </w:r>
          </w:p>
        </w:tc>
      </w:tr>
      <w:tr>
        <w:tc>
          <w:tcPr>
            <w:tcW w:type="dxa" w:w="2268"/>
            <w:shd w:fill="EEF2F7" w:val="clear"/>
          </w:tcPr>
          <w:p>
            <w:r>
              <w:rPr>
                <w:b/>
                <w:color w:val="1E1E3C"/>
                <w:sz w:val="16"/>
              </w:rPr>
              <w:t>Rotation des actifs</w:t>
            </w:r>
          </w:p>
        </w:tc>
        <w:tc>
          <w:tcPr>
            <w:tcW w:type="dxa" w:w="1984"/>
            <w:shd w:fill="C6EFCE" w:val="clear"/>
          </w:tcPr>
          <w:p>
            <w:r>
              <w:rPr>
                <w:b/>
                <w:color w:val="006400"/>
                <w:sz w:val="17"/>
              </w:rPr>
              <w:t>79.83%</w:t>
            </w:r>
          </w:p>
        </w:tc>
        <w:tc>
          <w:tcPr>
            <w:tcW w:type="dxa" w:w="5669"/>
            <w:shd w:fill="FFFFFF" w:val="clear"/>
          </w:tcPr>
          <w:p>
            <w:r>
              <w:rPr>
                <w:color w:val="282828"/>
                <w:sz w:val="15"/>
              </w:rPr>
              <w:t>CA / total actif = 79.83x. ✅ Bonne efficience des actifs.</w:t>
            </w:r>
          </w:p>
        </w:tc>
      </w:tr>
      <w:tr>
        <w:tc>
          <w:tcPr>
            <w:tcW w:type="dxa" w:w="2268"/>
            <w:shd w:fill="EEF2F7" w:val="clear"/>
          </w:tcPr>
          <w:p>
            <w:r>
              <w:rPr>
                <w:b/>
                <w:color w:val="1E1E3C"/>
                <w:sz w:val="16"/>
              </w:rPr>
              <w:t>Coût du risque</w:t>
            </w:r>
          </w:p>
        </w:tc>
        <w:tc>
          <w:tcPr>
            <w:tcW w:type="dxa" w:w="1984"/>
            <w:shd w:fill="C6EFCE" w:val="clear"/>
          </w:tcPr>
          <w:p>
            <w:r>
              <w:rPr>
                <w:b/>
                <w:color w:val="006400"/>
                <w:sz w:val="17"/>
              </w:rPr>
              <w:t>0.10%</w:t>
            </w:r>
          </w:p>
        </w:tc>
        <w:tc>
          <w:tcPr>
            <w:tcW w:type="dxa" w:w="5669"/>
            <w:shd w:fill="FFFFFF" w:val="clear"/>
          </w:tcPr>
          <w:p>
            <w:r>
              <w:rPr>
                <w:color w:val="282828"/>
                <w:sz w:val="15"/>
              </w:rPr>
              <w:t>Provisions / charges financières. ✅ Coût du risque sain — portefeuille de qualité.</w:t>
            </w:r>
          </w:p>
        </w:tc>
      </w:tr>
      <w:tr>
        <w:tc>
          <w:tcPr>
            <w:tcW w:type="dxa" w:w="2268"/>
            <w:shd w:fill="EEF2F7" w:val="clear"/>
          </w:tcPr>
          <w:p>
            <w:r>
              <w:rPr>
                <w:b/>
                <w:color w:val="1E1E3C"/>
                <w:sz w:val="16"/>
              </w:rPr>
              <w:t>Taux croissance CA</w:t>
            </w:r>
          </w:p>
        </w:tc>
        <w:tc>
          <w:tcPr>
            <w:tcW w:type="dxa" w:w="1984"/>
            <w:shd w:fill="FFC7CE" w:val="clear"/>
          </w:tcPr>
          <w:p>
            <w:r>
              <w:rPr>
                <w:b/>
                <w:color w:val="B40000"/>
                <w:sz w:val="17"/>
              </w:rPr>
              <w:t>-7.93%</w:t>
            </w:r>
          </w:p>
        </w:tc>
        <w:tc>
          <w:tcPr>
            <w:tcW w:type="dxa" w:w="5669"/>
            <w:shd w:fill="FFFFFF" w:val="clear"/>
          </w:tcPr>
          <w:p>
            <w:r>
              <w:rPr>
                <w:color w:val="282828"/>
                <w:sz w:val="15"/>
              </w:rPr>
              <w:t>Croissance CA vs exercice précédent = -7.93%. ❌ Recul significatif du revenu principal.</w:t>
            </w:r>
          </w:p>
        </w:tc>
      </w:tr>
    </w:tbl>
    <w:p>
      <w:pPr>
        <w:spacing w:before="200" w:after="40"/>
      </w:pPr>
      <w:r>
        <w:rPr>
          <w:b/>
          <w:color w:val="003366"/>
          <w:sz w:val="20"/>
        </w:rPr>
        <w:t>📌 6. STRUCTURE &amp; LIQUIDITÉ</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Autonomie financière</w:t>
            </w:r>
          </w:p>
        </w:tc>
        <w:tc>
          <w:tcPr>
            <w:tcW w:type="dxa" w:w="1984"/>
            <w:shd w:fill="C6EFCE" w:val="clear"/>
          </w:tcPr>
          <w:p>
            <w:r>
              <w:rPr>
                <w:b/>
                <w:color w:val="006400"/>
                <w:sz w:val="17"/>
              </w:rPr>
              <w:t>45.53%</w:t>
            </w:r>
          </w:p>
        </w:tc>
        <w:tc>
          <w:tcPr>
            <w:tcW w:type="dxa" w:w="5669"/>
            <w:shd w:fill="FFFFFF" w:val="clear"/>
          </w:tcPr>
          <w:p>
            <w:r>
              <w:rPr>
                <w:color w:val="282828"/>
                <w:sz w:val="15"/>
              </w:rPr>
              <w:t>Fonds propres / total bilan = 45.53%. ✅ Solide indépendance financière.</w:t>
            </w:r>
          </w:p>
        </w:tc>
      </w:tr>
      <w:tr>
        <w:tc>
          <w:tcPr>
            <w:tcW w:type="dxa" w:w="2268"/>
            <w:shd w:fill="EEF2F7" w:val="clear"/>
          </w:tcPr>
          <w:p>
            <w:r>
              <w:rPr>
                <w:b/>
                <w:color w:val="1E1E3C"/>
                <w:sz w:val="16"/>
              </w:rPr>
              <w:t>Dépendance financière</w:t>
            </w:r>
          </w:p>
        </w:tc>
        <w:tc>
          <w:tcPr>
            <w:tcW w:type="dxa" w:w="1984"/>
            <w:shd w:fill="C6EFCE" w:val="clear"/>
          </w:tcPr>
          <w:p>
            <w:r>
              <w:rPr>
                <w:b/>
                <w:color w:val="006400"/>
                <w:sz w:val="17"/>
              </w:rPr>
              <w:t>2.11%</w:t>
            </w:r>
          </w:p>
        </w:tc>
        <w:tc>
          <w:tcPr>
            <w:tcW w:type="dxa" w:w="5669"/>
            <w:shd w:fill="FFFFFF" w:val="clear"/>
          </w:tcPr>
          <w:p>
            <w:r>
              <w:rPr>
                <w:color w:val="282828"/>
                <w:sz w:val="15"/>
              </w:rPr>
              <w:t>Dettes financières / total bilan = 2.11%. ✅ Dépendance faible.</w:t>
            </w:r>
          </w:p>
        </w:tc>
      </w:tr>
      <w:tr>
        <w:tc>
          <w:tcPr>
            <w:tcW w:type="dxa" w:w="2268"/>
            <w:shd w:fill="EEF2F7" w:val="clear"/>
          </w:tcPr>
          <w:p>
            <w:r>
              <w:rPr>
                <w:b/>
                <w:color w:val="1E1E3C"/>
                <w:sz w:val="16"/>
              </w:rPr>
              <w:t>Ratio d'endettement (gearing)</w:t>
            </w:r>
          </w:p>
        </w:tc>
        <w:tc>
          <w:tcPr>
            <w:tcW w:type="dxa" w:w="1984"/>
            <w:shd w:fill="FFEB9C" w:val="clear"/>
          </w:tcPr>
          <w:p>
            <w:r>
              <w:rPr>
                <w:b/>
                <w:color w:val="006400"/>
                <w:sz w:val="17"/>
              </w:rPr>
              <w:t>119.61%</w:t>
            </w:r>
          </w:p>
        </w:tc>
        <w:tc>
          <w:tcPr>
            <w:tcW w:type="dxa" w:w="5669"/>
            <w:shd w:fill="FFFFFF" w:val="clear"/>
          </w:tcPr>
          <w:p>
            <w:r>
              <w:rPr>
                <w:color w:val="282828"/>
                <w:sz w:val="15"/>
              </w:rPr>
              <w:t>Dettes totales / fonds propres = 119.61% (gearing). ⚠️ Levier modéré — à surveiller.</w:t>
            </w:r>
          </w:p>
        </w:tc>
      </w:tr>
      <w:tr>
        <w:tc>
          <w:tcPr>
            <w:tcW w:type="dxa" w:w="2268"/>
            <w:shd w:fill="EEF2F7" w:val="clear"/>
          </w:tcPr>
          <w:p>
            <w:r>
              <w:rPr>
                <w:b/>
                <w:color w:val="1E1E3C"/>
                <w:sz w:val="16"/>
              </w:rPr>
              <w:t>Solvabilité générale</w:t>
            </w:r>
          </w:p>
        </w:tc>
        <w:tc>
          <w:tcPr>
            <w:tcW w:type="dxa" w:w="1984"/>
            <w:shd w:fill="C6EFCE" w:val="clear"/>
          </w:tcPr>
          <w:p>
            <w:r>
              <w:rPr>
                <w:b/>
                <w:color w:val="006400"/>
                <w:sz w:val="17"/>
              </w:rPr>
              <w:t>183.60%</w:t>
            </w:r>
          </w:p>
        </w:tc>
        <w:tc>
          <w:tcPr>
            <w:tcW w:type="dxa" w:w="5669"/>
            <w:shd w:fill="FFFFFF" w:val="clear"/>
          </w:tcPr>
          <w:p>
            <w:r>
              <w:rPr>
                <w:color w:val="282828"/>
                <w:sz w:val="15"/>
              </w:rPr>
              <w:t>Total actif / dettes totales = 183.60x. ✅ Excellente solvabilité — actifs largement supérieurs aux dettes.</w:t>
            </w:r>
          </w:p>
        </w:tc>
      </w:tr>
      <w:tr>
        <w:tc>
          <w:tcPr>
            <w:tcW w:type="dxa" w:w="2268"/>
            <w:shd w:fill="EEF2F7" w:val="clear"/>
          </w:tcPr>
          <w:p>
            <w:r>
              <w:rPr>
                <w:b/>
                <w:color w:val="1E1E3C"/>
                <w:sz w:val="16"/>
              </w:rPr>
              <w:t>Liquidité générale</w:t>
            </w:r>
          </w:p>
        </w:tc>
        <w:tc>
          <w:tcPr>
            <w:tcW w:type="dxa" w:w="1984"/>
            <w:shd w:fill="C6EFCE" w:val="clear"/>
          </w:tcPr>
          <w:p>
            <w:r>
              <w:rPr>
                <w:b/>
                <w:color w:val="006400"/>
                <w:sz w:val="17"/>
              </w:rPr>
              <w:t>126.23%</w:t>
            </w:r>
          </w:p>
        </w:tc>
        <w:tc>
          <w:tcPr>
            <w:tcW w:type="dxa" w:w="5669"/>
            <w:shd w:fill="FFFFFF" w:val="clear"/>
          </w:tcPr>
          <w:p>
            <w:r>
              <w:rPr>
                <w:color w:val="282828"/>
                <w:sz w:val="15"/>
              </w:rPr>
              <w:t>Actif circulant / passif circulant = 126.23x. ✅ Liquidité satisfaisante.</w:t>
            </w:r>
          </w:p>
        </w:tc>
      </w:tr>
      <w:tr>
        <w:tc>
          <w:tcPr>
            <w:tcW w:type="dxa" w:w="2268"/>
            <w:shd w:fill="EEF2F7" w:val="clear"/>
          </w:tcPr>
          <w:p>
            <w:r>
              <w:rPr>
                <w:b/>
                <w:color w:val="1E1E3C"/>
                <w:sz w:val="16"/>
              </w:rPr>
              <w:t>Liquidité immédiate</w:t>
            </w:r>
          </w:p>
        </w:tc>
        <w:tc>
          <w:tcPr>
            <w:tcW w:type="dxa" w:w="1984"/>
            <w:shd w:fill="FFEB9C" w:val="clear"/>
          </w:tcPr>
          <w:p>
            <w:r>
              <w:rPr>
                <w:b/>
                <w:color w:val="006400"/>
                <w:sz w:val="17"/>
              </w:rPr>
              <w:t>14.09%</w:t>
            </w:r>
          </w:p>
        </w:tc>
        <w:tc>
          <w:tcPr>
            <w:tcW w:type="dxa" w:w="5669"/>
            <w:shd w:fill="FFFFFF" w:val="clear"/>
          </w:tcPr>
          <w:p>
            <w:r>
              <w:rPr>
                <w:color w:val="282828"/>
                <w:sz w:val="15"/>
              </w:rPr>
              <w:t>Trésorerie / passif circulant = 14.09x. ⚠️ Trésorerie immédiate limitée.</w:t>
            </w:r>
          </w:p>
        </w:tc>
      </w:tr>
      <w:tr>
        <w:tc>
          <w:tcPr>
            <w:tcW w:type="dxa" w:w="2268"/>
            <w:shd w:fill="EEF2F7" w:val="clear"/>
          </w:tcPr>
          <w:p>
            <w:r>
              <w:rPr>
                <w:b/>
                <w:color w:val="1E1E3C"/>
                <w:sz w:val="16"/>
              </w:rPr>
              <w:t>Liquidité réduite</w:t>
            </w:r>
          </w:p>
        </w:tc>
        <w:tc>
          <w:tcPr>
            <w:tcW w:type="dxa" w:w="1984"/>
            <w:shd w:fill="FFC7CE" w:val="clear"/>
          </w:tcPr>
          <w:p>
            <w:r>
              <w:rPr>
                <w:b/>
                <w:color w:val="006400"/>
                <w:sz w:val="17"/>
              </w:rPr>
              <w:t>46.02%</w:t>
            </w:r>
          </w:p>
        </w:tc>
        <w:tc>
          <w:tcPr>
            <w:tcW w:type="dxa" w:w="5669"/>
            <w:shd w:fill="FFFFFF" w:val="clear"/>
          </w:tcPr>
          <w:p>
            <w:r>
              <w:rPr>
                <w:color w:val="282828"/>
                <w:sz w:val="15"/>
              </w:rPr>
              <w:t>(Actif circ. - stocks) / passif circ. = 46.02x. ❌ Dépendance aux stocks pour couvrir les dettes CT.</w:t>
            </w:r>
          </w:p>
        </w:tc>
      </w:tr>
      <w:tr>
        <w:tc>
          <w:tcPr>
            <w:tcW w:type="dxa" w:w="2268"/>
            <w:shd w:fill="EEF2F7" w:val="clear"/>
          </w:tcPr>
          <w:p>
            <w:r>
              <w:rPr>
                <w:b/>
                <w:color w:val="1E1E3C"/>
                <w:sz w:val="16"/>
              </w:rPr>
              <w:t>Financement des immob.</w:t>
            </w:r>
          </w:p>
        </w:tc>
        <w:tc>
          <w:tcPr>
            <w:tcW w:type="dxa" w:w="1984"/>
            <w:shd w:fill="C6EFCE" w:val="clear"/>
          </w:tcPr>
          <w:p>
            <w:r>
              <w:rPr>
                <w:b/>
                <w:color w:val="006400"/>
                <w:sz w:val="17"/>
              </w:rPr>
              <w:t>133.86%</w:t>
            </w:r>
          </w:p>
        </w:tc>
        <w:tc>
          <w:tcPr>
            <w:tcW w:type="dxa" w:w="5669"/>
            <w:shd w:fill="FFFFFF" w:val="clear"/>
          </w:tcPr>
          <w:p>
            <w:r>
              <w:rPr>
                <w:color w:val="282828"/>
                <w:sz w:val="15"/>
              </w:rPr>
              <w:t>Capitaux permanents / actif immobilisé = 133.86x. ✅ Les actifs LT sont intégralement financés par des ressources stables.</w:t>
            </w:r>
          </w:p>
        </w:tc>
      </w:tr>
      <w:tr>
        <w:tc>
          <w:tcPr>
            <w:tcW w:type="dxa" w:w="2268"/>
            <w:shd w:fill="EEF2F7" w:val="clear"/>
          </w:tcPr>
          <w:p>
            <w:r>
              <w:rPr>
                <w:b/>
                <w:color w:val="1E1E3C"/>
                <w:sz w:val="16"/>
              </w:rPr>
              <w:t>Capacité de remboursement</w:t>
            </w:r>
          </w:p>
        </w:tc>
        <w:tc>
          <w:tcPr>
            <w:tcW w:type="dxa" w:w="1984"/>
            <w:shd w:fill="C6EFCE" w:val="clear"/>
          </w:tcPr>
          <w:p>
            <w:r>
              <w:rPr>
                <w:b/>
                <w:color w:val="B40000"/>
                <w:sz w:val="17"/>
              </w:rPr>
              <w:t>-0.7 ans</w:t>
            </w:r>
          </w:p>
        </w:tc>
        <w:tc>
          <w:tcPr>
            <w:tcW w:type="dxa" w:w="5669"/>
            <w:shd w:fill="FFFFFF" w:val="clear"/>
          </w:tcPr>
          <w:p>
            <w:r>
              <w:rPr>
                <w:color w:val="282828"/>
                <w:sz w:val="15"/>
              </w:rPr>
              <w:t>Dettes financières / CAF = -0.7 ans. ✅ Dette remboursable rapidement.</w:t>
            </w:r>
          </w:p>
        </w:tc>
      </w:tr>
      <w:tr>
        <w:tc>
          <w:tcPr>
            <w:tcW w:type="dxa" w:w="2268"/>
            <w:shd w:fill="EEF2F7" w:val="clear"/>
          </w:tcPr>
          <w:p>
            <w:r>
              <w:rPr>
                <w:b/>
                <w:color w:val="1E1E3C"/>
                <w:sz w:val="16"/>
              </w:rPr>
              <w:t>Couverture des intérêts</w:t>
            </w:r>
          </w:p>
        </w:tc>
        <w:tc>
          <w:tcPr>
            <w:tcW w:type="dxa" w:w="1984"/>
            <w:shd w:fill="FFC7CE" w:val="clear"/>
          </w:tcPr>
          <w:p>
            <w:r>
              <w:rPr>
                <w:b/>
                <w:color w:val="B40000"/>
                <w:sz w:val="17"/>
              </w:rPr>
              <w:t>-8022.84%</w:t>
            </w:r>
          </w:p>
        </w:tc>
        <w:tc>
          <w:tcPr>
            <w:tcW w:type="dxa" w:w="5669"/>
            <w:shd w:fill="FFFFFF" w:val="clear"/>
          </w:tcPr>
          <w:p>
            <w:r>
              <w:rPr>
                <w:color w:val="282828"/>
                <w:sz w:val="15"/>
              </w:rPr>
              <w:t>Résultat exploit. / charges financières = -8022.84x. ❌ L'exploitation ne couvre pas les charges financières.</w:t>
            </w:r>
          </w:p>
        </w:tc>
      </w:tr>
      <w:tr>
        <w:tc>
          <w:tcPr>
            <w:tcW w:type="dxa" w:w="2268"/>
            <w:shd w:fill="EEF2F7" w:val="clear"/>
          </w:tcPr>
          <w:p>
            <w:r>
              <w:rPr>
                <w:b/>
                <w:color w:val="1E1E3C"/>
                <w:sz w:val="16"/>
              </w:rPr>
              <w:t>Couverture invest./CAF</w:t>
            </w:r>
          </w:p>
        </w:tc>
        <w:tc>
          <w:tcPr>
            <w:tcW w:type="dxa" w:w="1984"/>
            <w:shd w:fill="FFEB9C" w:val="clear"/>
          </w:tcPr>
          <w:p>
            <w:r>
              <w:rPr>
                <w:b/>
                <w:color w:val="B40000"/>
                <w:sz w:val="17"/>
              </w:rPr>
              <w:t>-130.74%</w:t>
            </w:r>
          </w:p>
        </w:tc>
        <w:tc>
          <w:tcPr>
            <w:tcW w:type="dxa" w:w="5669"/>
            <w:shd w:fill="FFFFFF" w:val="clear"/>
          </w:tcPr>
          <w:p>
            <w:r>
              <w:rPr>
                <w:color w:val="282828"/>
                <w:sz w:val="15"/>
              </w:rPr>
              <w:t>CAF / investissements = -130.74x. ⚠️ Financement externe nécessaire pour les investissements.</w:t>
            </w:r>
          </w:p>
        </w:tc>
      </w:tr>
    </w:tbl>
    <w:p>
      <w:pPr>
        <w:spacing w:before="200" w:after="40"/>
      </w:pPr>
      <w:r>
        <w:rPr>
          <w:b/>
          <w:color w:val="003366"/>
          <w:sz w:val="20"/>
        </w:rPr>
        <w:t>📌 7. DÉLAIS D'EXPLOITATION</w:t>
      </w:r>
    </w:p>
    <w:tbl>
      <w:tblPr>
        <w:tblStyle w:val="TableGrid"/>
        <w:tblW w:type="auto" w:w="0"/>
        <w:tblLook w:firstColumn="1" w:firstRow="1" w:lastColumn="0" w:lastRow="0" w:noHBand="0" w:noVBand="1" w:val="04A0"/>
      </w:tblPr>
      <w:tblGrid>
        <w:gridCol w:w="2880"/>
        <w:gridCol w:w="2880"/>
        <w:gridCol w:w="2880"/>
      </w:tblGrid>
      <w:tr>
        <w:tc>
          <w:tcPr>
            <w:tcW w:type="dxa" w:w="2268"/>
            <w:shd w:fill="1F4E79" w:val="clear"/>
          </w:tcPr>
          <w:p>
            <w:r>
              <w:rPr>
                <w:b/>
                <w:color w:val="FFFFFF"/>
                <w:sz w:val="17"/>
              </w:rPr>
              <w:t>Indicateur</w:t>
            </w:r>
          </w:p>
        </w:tc>
        <w:tc>
          <w:tcPr>
            <w:tcW w:type="dxa" w:w="1984"/>
            <w:shd w:fill="1F4E79" w:val="clear"/>
          </w:tcPr>
          <w:p>
            <w:r>
              <w:rPr>
                <w:b/>
                <w:color w:val="FFFFFF"/>
                <w:sz w:val="17"/>
              </w:rPr>
              <w:t>Valeur</w:t>
            </w:r>
          </w:p>
        </w:tc>
        <w:tc>
          <w:tcPr>
            <w:tcW w:type="dxa" w:w="5669"/>
            <w:shd w:fill="1F4E79" w:val="clear"/>
          </w:tcPr>
          <w:p>
            <w:r>
              <w:rPr>
                <w:b/>
                <w:color w:val="FFFFFF"/>
                <w:sz w:val="17"/>
              </w:rPr>
              <w:t>Interprétation</w:t>
            </w:r>
          </w:p>
        </w:tc>
      </w:tr>
      <w:tr>
        <w:tc>
          <w:tcPr>
            <w:tcW w:type="dxa" w:w="2268"/>
            <w:shd w:fill="EEF2F7" w:val="clear"/>
          </w:tcPr>
          <w:p>
            <w:r>
              <w:rPr>
                <w:b/>
                <w:color w:val="1E1E3C"/>
                <w:sz w:val="16"/>
              </w:rPr>
              <w:t>Délai clients (jours)</w:t>
            </w:r>
          </w:p>
        </w:tc>
        <w:tc>
          <w:tcPr>
            <w:tcW w:type="dxa" w:w="1984"/>
            <w:shd w:fill="C6EFCE" w:val="clear"/>
          </w:tcPr>
          <w:p>
            <w:r>
              <w:rPr>
                <w:b/>
                <w:color w:val="006400"/>
                <w:sz w:val="17"/>
              </w:rPr>
              <w:t>51.0 j</w:t>
            </w:r>
          </w:p>
        </w:tc>
        <w:tc>
          <w:tcPr>
            <w:tcW w:type="dxa" w:w="5669"/>
            <w:shd w:fill="FFFFFF" w:val="clear"/>
          </w:tcPr>
          <w:p>
            <w:r>
              <w:rPr>
                <w:color w:val="282828"/>
                <w:sz w:val="15"/>
              </w:rPr>
              <w:t>Les clients paient en moyenne en 51 jours. ✅ Délai standard.</w:t>
            </w:r>
          </w:p>
        </w:tc>
      </w:tr>
      <w:tr>
        <w:tc>
          <w:tcPr>
            <w:tcW w:type="dxa" w:w="2268"/>
            <w:shd w:fill="EEF2F7" w:val="clear"/>
          </w:tcPr>
          <w:p>
            <w:r>
              <w:rPr>
                <w:b/>
                <w:color w:val="1E1E3C"/>
                <w:sz w:val="16"/>
              </w:rPr>
              <w:t>Délai fournisseurs (jours)</w:t>
            </w:r>
          </w:p>
        </w:tc>
        <w:tc>
          <w:tcPr>
            <w:tcW w:type="dxa" w:w="1984"/>
            <w:shd w:fill="C6EFCE" w:val="clear"/>
          </w:tcPr>
          <w:p>
            <w:r>
              <w:rPr>
                <w:b/>
                <w:color w:val="006400"/>
                <w:sz w:val="17"/>
              </w:rPr>
              <w:t>267.8 j</w:t>
            </w:r>
          </w:p>
        </w:tc>
        <w:tc>
          <w:tcPr>
            <w:tcW w:type="dxa" w:w="5669"/>
            <w:shd w:fill="FFFFFF" w:val="clear"/>
          </w:tcPr>
          <w:p>
            <w:r>
              <w:rPr>
                <w:color w:val="282828"/>
                <w:sz w:val="15"/>
              </w:rPr>
              <w:t>Paiement des fournisseurs en 268 jours. ✅ Délai favorable — la société conserve sa trésorerie.</w:t>
            </w:r>
          </w:p>
        </w:tc>
      </w:tr>
      <w:tr>
        <w:tc>
          <w:tcPr>
            <w:tcW w:type="dxa" w:w="2268"/>
            <w:shd w:fill="EEF2F7" w:val="clear"/>
          </w:tcPr>
          <w:p>
            <w:r>
              <w:rPr>
                <w:b/>
                <w:color w:val="1E1E3C"/>
                <w:sz w:val="16"/>
              </w:rPr>
              <w:t>Durée de stockage (jours)</w:t>
            </w:r>
          </w:p>
        </w:tc>
        <w:tc>
          <w:tcPr>
            <w:tcW w:type="dxa" w:w="1984"/>
            <w:shd w:fill="FFC7CE" w:val="clear"/>
          </w:tcPr>
          <w:p>
            <w:r>
              <w:rPr>
                <w:b/>
                <w:color w:val="006400"/>
                <w:sz w:val="17"/>
              </w:rPr>
              <w:t>254.7 j</w:t>
            </w:r>
          </w:p>
        </w:tc>
        <w:tc>
          <w:tcPr>
            <w:tcW w:type="dxa" w:w="5669"/>
            <w:shd w:fill="FFFFFF" w:val="clear"/>
          </w:tcPr>
          <w:p>
            <w:r>
              <w:rPr>
                <w:color w:val="282828"/>
                <w:sz w:val="15"/>
              </w:rPr>
              <w:t>Stock écoulé en 255 jours. ❌ Stock quasi-bloqué — risque d'obsolescence ou de surstock.</w:t>
            </w:r>
          </w:p>
        </w:tc>
      </w:tr>
    </w:tbl>
    <w:p/>
    <w:p>
      <w:pPr>
        <w:spacing w:after="120" w:line="276" w:lineRule="auto" w:before="240"/>
      </w:pPr>
      <w:r>
        <w:rPr>
          <w:b/>
          <w:color w:val="003366"/>
          <w:sz w:val="24"/>
        </w:rPr>
        <w:t>**PARTIE 0 : INDICATEURS DE VALORISATION BOURSIÈRE**</w:t>
      </w:r>
    </w:p>
    <w:p>
      <w:pPr>
        <w:spacing w:after="120" w:line="276" w:lineRule="auto"/>
      </w:pPr>
      <w:r>
        <w:t>La capitalisation boursière d'UNXC s'établit à 50,11 milliards FCFA, un niveau qui la positionne comme une valeur de taille moyenne sur la BRVM. Le BPA est négatif à -105 FCFA, reflétant la perte nette enregistrée sur l'exercice 2024, ce qui rend le PER non significatif (-22,9x). Les investisseurs ne peuvent donc pas s'appuyer sur ce ratio pour juger de la cherté du titre. En revanche, le P/B de 3,21x indique que le marché valorise l'actif net de la société à plus de trois fois sa valeur comptable, ce qui suggère une prime de croissance ou de redressement accordée par le marché. Cette prime est spéculative, car elle ne repose pas sur des bénéfices actuels, mais sur des anticipations de retour à la rentabilité. Le ratio EV/EBITDA n'est pas calculable, la société étant déficitaire au niveau opérationnel.</w:t>
      </w:r>
    </w:p>
    <w:p>
      <w:pPr>
        <w:spacing w:after="120" w:line="276" w:lineRule="auto" w:before="240"/>
      </w:pPr>
      <w:r>
        <w:rPr>
          <w:b/>
          <w:color w:val="003366"/>
          <w:sz w:val="24"/>
        </w:rPr>
        <w:t>**PARTIE 1 : ANALYSE DU COURS — STATISTIQUES ET ÉVOLUTION (100 derniers jours)**</w:t>
      </w:r>
    </w:p>
    <w:p>
      <w:pPr>
        <w:spacing w:after="120" w:line="276" w:lineRule="auto"/>
      </w:pPr>
      <w:r>
        <w:t>Sur les 100 derniers jours, l'action UNXC a enregistré une progression spectaculaire de +22,28%, avec une dernière séance en hausse de +0,62% à 2 415 FCFA. Le titre a évolué dans une fourchette très large, oscillant entre un plus bas de 1 250 FCFA et un plus haut de 2 495 FCFA, soit un range de trading de près de 100% du plus bas, illustrant une volatilité extrême. La moyenne (1 890 FCFA) et la médiane (1 900 FCFA) sont très proches, et le skewness de 0,022 confirme une distribution symétrique des prix. L'écart-type de 216 FCFA (CV=11,4%) montre une dispersion modérée autour de la moyenne. Cependant, le kurtosis excédentaire de 2,555 signale des queues de distribution épaisses, indiquant un risque de mouvements de prix extrêmes et imprévisibles. La volatilité annualisée de 51,3% est très élevée, classant UNXC comme un actif à haut risque, typique des valeurs en phase de restructuration ou de spéculation intense.</w:t>
      </w:r>
    </w:p>
    <w:p>
      <w:pPr>
        <w:spacing w:after="120" w:line="276" w:lineRule="auto" w:before="240"/>
      </w:pPr>
      <w:r>
        <w:rPr>
          <w:b/>
          <w:color w:val="003366"/>
          <w:sz w:val="24"/>
        </w:rPr>
        <w:t>**PARTIE 2 : ANALYSE TECHNIQUE DÉTAILLÉE**</w:t>
      </w:r>
    </w:p>
    <w:p>
      <w:pPr>
        <w:spacing w:after="120" w:line="276" w:lineRule="auto"/>
      </w:pPr>
      <w:r>
        <w:t>**Moyennes Mobiles** : Le cours actuel (2 415 FCFA) se situe nettement au-dessus de la MM20 (2 103,5 FCFA) et de la MM50 (1 890,7 FCFA). Cette configuration haussière, avec le prix au-dessus des deux moyennes, confirme une tendance de fond positive. La pente des moyennes est ascendante, ce qui renforce le signal d'achat. La décision est donc "Achat", car la dynamique à court et moyen terme est clairement en faveur des acheteurs.</w:t>
      </w:r>
    </w:p>
    <w:p>
      <w:pPr>
        <w:spacing w:after="120" w:line="276" w:lineRule="auto"/>
      </w:pPr>
      <w:r>
        <w:t>**Bandes de Bollinger** : Le prix évolue dans la partie supérieure des bandes, proche de la borne haute (2 595 FCFA) et loin de la borne inférieure (1 611 FCFA). L'écart important entre les bornes reflète la forte volatilité du titre. Le fait que le prix ne touche pas la borne supérieure malgré la hausse suggère un momentum fort mais potentiellement surchauffé. La décision est "Neutre", car le titre n'est pas en situation de surachat extrême selon cet indicateur, mais la position est risquée.</w:t>
      </w:r>
    </w:p>
    <w:p>
      <w:pPr>
        <w:spacing w:after="120" w:line="276" w:lineRule="auto"/>
      </w:pPr>
      <w:r>
        <w:t>**MACD** : Le MACD (170,5) est nettement supérieur à sa ligne de signal (132,6), et les deux sont en territoire positif. Cette configuration indique un momentum haussier solide et une accélération de la tendance. La divergence positive entre les deux lignes confirme la vigueur du mouvement. La décision est "Achat", car la dynamique de fond reste positive, même si l'écart important pourrait précéder un essoufflement à court terme.</w:t>
      </w:r>
    </w:p>
    <w:p>
      <w:pPr>
        <w:spacing w:after="120" w:line="276" w:lineRule="auto"/>
      </w:pPr>
      <w:r>
        <w:t>**RSI** : Le RSI est à 82,9, très largement au-dessus du seuil de surachat de 70. Cette valeur extrême indique que le titre est survendu d'un point de vue technique et qu'une correction est statistiquement probable à court terme. Les acheteurs ont été trop loin, trop vite, et le marché pourrait avoir besoin de consolider. La décision est "Vente", car le risque de retournement est élevé.</w:t>
      </w:r>
    </w:p>
    <w:p>
      <w:pPr>
        <w:spacing w:after="120" w:line="276" w:lineRule="auto"/>
      </w:pPr>
      <w:r>
        <w:t>**Stochastique** : Le %K (86,6) et le %D (90,2) sont tous deux en zone de surachat. Le %K est passé sous le %D, ce qui forme un croisement baissier, un signal précurseur de retournement. Cette configuration indique que la pression acheteuse s'essouffle. La décision est "Vente", cohérente avec le signal du RSI.</w:t>
      </w:r>
    </w:p>
    <w:p>
      <w:pPr>
        <w:spacing w:after="120" w:line="276" w:lineRule="auto"/>
      </w:pPr>
      <w:r>
        <w:t>**Conclusion technique** : Les indicateurs de tendance (MM, MACD) sont positifs, mais les oscillateurs de momentum (RSI, Stochastique) hurlent au surachat. Cette divergence classique signale une forte probabilité de consolidation ou de correction à court terme. La tendance de fond reste haussière, mais le timing d'entrée est défavorable, le titre étant techniquement surchauffé.</w:t>
      </w:r>
    </w:p>
    <w:p>
      <w:pPr>
        <w:spacing w:after="120" w:line="276" w:lineRule="auto" w:before="240"/>
      </w:pPr>
      <w:r>
        <w:rPr>
          <w:b/>
          <w:color w:val="003366"/>
          <w:sz w:val="24"/>
        </w:rPr>
        <w:t>**PARTIE 3 : ANALYSE FONDAMENTALE (SECTION CRITIQUE)**</w:t>
      </w:r>
    </w:p>
    <w:p>
      <w:pPr>
        <w:spacing w:after="120" w:line="276" w:lineRule="auto"/>
      </w:pPr>
      <w:r>
        <w:t>En 2024, les données structurées officielles montrent une entreprise en difficulté : le chiffre d'affaires s'établit à 27,333 milliards FCFA, mais le résultat net est une perte de -2,189 milliards FCFA. La marge nette est de -8,0%, le ROE de -14,0% et le ROA de -6,4%, reflétant une rentabilité négative sur les capitaux propres et les actifs. Le BFR est positif à 2,149 milliards FCFA, ce qui est défavorable et indique un besoin de financement de l'exploitation. Les délais de paiement clients (51 jours) et de stockage (254 jours) sont élevés, immobilisant la trésorerie, tandis que le délai fournisseurs (267 jours) est un point positif. L'endettement est faible (ratio de dépendance financière de 2,1%), mais l'entreprise est structurellement déficitaire. Les rapports trimestriels de 2025 (T1, S1, T3) montrent une amélioration commerciale (CA en hausse de 12-14%), mais le résultat des activités ordinaires reste négatif, le bénéfice net étant artificiellement gonflé par une cession-bail exceptionnelle de terrain (+9,99 milliards FCFA). Le rapport S1 2026 est crucial : il confirme le retour à un résultat d'exploitation positif de 771 millions FCFA, contre une perte de 314 millions au S1 2025, et un résultat net positif de 771 millions FCFA. Le rapport annuel 2025 (publié en 2026) indique un EBE redevenu positif à 1,13 milliard FCFA et une perte nette réduite à -624 millions FCFA. On estime donc que l'exercice 2026 devrait voir la confirmation d'une rentabilité opérationnelle durable, portée par la croissance des exportations et la maîtrise des coûts.</w:t>
      </w:r>
    </w:p>
    <w:p>
      <w:pPr>
        <w:spacing w:after="120" w:line="276" w:lineRule="auto" w:before="240"/>
      </w:pPr>
      <w:r>
        <w:rPr>
          <w:b/>
          <w:color w:val="003366"/>
          <w:sz w:val="24"/>
        </w:rPr>
        <w:t>**PARTIE 4 : CONCLUSION D'INVESTISSEMENT**</w:t>
      </w:r>
    </w:p>
    <w:p>
      <w:pPr>
        <w:spacing w:after="120" w:line="276" w:lineRule="auto"/>
      </w:pPr>
      <w:r>
        <w:t>La valorisation d'UNXC est complexe : le PER est négatif, mais le P/B de 3,21x suggère que le marché anticipe déjà un redressement, ce qui rend la valeur chère sur les fondamentaux actuels. Le comportement du cours est extrêmement volatil (+22,28% en 100 jours), avec des statistiques (kurtosis élevé) indiquant un risque de pics imprévisibles. Les signaux techniques sont contradictoires : la tendance (MM, MACD) est haussière, mais les oscillateurs (RSI, Stochastique) sont en surachat extrême, signalant une correction imminente. Les fondamentaux montrent une réelle amélioration : après une perte de 2,19 milliards en 2024, la société est redevenue opérationnellement rentable au S1 2026 (771 millions FCFA), confirmant la trajectoire de redressement. Les prédictions IA prévoient une légère baisse du cours sur les 10 prochains jours (de 2 383 à 2 324 FCFA), ce qui est cohérent avec les signaux de surachat technique. En synthèse, la convergence entre les fondamentaux en amélioration et la tendance de fond haussière est positive, mais le risque de correction à court terme est élevé. **Recommandation : CONSERVER**. Niveau de confiance : Moyen. Risque global : Élevé. Horizon d'investissement optimal : Moyen terme (3-12 mois), en attendant une consolidation du cours pour renforcer la position.</w:t>
      </w:r>
    </w:p>
    <w:p/>
    <w:p/>
    <w:p>
      <w:pPr>
        <w:pStyle w:val="Heading3"/>
      </w:pPr>
      <w:r>
        <w:rPr>
          <w:color w:val="005A32"/>
        </w:rPr>
        <w:t>📋 RAPPORTS &amp; COMMUNIQUÉS OFFICIELS</w:t>
      </w:r>
    </w:p>
    <w:p>
      <w:r>
        <w:rPr>
          <w:i/>
          <w:color w:val="646464"/>
          <w:sz w:val="18"/>
        </w:rPr>
        <w:t>22 rapport(s)/communiqué(s) disponible(s) (affichage des 5 plus récents).</w:t>
      </w:r>
    </w:p>
    <w:p>
      <w:pPr>
        <w:spacing w:before="160"/>
      </w:pPr>
      <w:r>
        <w:rPr>
          <w:b/>
          <w:color w:val="00783C"/>
          <w:sz w:val="20"/>
        </w:rPr>
        <w:t xml:space="preserve">[1] </w:t>
      </w:r>
      <w:r>
        <w:rPr>
          <w:b/>
          <w:sz w:val="20"/>
        </w:rPr>
        <w:t>Télécharger</w:t>
      </w:r>
    </w:p>
    <w:p>
      <w:pPr>
        <w:spacing w:before="20"/>
        <w:ind w:left="400"/>
      </w:pPr>
      <w:r>
        <w:rPr>
          <w:color w:val="505050"/>
          <w:sz w:val="17"/>
        </w:rPr>
        <w:t>Année : 2026  |  Type : document</w:t>
      </w:r>
    </w:p>
    <w:p>
      <w:pPr>
        <w:spacing w:before="20"/>
        <w:ind w:left="400"/>
      </w:pPr>
      <w:r>
        <w:rPr>
          <w:b/>
          <w:sz w:val="18"/>
        </w:rPr>
        <w:t xml:space="preserve">Recommandation source : </w:t>
      </w:r>
      <w:r>
        <w:rPr>
          <w:b/>
          <w:color w:val="646464"/>
          <w:sz w:val="18"/>
        </w:rPr>
        <w:t>{"decision": "acheter", "justification": "Le retour \u00e0 une rentabilit\u00e9 op\u00e9rationnelle positive et les perspectives de croissance sur les march\u00e9s d'exportation sont des signaux forts. Malgr\u00e9 une croissance mod\u00e9r\u00e9e du chiffre d'affaires, l'am\u00e9lioration de la performance industrielle et la ma\u00eetrise des co\u00fbts justifient une position acheteur."}</w:t>
      </w:r>
    </w:p>
    <w:p>
      <w:pPr>
        <w:spacing w:before="40"/>
        <w:ind w:left="400"/>
      </w:pPr>
      <w:r>
        <w:rPr>
          <w:sz w:val="18"/>
        </w:rPr>
        <w:t>Au premier semestre 2026, Uniwax a réalisé un chiffre d'affaires de 15,752 milliards FCFA, en hausse de 0,3% par rapport à la même période en 2025. Le résultat d'exploitation est redevenu positif à 771 millions FCFA, contre une perte de 314 millions FCFA l'année précédente. Le résultat net s'établit à 771 millions FCFA, contre 8,2 milliards FCFA au S1 2025, ce dernier ayant bénéficié d'une importante plus-value de cession. La société a amélioré son résultat financier de 59,3% grâce à une meilleure gestion des charges financières. Les perspectives pour 2026 sont optimistes, avec une croissance soutenue par les marchés d'exportation et des efforts continus d'optimisation.</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{'resultat_financier_S1_2026': '-6 439 673 FCFA', 'variation_chiffre_affaires': '0,3%', 'resultat_exploitation_S1_2026': '771 219 139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4,9%</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771 279 466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15 752 453 379 FCFA</w:t>
            </w:r>
          </w:p>
        </w:tc>
        <w:tc>
          <w:tcPr>
            <w:tcW w:type="dxa" w:w="2160"/>
          </w:tcPr>
          <w:p/>
        </w:tc>
      </w:tr>
    </w:tbl>
    <w:p/>
    <w:p>
      <w:pPr>
        <w:spacing w:before="60"/>
        <w:ind w:left="400"/>
      </w:pPr>
      <w:r>
        <w:rPr>
          <w:b/>
          <w:sz w:val="18"/>
        </w:rPr>
        <w:t>Points clés :</w:t>
      </w:r>
    </w:p>
    <w:p>
      <w:pPr>
        <w:pStyle w:val="ListBullet"/>
        <w:spacing w:before="20" w:after="20"/>
        <w:ind w:left="700"/>
      </w:pPr>
      <w:r>
        <w:rPr>
          <w:sz w:val="18"/>
        </w:rPr>
        <w:t>Le chiffre d'affaires semestriel s'établit à 15 752 millions FCFA, en légère hausse de 0,3% par rapport au S1 2025.</w:t>
      </w:r>
    </w:p>
    <w:p>
      <w:pPr>
        <w:pStyle w:val="ListBullet"/>
        <w:spacing w:before="20" w:after="20"/>
        <w:ind w:left="700"/>
      </w:pPr>
      <w:r>
        <w:rPr>
          <w:sz w:val="18"/>
        </w:rPr>
        <w:t>Le résultat d'exploitation est redevenu positif à 771 millions FCFA, contre une perte de 314 millions FCFA au S1 2025, soit une amélioration de 345,4%.</w:t>
      </w:r>
    </w:p>
    <w:p>
      <w:pPr>
        <w:pStyle w:val="ListBullet"/>
        <w:spacing w:before="20" w:after="20"/>
        <w:ind w:left="700"/>
      </w:pPr>
      <w:r>
        <w:rPr>
          <w:sz w:val="18"/>
        </w:rPr>
        <w:t>Le résultat net du S1 2026 est de 771 millions FCFA, contre 8 216 millions FCFA au S1 2025, mais ce dernier incluait une plus-value de cession exceptionnelle de près de 10 milliards FCFA.</w:t>
      </w:r>
    </w:p>
    <w:p>
      <w:pPr>
        <w:pStyle w:val="ListBullet"/>
        <w:spacing w:before="20" w:after="20"/>
        <w:ind w:left="700"/>
      </w:pPr>
      <w:r>
        <w:rPr>
          <w:sz w:val="18"/>
        </w:rPr>
        <w:t>Le résultat financier s'améliore de 59,3% grâce à une meilleure structuration des charges financières et des conditions bancaires.</w:t>
      </w:r>
    </w:p>
    <w:p>
      <w:pPr>
        <w:pStyle w:val="ListBullet"/>
        <w:spacing w:before="20" w:after="20"/>
        <w:ind w:left="700"/>
      </w:pPr>
      <w:r>
        <w:rPr>
          <w:sz w:val="18"/>
        </w:rPr>
        <w:t>L'impôt sur le résultat reste limité à l'IMF (35 millions FCFA) grâce à l'utilisation des Amortissements Réputés Différés.</w:t>
      </w:r>
    </w:p>
    <w:p>
      <w:pPr>
        <w:pStyle w:val="ListBullet"/>
        <w:spacing w:before="20" w:after="20"/>
        <w:ind w:left="700"/>
      </w:pPr>
      <w:r>
        <w:rPr>
          <w:sz w:val="18"/>
        </w:rPr>
        <w:t>La plus-value de cession au S1 2025 n'a pas été impactée par l'Article 28, contrairement à ce qui aurait été le cas en 2026.</w:t>
      </w:r>
    </w:p>
    <w:p>
      <w:pPr>
        <w:spacing w:before="40"/>
        <w:ind w:left="400"/>
      </w:pPr>
      <w:r>
        <w:rPr>
          <w:b/>
          <w:color w:val="C05000"/>
          <w:sz w:val="18"/>
        </w:rPr>
        <w:t xml:space="preserve">⚠️ Risques : </w:t>
      </w:r>
      <w:r>
        <w:rPr>
          <w:sz w:val="18"/>
        </w:rPr>
        <w:t>["Volatilit\u00e9 des march\u00e9s d'exportation (Nigeria, Guin\u00e9e) sur lesquels la croissance est concentr\u00e9e.", "Impact potentiel de l'Article 28 sur les plus-values de cession futures, r\u00e9duisant les r\u00e9sultats exceptionnels.", "Persistance d'un environnement concurrentiel intense</w:t>
      </w:r>
    </w:p>
    <w:p>
      <w:pPr>
        <w:spacing w:before="40"/>
        <w:ind w:left="400"/>
      </w:pPr>
      <w:r>
        <w:rPr>
          <w:b/>
          <w:color w:val="0064A0"/>
          <w:sz w:val="18"/>
        </w:rPr>
        <w:t xml:space="preserve">🔮 Perspectives : </w:t>
      </w:r>
      <w:r>
        <w:rPr>
          <w:sz w:val="18"/>
        </w:rPr>
        <w:t>Pour 2026, Uniwax entend confirmer sa croissance grâce à l'amélioration des conditions du marché et à la performance de l'usine. Les efforts porteront sur l'expansion à l'export (Nigeria, Guinée), l'optimisation de la production, l'amélioration de l'assortiment et l'approvisionnement local.</w:t>
      </w:r>
    </w:p>
    <w:p>
      <w:pPr>
        <w:ind w:left="400"/>
      </w:pPr>
      <w:r>
        <w:rPr>
          <w:color w:val="B4B4B4"/>
          <w:sz w:val="14"/>
        </w:rPr>
        <w:t xml:space="preserve">· · · · · · · · · · · · · · · · · · · · · · · · · · · · · · </w:t>
      </w:r>
    </w:p>
    <w:p>
      <w:pPr>
        <w:spacing w:before="160"/>
      </w:pPr>
      <w:r>
        <w:rPr>
          <w:b/>
          <w:color w:val="00783C"/>
          <w:sz w:val="20"/>
        </w:rPr>
        <w:t xml:space="preserve">[2]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"Redressement opérationnel réel (EBE positif, perte divisée par 3,5) mais société encore déficitaire, avec un désendettement financé par des cessions d'actifs non récurrentes. Prudence jusqu'à confirmation du retour à l'équilibre."}</w:t>
      </w:r>
    </w:p>
    <w:p>
      <w:pPr>
        <w:spacing w:before="40"/>
        <w:ind w:left="400"/>
      </w:pPr>
      <w:r>
        <w:rPr>
          <w:sz w:val="18"/>
        </w:rPr>
        <w:t>UNIWAX poursuit un redressement marqué sur l'exercice 2025. Le chiffre d'affaires progresse à 29,03 milliards FCFA (+6,2 %) et l'excédent brut d'exploitation redevient positif à 1,13 milliard (contre -0,35 milliard en 2024). La perte nette est divisée par environ 3,5, à -624 millions FCFA contre -2,19 milliards l'an dernier. Le désendettement vis-à-vis des fournisseurs (14,9 Md ramenés à 5,0 Md) a été financé par des cessions d'immobilisations (terrains et bâtiments) pour +10,5 milliards, ce qui a redressé la trésorerie mais reste non récurrent. La société n'est pas encore revenue à l'équilibre malgré une trajectoire opérationnelle nettement améliorée.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{'cafg': '904 millions FCFA', 'resultat_exploitation': '-424 millions FCFA', 'excedent_brut_exploitation': '1,13 milliard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-2,15 %</w:t>
            </w:r>
          </w:p>
        </w:tc>
        <w:tc>
          <w:tcPr>
            <w:tcW w:type="dxa" w:w="2160"/>
          </w:tcPr>
          <w:p>
            <w:pPr>
              <w:ind w:left="100"/>
            </w:pPr>
            <w:r/>
            <w:r>
              <w:rPr>
                <w:b/>
                <w:sz w:val="16"/>
              </w:rPr>
              <w:t>total_actif</w:t>
              <w:br/>
            </w:r>
            <w:r>
              <w:rPr>
                <w:sz w:val="18"/>
              </w:rPr>
              <w:t>31,74 milliards FCFA</w:t>
            </w:r>
          </w:p>
        </w:tc>
      </w:tr>
      <w:tr>
        <w:tc>
          <w:tcPr>
            <w:tcW w:type="dxa" w:w="2160"/>
          </w:tcPr>
          <w:p>
            <w:r/>
            <w:r>
              <w:rPr>
                <w:b/>
                <w:sz w:val="16"/>
              </w:rPr>
              <w:t>resultat_net</w:t>
              <w:br/>
            </w:r>
            <w:r>
              <w:rPr>
                <w:sz w:val="18"/>
              </w:rPr>
              <w:t>-624 millions FCFA (perte)</w:t>
            </w:r>
          </w:p>
        </w:tc>
        <w:tc>
          <w:tcPr>
            <w:tcW w:type="dxa" w:w="2160"/>
          </w:tcPr>
          <w:p>
            <w:r/>
            <w:r>
              <w:rPr>
                <w:b/>
                <w:sz w:val="16"/>
              </w:rPr>
              <w:t>capitaux_propres</w:t>
              <w:br/>
            </w:r>
            <w:r>
              <w:rPr>
                <w:sz w:val="18"/>
              </w:rPr>
              <w:t>24,62 milliards FCFA</w:t>
            </w:r>
          </w:p>
        </w:tc>
        <w:tc>
          <w:tcPr>
            <w:tcW w:type="dxa" w:w="2160"/>
          </w:tcPr>
          <w:p>
            <w:r/>
            <w:r>
              <w:rPr>
                <w:b/>
                <w:sz w:val="16"/>
              </w:rPr>
              <w:t>chiffre_affaires</w:t>
              <w:br/>
            </w:r>
            <w:r>
              <w:rPr>
                <w:sz w:val="18"/>
              </w:rPr>
              <w:t>29,03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Chiffre d'affaires 29,03 Md FCFA, en hausse de 6,2 %</w:t>
      </w:r>
    </w:p>
    <w:p>
      <w:pPr>
        <w:pStyle w:val="ListBullet"/>
        <w:spacing w:before="20" w:after="20"/>
        <w:ind w:left="700"/>
      </w:pPr>
      <w:r>
        <w:rPr>
          <w:sz w:val="18"/>
        </w:rPr>
        <w:t>EBE redevenu positif à 1,13 Md FCFA (contre -0,35 Md en 2024)</w:t>
      </w:r>
    </w:p>
    <w:p>
      <w:pPr>
        <w:pStyle w:val="ListBullet"/>
        <w:spacing w:before="20" w:after="20"/>
        <w:ind w:left="700"/>
      </w:pPr>
      <w:r>
        <w:rPr>
          <w:sz w:val="18"/>
        </w:rPr>
        <w:t>Perte nette réduite de 71 % : -624 M FCFA contre -2,19 Md</w:t>
      </w:r>
    </w:p>
    <w:p>
      <w:pPr>
        <w:pStyle w:val="ListBullet"/>
        <w:spacing w:before="20" w:after="20"/>
        <w:ind w:left="700"/>
      </w:pPr>
      <w:r>
        <w:rPr>
          <w:sz w:val="18"/>
        </w:rPr>
        <w:t>Report à nouveau négatif et croissant : -5,54 Md (pertes cumulées)</w:t>
      </w:r>
    </w:p>
    <w:p>
      <w:pPr>
        <w:pStyle w:val="ListBullet"/>
        <w:spacing w:before="20" w:after="20"/>
        <w:ind w:left="700"/>
      </w:pPr>
      <w:r>
        <w:rPr>
          <w:sz w:val="18"/>
        </w:rPr>
        <w:t>Cessions d'actifs (terrains/bâtiments) pour +10,5 Md, non récurrentes</w:t>
      </w:r>
    </w:p>
    <w:p>
      <w:pPr>
        <w:pStyle w:val="ListBullet"/>
        <w:spacing w:before="20" w:after="20"/>
        <w:ind w:left="700"/>
      </w:pPr>
      <w:r>
        <w:rPr>
          <w:sz w:val="18"/>
        </w:rPr>
        <w:t>Dettes fournisseurs ramenées de 14,9 Md à 5,0 Md</w:t>
      </w:r>
    </w:p>
    <w:p>
      <w:pPr>
        <w:spacing w:before="40"/>
        <w:ind w:left="400"/>
      </w:pPr>
      <w:r>
        <w:rPr>
          <w:b/>
          <w:color w:val="C05000"/>
          <w:sz w:val="18"/>
        </w:rPr>
        <w:t xml:space="preserve">⚠️ Risques : </w:t>
      </w:r>
      <w:r>
        <w:rPr>
          <w:sz w:val="18"/>
        </w:rPr>
        <w:t>["Résultat net encore négatif et pertes cumulées croissantes (-5,54 Md)", "Flux de trésorerie opérationnel négatif (-8,12 Md), redressement porté par des cessions d'actifs", "Capitaux propres soutenus par des provisions réglementées (9,65 Md) — qualité à surveiller", "Contraction du total de bilan (</w:t>
      </w:r>
    </w:p>
    <w:p>
      <w:pPr>
        <w:spacing w:before="40"/>
        <w:ind w:left="400"/>
      </w:pPr>
      <w:r>
        <w:rPr>
          <w:b/>
          <w:color w:val="0064A0"/>
          <w:sz w:val="18"/>
        </w:rPr>
        <w:t xml:space="preserve">🔮 Perspectives : </w:t>
      </w:r>
      <w:r>
        <w:rPr>
          <w:sz w:val="18"/>
        </w:rPr>
        <w:t>Le retour de l'EBE en territoire positif et la forte réduction de la perte dessinent une trajectoire de redressement. Un retour à l'équilibre est envisageable si la dynamique commerciale se confirme et les charges restent maîtrisées, mais la dépendance aux cessions d'actifs pour assainir le bilan de</w:t>
      </w:r>
    </w:p>
    <w:p>
      <w:pPr>
        <w:ind w:left="400"/>
      </w:pPr>
      <w:r>
        <w:rPr>
          <w:color w:val="B4B4B4"/>
          <w:sz w:val="14"/>
        </w:rPr>
        <w:t xml:space="preserve">· · · · · · · · · · · · · · · · · · · · · · · · · · · · · · </w:t>
      </w:r>
    </w:p>
    <w:p>
      <w:pPr>
        <w:spacing w:before="160"/>
      </w:pPr>
      <w:r>
        <w:rPr>
          <w:b/>
          <w:color w:val="00783C"/>
          <w:sz w:val="20"/>
        </w:rPr>
        <w:t xml:space="preserve">[3]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"Performance financi\u00e8re exceptionnelle avec une rentabilit\u00e9 multipli\u00e9e par 6 et une politique de dividende tr\u00e8s attractive. La solidit\u00e9 du bilan et la forte g\u00e9n\u00e9ration de cash-flow offrent de bonnes perspectives de croissance."}</w:t>
      </w:r>
    </w:p>
    <w:p>
      <w:pPr>
        <w:spacing w:before="40"/>
        <w:ind w:left="400"/>
      </w:pPr>
      <w:r>
        <w:rPr>
          <w:sz w:val="18"/>
        </w:rPr>
        <w:t>UNIWAX S.A, société ivoirienne spécialisée dans la production textile, affiche une performance remarquable en 2021 avec un chiffre d'affaires de 38,2 milliards FCFA contre 34,9 milliards en 2020, soit une croissance de 9,4%. Le résultat net a explosé de 505% passant de 231 millions FCFA à 1,4 milliard FCFA, témoignant d'une amélioration significative de la rentabilité. La société propose un dividende généreux de 1,4 milliard FCFA, représentant pratiquement 100% du résultat net. Le total du bilan s'établit à 37,3 milliards FCFA avec des capitaux propres solides de 22,5 milliards FCFA. La trésorerie nette positive et la capacité d'autofinancement de 3,4 milliards FCFA renforcent la solidité fi</w:t>
      </w:r>
      <w:r>
        <w:rPr>
          <w:sz w:val="18"/>
        </w:rPr>
        <w:t>…</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'9,56 milliards FCFA', 'tresorerie_nette': '2,42 milliards FCFA', 'capacite_autofinancement': '3,43 milliards FCFA', 'excedent_brut_exploitation': '4,04 milliards FCFA'}</w:t>
            </w:r>
          </w:p>
        </w:tc>
        <w:tc>
          <w:tcPr>
            <w:tcW w:type="dxa" w:w="2160"/>
          </w:tcPr>
          <w:p>
            <w:pPr>
              <w:ind w:left="100"/>
            </w:pPr>
            <w:r/>
            <w:r>
              <w:rPr>
                <w:b/>
                <w:sz w:val="16"/>
              </w:rPr>
              <w:t>dividende</w:t>
              <w:br/>
            </w:r>
            <w:r>
              <w:rPr>
                <w:sz w:val="18"/>
              </w:rPr>
              <w:t>1,40 milliard FCFA</w:t>
            </w:r>
          </w:p>
        </w:tc>
        <w:tc>
          <w:tcPr>
            <w:tcW w:type="dxa" w:w="2160"/>
          </w:tcPr>
          <w:p>
            <w:pPr>
              <w:ind w:left="100"/>
            </w:pPr>
            <w:r/>
            <w:r>
              <w:rPr>
                <w:b/>
                <w:sz w:val="16"/>
              </w:rPr>
              <w:t>marge_nette</w:t>
              <w:br/>
            </w:r>
            <w:r>
              <w:rPr>
                <w:sz w:val="18"/>
              </w:rPr>
              <w:t>3,7%</w:t>
            </w:r>
          </w:p>
        </w:tc>
        <w:tc>
          <w:tcPr>
            <w:tcW w:type="dxa" w:w="2160"/>
          </w:tcPr>
          <w:p>
            <w:pPr>
              <w:ind w:left="100"/>
            </w:pPr>
            <w:r/>
            <w:r>
              <w:rPr>
                <w:b/>
                <w:sz w:val="16"/>
              </w:rPr>
              <w:t>total_actif</w:t>
              <w:br/>
            </w:r>
            <w:r>
              <w:rPr>
                <w:sz w:val="18"/>
              </w:rPr>
              <w:t>37,29 milliards FCFA</w:t>
            </w:r>
          </w:p>
        </w:tc>
      </w:tr>
      <w:tr>
        <w:tc>
          <w:tcPr>
            <w:tcW w:type="dxa" w:w="2160"/>
          </w:tcPr>
          <w:p>
            <w:r/>
            <w:r>
              <w:rPr>
                <w:b/>
                <w:sz w:val="16"/>
              </w:rPr>
              <w:t>resultat_net</w:t>
              <w:br/>
            </w:r>
            <w:r>
              <w:rPr>
                <w:sz w:val="18"/>
              </w:rPr>
              <w:t>1,40 milliard FCFA</w:t>
            </w:r>
          </w:p>
        </w:tc>
        <w:tc>
          <w:tcPr>
            <w:tcW w:type="dxa" w:w="2160"/>
          </w:tcPr>
          <w:p>
            <w:r/>
            <w:r>
              <w:rPr>
                <w:b/>
                <w:sz w:val="16"/>
              </w:rPr>
              <w:t>capitaux_propres</w:t>
              <w:br/>
            </w:r>
            <w:r>
              <w:rPr>
                <w:sz w:val="18"/>
              </w:rPr>
              <w:t>22,52 milliards FCFA</w:t>
            </w:r>
          </w:p>
        </w:tc>
        <w:tc>
          <w:tcPr>
            <w:tcW w:type="dxa" w:w="2160"/>
          </w:tcPr>
          <w:p>
            <w:r/>
            <w:r>
              <w:rPr>
                <w:b/>
                <w:sz w:val="16"/>
              </w:rPr>
              <w:t>chiffre_affaires</w:t>
              <w:br/>
            </w:r>
            <w:r>
              <w:rPr>
                <w:sz w:val="18"/>
              </w:rPr>
              <w:t>38,19 milliards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9,4% à 38,2 milliards FCFA en 2021</w:t>
      </w:r>
    </w:p>
    <w:p>
      <w:pPr>
        <w:pStyle w:val="ListBullet"/>
        <w:spacing w:before="20" w:after="20"/>
        <w:ind w:left="700"/>
      </w:pPr>
      <w:r>
        <w:rPr>
          <w:sz w:val="18"/>
        </w:rPr>
        <w:t>Explosion du résultat net de 505% à 1,4 milliard FCFA contre 231 millions en 2020</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Distribution d'un dividende exceptionnel de 1,4 milliard FCFA (quasi-totalité du bénéfice)</w:t>
      </w:r>
    </w:p>
    <w:p>
      <w:pPr>
        <w:pStyle w:val="ListBullet"/>
        <w:spacing w:before="20" w:after="20"/>
        <w:ind w:left="700"/>
      </w:pPr>
      <w:r>
        <w:rPr>
          <w:sz w:val="18"/>
        </w:rPr>
        <w:t>Capacité d'autofinancement solide de 3,4 milliards FCFA</w:t>
      </w:r>
    </w:p>
    <w:p>
      <w:pPr>
        <w:pStyle w:val="ListBullet"/>
        <w:spacing w:before="20" w:after="20"/>
        <w:ind w:left="700"/>
      </w:pPr>
      <w:r>
        <w:rPr>
          <w:sz w:val="18"/>
        </w:rPr>
        <w:t>Trésorerie positive de 2,4 milliards FCFA en amélioration</w:t>
      </w:r>
    </w:p>
    <w:p>
      <w:pPr>
        <w:spacing w:before="40"/>
        <w:ind w:left="400"/>
      </w:pPr>
      <w:r>
        <w:rPr>
          <w:b/>
          <w:color w:val="C05000"/>
          <w:sz w:val="18"/>
        </w:rPr>
        <w:t xml:space="preserve">⚠️ Risques : </w:t>
      </w:r>
      <w:r>
        <w:rPr>
          <w:sz w:val="18"/>
        </w:rPr>
        <w:t>["Distribution de la quasi-totalit\u00e9 du b\u00e9n\u00e9fice en dividende limite les capacit\u00e9s de r\u00e9investissement", "Exposition aux fluctuations des cours des mati\u00e8res premi\u00e8res textiles", "D\u00e9pendance au march\u00e9 local et r\u00e9gional avec risques g\u00e9opolitiques e</w:t>
      </w:r>
    </w:p>
    <w:p>
      <w:pPr>
        <w:spacing w:before="40"/>
        <w:ind w:left="400"/>
      </w:pPr>
      <w:r>
        <w:rPr>
          <w:b/>
          <w:color w:val="0064A0"/>
          <w:sz w:val="18"/>
        </w:rPr>
        <w:t xml:space="preserve">🔮 Perspectives : </w:t>
      </w:r>
      <w:r>
        <w:rPr>
          <w:sz w:val="18"/>
        </w:rPr>
        <w:t>Les fondamentaux solides et la forte amélioration opérationnelle laissent présager une poursuite de la croissance rentable en 2022. La société devra néanmoins équilibrer sa politique de distribution avec les besoins de financement de sa croissance.</w:t>
      </w:r>
    </w:p>
    <w:p>
      <w:pPr>
        <w:ind w:left="400"/>
      </w:pPr>
      <w:r>
        <w:rPr>
          <w:color w:val="B4B4B4"/>
          <w:sz w:val="14"/>
        </w:rPr>
        <w:t xml:space="preserve">· · · · · · · · · · · · · · · · · · · · · · · · · · · · · · </w:t>
      </w:r>
    </w:p>
    <w:p>
      <w:pPr>
        <w:spacing w:before="160"/>
      </w:pPr>
      <w:r>
        <w:rPr>
          <w:b/>
          <w:color w:val="00783C"/>
          <w:sz w:val="20"/>
        </w:rPr>
        <w:t xml:space="preserve">[4]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"acheter", "justification": "La soci\u00e9t\u00e9 pr\u00e9sente une transformation remarquable avec une rentabilit\u00e9 multipli\u00e9e par 6 et des fondamentaux solides. La forte g\u00e9n\u00e9ration de cash-flow et la reprise des dividendes confirment la cr\u00e9ation de valeur pour les actionnaires."}</w:t>
      </w:r>
    </w:p>
    <w:p>
      <w:pPr>
        <w:spacing w:before="40"/>
        <w:ind w:left="400"/>
      </w:pPr>
      <w:r>
        <w:rPr>
          <w:sz w:val="18"/>
        </w:rPr>
        <w:t>UNIWAX S.A affiche une performance exceptionnelle en 2021 avec un chiffre d'affaires en hausse de 9,4% à 38,19 milliards FCFA et un résultat net multiplié par 6 à 1,40 milliard FCFA. La rentabilité s'améliore drastiquement avec une marge nette passant de 0,7% à 3,7%. L'entreprise renforce sa structure financière avec des capitaux propres de 22,5 milliards FCFA et maintient une trésorerie positive de 2,42 milliards FCFA. La capacité d'autofinancement globale atteint 3,43 milliards FCFA, témoignant d'une génération de cash-flow robuste. Cette performance solide permet la distribution de dividendes après une absence en 2020.</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{'valeur_ajoutee': '9 558 784 245 FCFA', 'tresorerie_nette': '2 424 850 873 FCFA', 'capacite_autofinancement': '3 432 348 592 FCFA', 'excedent_brut_exploitation': '4 035 272 434 FCFA'}</w:t>
            </w:r>
          </w:p>
        </w:tc>
        <w:tc>
          <w:tcPr>
            <w:tcW w:type="dxa" w:w="2160"/>
          </w:tcPr>
          <w:p>
            <w:pPr>
              <w:ind w:left="100"/>
            </w:pPr>
            <w:r/>
            <w:r>
              <w:rPr>
                <w:b/>
                <w:sz w:val="16"/>
              </w:rPr>
              <w:t>dividende</w:t>
              <w:br/>
            </w:r>
            <w:r>
              <w:rPr>
                <w:sz w:val="18"/>
              </w:rPr>
              <w:t>414 479 350 FCFA au total</w:t>
            </w:r>
          </w:p>
        </w:tc>
        <w:tc>
          <w:tcPr>
            <w:tcW w:type="dxa" w:w="2160"/>
          </w:tcPr>
          <w:p>
            <w:pPr>
              <w:ind w:left="100"/>
            </w:pPr>
            <w:r/>
            <w:r>
              <w:rPr>
                <w:b/>
                <w:sz w:val="16"/>
              </w:rPr>
              <w:t>marge_nette</w:t>
              <w:br/>
            </w:r>
            <w:r>
              <w:rPr>
                <w:sz w:val="18"/>
              </w:rPr>
              <w:t>3,67%</w:t>
            </w:r>
          </w:p>
        </w:tc>
        <w:tc>
          <w:tcPr>
            <w:tcW w:type="dxa" w:w="2160"/>
          </w:tcPr>
          <w:p>
            <w:pPr>
              <w:ind w:left="100"/>
            </w:pPr>
            <w:r/>
            <w:r>
              <w:rPr>
                <w:b/>
                <w:sz w:val="16"/>
              </w:rPr>
              <w:t>total_actif</w:t>
              <w:br/>
            </w:r>
            <w:r>
              <w:rPr>
                <w:sz w:val="18"/>
              </w:rPr>
              <w:t>37 292 681 535 FCFA</w:t>
            </w:r>
          </w:p>
        </w:tc>
      </w:tr>
      <w:tr>
        <w:tc>
          <w:tcPr>
            <w:tcW w:type="dxa" w:w="2160"/>
          </w:tcPr>
          <w:p>
            <w:r/>
            <w:r>
              <w:rPr>
                <w:b/>
                <w:sz w:val="16"/>
              </w:rPr>
              <w:t>resultat_net</w:t>
              <w:br/>
            </w:r>
            <w:r>
              <w:rPr>
                <w:sz w:val="18"/>
              </w:rPr>
              <w:t>1 400 692 889 FCFA</w:t>
            </w:r>
          </w:p>
        </w:tc>
        <w:tc>
          <w:tcPr>
            <w:tcW w:type="dxa" w:w="2160"/>
          </w:tcPr>
          <w:p>
            <w:r/>
            <w:r>
              <w:rPr>
                <w:b/>
                <w:sz w:val="16"/>
              </w:rPr>
              <w:t>capitaux_propres</w:t>
              <w:br/>
            </w:r>
            <w:r>
              <w:rPr>
                <w:sz w:val="18"/>
              </w:rPr>
              <w:t>22 523 379 487 FCFA</w:t>
            </w:r>
          </w:p>
        </w:tc>
        <w:tc>
          <w:tcPr>
            <w:tcW w:type="dxa" w:w="2160"/>
          </w:tcPr>
          <w:p>
            <w:r/>
            <w:r>
              <w:rPr>
                <w:b/>
                <w:sz w:val="16"/>
              </w:rPr>
              <w:t>chiffre_affaires</w:t>
              <w:br/>
            </w:r>
            <w:r>
              <w:rPr>
                <w:sz w:val="18"/>
              </w:rPr>
              <w:t>38 191 193 639 FCFA</w:t>
            </w:r>
          </w:p>
        </w:tc>
        <w:tc>
          <w:tcPr>
            <w:tcW w:type="dxa" w:w="2160"/>
          </w:tcPr>
          <w:p/>
        </w:tc>
      </w:tr>
    </w:tbl>
    <w:p/>
    <w:p>
      <w:pPr>
        <w:spacing w:before="60"/>
        <w:ind w:left="400"/>
      </w:pPr>
      <w:r>
        <w:rPr>
          <w:b/>
          <w:sz w:val="18"/>
        </w:rPr>
        <w:t>Points clés :</w:t>
      </w:r>
    </w:p>
    <w:p>
      <w:pPr>
        <w:pStyle w:val="ListBullet"/>
        <w:spacing w:before="20" w:after="20"/>
        <w:ind w:left="700"/>
      </w:pPr>
      <w:r>
        <w:rPr>
          <w:sz w:val="18"/>
        </w:rPr>
        <w:t>Forte croissance du chiffre d'affaires de 9,4% à 38,19 milliards FCFA</w:t>
      </w:r>
    </w:p>
    <w:p>
      <w:pPr>
        <w:pStyle w:val="ListBullet"/>
        <w:spacing w:before="20" w:after="20"/>
        <w:ind w:left="700"/>
      </w:pPr>
      <w:r>
        <w:rPr>
          <w:sz w:val="18"/>
        </w:rPr>
        <w:t>Explosion du résultat net multiplié par 6 à 1,40 milliard FCFA</w:t>
      </w:r>
    </w:p>
    <w:p>
      <w:pPr>
        <w:pStyle w:val="ListBullet"/>
        <w:spacing w:before="20" w:after="20"/>
        <w:ind w:left="700"/>
      </w:pPr>
      <w:r>
        <w:rPr>
          <w:sz w:val="18"/>
        </w:rPr>
        <w:t>Amélioration spectaculaire de la marge nette de 0,7% à 3,7%</w:t>
      </w:r>
    </w:p>
    <w:p>
      <w:pPr>
        <w:pStyle w:val="ListBullet"/>
        <w:spacing w:before="20" w:after="20"/>
        <w:ind w:left="700"/>
      </w:pPr>
      <w:r>
        <w:rPr>
          <w:sz w:val="18"/>
        </w:rPr>
        <w:t>Capacité d'autofinancement globale solide de 3,43 milliards FCFA</w:t>
      </w:r>
    </w:p>
    <w:p>
      <w:pPr>
        <w:pStyle w:val="ListBullet"/>
        <w:spacing w:before="20" w:after="20"/>
        <w:ind w:left="700"/>
      </w:pPr>
      <w:r>
        <w:rPr>
          <w:sz w:val="18"/>
        </w:rPr>
        <w:t>Trésorerie nette positive renforcée à 2,42 milliards FCFA</w:t>
      </w:r>
    </w:p>
    <w:p>
      <w:pPr>
        <w:pStyle w:val="ListBullet"/>
        <w:spacing w:before="20" w:after="20"/>
        <w:ind w:left="700"/>
      </w:pPr>
      <w:r>
        <w:rPr>
          <w:sz w:val="18"/>
        </w:rPr>
        <w:t>Reprise de la distribution de dividendes avec 414,5 millions FCFA versés</w:t>
      </w:r>
    </w:p>
    <w:p>
      <w:pPr>
        <w:spacing w:before="40"/>
        <w:ind w:left="400"/>
      </w:pPr>
      <w:r>
        <w:rPr>
          <w:b/>
          <w:color w:val="C05000"/>
          <w:sz w:val="18"/>
        </w:rPr>
        <w:t xml:space="preserve">⚠️ Risques : </w:t>
      </w:r>
      <w:r>
        <w:rPr>
          <w:sz w:val="18"/>
        </w:rPr>
        <w:t>["D\u00e9pendance aux mati\u00e8res premi\u00e8res avec 22,4 milliards FCFA d'achats consomm\u00e9s", "Volatilit\u00e9 potentielle des marges li\u00e9e aux fluctuations des co\u00fbts d'approvisionnement", "Exposition aux risques de change sur les importations de mati\u00e8res premi\u00e8res"]</w:t>
      </w:r>
    </w:p>
    <w:p>
      <w:pPr>
        <w:spacing w:before="40"/>
        <w:ind w:left="400"/>
      </w:pPr>
      <w:r>
        <w:rPr>
          <w:b/>
          <w:color w:val="0064A0"/>
          <w:sz w:val="18"/>
        </w:rPr>
        <w:t xml:space="preserve">🔮 Perspectives : </w:t>
      </w:r>
      <w:r>
        <w:rPr>
          <w:sz w:val="18"/>
        </w:rPr>
        <w:t>Les perspectives pour 2022 apparaissent favorables compte tenu de la dynamique positive engagée et des investissements réalisés. La société devrait continuer à bénéficier de l'amélioration de sa structure de coûts et de sa position concurrentielle renforcée. La poursuite des investissements industri</w:t>
      </w:r>
    </w:p>
    <w:p>
      <w:pPr>
        <w:ind w:left="400"/>
      </w:pPr>
      <w:r>
        <w:rPr>
          <w:color w:val="B4B4B4"/>
          <w:sz w:val="14"/>
        </w:rPr>
        <w:t xml:space="preserve">· · · · · · · · · · · · · · · · · · · · · · · · · · · · · · </w:t>
      </w:r>
    </w:p>
    <w:p>
      <w:pPr>
        <w:spacing w:before="160"/>
      </w:pPr>
      <w:r>
        <w:rPr>
          <w:b/>
          <w:color w:val="00783C"/>
          <w:sz w:val="20"/>
        </w:rPr>
        <w:t xml:space="preserve">[5] </w:t>
      </w:r>
      <w:r>
        <w:rPr>
          <w:b/>
          <w:sz w:val="20"/>
        </w:rPr>
        <w:t>Télécharger</w:t>
      </w:r>
    </w:p>
    <w:p>
      <w:pPr>
        <w:spacing w:before="20"/>
        <w:ind w:left="400"/>
      </w:pPr>
      <w:r>
        <w:rPr>
          <w:color w:val="505050"/>
          <w:sz w:val="17"/>
        </w:rPr>
        <w:t>Année : 2025  |  Type : document</w:t>
      </w:r>
    </w:p>
    <w:p>
      <w:pPr>
        <w:spacing w:before="20"/>
        <w:ind w:left="400"/>
      </w:pPr>
      <w:r>
        <w:rPr>
          <w:b/>
          <w:sz w:val="18"/>
        </w:rPr>
        <w:t xml:space="preserve">Recommandation source : </w:t>
      </w:r>
      <w:r>
        <w:rPr>
          <w:b/>
          <w:color w:val="646464"/>
          <w:sz w:val="18"/>
        </w:rPr>
        <w:t>{"decision": "conserver", "justification": "Malgr\u00e9 la d\u00e9gradation des marges, la croissance du chiffre d'affaires et les perspectives d'am\u00e9lioration au second semestre justifient une position d'attente. La lev\u00e9e des restrictions au Mali et la politique de r\u00e9duction des co\u00fbts devraient am\u00e9liorer la rentabilit\u00e9."}</w:t>
      </w:r>
    </w:p>
    <w:p>
      <w:pPr>
        <w:spacing w:before="40"/>
        <w:ind w:left="400"/>
      </w:pPr>
      <w:r>
        <w:rPr>
          <w:sz w:val="18"/>
        </w:rPr>
        <w:t>UNIWAX S.A. affiche une croissance du chiffre d'affaires de 4,9% au premier semestre 2022, atteignant 21,55 milliards FCFA. Cependant, la rentabilité se dégrade avec un résultat net en baisse de 14,8% à 982 millions FCFA et un résultat d'exploitation en recul de 11,4%. Cette dégradation s'explique par l'augmentation des coûts de production et l'impact défavorable du cours du dollar. Le résultat financier devient négatif à -53,7 millions FCFA contre +15 millions l'année précédente. L'entreprise mise sur la levée des restrictions d'exportation au Mali et sa politique de réduction des coûts pour améliorer ses performances au second semestre.</w:t>
      </w:r>
    </w:p>
    <w:p>
      <w:pPr>
        <w:spacing w:before="60"/>
        <w:ind w:left="400"/>
      </w:pPr>
      <w:r>
        <w:rPr>
          <w:b/>
          <w:sz w:val="18"/>
        </w:rPr>
        <w:t>Indicateurs financiers :</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pPr>
              <w:ind w:left="100"/>
            </w:pPr>
            <w:r/>
            <w:r>
              <w:rPr>
                <w:b/>
                <w:sz w:val="16"/>
              </w:rPr>
              <w:t>autres</w:t>
              <w:br/>
            </w:r>
            <w:r>
              <w:rPr>
                <w:sz w:val="18"/>
              </w:rPr>
              <w:t>{'capital_social': '4 150 millions FCFA', 'impot_sur_resultat': '327,5 millions FCFA', 'resultat_financier': '-53,7 millions FCFA', 'resultat_exploitation': '1 349 millions FCFA'}</w:t>
            </w:r>
          </w:p>
        </w:tc>
        <w:tc>
          <w:tcPr>
            <w:tcW w:type="dxa" w:w="2160"/>
          </w:tcPr>
          <w:p>
            <w:pPr>
              <w:ind w:left="100"/>
            </w:pPr>
            <w:r/>
            <w:r>
              <w:rPr>
                <w:b/>
                <w:sz w:val="16"/>
              </w:rPr>
              <w:t>dividende</w:t>
              <w:br/>
            </w:r>
            <w:r>
              <w:rPr>
                <w:sz w:val="18"/>
              </w:rPr>
              <w:t>None</w:t>
            </w:r>
          </w:p>
        </w:tc>
        <w:tc>
          <w:tcPr>
            <w:tcW w:type="dxa" w:w="2160"/>
          </w:tcPr>
          <w:p>
            <w:pPr>
              <w:ind w:left="100"/>
            </w:pPr>
            <w:r/>
            <w:r>
              <w:rPr>
                <w:b/>
                <w:sz w:val="16"/>
              </w:rPr>
              <w:t>marge_nette</w:t>
              <w:br/>
            </w:r>
            <w:r>
              <w:rPr>
                <w:sz w:val="18"/>
              </w:rPr>
              <w:t>4,6%</w:t>
            </w:r>
          </w:p>
        </w:tc>
        <w:tc>
          <w:tcPr>
            <w:tcW w:type="dxa" w:w="2160"/>
          </w:tcPr>
          <w:p>
            <w:pPr>
              <w:ind w:left="100"/>
            </w:pPr>
            <w:r/>
            <w:r>
              <w:rPr>
                <w:b/>
                <w:sz w:val="16"/>
              </w:rPr>
              <w:t>total_actif</w:t>
              <w:br/>
            </w:r>
            <w:r>
              <w:rPr>
                <w:sz w:val="18"/>
              </w:rPr>
              <w:t>None</w:t>
            </w:r>
          </w:p>
        </w:tc>
      </w:tr>
      <w:tr>
        <w:tc>
          <w:tcPr>
            <w:tcW w:type="dxa" w:w="2160"/>
          </w:tcPr>
          <w:p>
            <w:r/>
            <w:r>
              <w:rPr>
                <w:b/>
                <w:sz w:val="16"/>
              </w:rPr>
              <w:t>resultat_net</w:t>
              <w:br/>
            </w:r>
            <w:r>
              <w:rPr>
                <w:sz w:val="18"/>
              </w:rPr>
              <w:t>982 millions FCFA</w:t>
            </w:r>
          </w:p>
        </w:tc>
        <w:tc>
          <w:tcPr>
            <w:tcW w:type="dxa" w:w="2160"/>
          </w:tcPr>
          <w:p>
            <w:r/>
            <w:r>
              <w:rPr>
                <w:b/>
                <w:sz w:val="16"/>
              </w:rPr>
              <w:t>capitaux_propres</w:t>
              <w:br/>
            </w:r>
            <w:r>
              <w:rPr>
                <w:sz w:val="18"/>
              </w:rPr>
              <w:t>None</w:t>
            </w:r>
          </w:p>
        </w:tc>
        <w:tc>
          <w:tcPr>
            <w:tcW w:type="dxa" w:w="2160"/>
          </w:tcPr>
          <w:p>
            <w:r/>
            <w:r>
              <w:rPr>
                <w:b/>
                <w:sz w:val="16"/>
              </w:rPr>
              <w:t>chiffre_affaires</w:t>
              <w:br/>
            </w:r>
            <w:r>
              <w:rPr>
                <w:sz w:val="18"/>
              </w:rPr>
              <w:t>21 553 millions FCFA</w:t>
            </w:r>
          </w:p>
        </w:tc>
        <w:tc>
          <w:tcPr>
            <w:tcW w:type="dxa" w:w="2160"/>
          </w:tcPr>
          <w:p/>
        </w:tc>
      </w:tr>
    </w:tbl>
    <w:p/>
    <w:p>
      <w:pPr>
        <w:spacing w:before="60"/>
        <w:ind w:left="400"/>
      </w:pPr>
      <w:r>
        <w:rPr>
          <w:b/>
          <w:sz w:val="18"/>
        </w:rPr>
        <w:t>Points clés :</w:t>
      </w:r>
    </w:p>
    <w:p>
      <w:pPr>
        <w:pStyle w:val="ListBullet"/>
        <w:spacing w:before="20" w:after="20"/>
        <w:ind w:left="700"/>
      </w:pPr>
      <w:r>
        <w:rPr>
          <w:sz w:val="18"/>
        </w:rPr>
        <w:t>Croissance du chiffre d'affaires de 4,9% portée par la dynamique export et les efforts du capital humain</w:t>
      </w:r>
    </w:p>
    <w:p>
      <w:pPr>
        <w:pStyle w:val="ListBullet"/>
        <w:spacing w:before="20" w:after="20"/>
        <w:ind w:left="700"/>
      </w:pPr>
      <w:r>
        <w:rPr>
          <w:sz w:val="18"/>
        </w:rPr>
        <w:t>Dégradation de la rentabilité avec un résultat d'exploitation en baisse de 11,4%</w:t>
      </w:r>
    </w:p>
    <w:p>
      <w:pPr>
        <w:pStyle w:val="ListBullet"/>
        <w:spacing w:before="20" w:after="20"/>
        <w:ind w:left="700"/>
      </w:pPr>
      <w:r>
        <w:rPr>
          <w:sz w:val="18"/>
        </w:rPr>
        <w:t>Résultat net en recul de 14,8% à 982,5 millions FCFA</w:t>
      </w:r>
    </w:p>
    <w:p>
      <w:pPr>
        <w:pStyle w:val="ListBullet"/>
        <w:spacing w:before="20" w:after="20"/>
        <w:ind w:left="700"/>
      </w:pPr>
      <w:r>
        <w:rPr>
          <w:sz w:val="18"/>
        </w:rPr>
        <w:t>Résultat financier négatif de -53,7 millions FCFA contre +15 millions en 2021</w:t>
      </w:r>
    </w:p>
    <w:p>
      <w:pPr>
        <w:pStyle w:val="ListBullet"/>
        <w:spacing w:before="20" w:after="20"/>
        <w:ind w:left="700"/>
      </w:pPr>
      <w:r>
        <w:rPr>
          <w:sz w:val="18"/>
        </w:rPr>
        <w:t>Augmentation significative des coûts de production liés aux matières premières, énergie et fret</w:t>
      </w:r>
    </w:p>
    <w:p>
      <w:pPr>
        <w:pStyle w:val="ListBullet"/>
        <w:spacing w:before="20" w:after="20"/>
        <w:ind w:left="700"/>
      </w:pPr>
      <w:r>
        <w:rPr>
          <w:sz w:val="18"/>
        </w:rPr>
        <w:t>Impact négatif du cours du dollar sur les marges</w:t>
      </w:r>
    </w:p>
    <w:p>
      <w:pPr>
        <w:spacing w:before="40"/>
        <w:ind w:left="400"/>
      </w:pPr>
      <w:r>
        <w:rPr>
          <w:b/>
          <w:color w:val="C05000"/>
          <w:sz w:val="18"/>
        </w:rPr>
        <w:t xml:space="preserve">⚠️ Risques : </w:t>
      </w:r>
      <w:r>
        <w:rPr>
          <w:sz w:val="18"/>
        </w:rPr>
        <w:t>["Inflation g\u00e9n\u00e9ralis\u00e9e impactant durablement les co\u00fbts de production", "Tensions internationales affectant le contexte \u00e9conomique global", "Volatilit\u00e9 du cours du dollar p\u00e9nalisant les marges \u00e0 l'export"]</w:t>
      </w:r>
    </w:p>
    <w:p>
      <w:pPr>
        <w:spacing w:before="40"/>
        <w:ind w:left="400"/>
      </w:pPr>
      <w:r>
        <w:rPr>
          <w:b/>
          <w:color w:val="0064A0"/>
          <w:sz w:val="18"/>
        </w:rPr>
        <w:t xml:space="preserve">🔮 Perspectives : </w:t>
      </w:r>
      <w:r>
        <w:rPr>
          <w:sz w:val="18"/>
        </w:rPr>
        <w:t>La société anticipe une amélioration au second semestre grâce à la levée des restrictions d'exportation au Mali et aux effets de sa politique de réduction des coûts. Toutefois, l'environnement économique global reste incertain avec les tensions internationales et l'inflation généralisée qui constitu</w:t>
      </w:r>
    </w:p>
    <w:p/>
    <w:p>
      <w:r>
        <w:t>════════════════════════════════════════════════════════════════════════════════</w:t>
      </w:r>
    </w:p>
    <w:p>
      <w:r>
        <w:br w:type="page"/>
      </w:r>
    </w:p>
    <w:p>
      <w:pPr>
        <w:pStyle w:val="Heading1"/>
      </w:pPr>
      <w:r>
        <w:t>NOTES IMPORTANTES</w:t>
      </w:r>
    </w:p>
    <w:p>
      <w:r>
        <w:t>1. Les analyses techniques sont basées sur les 5 indicateurs classiques (MM, Bollinger, MACD, RSI, Stochastique).</w:t>
        <w:br/>
        <w:t>2. Les analyses fondamentales proviennent des rapports financiers officiels de la BRVM.</w:t>
        <w:br/>
        <w:t>3. Les recommandations sont générées par intelligence artificielle Multi-AI (DeepSeek, Gemini, Mistral) avec rotation automatique.</w:t>
        <w:br/>
        <w:t>4. Tous les cours et valeurs sont exprimés en FCFA (Francs CFA).</w:t>
        <w:br/>
        <w:t>5. Les prédictions sont des estimations statistiques et ne garantissent pas les performances futures.</w:t>
        <w:br/>
        <w:t>6. L'analyse de liquidité est basée sur les 30 derniers jours de transactions.</w:t>
        <w:br/>
        <w:t>7. Les matrices de convergence et de divergence sont des outils d'aide à la décision complémentaires.</w:t>
        <w:br/>
        <w:t>8. Ce document est strictement confidentiel et destiné à l'usage professionnel uniquement.</w:t>
        <w:br/>
        <w:t>9. Consultez toujours un conseiller financier agréé avant toute décision d'investissement.</w:t>
        <w:br/>
        <w:t>10. Rapport généré automatiquement - Version 30.2 Ultimate - 47 sociétés analysées.</w:t>
      </w:r>
    </w:p>
    <w:p/>
    <w:p>
      <w:pPr>
        <w:jc w:val="center"/>
      </w:pPr>
      <w:r>
        <w:rPr>
          <w:i/>
          <w:color w:val="808080"/>
          <w:sz w:val="16"/>
        </w:rPr>
        <w:t xml:space="preserve">Analyse Multi-AI - </w:t>
      </w:r>
      <w:r>
        <w:rPr>
          <w:i/>
        </w:rPr>
        <w:t xml:space="preserve">DeepSeek: 48 req | </w:t>
      </w:r>
      <w:r>
        <w:rPr>
          <w:i/>
        </w:rPr>
        <w:t xml:space="preserve">Gemini: 0 req | </w:t>
      </w:r>
      <w:r>
        <w:rPr>
          <w:i/>
        </w:rPr>
        <w:t>Mistral: 0 req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