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20/10/2026 à 09:28</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1 NEUTRE  |  0 VENTE  (sur 48 sociétés)</w:t>
      </w:r>
    </w:p>
    <w:p>
      <w:pPr>
        <w:spacing w:before="20" w:after="20"/>
        <w:ind w:left="360" w:right="360"/>
        <w:shd w:val="clear" w:color="auto" w:fill="EBF5FB"/>
      </w:pPr>
      <w:r>
        <w:rPr>
          <w:b/>
          <w:sz w:val="19"/>
        </w:rPr>
        <w:t xml:space="preserve">Top opportunité :  </w:t>
      </w:r>
      <w:r>
        <w:rPr>
          <w:color w:val="008000"/>
          <w:sz w:val="19"/>
        </w:rPr>
        <w:t>CIEC  (score 78/100)</w:t>
      </w:r>
    </w:p>
    <w:p>
      <w:pPr>
        <w:spacing w:before="20" w:after="20"/>
        <w:ind w:left="360" w:right="360"/>
        <w:shd w:val="clear" w:color="auto" w:fill="EBF5FB"/>
      </w:pPr>
      <w:r>
        <w:rPr>
          <w:b/>
          <w:sz w:val="19"/>
        </w:rPr>
        <w:t xml:space="preserve">Secteur surperformant :  </w:t>
      </w:r>
      <w:r>
        <w:rPr>
          <w:color w:val="008000"/>
          <w:sz w:val="19"/>
        </w:rPr>
        <w:t>Services Financiers  (+42.7%)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21 sociétés — vérifier avant d'investir</w:t>
      </w:r>
    </w:p>
    <w:p>
      <w:pPr>
        <w:spacing w:before="20" w:after="20"/>
        <w:ind w:left="360" w:right="360"/>
        <w:shd w:val="clear" w:color="auto" w:fill="EBF5FB"/>
      </w:pPr>
      <w:r>
        <w:rPr>
          <w:b/>
          <w:sz w:val="19"/>
        </w:rPr>
        <w:t xml:space="preserve">⚠️ Liquidité réduite :  </w:t>
      </w:r>
      <w:r>
        <w:rPr>
          <w:color w:val="C00000"/>
          <w:sz w:val="19"/>
        </w:rPr>
        <w:t>14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529.51 points </w:t>
      </w:r>
      <w:r>
        <w:rPr>
          <w:color w:val="C00000"/>
        </w:rPr>
        <w:t>(-0.58%)</w:t>
      </w:r>
      <w:r>
        <w:t xml:space="preserve"> sur la séance. </w:t>
      </w:r>
      <w:r>
        <w:t>La capitalisation globale du marché atteint 20 764,666 milliards FCFA.</w:t>
      </w:r>
    </w:p>
    <w:p/>
    <w:p>
      <w:pPr>
        <w:pStyle w:val="Heading3"/>
      </w:pPr>
      <w:r>
        <w:t>📊 Évolution de l'indice BRVM Composite (100 derniers jours)</w:t>
      </w:r>
    </w:p>
    <w:p>
      <w:r>
        <w:rPr>
          <w:b/>
        </w:rPr>
        <w:t xml:space="preserve">BRVM Composite — </w:t>
      </w:r>
      <w:r>
        <w:t xml:space="preserve">Sur les 100 derniers jours de cotation (2026-05-28 au 2026-10-19), l'indice BRVM Composite a évolué de </w:t>
      </w:r>
      <w:r>
        <w:rPr>
          <w:b/>
          <w:color w:val="008000"/>
        </w:rPr>
        <w:t>+25.24%</w:t>
      </w:r>
      <w:r>
        <w:t>, passant de 422.81 pts à 529.51 pts. Le plus haut atteint est 555.90 pts et le plus bas 422.81 pts. Sur l'ensemble de la période, la moyenne de l'indice s'établit à 495.64 pts, la médiane à 485.69 pts et le mode à 537.67 pts</w:t>
      </w:r>
      <w:r>
        <w:t xml:space="preserve"> (distribution symétrique). </w:t>
      </w:r>
      <w:r>
        <w:t xml:space="preserve">L'écart-type de 43.08 pts (CV=8.7%) traduit une modérée dispersion des cotations. Le kurtosis de -1.44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+27.40%</w:t>
      </w:r>
      <w:r>
        <w:t xml:space="preserve"> sur la période, passant de 16 298,854 Mds FCFA à 20 764,666 Mds FCFA. Le pic de capitalisation observé est de 21 529,927 Mds FCFA et le plancher de 16 298,854 Mds FCFA. La moyenne de la capitalisation sur la période s'établit à 19 164,660 Mds FCFA, la médiane à 18 710,124 Mds FCFA et le mode à 16 298,854 Mds FCFA</w:t>
      </w:r>
      <w:r>
        <w:t xml:space="preserve"> (distribution symétrique). </w:t>
      </w:r>
      <w:r>
        <w:t>L'écart-type de 1 736,935 Mds FCFA (CV=9.1%) reflète une modérée variabilité de la valorisation du marché. Le kurtosis de -1.46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3010 FCFA | </w:t>
      </w:r>
      <w:r>
        <w:rPr>
          <w:b/>
          <w:color w:val="008000"/>
        </w:rPr>
        <w:t>ACHAT</w:t>
      </w:r>
      <w:r>
        <w:t xml:space="preserve"> | Confiance: Moyen | Risque: Faible</w:t>
      </w:r>
    </w:p>
    <w:p>
      <w:pPr>
        <w:pStyle w:val="ListNumber"/>
      </w:pPr>
      <w:r>
        <w:rPr>
          <w:b/>
        </w:rPr>
        <w:t>BBGC - BRIDGE BANK GROUP COTE D'IVOIRE</w:t>
      </w:r>
      <w:r>
        <w:t xml:space="preserve"> | Prix: 10350 FCFA | </w:t>
      </w:r>
      <w:r>
        <w:rPr>
          <w:b/>
          <w:color w:val="008000"/>
        </w:rPr>
        <w:t>ACHAT</w:t>
      </w:r>
      <w:r>
        <w:t xml:space="preserve"> | Confiance: Moyen | Risque: Moyen</w:t>
      </w:r>
    </w:p>
    <w:p>
      <w:pPr>
        <w:pStyle w:val="ListNumber"/>
      </w:pPr>
      <w:r>
        <w:rPr>
          <w:b/>
        </w:rPr>
        <w:t>BICB - BIIC BN - Banque internationale pour le commerce du benin</w:t>
      </w:r>
      <w:r>
        <w:t xml:space="preserve"> | Prix: 8460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31400 FCFA | </w:t>
      </w:r>
      <w:r>
        <w:rPr>
          <w:b/>
          <w:color w:val="008000"/>
        </w:rPr>
        <w:t>ACHAT</w:t>
      </w:r>
      <w:r>
        <w:t xml:space="preserve"> | Confiance: Élevée | Risque: Moyen</w:t>
      </w:r>
    </w:p>
    <w:p>
      <w:pPr>
        <w:pStyle w:val="ListNumber"/>
      </w:pPr>
      <w:r>
        <w:rPr>
          <w:b/>
        </w:rPr>
        <w:t>BNBC - BNBC - BERNABE CI</w:t>
      </w:r>
      <w:r>
        <w:t xml:space="preserve"> | Prix: 1850 FCFA | </w:t>
      </w:r>
      <w:r>
        <w:rPr>
          <w:b/>
          <w:color w:val="008000"/>
        </w:rPr>
        <w:t>ACHAT</w:t>
      </w:r>
      <w:r>
        <w:t xml:space="preserve"> | Confiance: Faible | Risque: Faible</w:t>
      </w:r>
    </w:p>
    <w:p>
      <w:pPr>
        <w:pStyle w:val="ListNumber"/>
      </w:pPr>
      <w:r>
        <w:rPr>
          <w:b/>
        </w:rPr>
        <w:t>BOAB - BANK OF AFRICA BENIN</w:t>
      </w:r>
      <w:r>
        <w:t xml:space="preserve"> | Prix: 9200 FCFA | </w:t>
      </w:r>
      <w:r>
        <w:rPr>
          <w:b/>
          <w:color w:val="008000"/>
        </w:rPr>
        <w:t>ACHAT</w:t>
      </w:r>
      <w:r>
        <w:t xml:space="preserve"> | Confiance: Faible | Risque: Faible</w:t>
      </w:r>
    </w:p>
    <w:p>
      <w:pPr>
        <w:pStyle w:val="ListNumber"/>
      </w:pPr>
      <w:r>
        <w:rPr>
          <w:b/>
        </w:rPr>
        <w:t>BOABF - BANK OF AFRICA BURKINA FASO</w:t>
      </w:r>
      <w:r>
        <w:t xml:space="preserve"> | Prix: 7945 FCFA | </w:t>
      </w:r>
      <w:r>
        <w:rPr>
          <w:b/>
          <w:color w:val="008000"/>
        </w:rPr>
        <w:t>ACHAT</w:t>
      </w:r>
      <w:r>
        <w:t xml:space="preserve"> | Confiance: Moyen | Risque: Moyen</w:t>
      </w:r>
    </w:p>
    <w:p>
      <w:pPr>
        <w:pStyle w:val="ListNumber"/>
      </w:pPr>
      <w:r>
        <w:rPr>
          <w:b/>
        </w:rPr>
        <w:t>BOAC - BANK OF AFRICA COTE D'IVOIRE</w:t>
      </w:r>
      <w:r>
        <w:t xml:space="preserve"> | Prix: 11310 FCFA | </w:t>
      </w:r>
      <w:r>
        <w:rPr>
          <w:b/>
          <w:color w:val="008000"/>
        </w:rPr>
        <w:t>ACHAT</w:t>
      </w:r>
      <w:r>
        <w:t xml:space="preserve"> | Confiance: Élevée | Risque: Faible</w:t>
      </w:r>
    </w:p>
    <w:p>
      <w:pPr>
        <w:pStyle w:val="ListNumber"/>
      </w:pPr>
      <w:r>
        <w:rPr>
          <w:b/>
        </w:rPr>
        <w:t>BOAM - BANK OF AFRICA MALI</w:t>
      </w:r>
      <w:r>
        <w:t xml:space="preserve"> | Prix: 5700 FCFA | </w:t>
      </w:r>
      <w:r>
        <w:rPr>
          <w:b/>
          <w:color w:val="008000"/>
        </w:rPr>
        <w:t>ACHAT</w:t>
      </w:r>
      <w:r>
        <w:t xml:space="preserve"> | Confiance: Moyen | Risque: Moyen</w:t>
      </w:r>
    </w:p>
    <w:p>
      <w:pPr>
        <w:pStyle w:val="ListNumber"/>
      </w:pPr>
      <w:r>
        <w:rPr>
          <w:b/>
        </w:rPr>
        <w:t>BOAN - BANK OF AFRICA NIGER</w:t>
      </w:r>
      <w:r>
        <w:t xml:space="preserve"> | Prix: 4500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ECOC - ECOC - ECOBANK COTE D'IVOIRE</w:t>
      </w:r>
      <w:r>
        <w:t xml:space="preserve"> | Prix: 16200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42.66%</w:t>
      </w:r>
      <w:r>
        <w:t xml:space="preserve">  |  </w:t>
      </w:r>
      <w:r>
        <w:rPr>
          <w:b/>
        </w:rPr>
        <w:t xml:space="preserve">vs BRVM Composite: </w:t>
      </w:r>
      <w:r>
        <w:rPr>
          <w:b/>
          <w:color w:val="008000"/>
        </w:rPr>
        <w:t>+17.42%  🟢 Surperformance</w:t>
      </w:r>
      <w:r>
        <w:br/>
      </w:r>
      <w:r>
        <w:rPr>
          <w:b/>
        </w:rPr>
        <w:t xml:space="preserve">Sentiment général: </w:t>
      </w:r>
      <w:r>
        <w:t xml:space="preserve">ACHAT  |  </w:t>
      </w:r>
      <w:r>
        <w:rPr>
          <w:b/>
        </w:rPr>
        <w:t xml:space="preserve">Risque moyen: </w:t>
      </w:r>
      <w:r>
        <w:t xml:space="preserve">Moyen  |  </w:t>
      </w:r>
      <w:r>
        <w:rPr>
          <w:b/>
        </w:rPr>
        <w:t xml:space="preserve">Prix moyen: </w:t>
      </w:r>
      <w:r>
        <w:t>10350 FCFA</w:t>
        <w:br/>
      </w:r>
      <w:r>
        <w:rPr>
          <w:b/>
        </w:rPr>
        <w:br/>
        <w:t xml:space="preserve">Sociétés: </w:t>
      </w:r>
      <w:r>
        <w:t>BBGC (BRIDGE BANK GROUP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27.74%</w:t>
      </w:r>
      <w:r>
        <w:t xml:space="preserve">  |  </w:t>
      </w:r>
      <w:r>
        <w:rPr>
          <w:b/>
        </w:rPr>
        <w:t xml:space="preserve">vs BRVM Composite: </w:t>
      </w:r>
      <w:r>
        <w:rPr>
          <w:b/>
          <w:color w:val="008000"/>
        </w:rPr>
        <w:t>+2.50%  🟢 Surperformance</w:t>
      </w:r>
      <w:r>
        <w:br/>
      </w:r>
      <w:r>
        <w:rPr>
          <w:b/>
        </w:rPr>
        <w:t xml:space="preserve">Sentiment général: </w:t>
      </w:r>
      <w:r>
        <w:t xml:space="preserve">ACHAT  |  </w:t>
      </w:r>
      <w:r>
        <w:rPr>
          <w:b/>
        </w:rPr>
        <w:t xml:space="preserve">Risque moyen: </w:t>
      </w:r>
      <w:r>
        <w:t xml:space="preserve">Moyen  |  </w:t>
      </w:r>
      <w:r>
        <w:rPr>
          <w:b/>
        </w:rPr>
        <w:t xml:space="preserve">Prix moyen: </w:t>
      </w:r>
      <w:r>
        <w:t>22150 FCFA</w:t>
        <w:br/>
      </w:r>
      <w:r>
        <w:rPr>
          <w:b/>
        </w:rPr>
        <w:br/>
        <w:t xml:space="preserve">Sociétés: </w:t>
      </w:r>
      <w:r>
        <w:t>ONTBF (ONTBF - ONATEL BURKINA FASO), ORAC (ORAC - ORANGE COTE D'IVOIRE), SNTS (SNTS - SONATEL SN)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26.74%</w:t>
      </w:r>
      <w:r>
        <w:t xml:space="preserve">  |  </w:t>
      </w:r>
      <w:r>
        <w:rPr>
          <w:b/>
        </w:rPr>
        <w:t xml:space="preserve">vs BRVM Composite: </w:t>
      </w:r>
      <w:r>
        <w:rPr>
          <w:b/>
          <w:color w:val="008000"/>
        </w:rPr>
        <w:t>+1.50%  🟢 Surperformance</w:t>
      </w:r>
      <w:r>
        <w:br/>
      </w:r>
      <w:r>
        <w:rPr>
          <w:b/>
        </w:rPr>
        <w:t xml:space="preserve">Sentiment général: </w:t>
      </w:r>
      <w:r>
        <w:t xml:space="preserve">ACHAT  |  </w:t>
      </w:r>
      <w:r>
        <w:rPr>
          <w:b/>
        </w:rPr>
        <w:t xml:space="preserve">Risque moyen: </w:t>
      </w:r>
      <w:r>
        <w:t xml:space="preserve">Moyen  |  </w:t>
      </w:r>
      <w:r>
        <w:rPr>
          <w:b/>
        </w:rPr>
        <w:t xml:space="preserve">Prix moyen: </w:t>
      </w:r>
      <w:r>
        <w:t>9218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24.43%</w:t>
      </w:r>
      <w:r>
        <w:t xml:space="preserve">  |  </w:t>
      </w:r>
      <w:r>
        <w:rPr>
          <w:b/>
        </w:rPr>
        <w:t xml:space="preserve">vs BRVM Composite: </w:t>
      </w:r>
      <w:r>
        <w:rPr>
          <w:b/>
          <w:color w:val="C00000"/>
        </w:rPr>
        <w:t>-0.81%  🔴 Sous-performance</w:t>
      </w:r>
      <w:r>
        <w:br/>
      </w:r>
      <w:r>
        <w:rPr>
          <w:b/>
        </w:rPr>
        <w:t xml:space="preserve">Sentiment général: </w:t>
      </w:r>
      <w:r>
        <w:t xml:space="preserve">ACHAT  |  </w:t>
      </w:r>
      <w:r>
        <w:rPr>
          <w:b/>
        </w:rPr>
        <w:t xml:space="preserve">Risque moyen: </w:t>
      </w:r>
      <w:r>
        <w:t xml:space="preserve">Moyen  |  </w:t>
      </w:r>
      <w:r>
        <w:rPr>
          <w:b/>
        </w:rPr>
        <w:t xml:space="preserve">Prix moyen: </w:t>
      </w:r>
      <w:r>
        <w:t>13028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9.46%</w:t>
      </w:r>
      <w:r>
        <w:t xml:space="preserve">  |  </w:t>
      </w:r>
      <w:r>
        <w:rPr>
          <w:b/>
        </w:rPr>
        <w:t xml:space="preserve">vs BRVM Composite: </w:t>
      </w:r>
      <w:r>
        <w:rPr>
          <w:b/>
          <w:color w:val="C00000"/>
        </w:rPr>
        <w:t>-15.78%  🔴 Sous-performance</w:t>
      </w:r>
      <w:r>
        <w:br/>
      </w:r>
      <w:r>
        <w:rPr>
          <w:b/>
        </w:rPr>
        <w:t xml:space="preserve">Sentiment général: </w:t>
      </w:r>
      <w:r>
        <w:t xml:space="preserve">ACHAT  |  </w:t>
      </w:r>
      <w:r>
        <w:rPr>
          <w:b/>
        </w:rPr>
        <w:t xml:space="preserve">Risque moyen: </w:t>
      </w:r>
      <w:r>
        <w:t xml:space="preserve">Faible  |  </w:t>
      </w:r>
      <w:r>
        <w:rPr>
          <w:b/>
        </w:rPr>
        <w:t xml:space="preserve">Prix moyen: </w:t>
      </w:r>
      <w:r>
        <w:t>5974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9.30%</w:t>
      </w:r>
      <w:r>
        <w:t xml:space="preserve">  |  </w:t>
      </w:r>
      <w:r>
        <w:rPr>
          <w:b/>
        </w:rPr>
        <w:t xml:space="preserve">vs BRVM Composite: </w:t>
      </w:r>
      <w:r>
        <w:rPr>
          <w:b/>
          <w:color w:val="C00000"/>
        </w:rPr>
        <w:t>-15.93%  🔴 Sous-performance</w:t>
      </w:r>
      <w:r>
        <w:br/>
      </w:r>
      <w:r>
        <w:rPr>
          <w:b/>
        </w:rPr>
        <w:t xml:space="preserve">Sentiment général: </w:t>
      </w:r>
      <w:r>
        <w:t xml:space="preserve">ACHAT  |  </w:t>
      </w:r>
      <w:r>
        <w:rPr>
          <w:b/>
        </w:rPr>
        <w:t xml:space="preserve">Risque moyen: </w:t>
      </w:r>
      <w:r>
        <w:t xml:space="preserve">Faible  |  </w:t>
      </w:r>
      <w:r>
        <w:rPr>
          <w:b/>
        </w:rPr>
        <w:t xml:space="preserve">Prix moyen: </w:t>
      </w:r>
      <w:r>
        <w:t>18053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5.94%</w:t>
      </w:r>
      <w:r>
        <w:t xml:space="preserve">  |  </w:t>
      </w:r>
      <w:r>
        <w:rPr>
          <w:b/>
        </w:rPr>
        <w:t xml:space="preserve">vs BRVM Composite: </w:t>
      </w:r>
      <w:r>
        <w:rPr>
          <w:b/>
          <w:color w:val="C00000"/>
        </w:rPr>
        <w:t>-19.30%  🔴 Sous-performance</w:t>
      </w:r>
      <w:r>
        <w:br/>
      </w:r>
      <w:r>
        <w:rPr>
          <w:b/>
        </w:rPr>
        <w:t xml:space="preserve">Sentiment général: </w:t>
      </w:r>
      <w:r>
        <w:t xml:space="preserve">ACHAT  |  </w:t>
      </w:r>
      <w:r>
        <w:rPr>
          <w:b/>
        </w:rPr>
        <w:t xml:space="preserve">Risque moyen: </w:t>
      </w:r>
      <w:r>
        <w:t xml:space="preserve">Faible  |  </w:t>
      </w:r>
      <w:r>
        <w:rPr>
          <w:b/>
        </w:rPr>
        <w:t xml:space="preserve">Prix moyen: </w:t>
      </w:r>
      <w:r>
        <w:t>2669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-9.65%</w:t>
      </w:r>
      <w:r>
        <w:t xml:space="preserve">  |  </w:t>
      </w:r>
      <w:r>
        <w:rPr>
          <w:b/>
        </w:rPr>
        <w:t xml:space="preserve">vs BRVM Composite: </w:t>
      </w:r>
      <w:r>
        <w:rPr>
          <w:b/>
          <w:color w:val="C00000"/>
        </w:rPr>
        <w:t>-34.89%  🔴 Sous-performance</w:t>
      </w:r>
      <w:r>
        <w:br/>
      </w:r>
      <w:r>
        <w:rPr>
          <w:b/>
        </w:rPr>
        <w:t xml:space="preserve">Sentiment général: </w:t>
      </w:r>
      <w:r>
        <w:t xml:space="preserve">ACHAT  |  </w:t>
      </w:r>
      <w:r>
        <w:rPr>
          <w:b/>
        </w:rPr>
        <w:t xml:space="preserve">Risque moyen: </w:t>
      </w:r>
      <w:r>
        <w:t xml:space="preserve">Faible  |  </w:t>
      </w:r>
      <w:r>
        <w:rPr>
          <w:b/>
        </w:rPr>
        <w:t xml:space="preserve">Prix moyen: </w:t>
      </w:r>
      <w:r>
        <w:t>2294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BOAC, CIEC, SDSC, SGBC, SLBC, SNTS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BBGC, BOABF, BOAM, BOAN, CABC, LNBB, NEIC, ONTBF, ORAC, PRSC, SAFC, SCRC, SEMC, SHEC, SICC, STAC, STBC,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 BOAS, CBIBF, CFAC, ETIT, FTSC, NSBC, NTLC, ORGT, PALC, SDCC, SIBC, SIVC, SMBC, SOGC, SPHC, TTLC, UNLC</w:t>
            </w:r>
          </w:p>
        </w:tc>
        <w:tc>
          <w:tcPr>
            <w:tcW w:type="dxa" w:w="2160"/>
            <w:shd w:fill="FFC7CE" w:val="clear"/>
          </w:tcPr>
          <w:p>
            <w:pPr>
              <w:spacing w:before="40" w:after="40"/>
            </w:pPr>
            <w:r/>
            <w:r>
              <w:rPr>
                <w:b w:val="0"/>
                <w:sz w:val="16"/>
              </w:rPr>
              <w:t>ECOC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1004641</w:t>
            </w:r>
          </w:p>
        </w:tc>
        <w:tc>
          <w:tcPr>
            <w:tcW w:type="dxa" w:w="1728"/>
          </w:tcPr>
          <w:p>
            <w:r>
              <w:t>66755383 FCFA</w:t>
            </w:r>
          </w:p>
        </w:tc>
        <w:tc>
          <w:tcPr>
            <w:tcW w:type="dxa" w:w="1728"/>
          </w:tcPr>
          <w:p>
            <w:r>
              <w:t>116.67%</w:t>
            </w:r>
          </w:p>
        </w:tc>
        <w:tc>
          <w:tcPr>
            <w:tcW w:type="dxa" w:w="1728"/>
          </w:tcPr>
          <w:p>
            <w:r>
              <w:t>ACHAT</w:t>
            </w:r>
          </w:p>
        </w:tc>
      </w:tr>
      <w:tr>
        <w:tc>
          <w:tcPr>
            <w:tcW w:type="dxa" w:w="1728"/>
          </w:tcPr>
          <w:p>
            <w:r>
              <w:t>SNTS (SNTS - SONATEL SN)</w:t>
            </w:r>
          </w:p>
        </w:tc>
        <w:tc>
          <w:tcPr>
            <w:tcW w:type="dxa" w:w="1728"/>
          </w:tcPr>
          <w:p>
            <w:r>
              <w:t>27618</w:t>
            </w:r>
          </w:p>
        </w:tc>
        <w:tc>
          <w:tcPr>
            <w:tcW w:type="dxa" w:w="1728"/>
          </w:tcPr>
          <w:p>
            <w:r>
              <w:t>1201737966 FCFA</w:t>
            </w:r>
          </w:p>
        </w:tc>
        <w:tc>
          <w:tcPr>
            <w:tcW w:type="dxa" w:w="1728"/>
          </w:tcPr>
          <w:p>
            <w:r>
              <w:t>51.77%</w:t>
            </w:r>
          </w:p>
        </w:tc>
        <w:tc>
          <w:tcPr>
            <w:tcW w:type="dxa" w:w="1728"/>
          </w:tcPr>
          <w:p>
            <w:r>
              <w:t>ACHAT</w:t>
            </w:r>
          </w:p>
        </w:tc>
      </w:tr>
      <w:tr>
        <w:tc>
          <w:tcPr>
            <w:tcW w:type="dxa" w:w="1728"/>
          </w:tcPr>
          <w:p>
            <w:r>
              <w:t>BBGC (BRIDGE BANK GROUP COTE D'IVOIRE)</w:t>
            </w:r>
          </w:p>
        </w:tc>
        <w:tc>
          <w:tcPr>
            <w:tcW w:type="dxa" w:w="1728"/>
          </w:tcPr>
          <w:p>
            <w:r>
              <w:t>26745</w:t>
            </w:r>
          </w:p>
        </w:tc>
        <w:tc>
          <w:tcPr>
            <w:tcW w:type="dxa" w:w="1728"/>
          </w:tcPr>
          <w:p>
            <w:r>
              <w:t>251648074 FCFA</w:t>
            </w:r>
          </w:p>
        </w:tc>
        <w:tc>
          <w:tcPr>
            <w:tcW w:type="dxa" w:w="1728"/>
          </w:tcPr>
          <w:p>
            <w:r>
              <w:t>42.66%</w:t>
            </w:r>
          </w:p>
        </w:tc>
        <w:tc>
          <w:tcPr>
            <w:tcW w:type="dxa" w:w="1728"/>
          </w:tcPr>
          <w:p>
            <w:r>
              <w:t>ACHAT</w:t>
            </w:r>
          </w:p>
        </w:tc>
      </w:tr>
      <w:tr>
        <w:tc>
          <w:tcPr>
            <w:tcW w:type="dxa" w:w="1728"/>
          </w:tcPr>
          <w:p>
            <w:r>
              <w:t>SDSC (SDSC - AFRICA GLOBAL LOGISTICS CI)</w:t>
            </w:r>
          </w:p>
        </w:tc>
        <w:tc>
          <w:tcPr>
            <w:tcW w:type="dxa" w:w="1728"/>
          </w:tcPr>
          <w:p>
            <w:r>
              <w:t>11978</w:t>
            </w:r>
          </w:p>
        </w:tc>
        <w:tc>
          <w:tcPr>
            <w:tcW w:type="dxa" w:w="1728"/>
          </w:tcPr>
          <w:p>
            <w:r>
              <w:t>34632173 FCFA</w:t>
            </w:r>
          </w:p>
        </w:tc>
        <w:tc>
          <w:tcPr>
            <w:tcW w:type="dxa" w:w="1728"/>
          </w:tcPr>
          <w:p>
            <w:r>
              <w:t>63.71%</w:t>
            </w:r>
          </w:p>
        </w:tc>
        <w:tc>
          <w:tcPr>
            <w:tcW w:type="dxa" w:w="1728"/>
          </w:tcPr>
          <w:p>
            <w:r>
              <w:t>ACHAT</w:t>
            </w:r>
          </w:p>
        </w:tc>
      </w:tr>
      <w:tr>
        <w:tc>
          <w:tcPr>
            <w:tcW w:type="dxa" w:w="1728"/>
          </w:tcPr>
          <w:p>
            <w:r>
              <w:t>SIBC (SIBC - SOCIETE IVOIRIENNE DE BANQUE)</w:t>
            </w:r>
          </w:p>
        </w:tc>
        <w:tc>
          <w:tcPr>
            <w:tcW w:type="dxa" w:w="1728"/>
          </w:tcPr>
          <w:p>
            <w:r>
              <w:t>11400</w:t>
            </w:r>
          </w:p>
        </w:tc>
        <w:tc>
          <w:tcPr>
            <w:tcW w:type="dxa" w:w="1728"/>
          </w:tcPr>
          <w:p>
            <w:r>
              <w:t>101676105 FCFA</w:t>
            </w:r>
          </w:p>
        </w:tc>
        <w:tc>
          <w:tcPr>
            <w:tcW w:type="dxa" w:w="1728"/>
          </w:tcPr>
          <w:p>
            <w:r>
              <w:t>11.79%</w:t>
            </w:r>
          </w:p>
        </w:tc>
        <w:tc>
          <w:tcPr>
            <w:tcW w:type="dxa" w:w="1728"/>
          </w:tcPr>
          <w:p>
            <w:r>
              <w:t>ACHAT</w:t>
            </w:r>
          </w:p>
        </w:tc>
      </w:tr>
      <w:tr>
        <w:tc>
          <w:tcPr>
            <w:tcW w:type="dxa" w:w="1728"/>
          </w:tcPr>
          <w:p>
            <w:r>
              <w:t>BOAS (BANK OF AFRICA SENEGAL)</w:t>
            </w:r>
          </w:p>
        </w:tc>
        <w:tc>
          <w:tcPr>
            <w:tcW w:type="dxa" w:w="1728"/>
          </w:tcPr>
          <w:p>
            <w:r>
              <w:t>11371</w:t>
            </w:r>
          </w:p>
        </w:tc>
        <w:tc>
          <w:tcPr>
            <w:tcW w:type="dxa" w:w="1728"/>
          </w:tcPr>
          <w:p>
            <w:r>
              <w:t>91636875 FCFA</w:t>
            </w:r>
          </w:p>
        </w:tc>
        <w:tc>
          <w:tcPr>
            <w:tcW w:type="dxa" w:w="1728"/>
          </w:tcPr>
          <w:p>
            <w:r>
              <w:t>11.72%</w:t>
            </w:r>
          </w:p>
        </w:tc>
        <w:tc>
          <w:tcPr>
            <w:tcW w:type="dxa" w:w="1728"/>
          </w:tcPr>
          <w:p>
            <w:r>
              <w:t>ACHAT</w:t>
            </w:r>
          </w:p>
        </w:tc>
      </w:tr>
      <w:tr>
        <w:tc>
          <w:tcPr>
            <w:tcW w:type="dxa" w:w="1728"/>
          </w:tcPr>
          <w:p>
            <w:r>
              <w:t>SCRC (SCRC - SUCRIVOIRE)</w:t>
            </w:r>
          </w:p>
        </w:tc>
        <w:tc>
          <w:tcPr>
            <w:tcW w:type="dxa" w:w="1728"/>
          </w:tcPr>
          <w:p>
            <w:r>
              <w:t>10739</w:t>
            </w:r>
          </w:p>
        </w:tc>
        <w:tc>
          <w:tcPr>
            <w:tcW w:type="dxa" w:w="1728"/>
          </w:tcPr>
          <w:p>
            <w:r>
              <w:t>29133717 FCFA</w:t>
            </w:r>
          </w:p>
        </w:tc>
        <w:tc>
          <w:tcPr>
            <w:tcW w:type="dxa" w:w="1728"/>
          </w:tcPr>
          <w:p>
            <w:r>
              <w:t>-6.32%</w:t>
            </w:r>
          </w:p>
        </w:tc>
        <w:tc>
          <w:tcPr>
            <w:tcW w:type="dxa" w:w="1728"/>
          </w:tcPr>
          <w:p>
            <w:r>
              <w:t>ACHAT</w:t>
            </w:r>
          </w:p>
        </w:tc>
      </w:tr>
      <w:tr>
        <w:tc>
          <w:tcPr>
            <w:tcW w:type="dxa" w:w="1728"/>
          </w:tcPr>
          <w:p>
            <w:r>
              <w:t>BOAC (BANK OF AFRICA COTE D'IVOIRE)</w:t>
            </w:r>
          </w:p>
        </w:tc>
        <w:tc>
          <w:tcPr>
            <w:tcW w:type="dxa" w:w="1728"/>
          </w:tcPr>
          <w:p>
            <w:r>
              <w:t>9738</w:t>
            </w:r>
          </w:p>
        </w:tc>
        <w:tc>
          <w:tcPr>
            <w:tcW w:type="dxa" w:w="1728"/>
          </w:tcPr>
          <w:p>
            <w:r>
              <w:t>109377204 FCFA</w:t>
            </w:r>
          </w:p>
        </w:tc>
        <w:tc>
          <w:tcPr>
            <w:tcW w:type="dxa" w:w="1728"/>
          </w:tcPr>
          <w:p>
            <w:r>
              <w:t>27.87%</w:t>
            </w:r>
          </w:p>
        </w:tc>
        <w:tc>
          <w:tcPr>
            <w:tcW w:type="dxa" w:w="1728"/>
          </w:tcPr>
          <w:p>
            <w:r>
              <w:t>ACHAT</w:t>
            </w:r>
          </w:p>
        </w:tc>
      </w:tr>
      <w:tr>
        <w:tc>
          <w:tcPr>
            <w:tcW w:type="dxa" w:w="1728"/>
          </w:tcPr>
          <w:p>
            <w:r>
              <w:t>UNXC (UNXC - UNIWAX COTE D'IVOIRE)</w:t>
            </w:r>
          </w:p>
        </w:tc>
        <w:tc>
          <w:tcPr>
            <w:tcW w:type="dxa" w:w="1728"/>
          </w:tcPr>
          <w:p>
            <w:r>
              <w:t>9171</w:t>
            </w:r>
          </w:p>
        </w:tc>
        <w:tc>
          <w:tcPr>
            <w:tcW w:type="dxa" w:w="1728"/>
          </w:tcPr>
          <w:p>
            <w:r>
              <w:t>21016587 FCFA</w:t>
            </w:r>
          </w:p>
        </w:tc>
        <w:tc>
          <w:tcPr>
            <w:tcW w:type="dxa" w:w="1728"/>
          </w:tcPr>
          <w:p>
            <w:r>
              <w:t>18.93%</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TTLC (TTLC - TOTAL ENERGIES MARKETING COTE D'IVOIRE)</w:t>
            </w:r>
          </w:p>
        </w:tc>
        <w:tc>
          <w:tcPr>
            <w:tcW w:type="dxa" w:w="1728"/>
          </w:tcPr>
          <w:p>
            <w:r>
              <w:t>3404</w:t>
            </w:r>
          </w:p>
        </w:tc>
        <w:tc>
          <w:tcPr>
            <w:tcW w:type="dxa" w:w="1728"/>
          </w:tcPr>
          <w:p>
            <w:r>
              <w:t>10412428 FCFA</w:t>
            </w:r>
          </w:p>
        </w:tc>
        <w:tc>
          <w:tcPr>
            <w:tcW w:type="dxa" w:w="1728"/>
          </w:tcPr>
          <w:p>
            <w:r>
              <w:t>-0.17%</w:t>
            </w:r>
          </w:p>
        </w:tc>
        <w:tc>
          <w:tcPr>
            <w:tcW w:type="dxa" w:w="1728"/>
          </w:tcPr>
          <w:p>
            <w:r>
              <w:t>ACHAT</w:t>
            </w:r>
          </w:p>
        </w:tc>
      </w:tr>
      <w:tr>
        <w:tc>
          <w:tcPr>
            <w:tcW w:type="dxa" w:w="1728"/>
          </w:tcPr>
          <w:p>
            <w:r>
              <w:t>SIVC (SIVC - ERIUM CI (Ex AIR LIQUIDECI))</w:t>
            </w:r>
          </w:p>
        </w:tc>
        <w:tc>
          <w:tcPr>
            <w:tcW w:type="dxa" w:w="1728"/>
          </w:tcPr>
          <w:p>
            <w:r>
              <w:t>3095</w:t>
            </w:r>
          </w:p>
        </w:tc>
        <w:tc>
          <w:tcPr>
            <w:tcW w:type="dxa" w:w="1728"/>
          </w:tcPr>
          <w:p>
            <w:r>
              <w:t>6142725 FCFA</w:t>
            </w:r>
          </w:p>
        </w:tc>
        <w:tc>
          <w:tcPr>
            <w:tcW w:type="dxa" w:w="1728"/>
          </w:tcPr>
          <w:p>
            <w:r>
              <w:t>-38.09%</w:t>
            </w:r>
          </w:p>
        </w:tc>
        <w:tc>
          <w:tcPr>
            <w:tcW w:type="dxa" w:w="1728"/>
          </w:tcPr>
          <w:p>
            <w:r>
              <w:t>ACHAT</w:t>
            </w:r>
          </w:p>
        </w:tc>
      </w:tr>
      <w:tr>
        <w:tc>
          <w:tcPr>
            <w:tcW w:type="dxa" w:w="1728"/>
          </w:tcPr>
          <w:p>
            <w:r>
              <w:t>ORGT (ORGT - ORAGROUP TOGO)</w:t>
            </w:r>
          </w:p>
        </w:tc>
        <w:tc>
          <w:tcPr>
            <w:tcW w:type="dxa" w:w="1728"/>
          </w:tcPr>
          <w:p>
            <w:r>
              <w:t>3019</w:t>
            </w:r>
          </w:p>
        </w:tc>
        <w:tc>
          <w:tcPr>
            <w:tcW w:type="dxa" w:w="1728"/>
          </w:tcPr>
          <w:p>
            <w:r>
              <w:t>8792809 FCFA</w:t>
            </w:r>
          </w:p>
        </w:tc>
        <w:tc>
          <w:tcPr>
            <w:tcW w:type="dxa" w:w="1728"/>
          </w:tcPr>
          <w:p>
            <w:r>
              <w:t>2.01%</w:t>
            </w:r>
          </w:p>
        </w:tc>
        <w:tc>
          <w:tcPr>
            <w:tcW w:type="dxa" w:w="1728"/>
          </w:tcPr>
          <w:p>
            <w:r>
              <w:t>ACHAT</w:t>
            </w:r>
          </w:p>
        </w:tc>
      </w:tr>
      <w:tr>
        <w:tc>
          <w:tcPr>
            <w:tcW w:type="dxa" w:w="1728"/>
          </w:tcPr>
          <w:p>
            <w:r>
              <w:t>FTSC (FTSC - FILTISAC COTE D'IVOIRE)</w:t>
            </w:r>
          </w:p>
        </w:tc>
        <w:tc>
          <w:tcPr>
            <w:tcW w:type="dxa" w:w="1728"/>
          </w:tcPr>
          <w:p>
            <w:r>
              <w:t>2733</w:t>
            </w:r>
          </w:p>
        </w:tc>
        <w:tc>
          <w:tcPr>
            <w:tcW w:type="dxa" w:w="1728"/>
          </w:tcPr>
          <w:p>
            <w:r>
              <w:t>5249492 FCFA</w:t>
            </w:r>
          </w:p>
        </w:tc>
        <w:tc>
          <w:tcPr>
            <w:tcW w:type="dxa" w:w="1728"/>
          </w:tcPr>
          <w:p>
            <w:r>
              <w:t>-19.96%</w:t>
            </w:r>
          </w:p>
        </w:tc>
        <w:tc>
          <w:tcPr>
            <w:tcW w:type="dxa" w:w="1728"/>
          </w:tcPr>
          <w:p>
            <w:r>
              <w:t>ACHAT</w:t>
            </w:r>
          </w:p>
        </w:tc>
      </w:tr>
      <w:tr>
        <w:tc>
          <w:tcPr>
            <w:tcW w:type="dxa" w:w="1728"/>
          </w:tcPr>
          <w:p>
            <w:r>
              <w:t>SOGC (SOGC - Société des caoutchoucs de Grand-Béréby)</w:t>
            </w:r>
          </w:p>
        </w:tc>
        <w:tc>
          <w:tcPr>
            <w:tcW w:type="dxa" w:w="1728"/>
          </w:tcPr>
          <w:p>
            <w:r>
              <w:t>2630</w:t>
            </w:r>
          </w:p>
        </w:tc>
        <w:tc>
          <w:tcPr>
            <w:tcW w:type="dxa" w:w="1728"/>
          </w:tcPr>
          <w:p>
            <w:r>
              <w:t>20519504 FCFA</w:t>
            </w:r>
          </w:p>
        </w:tc>
        <w:tc>
          <w:tcPr>
            <w:tcW w:type="dxa" w:w="1728"/>
          </w:tcPr>
          <w:p>
            <w:r>
              <w:t>1.76%</w:t>
            </w:r>
          </w:p>
        </w:tc>
        <w:tc>
          <w:tcPr>
            <w:tcW w:type="dxa" w:w="1728"/>
          </w:tcPr>
          <w:p>
            <w:r>
              <w:t>ACHAT</w:t>
            </w:r>
          </w:p>
        </w:tc>
      </w:tr>
      <w:tr>
        <w:tc>
          <w:tcPr>
            <w:tcW w:type="dxa" w:w="1728"/>
          </w:tcPr>
          <w:p>
            <w:r>
              <w:t>CFAC (CFAC - CFAO MOTORS CI)</w:t>
            </w:r>
          </w:p>
        </w:tc>
        <w:tc>
          <w:tcPr>
            <w:tcW w:type="dxa" w:w="1728"/>
          </w:tcPr>
          <w:p>
            <w:r>
              <w:t>2601</w:t>
            </w:r>
          </w:p>
        </w:tc>
        <w:tc>
          <w:tcPr>
            <w:tcW w:type="dxa" w:w="1728"/>
          </w:tcPr>
          <w:p>
            <w:r>
              <w:t>3859373 FCFA</w:t>
            </w:r>
          </w:p>
        </w:tc>
        <w:tc>
          <w:tcPr>
            <w:tcW w:type="dxa" w:w="1728"/>
          </w:tcPr>
          <w:p>
            <w:r>
              <w:t>-3.70%</w:t>
            </w:r>
          </w:p>
        </w:tc>
        <w:tc>
          <w:tcPr>
            <w:tcW w:type="dxa" w:w="1728"/>
          </w:tcPr>
          <w:p>
            <w:r>
              <w:t>ACHAT</w:t>
            </w:r>
          </w:p>
        </w:tc>
      </w:tr>
      <w:tr>
        <w:tc>
          <w:tcPr>
            <w:tcW w:type="dxa" w:w="1728"/>
          </w:tcPr>
          <w:p>
            <w:r>
              <w:t>ECOC (ECOC - ECOBANK COTE D'IVOIRE)</w:t>
            </w:r>
          </w:p>
        </w:tc>
        <w:tc>
          <w:tcPr>
            <w:tcW w:type="dxa" w:w="1728"/>
          </w:tcPr>
          <w:p>
            <w:r>
              <w:t>2587</w:t>
            </w:r>
          </w:p>
        </w:tc>
        <w:tc>
          <w:tcPr>
            <w:tcW w:type="dxa" w:w="1728"/>
          </w:tcPr>
          <w:p>
            <w:r>
              <w:t>42892680 FCFA</w:t>
            </w:r>
          </w:p>
        </w:tc>
        <w:tc>
          <w:tcPr>
            <w:tcW w:type="dxa" w:w="1728"/>
          </w:tcPr>
          <w:p>
            <w:r>
              <w:t>-0.61%</w:t>
            </w:r>
          </w:p>
        </w:tc>
        <w:tc>
          <w:tcPr>
            <w:tcW w:type="dxa" w:w="1728"/>
          </w:tcPr>
          <w:p>
            <w:r>
              <w:t>CONSERVER ⚠️</w:t>
            </w:r>
          </w:p>
        </w:tc>
      </w:tr>
      <w:tr>
        <w:tc>
          <w:tcPr>
            <w:tcW w:type="dxa" w:w="1728"/>
          </w:tcPr>
          <w:p>
            <w:r>
              <w:t>NEIC (NEIC - NEI-CEDA CI)</w:t>
            </w:r>
          </w:p>
        </w:tc>
        <w:tc>
          <w:tcPr>
            <w:tcW w:type="dxa" w:w="1728"/>
          </w:tcPr>
          <w:p>
            <w:r>
              <w:t>2528</w:t>
            </w:r>
          </w:p>
        </w:tc>
        <w:tc>
          <w:tcPr>
            <w:tcW w:type="dxa" w:w="1728"/>
          </w:tcPr>
          <w:p>
            <w:r>
              <w:t>5616366 FCFA</w:t>
            </w:r>
          </w:p>
        </w:tc>
        <w:tc>
          <w:tcPr>
            <w:tcW w:type="dxa" w:w="1728"/>
          </w:tcPr>
          <w:p>
            <w:r>
              <w:t>10.00%</w:t>
            </w:r>
          </w:p>
        </w:tc>
        <w:tc>
          <w:tcPr>
            <w:tcW w:type="dxa" w:w="1728"/>
          </w:tcPr>
          <w:p>
            <w:r>
              <w:t>ACHAT</w:t>
            </w:r>
          </w:p>
        </w:tc>
      </w:tr>
      <w:tr>
        <w:tc>
          <w:tcPr>
            <w:tcW w:type="dxa" w:w="1728"/>
          </w:tcPr>
          <w:p>
            <w:r>
              <w:t>ABJC (ABJC - SERVAIR ABIDJAN CI)</w:t>
            </w:r>
          </w:p>
        </w:tc>
        <w:tc>
          <w:tcPr>
            <w:tcW w:type="dxa" w:w="1728"/>
          </w:tcPr>
          <w:p>
            <w:r>
              <w:t>2144</w:t>
            </w:r>
          </w:p>
        </w:tc>
        <w:tc>
          <w:tcPr>
            <w:tcW w:type="dxa" w:w="1728"/>
          </w:tcPr>
          <w:p>
            <w:r>
              <w:t>7721780 FCFA</w:t>
            </w:r>
          </w:p>
        </w:tc>
        <w:tc>
          <w:tcPr>
            <w:tcW w:type="dxa" w:w="1728"/>
          </w:tcPr>
          <w:p>
            <w:r>
              <w:t>0.33%</w:t>
            </w:r>
          </w:p>
        </w:tc>
        <w:tc>
          <w:tcPr>
            <w:tcW w:type="dxa" w:w="1728"/>
          </w:tcPr>
          <w:p>
            <w:r>
              <w:t>ACHAT</w:t>
            </w:r>
          </w:p>
        </w:tc>
      </w:tr>
      <w:tr>
        <w:tc>
          <w:tcPr>
            <w:tcW w:type="dxa" w:w="1728"/>
          </w:tcPr>
          <w:p>
            <w:r>
              <w:t>BNBC (BNBC - BERNABE CI)</w:t>
            </w:r>
          </w:p>
        </w:tc>
        <w:tc>
          <w:tcPr>
            <w:tcW w:type="dxa" w:w="1728"/>
          </w:tcPr>
          <w:p>
            <w:r>
              <w:t>1812</w:t>
            </w:r>
          </w:p>
        </w:tc>
        <w:tc>
          <w:tcPr>
            <w:tcW w:type="dxa" w:w="1728"/>
          </w:tcPr>
          <w:p>
            <w:r>
              <w:t>3384014 FCFA</w:t>
            </w:r>
          </w:p>
        </w:tc>
        <w:tc>
          <w:tcPr>
            <w:tcW w:type="dxa" w:w="1728"/>
          </w:tcPr>
          <w:p>
            <w:r>
              <w:t>16.72%</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BNBC - BNBC - BERNABE CI</w:t>
      </w:r>
    </w:p>
    <w:p>
      <w:r>
        <w:rPr>
          <w:b/>
        </w:rPr>
        <w:t xml:space="preserve">Score de divergence: </w:t>
      </w:r>
      <w:r>
        <w:t>5/8</w:t>
        <w:br/>
      </w:r>
      <w:r>
        <w:rPr>
          <w:b/>
        </w:rPr>
        <w:t xml:space="preserve">Description: </w:t>
      </w:r>
      <w:r>
        <w:t>Signaux de vente: MM, MACD | Recommandation finale: ACHAT</w:t>
        <w:br/>
      </w:r>
    </w:p>
    <w:p/>
    <w:p>
      <w:pPr>
        <w:pStyle w:val="Heading3"/>
      </w:pPr>
      <w:r>
        <w:t>2. BOAB - BANK OF AFRICA BENIN</w:t>
      </w:r>
    </w:p>
    <w:p>
      <w:r>
        <w:rPr>
          <w:b/>
        </w:rPr>
        <w:t xml:space="preserve">Score de divergence: </w:t>
      </w:r>
      <w:r>
        <w:t>5/8</w:t>
        <w:br/>
      </w:r>
      <w:r>
        <w:rPr>
          <w:b/>
        </w:rPr>
        <w:t xml:space="preserve">Description: </w:t>
      </w:r>
      <w:r>
        <w:t>Signaux de vente: MM, MACD | Recommandation finale: ACHAT</w:t>
        <w:br/>
      </w:r>
    </w:p>
    <w:p/>
    <w:p>
      <w:pPr>
        <w:pStyle w:val="Heading3"/>
      </w:pPr>
      <w:r>
        <w:t>3. CBIBF - CBIBF - CORIS BANK INTERNATIONAL BURKINA FASO</w:t>
      </w:r>
    </w:p>
    <w:p>
      <w:r>
        <w:rPr>
          <w:b/>
        </w:rPr>
        <w:t xml:space="preserve">Score de divergence: </w:t>
      </w:r>
      <w:r>
        <w:t>5/8</w:t>
        <w:br/>
      </w:r>
      <w:r>
        <w:rPr>
          <w:b/>
        </w:rPr>
        <w:t xml:space="preserve">Description: </w:t>
      </w:r>
      <w:r>
        <w:t>Signaux de vente: MM, MACD | Recommandation finale: ACHAT</w:t>
        <w:br/>
      </w:r>
    </w:p>
    <w:p/>
    <w:p>
      <w:pPr>
        <w:pStyle w:val="Heading3"/>
      </w:pPr>
      <w:r>
        <w:t>4. CFAC - CFAC - CFAO MOTORS CI</w:t>
      </w:r>
    </w:p>
    <w:p>
      <w:r>
        <w:rPr>
          <w:b/>
        </w:rPr>
        <w:t xml:space="preserve">Score de divergence: </w:t>
      </w:r>
      <w:r>
        <w:t>5/8</w:t>
        <w:br/>
      </w:r>
      <w:r>
        <w:rPr>
          <w:b/>
        </w:rPr>
        <w:t xml:space="preserve">Description: </w:t>
      </w:r>
      <w:r>
        <w:t>Signaux de vente: MM, MACD | Recommandation finale: ACHAT</w:t>
        <w:br/>
      </w:r>
    </w:p>
    <w:p/>
    <w:p>
      <w:pPr>
        <w:pStyle w:val="Heading3"/>
      </w:pPr>
      <w:r>
        <w:t>5. SDCC - SDCC - Société de Distribution d'Eau de Côte d'Ivoire</w:t>
      </w:r>
    </w:p>
    <w:p>
      <w:r>
        <w:rPr>
          <w:b/>
        </w:rPr>
        <w:t xml:space="preserve">Score de divergence: </w:t>
      </w:r>
      <w:r>
        <w:t>5/8</w:t>
        <w:br/>
      </w:r>
      <w:r>
        <w:rPr>
          <w:b/>
        </w:rPr>
        <w:t xml:space="preserve">Description: </w:t>
      </w:r>
      <w:r>
        <w:t>Signaux de vente: MM, MACD | Recommandation finale: ACHAT</w:t>
        <w:br/>
      </w:r>
    </w:p>
    <w:p/>
    <w:p>
      <w:pPr>
        <w:pStyle w:val="Heading3"/>
      </w:pPr>
      <w:r>
        <w:t>6. BICB - BIIC BN - Banque internationale pour le commerce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BOAS - BANK OF AFRICA SENEGAL</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ETIT - ETIT - Ecobank Transnational Incorporated Togo</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FTSC - FTSC - FILTISAC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NSBC - NSBC - NSIA BANQUE COTE D'IVOIRE</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30</w:t>
            </w:r>
          </w:p>
        </w:tc>
        <w:tc>
          <w:tcPr>
            <w:tcW w:type="dxa" w:w="2160"/>
          </w:tcPr>
          <w:p>
            <w:r>
              <w:t>0</w:t>
            </w:r>
          </w:p>
        </w:tc>
      </w:tr>
      <w:tr>
        <w:tc>
          <w:tcPr>
            <w:tcW w:type="dxa" w:w="2160"/>
          </w:tcPr>
          <w:p>
            <w:r>
              <w:t>Risque Moyen</w:t>
            </w:r>
          </w:p>
        </w:tc>
        <w:tc>
          <w:tcPr>
            <w:tcW w:type="dxa" w:w="2160"/>
          </w:tcPr>
          <w:p>
            <w:r>
              <w:t>0</w:t>
            </w:r>
          </w:p>
        </w:tc>
        <w:tc>
          <w:tcPr>
            <w:tcW w:type="dxa" w:w="2160"/>
          </w:tcPr>
          <w:p>
            <w:r>
              <w:t>18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NSBC (NSBC - NSIA BANQUE COTE D'IVOIRE)</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BBGC (BRIDGE BANK GROUP COTE D'IVOIRE)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ORAC (ORAC - ORANGE COTE D'IVOIRE)</w:t>
      </w:r>
    </w:p>
    <w:p>
      <w:pPr>
        <w:pStyle w:val="ListBullet"/>
      </w:pPr>
      <w:r>
        <w:t>• SAFC (SAFCA CI)</w:t>
      </w:r>
    </w:p>
    <w:p>
      <w:pPr>
        <w:pStyle w:val="ListBullet"/>
      </w:pPr>
      <w:r>
        <w:t>• SCRC (SCRC - SUCRIVOIRE)</w:t>
      </w:r>
    </w:p>
    <w:p>
      <w:pPr>
        <w:pStyle w:val="ListBullet"/>
      </w:pPr>
      <w:r>
        <w:t>• SHEC (SHEC - VIVO ENERGY COTE D'IVOIRE)</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Wall Street accélère sur la tokenisation des actions (trading 24/7), signal d'une financiarisation accrue des marchés. La BCE, sous Lagarde, veut réagir plus vite qu'en 2022 sur les taux et confirme que la réduction de son bilan (QT) ralentira l'inflation. Les assemblées FMI/Banque mondiale à Bangkok ont dominé l'agenda macro international.</w:t>
      </w:r>
    </w:p>
    <w:p>
      <w:pPr>
        <w:pStyle w:val="Heading3"/>
      </w:pPr>
      <w:r>
        <w:rPr>
          <w:color w:val="500050"/>
        </w:rPr>
        <w:t>⚡ Impact estimé sur la BRVM</w:t>
      </w:r>
    </w:p>
    <w:p>
      <w:pPr>
        <w:spacing w:before="20" w:after="40"/>
        <w:ind w:left="280"/>
      </w:pPr>
      <w:r>
        <w:rPr>
          <w:i/>
          <w:sz w:val="18"/>
        </w:rPr>
        <w:t>Effet indirect limité : la tokenisation reste hors périmètre BRVM à court terme, mais un resserrement BCE plus rapide renchérirait le coût des capitaux internationaux susceptibles d'arbitrer vers les frontières africaines. Les banques cotées (SGBC, BOAC, BOAM, BOAN, BOAS) restent peu corrélées aux taux euro.</w:t>
      </w:r>
    </w:p>
    <w:p>
      <w:pPr>
        <w:pStyle w:val="Heading2"/>
      </w:pPr>
      <w:r>
        <w:rPr>
          <w:color w:val="006E32"/>
        </w:rPr>
        <w:t>🌍 Plan Africain</w:t>
      </w:r>
    </w:p>
    <w:p>
      <w:pPr>
        <w:spacing w:before="20" w:after="40"/>
        <w:ind w:left="0"/>
      </w:pPr>
      <w:r>
        <w:rPr>
          <w:sz w:val="18"/>
        </w:rPr>
        <w:t>Les assemblées FMI/BM ont placé la dette et l'inflation africaines au centre des débats (Bangkok), avec un focus Sénégal/Gabon/croissance. La CEDEAO renforce son partenariat avec les institutions de Bretton Woods (Général Birame Diop).</w:t>
      </w:r>
    </w:p>
    <w:p>
      <w:pPr>
        <w:pStyle w:val="Heading3"/>
      </w:pPr>
      <w:r>
        <w:rPr>
          <w:color w:val="500050"/>
        </w:rPr>
        <w:t>⚡ Impact estimé sur la BRVM</w:t>
      </w:r>
    </w:p>
    <w:p>
      <w:pPr>
        <w:spacing w:before="20" w:after="40"/>
        <w:ind w:left="280"/>
      </w:pPr>
      <w:r>
        <w:rPr>
          <w:i/>
          <w:sz w:val="18"/>
        </w:rPr>
        <w:t>Un agenda dette/inflation sous surveillance pèse sur la perception risque des émetteurs souverains UEMOA, donc sur la concurrence des titres publics face aux actions. Les sociétés à exposition panafricaine (SNTS, télécoms) restent les plus sensibles aux narratifs de croissance.</w:t>
      </w:r>
    </w:p>
    <w:p>
      <w:pPr>
        <w:pStyle w:val="Heading2"/>
      </w:pPr>
      <w:r>
        <w:rPr>
          <w:color w:val="145A28"/>
        </w:rPr>
        <w:t>🌍 Plan Afrique de l'Ouest</w:t>
      </w:r>
    </w:p>
    <w:p>
      <w:pPr>
        <w:spacing w:before="20" w:after="40"/>
        <w:ind w:left="0"/>
      </w:pPr>
      <w:r>
        <w:rPr>
          <w:sz w:val="18"/>
        </w:rPr>
        <w:t>Vers un accord-cadre CEDEAO–AES : décrispation régionale favorable à la circulation des capitaux et au commerce. L'écart d'usage mobile atteint 63 % en Afrique de l'Ouest, frein structurel à la monétisation digitale.</w:t>
      </w:r>
    </w:p>
    <w:p>
      <w:pPr>
        <w:pStyle w:val="Heading3"/>
      </w:pPr>
      <w:r>
        <w:rPr>
          <w:color w:val="500050"/>
        </w:rPr>
        <w:t>⚡ Impact estimé sur la BRVM</w:t>
      </w:r>
    </w:p>
    <w:p>
      <w:pPr>
        <w:spacing w:before="20" w:after="40"/>
        <w:ind w:left="280"/>
      </w:pPr>
      <w:r>
        <w:rPr>
          <w:i/>
          <w:sz w:val="18"/>
        </w:rPr>
        <w:t>La réconciliation CEDEAO-AES est positive pour les industriels et distributeurs opérant au Sahel (SDSC, CABC). L'écart d'usage mobile pénalise le potentiel de croissance data de SNTS (Sonatel) et des opérateurs télécoms.</w:t>
      </w:r>
    </w:p>
    <w:p>
      <w:pPr>
        <w:pStyle w:val="Heading2"/>
      </w:pPr>
      <w:r>
        <w:rPr>
          <w:color w:val="8C4600"/>
        </w:rPr>
        <w:t>🏦 Plan UEMOA / Zone Franc</w:t>
      </w:r>
    </w:p>
    <w:p>
      <w:pPr>
        <w:spacing w:before="20" w:after="40"/>
        <w:ind w:left="0"/>
      </w:pPr>
      <w:r>
        <w:rPr>
          <w:sz w:val="18"/>
        </w:rPr>
        <w:t>Données BCEAO non fournies dans le corpus. Signaux politiques négatifs : dialogue bloqué au Togo, menace sur le budget 2027 au Sénégal. Pas d'information sur inflation zone, FCFA, liquidité bancaire ni matières premières (cacao, caoutchouc).</w:t>
      </w:r>
    </w:p>
    <w:p>
      <w:pPr>
        <w:pStyle w:val="Heading3"/>
      </w:pPr>
      <w:r>
        <w:rPr>
          <w:color w:val="500050"/>
        </w:rPr>
        <w:t>⚡ Impact estimé sur la BRVM</w:t>
      </w:r>
    </w:p>
    <w:p>
      <w:pPr>
        <w:spacing w:before="20" w:after="40"/>
        <w:ind w:left="280"/>
      </w:pPr>
      <w:r>
        <w:rPr>
          <w:i/>
          <w:sz w:val="18"/>
        </w:rPr>
        <w:t>L'incertitude politique sénégalaise et togolaise pèse sur la confiance régionale et pourrait retarder les décisions d'investissement des banques (SGBC, BOAC). Sans données BCEAO, impossible de calibrer l'impact sur la liquidité et les taux.</w:t>
      </w:r>
    </w:p>
    <w:p>
      <w:pPr>
        <w:pStyle w:val="Heading2"/>
      </w:pPr>
      <w:r>
        <w:rPr>
          <w:color w:val="003366"/>
        </w:rPr>
        <w:t>📈 Plan BRVM</w:t>
      </w:r>
    </w:p>
    <w:p>
      <w:pPr>
        <w:spacing w:before="20" w:after="40"/>
        <w:ind w:left="0"/>
      </w:pPr>
      <w:r>
        <w:rPr>
          <w:sz w:val="18"/>
        </w:rPr>
        <w:t>Seule actualité BRVM datée : résultats encourageants des sociétés cotées ivoiriennes (La Tribune, juin 2026). Indice Composite à 529,51 points. Aucune donnée sur volumes, IPO ou dividendes récents.</w:t>
      </w:r>
    </w:p>
    <w:p>
      <w:pPr>
        <w:pStyle w:val="Heading3"/>
      </w:pPr>
      <w:r>
        <w:rPr>
          <w:color w:val="500050"/>
        </w:rPr>
        <w:t>⚡ Impact estimé sur la BRVM</w:t>
      </w:r>
    </w:p>
    <w:p>
      <w:pPr>
        <w:spacing w:before="20" w:after="40"/>
        <w:ind w:left="280"/>
      </w:pPr>
      <w:r>
        <w:rPr>
          <w:i/>
          <w:sz w:val="18"/>
        </w:rPr>
        <w:t>Bonne dynamique fondamentale des valeurs ivoiriennes (SGBC, SLBC, SCRC, ONTBF) à confirmer. Recommandation : conserver les valeurs bancaires et agro-industrielles ivoiriennes sur résultats ; prudence sur les valeurs à exposition togolaise/sénégalaise tant que l'incertitude politique persiste.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Pas d'actualité géopolitique mondiale majeure dans le corpus (hors BCE/marchés). Données insuffisantes sur conflits, élections ou sanctions hors Afrique.</w:t>
      </w:r>
    </w:p>
    <w:p>
      <w:pPr>
        <w:pStyle w:val="Heading3"/>
      </w:pPr>
      <w:r>
        <w:rPr>
          <w:color w:val="500050"/>
        </w:rPr>
        <w:t>⚡ Impact estimé sur la BRVM</w:t>
      </w:r>
    </w:p>
    <w:p>
      <w:pPr>
        <w:spacing w:before="20" w:after="40"/>
        <w:ind w:left="280"/>
      </w:pPr>
      <w:r>
        <w:rPr>
          <w:i/>
          <w:sz w:val="18"/>
        </w:rPr>
        <w:t>Données insuffisantes. Aucun canal de transmission identifiable vers la BRVM à partir du corpus.</w:t>
      </w:r>
    </w:p>
    <w:p>
      <w:pPr>
        <w:pStyle w:val="Heading2"/>
      </w:pPr>
      <w:r>
        <w:rPr>
          <w:color w:val="006E32"/>
        </w:rPr>
        <w:t>🌍 Plan Africain</w:t>
      </w:r>
    </w:p>
    <w:p>
      <w:pPr>
        <w:spacing w:before="20" w:after="40"/>
        <w:ind w:left="0"/>
      </w:pPr>
      <w:r>
        <w:rPr>
          <w:sz w:val="18"/>
        </w:rPr>
        <w:t>Décrispation CEDEAO–AES (accord-cadre de coopération en préparation) : signal positif de stabilisation régionale. Aucune mention de coups d'État ou transitions majeures hors Togo/Sénégal.</w:t>
      </w:r>
    </w:p>
    <w:p>
      <w:pPr>
        <w:pStyle w:val="Heading3"/>
      </w:pPr>
      <w:r>
        <w:rPr>
          <w:color w:val="500050"/>
        </w:rPr>
        <w:t>⚡ Impact estimé sur la BRVM</w:t>
      </w:r>
    </w:p>
    <w:p>
      <w:pPr>
        <w:spacing w:before="20" w:after="40"/>
        <w:ind w:left="280"/>
      </w:pPr>
      <w:r>
        <w:rPr>
          <w:i/>
          <w:sz w:val="18"/>
        </w:rPr>
        <w:t>La normalisation CEDEAO-AES réduit la prime de risque régionale et pourrait soutenir les flux de portefeuille vers la BRVM, notamment sur les valeurs industrielles et de distribution.</w:t>
      </w:r>
    </w:p>
    <w:p>
      <w:pPr>
        <w:pStyle w:val="Heading2"/>
      </w:pPr>
      <w:r>
        <w:rPr>
          <w:color w:val="145A28"/>
        </w:rPr>
        <w:t>🌍 Plan Afrique de l'Ouest</w:t>
      </w:r>
    </w:p>
    <w:p>
      <w:pPr>
        <w:spacing w:before="20" w:after="40"/>
        <w:ind w:left="0"/>
      </w:pPr>
      <w:r>
        <w:rPr>
          <w:sz w:val="18"/>
        </w:rPr>
        <w:t>Togo : opposition rejetant le dialogue au CPC et exigeant une transition (Jeune Afrique, Koaci). Sénégal : majorité parlementaire menaçant de bloquer le budget 2027 et appel à la grève générale avant les JOJ.</w:t>
      </w:r>
    </w:p>
    <w:p>
      <w:pPr>
        <w:pStyle w:val="Heading3"/>
      </w:pPr>
      <w:r>
        <w:rPr>
          <w:color w:val="500050"/>
        </w:rPr>
        <w:t>⚡ Impact estimé sur la BRVM</w:t>
      </w:r>
    </w:p>
    <w:p>
      <w:pPr>
        <w:spacing w:before="20" w:after="40"/>
        <w:ind w:left="280"/>
      </w:pPr>
      <w:r>
        <w:rPr>
          <w:i/>
          <w:sz w:val="18"/>
        </w:rPr>
        <w:t>Risque politique direct sur les sociétés opérant au Togo (SNTS via son exposition régionale, BOAD non cotée) et au Sénégal. La grève générale sénégalaise peut perturber l'activité économique et les résultats des filiales régionales.</w:t>
      </w:r>
    </w:p>
    <w:p>
      <w:pPr>
        <w:pStyle w:val="Heading2"/>
      </w:pPr>
      <w:r>
        <w:rPr>
          <w:color w:val="8C4600"/>
        </w:rPr>
        <w:t>🏦 Plan UEMOA / Zone Franc</w:t>
      </w:r>
    </w:p>
    <w:p>
      <w:pPr>
        <w:spacing w:before="20" w:after="40"/>
        <w:ind w:left="0"/>
      </w:pPr>
      <w:r>
        <w:rPr>
          <w:sz w:val="18"/>
        </w:rPr>
        <w:t>Deux foyers de tension institutionnelle : Togo (dialogue de sourds) et Sénégal (blocage budgétaire). Pas de réforme institutionnelle positive signalée.</w:t>
      </w:r>
    </w:p>
    <w:p>
      <w:pPr>
        <w:pStyle w:val="Heading3"/>
      </w:pPr>
      <w:r>
        <w:rPr>
          <w:color w:val="500050"/>
        </w:rPr>
        <w:t>⚡ Impact estimé sur la BRVM</w:t>
      </w:r>
    </w:p>
    <w:p>
      <w:pPr>
        <w:spacing w:before="20" w:after="40"/>
        <w:ind w:left="280"/>
      </w:pPr>
      <w:r>
        <w:rPr>
          <w:i/>
          <w:sz w:val="18"/>
        </w:rPr>
        <w:t>Risque réglementaire et politique accru : les investisseurs pourraient exiger une prime de risque plus élevée sur les valeurs exposées à ces deux pays, pesant sur les valorisations.</w:t>
      </w:r>
    </w:p>
    <w:p>
      <w:pPr>
        <w:pStyle w:val="Heading2"/>
      </w:pPr>
      <w:r>
        <w:rPr>
          <w:color w:val="003366"/>
        </w:rPr>
        <w:t>📈 Plan BRVM</w:t>
      </w:r>
    </w:p>
    <w:p>
      <w:pPr>
        <w:spacing w:before="20" w:after="40"/>
        <w:ind w:left="0"/>
      </w:pPr>
      <w:r>
        <w:rPr>
          <w:sz w:val="18"/>
        </w:rPr>
        <w:t>Aucune actualité CREPMF, cotation ou gouvernance spécifique dans le corpus. Données insuffisantes.</w:t>
      </w:r>
    </w:p>
    <w:p>
      <w:pPr>
        <w:pStyle w:val="Heading3"/>
      </w:pPr>
      <w:r>
        <w:rPr>
          <w:color w:val="500050"/>
        </w:rPr>
        <w:t>⚡ Impact estimé sur la BRVM</w:t>
      </w:r>
    </w:p>
    <w:p>
      <w:pPr>
        <w:spacing w:before="20" w:after="40"/>
        <w:ind w:left="280"/>
      </w:pPr>
      <w:r>
        <w:rPr>
          <w:i/>
          <w:sz w:val="18"/>
        </w:rPr>
        <w:t>Données insuffisantes. Pas de décision réglementaire identifiable à intégrer.</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Wall Street pousse la tokenisation (trading 24/7). BCE : QT accélérée pour ralentir l'inflation, réactivité accrue sur les taux. Flux mondiaux vers actifs tokenisés et sensibilité aux taux euro.</w:t>
      </w:r>
    </w:p>
    <w:p>
      <w:pPr>
        <w:pStyle w:val="Heading3"/>
      </w:pPr>
      <w:r>
        <w:rPr>
          <w:color w:val="500050"/>
        </w:rPr>
        <w:t>⚡ Impact estimé sur la BRVM</w:t>
      </w:r>
    </w:p>
    <w:p>
      <w:pPr>
        <w:spacing w:before="20" w:after="40"/>
        <w:ind w:left="280"/>
      </w:pPr>
      <w:r>
        <w:rPr>
          <w:i/>
          <w:sz w:val="18"/>
        </w:rPr>
        <w:t>Corrélation faible mais réelle via l'appétit pour le risque émergent : un resserrement BCE plus rapide détournerait des capitaux des frontières africaines. Les investisseurs BRVM doivent surveiller le différentiel de taux euro/FCFA.</w:t>
      </w:r>
    </w:p>
    <w:p>
      <w:pPr>
        <w:pStyle w:val="Heading2"/>
      </w:pPr>
      <w:r>
        <w:rPr>
          <w:color w:val="006E32"/>
        </w:rPr>
        <w:t>🌍 Plan Africain</w:t>
      </w:r>
    </w:p>
    <w:p>
      <w:pPr>
        <w:spacing w:before="20" w:after="40"/>
        <w:ind w:left="0"/>
      </w:pPr>
      <w:r>
        <w:rPr>
          <w:sz w:val="18"/>
        </w:rPr>
        <w:t>Assemblées FMI/BM : focus dette et inflation africaines. Pas de notation souveraine ni d'eurobond spécifique mentionné. Données insuffisantes sur les marchés obligataires africains.</w:t>
      </w:r>
    </w:p>
    <w:p>
      <w:pPr>
        <w:pStyle w:val="Heading3"/>
      </w:pPr>
      <w:r>
        <w:rPr>
          <w:color w:val="500050"/>
        </w:rPr>
        <w:t>⚡ Impact estimé sur la BRVM</w:t>
      </w:r>
    </w:p>
    <w:p>
      <w:pPr>
        <w:spacing w:before="20" w:after="40"/>
        <w:ind w:left="280"/>
      </w:pPr>
      <w:r>
        <w:rPr>
          <w:i/>
          <w:sz w:val="18"/>
        </w:rPr>
        <w:t>La concurrence des eurobonds africains pour les capitaux reste un facteur structurel, mais aucune donnée chiffrée ne permet de quantifier l'arbitrage dans le corpus.</w:t>
      </w:r>
    </w:p>
    <w:p>
      <w:pPr>
        <w:pStyle w:val="Heading2"/>
      </w:pPr>
      <w:r>
        <w:rPr>
          <w:color w:val="145A28"/>
        </w:rPr>
        <w:t>🌍 Plan Afrique de l'Ouest</w:t>
      </w:r>
    </w:p>
    <w:p>
      <w:pPr>
        <w:spacing w:before="20" w:after="40"/>
        <w:ind w:left="0"/>
      </w:pPr>
      <w:r>
        <w:rPr>
          <w:sz w:val="18"/>
        </w:rPr>
        <w:t>Pas d'actualité sur les bourses régionales concurrentes (Ghana, Nigeria) ni sur les flux de capitaux sous-régionaux. Données insuffisantes.</w:t>
      </w:r>
    </w:p>
    <w:p>
      <w:pPr>
        <w:pStyle w:val="Heading3"/>
      </w:pPr>
      <w:r>
        <w:rPr>
          <w:color w:val="500050"/>
        </w:rPr>
        <w:t>⚡ Impact estimé sur la BRVM</w:t>
      </w:r>
    </w:p>
    <w:p>
      <w:pPr>
        <w:spacing w:before="20" w:after="40"/>
        <w:ind w:left="280"/>
      </w:pPr>
      <w:r>
        <w:rPr>
          <w:i/>
          <w:sz w:val="18"/>
        </w:rPr>
        <w:t>Données insuffisantes. Positionnement concurrentiel de la BRVM non évaluable sur la base du corpus.</w:t>
      </w:r>
    </w:p>
    <w:p>
      <w:pPr>
        <w:pStyle w:val="Heading2"/>
      </w:pPr>
      <w:r>
        <w:rPr>
          <w:color w:val="8C4600"/>
        </w:rPr>
        <w:t>🏦 Plan UEMOA / Zone Franc</w:t>
      </w:r>
    </w:p>
    <w:p>
      <w:pPr>
        <w:spacing w:before="20" w:after="40"/>
        <w:ind w:left="0"/>
      </w:pPr>
      <w:r>
        <w:rPr>
          <w:sz w:val="18"/>
        </w:rPr>
        <w:t>Aucune donnée sur le marché des titres publics UEMOA, le taux interbancaire ou la liquidité bancaire. Données insuffisantes.</w:t>
      </w:r>
    </w:p>
    <w:p>
      <w:pPr>
        <w:pStyle w:val="Heading3"/>
      </w:pPr>
      <w:r>
        <w:rPr>
          <w:color w:val="500050"/>
        </w:rPr>
        <w:t>⚡ Impact estimé sur la BRVM</w:t>
      </w:r>
    </w:p>
    <w:p>
      <w:pPr>
        <w:spacing w:before="20" w:after="40"/>
        <w:ind w:left="280"/>
      </w:pPr>
      <w:r>
        <w:rPr>
          <w:i/>
          <w:sz w:val="18"/>
        </w:rPr>
        <w:t>Données insuffisantes. L'arbitrage titres publics/actions BRVM ne peut être analysé sans données de taux.</w:t>
      </w:r>
    </w:p>
    <w:p>
      <w:pPr>
        <w:pStyle w:val="Heading2"/>
      </w:pPr>
      <w:r>
        <w:rPr>
          <w:color w:val="003366"/>
        </w:rPr>
        <w:t>📈 Plan BRVM</w:t>
      </w:r>
    </w:p>
    <w:p>
      <w:pPr>
        <w:spacing w:before="20" w:after="40"/>
        <w:ind w:left="0"/>
      </w:pPr>
      <w:r>
        <w:rPr>
          <w:sz w:val="18"/>
        </w:rPr>
        <w:t>Indice Composite à 529,51 points. Résultats ivoiriens encourageants (juin 2026). Pas de top/flop, volumes ou perspectives chiffrées récents. Actualités négatives Sénégal/Togo dominent le flux récent.</w:t>
      </w:r>
    </w:p>
    <w:p>
      <w:pPr>
        <w:pStyle w:val="Heading3"/>
      </w:pPr>
      <w:r>
        <w:rPr>
          <w:color w:val="500050"/>
        </w:rPr>
        <w:t>⚡ Impact estimé sur la BRVM</w:t>
      </w:r>
    </w:p>
    <w:p>
      <w:pPr>
        <w:spacing w:before="20" w:after="40"/>
        <w:ind w:left="280"/>
      </w:pPr>
      <w:r>
        <w:rPr>
          <w:i/>
          <w:sz w:val="18"/>
        </w:rPr>
        <w:t>Recommandations : **ACHAT** sur SGBC, SLBC, SCRC, ONTBF (fondamentaux ivoiriens solides) ; **NEUTRE** sur SNTS (exposition régionale, écart d'usage mobile) ; **PRUDENCE** sur les valeurs à exposition Sénégal/Togo (BOAC, BOAS) tant que l'incertitude politique persiste.</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 climat macro mondial (BCE plus hawkish, tokenisation) et les tensions politiques en UEMOA (Sénégal, Togo) créent un risque baissier à court terme, malgré la décrispation CEDEAO-AES et les bons résultats ivoiriens. Recommandation : surpondérer les valeurs ivoiriennes à fondamentaux solides (SGBC, SLBC, SCRC, ONTBF), sous-pondérer les expositions Sénégal/Togo, et conserver une poche de liquidité en attendant la clarification budgétaire sénégalaise et les données BCEAO manquantes.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La BCE interviendra-t-elle pour soulager les taux français? "Les condi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Donald Trump : un portefeuille « fort comme l'Amérique » qui défie les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CEDEAO-AES : Vers un accord-cadre de coopération entre les deux organi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La CEDEAO et l’AES s’apprêtent à conclure un accord-cadre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2026-10-20</w:t>
            </w:r>
          </w:p>
        </w:tc>
        <w:tc>
          <w:tcPr>
            <w:tcW w:type="dxa" w:w="1728"/>
          </w:tcPr>
          <w:p>
            <w:r>
              <w:rPr>
                <w:sz w:val="14"/>
              </w:rPr>
              <w:t>Afrique de l’Ouest : l’écart d’usage mobile atteint 63 % - Africtelegr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Dakar : la CEDEAO et l’AES s’accordent sur un futur 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Togo : entre l’opposition et Faure Gnassingbé, un dialogue oui, mais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Togo : L'opposition rejette le dialogue au sein du CPC et exige une tr</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VIDÉO. Sénégal: la Cédéao et l'AES relancent le dialogue - tv5monde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 d’anciens soutiens de Sonko dénoncent sa gestion à la primat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Appel à la grève générale au Sénégal à la veille des premiers JOJ en 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Togo : entre l’opposition et Faure Gnassingbé, un dialogue oui, mais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Togo : L'opposition rejette le dialogue au sein du CPC et exige une tr</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VIDÉO. Sénégal: la Cédéao et l'AES relancent le dialogue - tv5monde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 d’anciens soutiens de Sonko dénoncent sa gestion à la primat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CEDEAO-AES : Vers un accord-cadre de coopération entre les deux organi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La CEDEAO et l’AES s’apprêtent à conclure un accord-cadre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2026-10-20</w:t>
            </w:r>
          </w:p>
        </w:tc>
        <w:tc>
          <w:tcPr>
            <w:tcW w:type="dxa" w:w="1728"/>
          </w:tcPr>
          <w:p>
            <w:r>
              <w:rPr>
                <w:sz w:val="14"/>
              </w:rPr>
              <w:t>Afrique de l’Ouest : l’écart d’usage mobile atteint 63 % - Africtelegr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Togo : entre l’opposition et Faure Gnassingbé, un dialogue oui, mais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Togo : L'opposition rejette le dialogue au sein du CPC et exige une tr</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CEDEAO-AES : Vers un accord-cadre de coopération entre les deux organi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La CEDEAO et l’AES s’apprêtent à conclure un accord-cadre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2026-10-20</w:t>
            </w:r>
          </w:p>
        </w:tc>
        <w:tc>
          <w:tcPr>
            <w:tcW w:type="dxa" w:w="1728"/>
          </w:tcPr>
          <w:p>
            <w:r>
              <w:rPr>
                <w:sz w:val="14"/>
              </w:rPr>
              <w:t>Afrique de l’Ouest : l’écart d’usage mobile atteint 63 % - Africtelegr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Togo : entre l’opposition et Faure Gnassingbé, un dialogue oui, mais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Togo : L'opposition rejette le dialogue au sein du CPC et exige une tr</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Togo : entre l’opposition et Faure Gnassingbé, un dialogue oui, mais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Togo : L'opposition rejette le dialogue au sein du CPC et exige une tr</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VIDÉO. Sénégal: la Cédéao et l'AES relancent le dialogue - tv5monde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 d’anciens soutiens de Sonko dénoncent sa gestion à la primat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Togo : entre l’opposition et Faure Gnassingbé, un dialogue oui, mais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Togo : L'opposition rejette le dialogue au sein du CPC et exige une tr</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VIDÉO. Sénégal: la Cédéao et l'AES relancent le dialogue - tv5monde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 d’anciens soutiens de Sonko dénoncent sa gestion à la primat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Appel à la grève générale au Sénégal à la veille des premiers JOJ en 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Côte d'Ivoire-Sénégal : Abidjan et Dakar s'engagent à rendre enfin opé</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politique Côte d</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CEDEAO-AES : Vers un accord-cadre de coopération entre les deux organi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La CEDEAO et l’AES s’apprêtent à conclure un accord-cadre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2026-10-20</w:t>
            </w:r>
          </w:p>
        </w:tc>
        <w:tc>
          <w:tcPr>
            <w:tcW w:type="dxa" w:w="1728"/>
          </w:tcPr>
          <w:p>
            <w:r>
              <w:rPr>
                <w:sz w:val="14"/>
              </w:rPr>
              <w:t>Afrique de l’Ouest : l’écart d’usage mobile atteint 63 % - Africtelegr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Togo : entre l’opposition et Faure Gnassingbé, un dialogue oui, mais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CEDEAO-AES : Vers un accord-cadre de coopération entre les deux organi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La CEDEAO et l’AES s’apprêtent à conclure un accord-cadre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2026-10-20</w:t>
            </w:r>
          </w:p>
        </w:tc>
        <w:tc>
          <w:tcPr>
            <w:tcW w:type="dxa" w:w="1728"/>
          </w:tcPr>
          <w:p>
            <w:r>
              <w:rPr>
                <w:sz w:val="14"/>
              </w:rPr>
              <w:t>Afrique de l’Ouest : l’écart d’usage mobile atteint 63 % - Africtelegr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VIDÉO. Sénégal: la Cédéao et l'AES relancent le dialogue - tv5monde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Togo : entre l’opposition et Faure Gnassingbé, un dialogue oui, mais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Togo : L'opposition rejette le dialogue au sein du CPC et exige une tr</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VIDÉO. Sénégal: la Cédéao et l'AES relancent le dialogue - tv5monde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 d’anciens soutiens de Sonko dénoncent sa gestion à la primat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Appel à la grève générale au Sénégal à la veille des premiers JOJ en 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Côte d'Ivoire-Sénégal : Abidjan et Dakar s'engagent à rendre enfin opé</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politique Côte d</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(11 alerte(s))</w:t>
      </w:r>
    </w:p>
    <w:p>
      <w:pPr>
        <w:spacing w:before="40" w:after="40"/>
        <w:ind w:left="360"/>
      </w:pPr>
      <w:r>
        <w:rPr>
          <w:color w:val="646464"/>
          <w:sz w:val="17"/>
        </w:rPr>
        <w:t xml:space="preserve">[20/10/2026] 🔴  </w:t>
      </w:r>
      <w:r>
        <w:rPr>
          <w:b/>
          <w:color w:val="C00000"/>
          <w:sz w:val="18"/>
        </w:rPr>
        <w:t>Appel à la grève générale au Sénégal à la veille des premiers JOJ en Afrique - Jeune Afrique</w:t>
      </w:r>
      <w:r>
        <w:rPr>
          <w:color w:val="787878"/>
          <w:sz w:val="15"/>
        </w:rPr>
        <w:t xml:space="preserve">  [politique]</w:t>
      </w:r>
      <w:r>
        <w:rPr>
          <w:color w:val="B47800"/>
          <w:sz w:val="16"/>
        </w:rPr>
        <w:t xml:space="preserve">  ★ 50/10</w:t>
      </w:r>
    </w:p>
    <w:p>
      <w:pPr>
        <w:spacing w:before="0" w:after="20"/>
        <w:ind w:left="600"/>
      </w:pPr>
      <w:r>
        <w:rPr>
          <w:color w:val="323232"/>
          <w:sz w:val="17"/>
        </w:rPr>
        <w:t>Un appel à la grève générale est lancé au Sénégal à la veille des premiers Jeux Olympiques de la Jeunesse (JOJ) organisés en Afrique. Cette situation politique tendue pourrait perturber l'organisation de l'événement et l'activité économique du pays. Le Sénégal est un acteur majeur de l'UEMOA et de la BRVM, et toute instabilité sociale peut affecter</w:t>
      </w:r>
    </w:p>
    <w:p>
      <w:pPr>
        <w:spacing w:before="0" w:after="40"/>
        <w:ind w:left="600"/>
      </w:pPr>
      <w:r>
        <w:rPr>
          <w:color w:val="00643C"/>
          <w:sz w:val="16"/>
        </w:rPr>
        <w:t>Points clés : Appel à la grève générale au Sénégal  •  Veille des premiers JOJ en Afrique  •  Risque de perturbation économique et sociale  •  Impact potentiel sur le climat des affaires dans l'UEMOA</w:t>
      </w:r>
    </w:p>
    <w:p>
      <w:pPr>
        <w:spacing w:before="0" w:after="60"/>
        <w:ind w:left="600"/>
      </w:pPr>
      <w:r>
        <w:rPr>
          <w:color w:val="0064B4"/>
          <w:sz w:val="15"/>
        </w:rPr>
        <w:t>Source : https://news.google.com/rss/articles/CBMiwgFBVV95cUxOcTBSUFdycjNGcXJNalJxZWkwN0N</w:t>
      </w:r>
    </w:p>
    <w:p>
      <w:pPr>
        <w:spacing w:before="40" w:after="40"/>
        <w:ind w:left="360"/>
      </w:pPr>
      <w:r>
        <w:rPr>
          <w:color w:val="646464"/>
          <w:sz w:val="17"/>
        </w:rPr>
        <w:t xml:space="preserve">[20/10/2026] 🔴  </w:t>
      </w:r>
      <w:r>
        <w:rPr>
          <w:b/>
          <w:color w:val="C00000"/>
          <w:sz w:val="18"/>
        </w:rPr>
        <w:t>Sénégal : d’anciens soutiens de Sonko dénoncent sa gestion à la primature - Africtelegraph</w:t>
      </w:r>
      <w:r>
        <w:rPr>
          <w:color w:val="787878"/>
          <w:sz w:val="15"/>
        </w:rPr>
        <w:t xml:space="preserve">  [politique]</w:t>
      </w:r>
      <w:r>
        <w:rPr>
          <w:color w:val="B47800"/>
          <w:sz w:val="16"/>
        </w:rPr>
        <w:t xml:space="preserve">  ★ 50/10</w:t>
      </w:r>
    </w:p>
    <w:p>
      <w:pPr>
        <w:spacing w:before="0" w:after="20"/>
        <w:ind w:left="600"/>
      </w:pPr>
      <w:r>
        <w:rPr>
          <w:color w:val="323232"/>
          <w:sz w:val="17"/>
        </w:rPr>
        <w:t xml:space="preserve">D'anciens soutiens du Premier ministre sénégalais Ousmane Sonko expriment publiquement leur désaccord avec sa gestion à la primature. Cette contestation interne fragilise la cohésion de la coalition au pouvoir et pourrait affecter la stabilité politique. Le Sénégal traverse une période de tensions politiques accrues, ce qui suscite des inquiétudes </w:t>
      </w:r>
    </w:p>
    <w:p>
      <w:pPr>
        <w:spacing w:before="0" w:after="40"/>
        <w:ind w:left="600"/>
      </w:pPr>
      <w:r>
        <w:rPr>
          <w:color w:val="00643C"/>
          <w:sz w:val="16"/>
        </w:rPr>
        <w:t>Points clés : Des anciens alliés de Sonko critiquent sa gestion gouvernementale  •  Risque de fragmentation de la majorité présidentielle  •  Tensions politiques susceptibles d'affecter la confiance des investisseurs</w:t>
      </w:r>
    </w:p>
    <w:p>
      <w:pPr>
        <w:spacing w:before="0" w:after="60"/>
        <w:ind w:left="600"/>
      </w:pPr>
      <w:r>
        <w:rPr>
          <w:color w:val="0064B4"/>
          <w:sz w:val="15"/>
        </w:rPr>
        <w:t>Source : https://news.google.com/rss/articles/CBMipgFBVV95cUxPbTh5OVhTTWxFSlZqQ2tOc3QtQkE</w:t>
      </w:r>
    </w:p>
    <w:p>
      <w:pPr>
        <w:spacing w:before="40" w:after="40"/>
        <w:ind w:left="360"/>
      </w:pPr>
      <w:r>
        <w:rPr>
          <w:color w:val="646464"/>
          <w:sz w:val="17"/>
        </w:rPr>
        <w:t xml:space="preserve">[20/10/2026] 🔴  </w:t>
      </w:r>
      <w:r>
        <w:rPr>
          <w:b/>
          <w:color w:val="C00000"/>
          <w:sz w:val="18"/>
        </w:rPr>
        <w:t>Sénégal: la majorité parlementaire menace de bloquer le budget 2027 - Le360 Afrique</w:t>
      </w:r>
      <w:r>
        <w:rPr>
          <w:color w:val="787878"/>
          <w:sz w:val="15"/>
        </w:rPr>
        <w:t xml:space="preserve">  [politique]</w:t>
      </w:r>
      <w:r>
        <w:rPr>
          <w:color w:val="B47800"/>
          <w:sz w:val="16"/>
        </w:rPr>
        <w:t xml:space="preserve">  ★ 50/10</w:t>
      </w:r>
    </w:p>
    <w:p>
      <w:pPr>
        <w:spacing w:before="0" w:after="20"/>
        <w:ind w:left="600"/>
      </w:pPr>
      <w:r>
        <w:rPr>
          <w:color w:val="323232"/>
          <w:sz w:val="17"/>
        </w:rPr>
        <w:t xml:space="preserve">La majorité parlementaire sénégalaise menace de bloquer le budget 2027, créant une incertitude politique autour de la validation des finances publiques. Cette situation pourrait retarder l'adoption du budget et affecter la mise en œuvre des politiques économiques. Les marchés financiers de la BRVM pourraient réagir négativement à cette instabilité </w:t>
      </w:r>
    </w:p>
    <w:p>
      <w:pPr>
        <w:spacing w:before="0" w:after="40"/>
        <w:ind w:left="600"/>
      </w:pPr>
      <w:r>
        <w:rPr>
          <w:color w:val="00643C"/>
          <w:sz w:val="16"/>
        </w:rPr>
        <w:t>Points clés : Menace de blocage du budget 2027 par la majorité parlementaire  •  Incertitude politique au Sénégal  •  Risque de retard dans l'adoption du budget</w:t>
      </w:r>
    </w:p>
    <w:p>
      <w:pPr>
        <w:spacing w:before="0" w:after="60"/>
        <w:ind w:left="600"/>
      </w:pPr>
      <w:r>
        <w:rPr>
          <w:color w:val="0064B4"/>
          <w:sz w:val="15"/>
        </w:rPr>
        <w:t>Source : https://news.google.com/rss/articles/CBMiyAFBVV95cUxORFZiUWdQWTgyN1JZbUNMM1RWYVp</w:t>
      </w:r>
    </w:p>
    <w:p>
      <w:pPr>
        <w:spacing w:before="40" w:after="40"/>
        <w:ind w:left="360"/>
      </w:pPr>
      <w:r>
        <w:rPr>
          <w:color w:val="646464"/>
          <w:sz w:val="17"/>
        </w:rPr>
        <w:t xml:space="preserve">[19/10/2026] 🔴  </w:t>
      </w:r>
      <w:r>
        <w:rPr>
          <w:b/>
          <w:color w:val="C00000"/>
          <w:sz w:val="18"/>
        </w:rPr>
        <w:t>Togo : L'opposition rejette le dialogue au sein du CPC et exige une transition - Koaci</w:t>
      </w:r>
      <w:r>
        <w:rPr>
          <w:color w:val="787878"/>
          <w:sz w:val="15"/>
        </w:rPr>
        <w:t xml:space="preserve">  [politique]</w:t>
      </w:r>
      <w:r>
        <w:rPr>
          <w:color w:val="B47800"/>
          <w:sz w:val="16"/>
        </w:rPr>
        <w:t xml:space="preserve">  ★ 50/10</w:t>
      </w:r>
    </w:p>
    <w:p>
      <w:pPr>
        <w:spacing w:before="0" w:after="20"/>
        <w:ind w:left="600"/>
      </w:pPr>
      <w:r>
        <w:rPr>
          <w:color w:val="323232"/>
          <w:sz w:val="17"/>
        </w:rPr>
        <w:t>L'opposition togolaise rejette le dialogue proposé au sein du Cadre Permanent de Concertation (CPC) et exige une transition politique. Cette position crée une impasse entre le pouvoir et l'opposition, prolongeant l'incertitude politique au Togo. Les tensions politiques pourraient affecter la stabilité institutionnelle et le climat des affaires dans</w:t>
      </w:r>
    </w:p>
    <w:p>
      <w:pPr>
        <w:spacing w:before="0" w:after="40"/>
        <w:ind w:left="600"/>
      </w:pPr>
      <w:r>
        <w:rPr>
          <w:color w:val="00643C"/>
          <w:sz w:val="16"/>
        </w:rPr>
        <w:t>Points clés : Rejet du dialogue au sein du CPC par l'opposition  •  Exigence d'une transition politique  •  Risque d'impasse politique prolongée au Togo</w:t>
      </w:r>
    </w:p>
    <w:p>
      <w:pPr>
        <w:spacing w:before="0" w:after="60"/>
        <w:ind w:left="600"/>
      </w:pPr>
      <w:r>
        <w:rPr>
          <w:color w:val="0064B4"/>
          <w:sz w:val="15"/>
        </w:rPr>
        <w:t>Source : https://news.google.com/rss/articles/CBMi3wFBVV95cUxQYzhsLV9IcE1IbmdkMlhpRDBCQ2J</w:t>
      </w:r>
    </w:p>
    <w:p>
      <w:pPr>
        <w:spacing w:before="40" w:after="40"/>
        <w:ind w:left="360"/>
      </w:pPr>
      <w:r>
        <w:rPr>
          <w:color w:val="646464"/>
          <w:sz w:val="17"/>
        </w:rPr>
        <w:t xml:space="preserve">[19/10/2026] 🔴  </w:t>
      </w:r>
      <w:r>
        <w:rPr>
          <w:b/>
          <w:color w:val="C00000"/>
          <w:sz w:val="18"/>
        </w:rPr>
        <w:t>Togo : entre l’opposition et Faure Gnassingbé, un dialogue oui, mais de sourds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évoque un dialogue entre l'opposition togolaise et le président Faure Gnassingbé, mais qualifie cette discussion de 'dialogue de sourds', suggérant des positions inconciliables. Les tensions politiques persistent au Togo, ce qui pourrait affecter la stabilité institutionnelle. Aucune avancée concrète n'est rapportée, et l</w:t>
      </w:r>
    </w:p>
    <w:p>
      <w:pPr>
        <w:spacing w:before="0" w:after="40"/>
        <w:ind w:left="600"/>
      </w:pPr>
      <w:r>
        <w:rPr>
          <w:color w:val="00643C"/>
          <w:sz w:val="16"/>
        </w:rPr>
        <w:t>Points clés : Dialogue engagé entre l'opposition et Faure Gnassingbé  •  Qualifié de 'dialogue de sourds' par Jeune Afrique  •  Persistance de tensions politiques au Togo</w:t>
      </w:r>
    </w:p>
    <w:p>
      <w:pPr>
        <w:spacing w:before="0" w:after="60"/>
        <w:ind w:left="600"/>
      </w:pPr>
      <w:r>
        <w:rPr>
          <w:color w:val="0064B4"/>
          <w:sz w:val="15"/>
        </w:rPr>
        <w:t>Source : https://news.google.com/rss/articles/CBMivgFBVV95cUxPRkxpakgtNjNESWg4WUU3bjFnc0l</w:t>
      </w:r>
    </w:p>
    <w:p>
      <w:pPr>
        <w:spacing w:before="120" w:after="40"/>
      </w:pPr>
      <w:r>
        <w:rPr>
          <w:b/>
          <w:color w:val="00467F"/>
          <w:sz w:val="20"/>
        </w:rPr>
        <w:t>🔑 économique  (8 alerte(s))</w:t>
      </w:r>
    </w:p>
    <w:p>
      <w:pPr>
        <w:spacing w:before="40" w:after="40"/>
        <w:ind w:left="360"/>
      </w:pPr>
      <w:r>
        <w:rPr>
          <w:color w:val="646464"/>
          <w:sz w:val="17"/>
        </w:rPr>
        <w:t xml:space="preserve">[20/10/2026] 🔴  </w:t>
      </w:r>
      <w:r>
        <w:rPr>
          <w:b/>
          <w:color w:val="C00000"/>
          <w:sz w:val="18"/>
        </w:rPr>
        <w:t>Afrique de l’Ouest : l’écart d’usage mobile atteint 63 % - Africtelegraph</w:t>
      </w:r>
      <w:r>
        <w:rPr>
          <w:color w:val="787878"/>
          <w:sz w:val="15"/>
        </w:rPr>
        <w:t xml:space="preserve">  [économique]</w:t>
      </w:r>
      <w:r>
        <w:rPr>
          <w:color w:val="B47800"/>
          <w:sz w:val="16"/>
        </w:rPr>
        <w:t xml:space="preserve">  ★ 50/10</w:t>
      </w:r>
    </w:p>
    <w:p>
      <w:pPr>
        <w:spacing w:before="0" w:after="20"/>
        <w:ind w:left="600"/>
      </w:pPr>
      <w:r>
        <w:rPr>
          <w:color w:val="323232"/>
          <w:sz w:val="17"/>
        </w:rPr>
        <w:t>L'écart d'usage mobile en Afrique de l'Ouest atteint 63 %, selon Africtelegraph. Cet indicateur mesure la différence entre la couverture réseau et l'utilisation effective des services mobiles. Un tel écart suggère que malgré une infrastructure disponible, des barrières économiques, éducatives ou culturelles limitent l'adoption. Cela représente un e</w:t>
      </w:r>
    </w:p>
    <w:p>
      <w:pPr>
        <w:spacing w:before="0" w:after="40"/>
        <w:ind w:left="600"/>
      </w:pPr>
      <w:r>
        <w:rPr>
          <w:color w:val="00643C"/>
          <w:sz w:val="16"/>
        </w:rPr>
        <w:t>Points clés : L'écart d'usage mobile en Afrique de l'Ouest s'élève à 63 %.  •  Cela indique une sous-utilisation des réseaux mobiles existants.  •  Les causes probables incluent le coût, le manque de compétences numériques et les contenus inadaptés.  •  Impact potentiel sur les revenus des opérateurs et la croissance du secteur numérique.</w:t>
      </w:r>
    </w:p>
    <w:p>
      <w:pPr>
        <w:spacing w:before="0" w:after="60"/>
        <w:ind w:left="600"/>
      </w:pPr>
      <w:r>
        <w:rPr>
          <w:color w:val="0064B4"/>
          <w:sz w:val="15"/>
        </w:rPr>
        <w:t>Source : https://news.google.com/rss/articles/CBMiigFBVV95cUxOdE4tT1lLV0dtaTdDdFlFRHZWaUd</w:t>
      </w:r>
    </w:p>
    <w:p>
      <w:pPr>
        <w:spacing w:before="40" w:after="40"/>
        <w:ind w:left="360"/>
      </w:pPr>
      <w:r>
        <w:rPr>
          <w:color w:val="646464"/>
          <w:sz w:val="17"/>
        </w:rPr>
        <w:t xml:space="preserve">[19/10/2026] 🟢  </w:t>
      </w:r>
      <w:r>
        <w:rPr>
          <w:b/>
          <w:color w:val="008000"/>
          <w:sz w:val="18"/>
        </w:rPr>
        <w:t>La CEDEAO et l’AES s’apprêtent à conclure un accord-cadre de coopération - Agence Afrique</w:t>
      </w:r>
      <w:r>
        <w:rPr>
          <w:color w:val="787878"/>
          <w:sz w:val="15"/>
        </w:rPr>
        <w:t xml:space="preserve">  [économique]</w:t>
      </w:r>
      <w:r>
        <w:rPr>
          <w:color w:val="B47800"/>
          <w:sz w:val="16"/>
        </w:rPr>
        <w:t xml:space="preserve">  ★ 50/10</w:t>
      </w:r>
    </w:p>
    <w:p>
      <w:pPr>
        <w:spacing w:before="0" w:after="20"/>
        <w:ind w:left="600"/>
      </w:pPr>
      <w:r>
        <w:rPr>
          <w:color w:val="323232"/>
          <w:sz w:val="17"/>
        </w:rPr>
        <w:t>La CEDEAO et l'Alliance des États du Sahel (AES) s'apprêtent à conclure un accord-cadre de coopération, selon l'Agence Afrique. Cette annonce marque une tentative de rapprochement entre les deux entités après les tensions liées au retrait des pays de l'AES de la CEDEAO. L'accord pourrait faciliter la reprise du dialogue et de la coopération économi</w:t>
      </w:r>
    </w:p>
    <w:p>
      <w:pPr>
        <w:spacing w:before="0" w:after="40"/>
        <w:ind w:left="600"/>
      </w:pPr>
      <w:r>
        <w:rPr>
          <w:color w:val="00643C"/>
          <w:sz w:val="16"/>
        </w:rPr>
        <w:t>Points clés : Négociation d'un accord-cadre de coopération entre la CEDEAO et l'AES  •  Contexte de tensions régionales après le retrait annoncé des pays de l'AES  •  Potentiel de normalisation des relations économiques et diplomatiques</w:t>
      </w:r>
    </w:p>
    <w:p>
      <w:pPr>
        <w:spacing w:before="0" w:after="60"/>
        <w:ind w:left="600"/>
      </w:pPr>
      <w:r>
        <w:rPr>
          <w:color w:val="0064B4"/>
          <w:sz w:val="15"/>
        </w:rPr>
        <w:t>Source : https://news.google.com/rss/articles/CBMisAFBVV95cUxONlNCcUlKSXFpc1FmT1NvOWc0OG9</w:t>
      </w:r>
    </w:p>
    <w:p>
      <w:pPr>
        <w:spacing w:before="40" w:after="40"/>
        <w:ind w:left="360"/>
      </w:pPr>
      <w:r>
        <w:rPr>
          <w:color w:val="646464"/>
          <w:sz w:val="17"/>
        </w:rPr>
        <w:t xml:space="preserve">[19/10/2026] 🟢  </w:t>
      </w:r>
      <w:r>
        <w:rPr>
          <w:b/>
          <w:color w:val="008000"/>
          <w:sz w:val="18"/>
        </w:rPr>
        <w:t>CEDEAO-AES : Vers un accord-cadre de coopération entre les deux organisations - Sahel Intelligence</w:t>
      </w:r>
      <w:r>
        <w:rPr>
          <w:color w:val="787878"/>
          <w:sz w:val="15"/>
        </w:rPr>
        <w:t xml:space="preserve">  [économique]</w:t>
      </w:r>
      <w:r>
        <w:rPr>
          <w:color w:val="B47800"/>
          <w:sz w:val="16"/>
        </w:rPr>
        <w:t xml:space="preserve">  ★ 50/10</w:t>
      </w:r>
    </w:p>
    <w:p>
      <w:pPr>
        <w:spacing w:before="0" w:after="20"/>
        <w:ind w:left="600"/>
      </w:pPr>
      <w:r>
        <w:rPr>
          <w:color w:val="323232"/>
          <w:sz w:val="17"/>
        </w:rPr>
        <w:t>La CEDEAO et l'Alliance des États du Sahel (AES) s'orientent vers un accord-cadre de coopération, selon Sahel Intelligence. Cette initiative vise à maintenir un canal de dialogue entre les deux organisations malgré le retrait annoncé des pays de l'AES de la CEDEAO. Elle pourrait faciliter la gestion des dossiers économiques et sécuritaires régionau</w:t>
      </w:r>
    </w:p>
    <w:p>
      <w:pPr>
        <w:spacing w:before="0" w:after="40"/>
        <w:ind w:left="600"/>
      </w:pPr>
      <w:r>
        <w:rPr>
          <w:color w:val="00643C"/>
          <w:sz w:val="16"/>
        </w:rPr>
        <w:t>Points clés : Négociation d'un accord-cadre de coopération entre la CEDEAO et l'AES  •  Maintien d'un dialogue malgré les tensions et le retrait des pays de l'AES  •  Enjeux économiques et sécuritaires régionaux au cœur des discussions</w:t>
      </w:r>
    </w:p>
    <w:p>
      <w:pPr>
        <w:spacing w:before="0" w:after="60"/>
        <w:ind w:left="600"/>
      </w:pPr>
      <w:r>
        <w:rPr>
          <w:color w:val="0064B4"/>
          <w:sz w:val="15"/>
        </w:rPr>
        <w:t>Source : https://news.google.com/rss/articles/CBMiuAFBVV95cUxPNFJ4VXJDLTZBcGU2UHdzQzFIUFl</w:t>
      </w:r>
    </w:p>
    <w:p>
      <w:pPr>
        <w:spacing w:before="40" w:after="40"/>
        <w:ind w:left="360"/>
      </w:pPr>
      <w:r>
        <w:rPr>
          <w:color w:val="646464"/>
          <w:sz w:val="17"/>
        </w:rPr>
        <w:t xml:space="preserve">[19/10/2026] 🟢  </w:t>
      </w:r>
      <w:r>
        <w:rPr>
          <w:b/>
          <w:color w:val="008000"/>
          <w:sz w:val="18"/>
        </w:rPr>
        <w:t>AES-Cedeao : les deux blocs annoncent vouloir travailler à un « accord-cadre » - Jeune Afrique</w:t>
      </w:r>
      <w:r>
        <w:rPr>
          <w:color w:val="787878"/>
          <w:sz w:val="15"/>
        </w:rPr>
        <w:t xml:space="preserve">  [économique]</w:t>
      </w:r>
      <w:r>
        <w:rPr>
          <w:color w:val="B47800"/>
          <w:sz w:val="16"/>
        </w:rPr>
        <w:t xml:space="preserve">  ★ 50/10</w:t>
      </w:r>
    </w:p>
    <w:p>
      <w:pPr>
        <w:spacing w:before="0" w:after="20"/>
        <w:ind w:left="600"/>
      </w:pPr>
      <w:r>
        <w:rPr>
          <w:color w:val="323232"/>
          <w:sz w:val="17"/>
        </w:rPr>
        <w:t>Les blocs AES (Alliance des États du Sahel) et CEDEAO ont annoncé leur intention de travailler à un « accord-cadre » selon Jeune Afrique. Cette annonce suggère une volonté de normaliser les relations entre les pays sahéliens regroupés au sein de l'AES et la Communauté économique des États de l'Afrique de l'Ouest. Un tel accord pourrait faciliter le</w:t>
      </w:r>
    </w:p>
    <w:p>
      <w:pPr>
        <w:spacing w:before="0" w:after="40"/>
        <w:ind w:left="600"/>
      </w:pPr>
      <w:r>
        <w:rPr>
          <w:color w:val="00643C"/>
          <w:sz w:val="16"/>
        </w:rPr>
        <w:t>Points clés : Annonce d'un accord-cadre entre l'AES et la CEDEAO  •  Volonté de normaliser les relations régionales  •  Potentiel de réduction des tensions politiques et d'amélioration des échanges</w:t>
      </w:r>
    </w:p>
    <w:p>
      <w:pPr>
        <w:spacing w:before="0" w:after="60"/>
        <w:ind w:left="600"/>
      </w:pPr>
      <w:r>
        <w:rPr>
          <w:color w:val="0064B4"/>
          <w:sz w:val="15"/>
        </w:rPr>
        <w:t>Source : https://news.google.com/rss/articles/CBMivAFBVV95cUxOTGxUcjRzMFo1YW4tVTlNUV9YTzB</w:t>
      </w:r>
    </w:p>
    <w:p>
      <w:pPr>
        <w:spacing w:before="40" w:after="40"/>
        <w:ind w:left="360"/>
      </w:pPr>
      <w:r>
        <w:rPr>
          <w:color w:val="646464"/>
          <w:sz w:val="17"/>
        </w:rPr>
        <w:t xml:space="preserve">[19/10/2026] 🟢  </w:t>
      </w:r>
      <w:r>
        <w:rPr>
          <w:b/>
          <w:color w:val="008000"/>
          <w:sz w:val="18"/>
        </w:rPr>
        <w:t>AES–CEDEAO : à Dakar, des groupes conjoints pour préparer un accord de coopération - Mali Actu</w:t>
      </w:r>
      <w:r>
        <w:rPr>
          <w:color w:val="787878"/>
          <w:sz w:val="15"/>
        </w:rPr>
        <w:t xml:space="preserve">  [économique]</w:t>
      </w:r>
      <w:r>
        <w:rPr>
          <w:color w:val="B47800"/>
          <w:sz w:val="16"/>
        </w:rPr>
        <w:t xml:space="preserve">  ★ 50/10</w:t>
      </w:r>
    </w:p>
    <w:p>
      <w:pPr>
        <w:spacing w:before="0" w:after="20"/>
        <w:ind w:left="600"/>
      </w:pPr>
      <w:r>
        <w:rPr>
          <w:color w:val="323232"/>
          <w:sz w:val="17"/>
        </w:rPr>
        <w:t>Des groupes conjoints entre l'AES (Alliance des États du Sahel) et la CEDEAO se sont réunis à Dakar pour préparer un accord de coopération. Cette initiative vise à renforcer les relations entre les pays de l'AES (Mali, Burkina Faso, Niger) et la CEDEAO après les tensions récentes. L'objectif est de définir un cadre de coopération économique et poli</w:t>
      </w:r>
    </w:p>
    <w:p>
      <w:pPr>
        <w:spacing w:before="0" w:after="40"/>
        <w:ind w:left="600"/>
      </w:pPr>
      <w:r>
        <w:rPr>
          <w:color w:val="00643C"/>
          <w:sz w:val="16"/>
        </w:rPr>
        <w:t>Points clés : Réunion à Dakar de groupes conjoints AES-CEDEAO  •  Préparation d'un accord de coopération  •  Volonté de rapprochement après les tensions  •  Impact potentiel sur les échanges économiques régionaux</w:t>
      </w:r>
    </w:p>
    <w:p>
      <w:pPr>
        <w:spacing w:before="0" w:after="60"/>
        <w:ind w:left="600"/>
      </w:pPr>
      <w:r>
        <w:rPr>
          <w:color w:val="0064B4"/>
          <w:sz w:val="15"/>
        </w:rPr>
        <w:t>Source : https://news.google.com/rss/articles/CBMigAFBVV95cUxNRDdsRnNmdVdjMHJjVndoRVpnbGo</w:t>
      </w:r>
    </w:p>
    <w:p>
      <w:pPr>
        <w:spacing w:before="120" w:after="40"/>
      </w:pPr>
      <w:r>
        <w:rPr>
          <w:b/>
          <w:color w:val="00467F"/>
          <w:sz w:val="20"/>
        </w:rPr>
        <w:t>🔑 marche_financier  (1 alerte(s))</w:t>
      </w:r>
    </w:p>
    <w:p>
      <w:pPr>
        <w:spacing w:before="40" w:after="40"/>
        <w:ind w:left="360"/>
      </w:pPr>
      <w:r>
        <w:rPr>
          <w:color w:val="646464"/>
          <w:sz w:val="17"/>
        </w:rPr>
        <w:t xml:space="preserve">[19/10/2026] 🟢  </w:t>
      </w:r>
      <w:r>
        <w:rPr>
          <w:b/>
          <w:color w:val="008000"/>
          <w:sz w:val="18"/>
        </w:rPr>
        <w:t>Wall Street rêve du trading infini et se met à l'heure des actions tokenisées - Les Echos</w:t>
      </w:r>
      <w:r>
        <w:rPr>
          <w:color w:val="787878"/>
          <w:sz w:val="15"/>
        </w:rPr>
        <w:t xml:space="preserve">  [marche_financier]</w:t>
      </w:r>
      <w:r>
        <w:rPr>
          <w:color w:val="B47800"/>
          <w:sz w:val="16"/>
        </w:rPr>
        <w:t xml:space="preserve">  ★ 50/10</w:t>
      </w:r>
    </w:p>
    <w:p>
      <w:pPr>
        <w:spacing w:before="0" w:after="20"/>
        <w:ind w:left="600"/>
      </w:pPr>
      <w:r>
        <w:rPr>
          <w:color w:val="323232"/>
          <w:sz w:val="17"/>
        </w:rPr>
        <w:t xml:space="preserve">Wall Street s'intéresse de plus en plus à la tokenisation des actions, permettant un trading continu 24h/24 et 7j/7. Cette innovation pourrait transformer les marchés financiers traditionnels en améliorant la liquidité et l'accessibilité. Les acteurs américains explorent des solutions basées sur la blockchain pour tokeniser des titres et faciliter </w:t>
      </w:r>
    </w:p>
    <w:p>
      <w:pPr>
        <w:spacing w:before="0" w:after="40"/>
        <w:ind w:left="600"/>
      </w:pPr>
      <w:r>
        <w:rPr>
          <w:color w:val="00643C"/>
          <w:sz w:val="16"/>
        </w:rPr>
        <w:t>Points clés : Tokenisation des actions pour un trading infini  •  Wall Street explore la blockchain pour la liquidité  •  Impact potentiel sur les marchés traditionnels</w:t>
      </w:r>
    </w:p>
    <w:p>
      <w:pPr>
        <w:spacing w:before="0" w:after="60"/>
        <w:ind w:left="600"/>
      </w:pPr>
      <w:r>
        <w:rPr>
          <w:color w:val="0064B4"/>
          <w:sz w:val="15"/>
        </w:rPr>
        <w:t>Source : https://news.google.com/rss/articles/CBMi2wFBVV95cUxPSVBuSHh4bnRyc1RYNTh2TklwTFN</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5,550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11,310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2,865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2,105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2,150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38,955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38,495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42,800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3,010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2,090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2,175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5,700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4,500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3,800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8,725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7,945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8,460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21,400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31,400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14,600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7,705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4,200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15,195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7,510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2,875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20,800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20,750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2,790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1,780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7,515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2,020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10,350</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1,850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9,200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12,885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30,505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1,430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16,200</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EBF5FB" w:val="clear"/>
          </w:tcPr>
          <w:p>
            <w:r>
              <w:rPr>
                <w:sz w:val="16"/>
              </w:rPr>
              <w:t>46</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w:t>
            </w:r>
          </w:p>
        </w:tc>
        <w:tc>
          <w:tcPr>
            <w:tcW w:type="dxa" w:w="1080"/>
            <w:shd w:fill="EBF5FB" w:val="clear"/>
          </w:tcPr>
          <w:p>
            <w:r>
              <w:rPr>
                <w:b/>
                <w:sz w:val="16"/>
              </w:rPr>
              <w:t>56/100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45,050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SICC</w:t>
            </w:r>
          </w:p>
        </w:tc>
        <w:tc>
          <w:tcPr>
            <w:tcW w:type="dxa" w:w="1080"/>
            <w:shd w:fill="FEFEFE" w:val="clear"/>
          </w:tcPr>
          <w:p>
            <w:r>
              <w:rPr>
                <w:sz w:val="16"/>
              </w:rPr>
              <w:t>CONSOMMATION DE BA</w:t>
            </w:r>
          </w:p>
        </w:tc>
        <w:tc>
          <w:tcPr>
            <w:tcW w:type="dxa" w:w="1080"/>
            <w:shd w:fill="FEFEFE" w:val="clear"/>
          </w:tcPr>
          <w:p>
            <w:r>
              <w:rPr>
                <w:sz w:val="16"/>
              </w:rPr>
              <w:t>—</w:t>
            </w:r>
          </w:p>
        </w:tc>
        <w:tc>
          <w:tcPr>
            <w:tcW w:type="dxa" w:w="1080"/>
            <w:shd w:fill="FEFEFE" w:val="clear"/>
          </w:tcPr>
          <w:p>
            <w:r>
              <w:rPr>
                <w:b/>
                <w:sz w:val="16"/>
              </w:rPr>
              <w:t>52/100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11,310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SDSC</w:t>
            </w:r>
          </w:p>
        </w:tc>
        <w:tc>
          <w:tcPr>
            <w:tcW w:type="dxa" w:w="1728"/>
            <w:shd w:fill="DEEAF1" w:val="clear"/>
          </w:tcPr>
          <w:p>
            <w:r>
              <w:rPr>
                <w:sz w:val="17"/>
              </w:rPr>
              <w:t>SDSC - AFRICA GLOBAL LOGISTI</w:t>
            </w:r>
          </w:p>
        </w:tc>
        <w:tc>
          <w:tcPr>
            <w:tcW w:type="dxa" w:w="1728"/>
            <w:shd w:fill="DEEAF1" w:val="clear"/>
          </w:tcPr>
          <w:p>
            <w:r>
              <w:rPr>
                <w:sz w:val="17"/>
              </w:rPr>
              <w:t>2,865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2,105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38,955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38,495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3,010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3,000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8,100</w:t>
            </w:r>
          </w:p>
        </w:tc>
        <w:tc>
          <w:tcPr>
            <w:tcW w:type="dxa" w:w="1728"/>
            <w:shd w:fill="DEEAF1" w:val="clear"/>
          </w:tcPr>
          <w:p>
            <w:r>
              <w:rPr>
                <w:sz w:val="17"/>
              </w:rPr>
              <w:t>71/100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CIEC</w:t>
            </w:r>
          </w:p>
        </w:tc>
        <w:tc>
          <w:tcPr>
            <w:tcW w:type="dxa" w:w="1728"/>
            <w:shd w:fill="E2EFDA" w:val="clear"/>
          </w:tcPr>
          <w:p>
            <w:r>
              <w:rPr>
                <w:sz w:val="17"/>
              </w:rPr>
              <w:t xml:space="preserve">CIEC - Compagnie Ivoirienne </w:t>
            </w:r>
          </w:p>
        </w:tc>
        <w:tc>
          <w:tcPr>
            <w:tcW w:type="dxa" w:w="1728"/>
            <w:shd w:fill="E2EFDA" w:val="clear"/>
          </w:tcPr>
          <w:p>
            <w:r>
              <w:rPr>
                <w:sz w:val="17"/>
              </w:rPr>
              <w:t>5,550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11,310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2,865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2,105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2,150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38,955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38,495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42,800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CIEC</w:t>
            </w:r>
          </w:p>
        </w:tc>
        <w:tc>
          <w:tcPr>
            <w:tcW w:type="dxa" w:w="1728"/>
            <w:shd w:fill="FCE4D6" w:val="clear"/>
          </w:tcPr>
          <w:p>
            <w:r>
              <w:rPr>
                <w:sz w:val="17"/>
              </w:rPr>
              <w:t xml:space="preserve">CIEC - Compagnie Ivoirienne </w:t>
            </w:r>
          </w:p>
        </w:tc>
        <w:tc>
          <w:tcPr>
            <w:tcW w:type="dxa" w:w="1728"/>
            <w:shd w:fill="FCE4D6" w:val="clear"/>
          </w:tcPr>
          <w:p>
            <w:r>
              <w:rPr>
                <w:sz w:val="17"/>
              </w:rPr>
              <w:t>5,550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11,310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2,865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2,105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2,150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38,955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38,495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42,800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RSI survente (18.3 &lt; 30) — opportunité potentielle</w:t>
      </w:r>
    </w:p>
    <w:p>
      <w:pPr>
        <w:pStyle w:val="ListBullet"/>
        <w:spacing w:before="20"/>
        <w:ind w:left="400"/>
      </w:pPr>
      <w:r>
        <w:rPr>
          <w:sz w:val="18"/>
        </w:rPr>
        <w:t>⚠️ Cours à 0.0% du plus bas 100j (3,000 FCFA)</w:t>
      </w:r>
    </w:p>
    <w:p>
      <w:pPr>
        <w:spacing w:before="120"/>
      </w:pPr>
      <w:r>
        <w:rPr>
          <w:b/>
          <w:color w:val="0050A0"/>
          <w:sz w:val="20"/>
        </w:rPr>
        <w:t>ECOC — ECOC - ECOBANK COTE D'IVOIRE</w:t>
      </w:r>
    </w:p>
    <w:p>
      <w:pPr>
        <w:pStyle w:val="ListBullet"/>
        <w:spacing w:before="20"/>
        <w:ind w:left="400"/>
      </w:pPr>
      <w:r>
        <w:rPr>
          <w:sz w:val="18"/>
        </w:rPr>
        <w:t>🟢 RSI survente (28.7 &lt; 30) — opportunité potentielle</w:t>
      </w:r>
    </w:p>
    <w:p>
      <w:pPr>
        <w:pStyle w:val="ListBullet"/>
        <w:spacing w:before="20"/>
        <w:ind w:left="400"/>
      </w:pPr>
      <w:r>
        <w:rPr>
          <w:sz w:val="18"/>
        </w:rPr>
        <w:t>🟠 Divergence tech(VENTE) / fond(NEUTRE) — recommandation ajustée à CONSERVER ⚠️</w:t>
      </w:r>
    </w:p>
    <w:p>
      <w:pPr>
        <w:spacing w:before="120"/>
      </w:pPr>
      <w:r>
        <w:rPr>
          <w:b/>
          <w:color w:val="0050A0"/>
          <w:sz w:val="20"/>
        </w:rPr>
        <w:t>FTSC — FTSC - FILTISAC COTE D'IVOIRE</w:t>
      </w:r>
    </w:p>
    <w:p>
      <w:pPr>
        <w:pStyle w:val="ListBullet"/>
        <w:spacing w:before="20"/>
        <w:ind w:left="400"/>
      </w:pPr>
      <w:r>
        <w:rPr>
          <w:sz w:val="18"/>
        </w:rPr>
        <w:t>⚠️ Cours à 0.3% du plus bas 100j (1,800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Cours à 1.4% du plus bas 100j (7,600 FCFA)</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(2.3 &lt; 30) — opportunité potentielle</w:t>
      </w:r>
    </w:p>
    <w:p>
      <w:pPr>
        <w:pStyle w:val="ListBullet"/>
        <w:spacing w:before="20"/>
        <w:ind w:left="400"/>
      </w:pPr>
      <w:r>
        <w:rPr>
          <w:sz w:val="18"/>
        </w:rPr>
        <w:t>⚠️ Cours à 0.0% du plus bas 100j (2,150 FCFA)</w:t>
      </w:r>
    </w:p>
    <w:p>
      <w:pPr>
        <w:spacing w:before="120"/>
      </w:pPr>
      <w:r>
        <w:rPr>
          <w:b/>
          <w:color w:val="0050A0"/>
          <w:sz w:val="20"/>
        </w:rPr>
        <w:t>SIVC — SIVC - ERIUM CI (Ex AIR LIQUIDECI)</w:t>
      </w:r>
    </w:p>
    <w:p>
      <w:pPr>
        <w:pStyle w:val="ListBullet"/>
        <w:spacing w:before="20"/>
        <w:ind w:left="400"/>
      </w:pPr>
      <w:r>
        <w:rPr>
          <w:sz w:val="18"/>
        </w:rPr>
        <w:t>⚠️ Cours à 0.0% du plus bas 100j (1,780 FCFA)</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Cours à 2.9% du plus bas 100j (7,300 FCFA)</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1.4% du plus bas 100j (44,410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(6.2 &lt; 30) — opportunité potentielle</w:t>
      </w:r>
    </w:p>
    <w:p>
      <w:pPr>
        <w:spacing w:before="120"/>
      </w:pPr>
      <w:r>
        <w:rPr>
          <w:b/>
          <w:color w:val="0050A0"/>
          <w:sz w:val="20"/>
        </w:rPr>
        <w:t>BBGC — BRIDGE BANK GROUP COTE D'IVOIRE</w:t>
      </w:r>
    </w:p>
    <w:p>
      <w:pPr>
        <w:pStyle w:val="ListBullet"/>
        <w:spacing w:before="20"/>
        <w:ind w:left="400"/>
      </w:pPr>
      <w:r>
        <w:rPr>
          <w:sz w:val="18"/>
        </w:rPr>
        <w:t>⚠️ Cours à 1.4% du plus haut 100j (10,495 FCFA)</w:t>
      </w:r>
    </w:p>
    <w:p>
      <w:pPr>
        <w:spacing w:before="120"/>
      </w:pPr>
      <w:r>
        <w:rPr>
          <w:b/>
          <w:color w:val="0050A0"/>
          <w:sz w:val="20"/>
        </w:rPr>
        <w:t>BICB — BIIC BN - Banque internationale pour le commerce du benin</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survente (23.7 &lt; 30) — opportunité potentielle</w:t>
      </w:r>
    </w:p>
    <w:p>
      <w:pPr>
        <w:spacing w:before="120"/>
      </w:pPr>
      <w:r>
        <w:rPr>
          <w:b/>
          <w:color w:val="0050A0"/>
          <w:sz w:val="20"/>
        </w:rPr>
        <w:t>BOAM — BANK OF AFRICA MALI</w:t>
      </w:r>
    </w:p>
    <w:p>
      <w:pPr>
        <w:pStyle w:val="ListBullet"/>
        <w:spacing w:before="20"/>
        <w:ind w:left="400"/>
      </w:pPr>
      <w:r>
        <w:rPr>
          <w:sz w:val="18"/>
        </w:rPr>
        <w:t>🟢 RSI survente (18.5 &lt; 30) — opportunité potentielle</w:t>
      </w:r>
    </w:p>
    <w:p>
      <w:pPr>
        <w:spacing w:before="120"/>
      </w:pPr>
      <w:r>
        <w:rPr>
          <w:b/>
          <w:color w:val="0050A0"/>
          <w:sz w:val="20"/>
        </w:rPr>
        <w:t>BOAN — BANK OF AFRICA NIGER</w:t>
      </w:r>
    </w:p>
    <w:p>
      <w:pPr>
        <w:pStyle w:val="ListBullet"/>
        <w:spacing w:before="20"/>
        <w:ind w:left="400"/>
      </w:pPr>
      <w:r>
        <w:rPr>
          <w:sz w:val="18"/>
        </w:rPr>
        <w:t>🟢 RSI survente (23.4 &lt; 30) — opportunité potentielle</w:t>
      </w:r>
    </w:p>
    <w:p>
      <w:pPr>
        <w:spacing w:before="120"/>
      </w:pPr>
      <w:r>
        <w:rPr>
          <w:b/>
          <w:color w:val="0050A0"/>
          <w:sz w:val="20"/>
        </w:rPr>
        <w:t>BOAS — BANK OF AFRICA SENEGAL</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survente (21.9 &lt; 30) — opportunité potentielle</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(14.9 &lt; 30) — opportunité potentielle</w:t>
      </w:r>
    </w:p>
    <w:p>
      <w:pPr>
        <w:spacing w:before="120"/>
      </w:pPr>
      <w:r>
        <w:rPr>
          <w:b/>
          <w:color w:val="0050A0"/>
          <w:sz w:val="20"/>
        </w:rPr>
        <w:t>NSBC — NSBC - NSIA BANQUE COTE D'IVOIRE</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Divergence tech(VENTE) / fond(ACHAT) — recommandation ajustée à ACHAT</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RSI survente (25.7 &lt; 30) — opportunité potentielle</w:t>
      </w:r>
    </w:p>
    <w:p>
      <w:pPr>
        <w:spacing w:before="120"/>
      </w:pPr>
      <w:r>
        <w:rPr>
          <w:b/>
          <w:color w:val="0050A0"/>
          <w:sz w:val="20"/>
        </w:rPr>
        <w:t>SDCC — SDCC - Société de Distribution d'Eau de Côte d'Ivoire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0.9% du plus haut 100j (39,300 FCFA)</w:t>
      </w:r>
    </w:p>
    <w:p>
      <w:pPr>
        <w:spacing w:before="120"/>
      </w:pPr>
      <w:r>
        <w:rPr>
          <w:b/>
          <w:color w:val="0050A0"/>
          <w:sz w:val="20"/>
        </w:rPr>
        <w:t>SHEC — SHEC - VIVO ENERGY COTE D'IVOIRE</w:t>
      </w:r>
    </w:p>
    <w:p>
      <w:pPr>
        <w:pStyle w:val="ListBullet"/>
        <w:spacing w:before="20"/>
        <w:ind w:left="400"/>
      </w:pPr>
      <w:r>
        <w:rPr>
          <w:sz w:val="18"/>
        </w:rPr>
        <w:t>🟢 RSI survente (21.3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Cours à 2.4% du plus bas 100j (20,895 FCFA)</w:t>
      </w:r>
    </w:p>
    <w:p>
      <w:pPr>
        <w:spacing w:before="120"/>
      </w:pPr>
      <w:r>
        <w:rPr>
          <w:b/>
          <w:color w:val="0050A0"/>
          <w:sz w:val="20"/>
        </w:rPr>
        <w:t>TTLC — TTLC - TOTAL ENERGIES MARKETING COTE D'IVOIRE</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survente (21.4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30 société(s) (62%)</w:t>
            </w:r>
          </w:p>
        </w:tc>
        <w:tc>
          <w:tcPr>
            <w:tcW w:type="dxa" w:w="1644"/>
            <w:shd w:fill="FFEB9C" w:val="clear"/>
          </w:tcPr>
          <w:p>
            <w:r>
              <w:rPr>
                <w:b/>
                <w:color w:val="825A00"/>
                <w:sz w:val="19"/>
              </w:rPr>
              <w:t>18 société(s) (38%)</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19.2/100</w:t>
            </w:r>
          </w:p>
        </w:tc>
        <w:tc>
          <w:tcPr>
            <w:tcW w:type="dxa" w:w="1644"/>
            <w:shd w:fill="DEEAF1" w:val="clear"/>
          </w:tcPr>
          <w:p>
            <w:r>
              <w:rPr>
                <w:b/>
                <w:color w:val="000000"/>
                <w:sz w:val="19"/>
              </w:rPr>
              <w:t>19.0/100</w:t>
            </w:r>
          </w:p>
        </w:tc>
      </w:tr>
    </w:tbl>
    <w:p/>
    <w:p>
      <w:r>
        <w:rPr>
          <w:i/>
          <w:color w:val="006400"/>
          <w:sz w:val="18"/>
        </w:rPr>
        <w:t>✅ Le marché BRVM présente globalement un profil de risque FAIBLE (score moyen 19.2/100).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34.2/100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29.3/100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BOABF</w:t>
            </w:r>
          </w:p>
        </w:tc>
        <w:tc>
          <w:tcPr>
            <w:tcW w:type="dxa" w:w="2268"/>
            <w:shd w:fill="FFFFFF" w:val="clear"/>
          </w:tcPr>
          <w:p>
            <w:r>
              <w:rPr>
                <w:sz w:val="16"/>
              </w:rPr>
              <w:t>BANK OF AFRICA BURKINA FASO</w:t>
            </w:r>
          </w:p>
        </w:tc>
        <w:tc>
          <w:tcPr>
            <w:tcW w:type="dxa" w:w="1701"/>
            <w:shd w:fill="FFFFFF" w:val="clear"/>
          </w:tcPr>
          <w:p>
            <w:r>
              <w:rPr>
                <w:sz w:val="16"/>
              </w:rPr>
              <w:t>SERVICES FINANCIER</w:t>
            </w:r>
          </w:p>
        </w:tc>
        <w:tc>
          <w:tcPr>
            <w:tcW w:type="dxa" w:w="1020"/>
            <w:shd w:fill="FFEB9C" w:val="clear"/>
          </w:tcPr>
          <w:p>
            <w:r>
              <w:rPr>
                <w:b/>
                <w:color w:val="B40000"/>
                <w:sz w:val="16"/>
              </w:rPr>
              <w:t>28.1/100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STAC</w:t>
            </w:r>
          </w:p>
        </w:tc>
        <w:tc>
          <w:tcPr>
            <w:tcW w:type="dxa" w:w="2268"/>
            <w:shd w:fill="FFFFFF" w:val="clear"/>
          </w:tcPr>
          <w:p>
            <w:r>
              <w:rPr>
                <w:sz w:val="16"/>
              </w:rPr>
              <w:t>STAC - SETAO COTE D'IVOIRE</w:t>
            </w:r>
          </w:p>
        </w:tc>
        <w:tc>
          <w:tcPr>
            <w:tcW w:type="dxa" w:w="1701"/>
            <w:shd w:fill="FFFFFF" w:val="clear"/>
          </w:tcPr>
          <w:p>
            <w:r>
              <w:rPr>
                <w:sz w:val="16"/>
              </w:rPr>
              <w:t>INDUSTRIELS</w:t>
            </w:r>
          </w:p>
        </w:tc>
        <w:tc>
          <w:tcPr>
            <w:tcW w:type="dxa" w:w="1020"/>
            <w:shd w:fill="FFEB9C" w:val="clear"/>
          </w:tcPr>
          <w:p>
            <w:r>
              <w:rPr>
                <w:b/>
                <w:color w:val="B40000"/>
                <w:sz w:val="16"/>
              </w:rPr>
              <w:t>27.8/100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(34.2/100 — Moyen) : </w:t>
      </w:r>
      <w:r>
        <w:rPr>
          <w:sz w:val="17"/>
        </w:rPr>
        <w:t>Volatilité=Élevée | Bêta=Contre-cyclique | Liquidité=Faible | Divergence signaux=taux divergence=0% (Convergent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SNTS (29.3/100 — Moyen) : </w:t>
      </w:r>
      <w:r>
        <w:rPr>
          <w:sz w:val="17"/>
        </w:rPr>
        <w:t>Volatilité=Élevée | Bêta=Agressif | Liquidité=Excellente | Divergence signaux=taux divergence=20% (Mixte ⚠️) | Stabilité=Stable</w:t>
      </w:r>
    </w:p>
    <w:p>
      <w:pPr>
        <w:pStyle w:val="ListBullet"/>
      </w:pPr>
      <w:r>
        <w:rPr>
          <w:b/>
          <w:color w:val="B40000"/>
          <w:sz w:val="18"/>
        </w:rPr>
        <w:t xml:space="preserve">#4 BOABF (28.1/100 — Moyen) : </w:t>
      </w:r>
      <w:r>
        <w:rPr>
          <w:sz w:val="17"/>
        </w:rPr>
        <w:t>Volatilité=Élevée | Bêta=Défensif | Liquidité=Bonne | Divergence signaux=taux divergence=40% (Très divergent ❌) | Stabilité=Stable</w:t>
      </w:r>
    </w:p>
    <w:p>
      <w:pPr>
        <w:pStyle w:val="ListBullet"/>
      </w:pPr>
      <w:r>
        <w:rPr>
          <w:b/>
          <w:color w:val="B40000"/>
          <w:sz w:val="18"/>
        </w:rPr>
        <w:t xml:space="preserve">#5 STAC (27.8/100 — Moyen) : </w:t>
      </w:r>
      <w:r>
        <w:rPr>
          <w:sz w:val="17"/>
        </w:rPr>
        <w:t>Volatilité=Élevée | Bêta=Défensif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34.2</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29.3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25.6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FFEB9C" w:val="clear"/>
          </w:tcPr>
          <w:p>
            <w:r>
              <w:rPr>
                <w:b/>
                <w:color w:val="825A00"/>
                <w:sz w:val="15"/>
              </w:rPr>
              <w:t>25.2</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13.8</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+0.85%  |  Médiane : +0.03%</w:t>
            </w:r>
          </w:p>
        </w:tc>
      </w:tr>
      <w:tr>
        <w:tc>
          <w:tcPr>
            <w:tcW w:type="dxa" w:w="2835"/>
            <w:shd w:fill="DEEAF1" w:val="clear"/>
          </w:tcPr>
          <w:p>
            <w:r>
              <w:rPr>
                <w:b/>
                <w:sz w:val="18"/>
              </w:rPr>
              <w:t>Répartition</w:t>
            </w:r>
          </w:p>
        </w:tc>
        <w:tc>
          <w:tcPr>
            <w:tcW w:type="dxa" w:w="7370"/>
          </w:tcPr>
          <w:p>
            <w:r>
              <w:rPr>
                <w:b/>
                <w:sz w:val="18"/>
              </w:rPr>
              <w:t>📈 17 sociétés en hausse (&gt;+1%)   📉 17 en baisse (&lt;-1%)   ➡️ 11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+0.85% avec 11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2,150 FCFA</w:t>
            </w:r>
          </w:p>
        </w:tc>
        <w:tc>
          <w:tcPr>
            <w:tcW w:type="dxa" w:w="1417"/>
            <w:shd w:fill="FFFFFF" w:val="clear"/>
          </w:tcPr>
          <w:p>
            <w:r>
              <w:rPr>
                <w:sz w:val="16"/>
              </w:rPr>
              <w:t>3,007 FCFA</w:t>
            </w:r>
          </w:p>
        </w:tc>
        <w:tc>
          <w:tcPr>
            <w:tcW w:type="dxa" w:w="1134"/>
            <w:shd w:fill="C6EFCE" w:val="clear"/>
          </w:tcPr>
          <w:p>
            <w:r>
              <w:rPr>
                <w:b/>
                <w:color w:val="007800"/>
                <w:sz w:val="16"/>
              </w:rPr>
              <w:t>+39.87%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21,400 FCFA</w:t>
            </w:r>
          </w:p>
        </w:tc>
        <w:tc>
          <w:tcPr>
            <w:tcW w:type="dxa" w:w="1417"/>
            <w:shd w:fill="FFFFFF" w:val="clear"/>
          </w:tcPr>
          <w:p>
            <w:r>
              <w:rPr>
                <w:sz w:val="16"/>
              </w:rPr>
              <w:t>24,667 FCFA</w:t>
            </w:r>
          </w:p>
        </w:tc>
        <w:tc>
          <w:tcPr>
            <w:tcW w:type="dxa" w:w="1134"/>
            <w:shd w:fill="C6EFCE" w:val="clear"/>
          </w:tcPr>
          <w:p>
            <w:r>
              <w:rPr>
                <w:b/>
                <w:color w:val="007800"/>
                <w:sz w:val="16"/>
              </w:rPr>
              <w:t>+15.27%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8,460 FCFA</w:t>
            </w:r>
          </w:p>
        </w:tc>
        <w:tc>
          <w:tcPr>
            <w:tcW w:type="dxa" w:w="1417"/>
            <w:shd w:fill="FFFFFF" w:val="clear"/>
          </w:tcPr>
          <w:p>
            <w:r>
              <w:rPr>
                <w:sz w:val="16"/>
              </w:rPr>
              <w:t>9,299 FCFA</w:t>
            </w:r>
          </w:p>
        </w:tc>
        <w:tc>
          <w:tcPr>
            <w:tcW w:type="dxa" w:w="1134"/>
            <w:shd w:fill="C6EFCE" w:val="clear"/>
          </w:tcPr>
          <w:p>
            <w:r>
              <w:rPr>
                <w:b/>
                <w:color w:val="007800"/>
                <w:sz w:val="16"/>
              </w:rPr>
              <w:t>+9.92%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5,550 FCFA</w:t>
            </w:r>
          </w:p>
        </w:tc>
        <w:tc>
          <w:tcPr>
            <w:tcW w:type="dxa" w:w="1417"/>
            <w:shd w:fill="FFFFFF" w:val="clear"/>
          </w:tcPr>
          <w:p>
            <w:r>
              <w:rPr>
                <w:sz w:val="16"/>
              </w:rPr>
              <w:t>6,038 FCFA</w:t>
            </w:r>
          </w:p>
        </w:tc>
        <w:tc>
          <w:tcPr>
            <w:tcW w:type="dxa" w:w="1134"/>
            <w:shd w:fill="C6EFCE" w:val="clear"/>
          </w:tcPr>
          <w:p>
            <w:r>
              <w:rPr>
                <w:b/>
                <w:color w:val="007800"/>
                <w:sz w:val="16"/>
              </w:rPr>
              <w:t>+8.79%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4,500 FCFA</w:t>
            </w:r>
          </w:p>
        </w:tc>
        <w:tc>
          <w:tcPr>
            <w:tcW w:type="dxa" w:w="1417"/>
            <w:shd w:fill="FFFFFF" w:val="clear"/>
          </w:tcPr>
          <w:p>
            <w:r>
              <w:rPr>
                <w:sz w:val="16"/>
              </w:rPr>
              <w:t>4,831 FCFA</w:t>
            </w:r>
          </w:p>
        </w:tc>
        <w:tc>
          <w:tcPr>
            <w:tcW w:type="dxa" w:w="1134"/>
            <w:shd w:fill="C6EFCE" w:val="clear"/>
          </w:tcPr>
          <w:p>
            <w:r>
              <w:rPr>
                <w:b/>
                <w:color w:val="007800"/>
                <w:sz w:val="16"/>
              </w:rPr>
              <w:t>+7.36%</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(+39.9%) — signal potentiellement excessif, à croiser avec l'analyse technique. Trajectoire : 📈 Hausse continue. Cours actuel : 2,150 FCFA → prédit J+10 : 3,007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(+15.3%) — potentiel de revalorisation notable. Trajectoire : 📈 Hausse continue. Cours actuel : 21,400 FCFA → prédit J+10 : 24,667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modérée (+9.9%) — signal raisonnable et crédible. Trajectoire : 📈 Hausse continue. Cours actuel : 8,460 FCFA → prédit J+10 : 9,299 FCFA. ⚠️ Confiance limitée — volatilité élevée ou données insuffisantes. Résultat indicatif uniquement.</w:t>
      </w:r>
    </w:p>
    <w:p>
      <w:pPr>
        <w:pStyle w:val="ListBullet"/>
      </w:pPr>
      <w:r>
        <w:rPr>
          <w:b/>
          <w:color w:val="006400"/>
          <w:sz w:val="18"/>
        </w:rPr>
        <w:t xml:space="preserve">#4 CIEC </w:t>
      </w:r>
      <w:r>
        <w:rPr>
          <w:sz w:val="17"/>
        </w:rPr>
        <w:t>(CIEC - Compagnie Ivoirienne d'Electricit) — hausse modérée (+8.8%) — signal raisonnable et crédible. Trajectoire : 📈 Hausse continue. Cours actuel : 5,550 FCFA → prédit J+10 : 6,038 FCFA. ⚠️ Confiance limitée — volatilité élevée ou données insuffisantes. Résultat indicatif uniquement.</w:t>
      </w:r>
    </w:p>
    <w:p>
      <w:pPr>
        <w:pStyle w:val="ListBullet"/>
      </w:pPr>
      <w:r>
        <w:rPr>
          <w:b/>
          <w:color w:val="006400"/>
          <w:sz w:val="18"/>
        </w:rPr>
        <w:t xml:space="preserve">#5 BOAN </w:t>
      </w:r>
      <w:r>
        <w:rPr>
          <w:sz w:val="17"/>
        </w:rPr>
        <w:t>(BANK OF AFRICA NIGER) — hausse modérée (+7.4%) — signal raisonnable et crédible. Trajectoire : 📈 Hausse continue. Cours actuel : 4,500 FCFA → prédit J+10 : 4,831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8,100 FCFA</w:t>
            </w:r>
          </w:p>
        </w:tc>
        <w:tc>
          <w:tcPr>
            <w:tcW w:type="dxa" w:w="1417"/>
            <w:shd w:fill="FFFFFF" w:val="clear"/>
          </w:tcPr>
          <w:p>
            <w:r>
              <w:rPr>
                <w:sz w:val="16"/>
              </w:rPr>
              <w:t>7,090 FCFA</w:t>
            </w:r>
          </w:p>
        </w:tc>
        <w:tc>
          <w:tcPr>
            <w:tcW w:type="dxa" w:w="1134"/>
            <w:shd w:fill="FFC7CE" w:val="clear"/>
          </w:tcPr>
          <w:p>
            <w:r>
              <w:rPr>
                <w:b/>
                <w:color w:val="B40000"/>
                <w:sz w:val="16"/>
              </w:rPr>
              <w:t>-12.47%</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20,800 FCFA</w:t>
            </w:r>
          </w:p>
        </w:tc>
        <w:tc>
          <w:tcPr>
            <w:tcW w:type="dxa" w:w="1417"/>
            <w:shd w:fill="FFFFFF" w:val="clear"/>
          </w:tcPr>
          <w:p>
            <w:r>
              <w:rPr>
                <w:sz w:val="16"/>
              </w:rPr>
              <w:t>18,543 FCFA</w:t>
            </w:r>
          </w:p>
        </w:tc>
        <w:tc>
          <w:tcPr>
            <w:tcW w:type="dxa" w:w="1134"/>
            <w:shd w:fill="FFC7CE" w:val="clear"/>
          </w:tcPr>
          <w:p>
            <w:r>
              <w:rPr>
                <w:b/>
                <w:color w:val="B40000"/>
                <w:sz w:val="16"/>
              </w:rPr>
              <w:t>-10.85%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5,292 FCFA</w:t>
            </w:r>
          </w:p>
        </w:tc>
        <w:tc>
          <w:tcPr>
            <w:tcW w:type="dxa" w:w="1134"/>
            <w:shd w:fill="FFC7CE" w:val="clear"/>
          </w:tcPr>
          <w:p>
            <w:r>
              <w:rPr>
                <w:b/>
                <w:color w:val="B40000"/>
                <w:sz w:val="16"/>
              </w:rPr>
              <w:t>-7.15%</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1,805 FCFA</w:t>
            </w:r>
          </w:p>
        </w:tc>
        <w:tc>
          <w:tcPr>
            <w:tcW w:type="dxa" w:w="1417"/>
            <w:shd w:fill="FFFFFF" w:val="clear"/>
          </w:tcPr>
          <w:p>
            <w:r>
              <w:rPr>
                <w:sz w:val="16"/>
              </w:rPr>
              <w:t>1,693 FCFA</w:t>
            </w:r>
          </w:p>
        </w:tc>
        <w:tc>
          <w:tcPr>
            <w:tcW w:type="dxa" w:w="1134"/>
            <w:shd w:fill="FFC7CE" w:val="clear"/>
          </w:tcPr>
          <w:p>
            <w:r>
              <w:rPr>
                <w:b/>
                <w:color w:val="B40000"/>
                <w:sz w:val="16"/>
              </w:rPr>
              <w:t>-6.22%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30,505 FCFA</w:t>
            </w:r>
          </w:p>
        </w:tc>
        <w:tc>
          <w:tcPr>
            <w:tcW w:type="dxa" w:w="1417"/>
            <w:shd w:fill="FFFFFF" w:val="clear"/>
          </w:tcPr>
          <w:p>
            <w:r>
              <w:rPr>
                <w:sz w:val="16"/>
              </w:rPr>
              <w:t>28,670 FCFA</w:t>
            </w:r>
          </w:p>
        </w:tc>
        <w:tc>
          <w:tcPr>
            <w:tcW w:type="dxa" w:w="1134"/>
            <w:shd w:fill="FFC7CE" w:val="clear"/>
          </w:tcPr>
          <w:p>
            <w:r>
              <w:rPr>
                <w:b/>
                <w:color w:val="B40000"/>
                <w:sz w:val="16"/>
              </w:rPr>
              <w:t>-6.02%</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(-12.5%) — repli technique attendu. Trajectoire : 📉 Baisse continue. Cours actuel : 8,100 FCFA → prédit J+10 : 7,090 FCFA. Confiance partielle — surveiller l'évolution réelle des premiers jours.</w:t>
      </w:r>
    </w:p>
    <w:p>
      <w:pPr>
        <w:pStyle w:val="ListBullet"/>
      </w:pPr>
      <w:r>
        <w:rPr>
          <w:b/>
          <w:color w:val="B40000"/>
          <w:sz w:val="18"/>
        </w:rPr>
        <w:t xml:space="preserve">#2 NSBC </w:t>
      </w:r>
      <w:r>
        <w:rPr>
          <w:sz w:val="17"/>
        </w:rPr>
        <w:t>(NSBC - NSIA BANQUE COTE D'IVOIRE) — baisse modérée (-10.8%) — repli technique attendu. Trajectoire : 📉 Baisse continue. Cours actuel : 20,800 FCFA → prédit J+10 : 18,543 FCFA. ⚠️ Confiance limitée — volatilité élevée. Ne pas agir sur ce seul signal.</w:t>
      </w:r>
    </w:p>
    <w:p>
      <w:pPr>
        <w:pStyle w:val="ListBullet"/>
      </w:pPr>
      <w:r>
        <w:rPr>
          <w:b/>
          <w:color w:val="B40000"/>
          <w:sz w:val="18"/>
        </w:rPr>
        <w:t xml:space="preserve">#3 BOAM </w:t>
      </w:r>
      <w:r>
        <w:rPr>
          <w:sz w:val="17"/>
        </w:rPr>
        <w:t>(BANK OF AFRICA MALI) — baisse modérée (-7.1%) — repli technique attendu. Trajectoire : 📉 Baisse continue. Cours actuel : 5,700 FCFA → prédit J+10 : 5,292 FCFA. ⚠️ Confiance limitée — volatilité élevée. Ne pas agir sur ce seul signal.</w:t>
      </w:r>
    </w:p>
    <w:p>
      <w:pPr>
        <w:pStyle w:val="ListBullet"/>
      </w:pPr>
      <w:r>
        <w:rPr>
          <w:b/>
          <w:color w:val="B40000"/>
          <w:sz w:val="18"/>
        </w:rPr>
        <w:t xml:space="preserve">#4 FTSC </w:t>
      </w:r>
      <w:r>
        <w:rPr>
          <w:sz w:val="17"/>
        </w:rPr>
        <w:t>(FTSC - FILTISAC COTE D'IVOIRE) — baisse modérée (-6.2%) — repli technique attendu. Trajectoire : 📉 Baisse continue. Cours actuel : 1,805 FCFA → prédit J+10 : 1,693 FCFA. ⚠️ Confiance limitée — volatilité élevée. Ne pas agir sur ce seul signal.</w:t>
      </w:r>
    </w:p>
    <w:p>
      <w:pPr>
        <w:pStyle w:val="ListBullet"/>
      </w:pPr>
      <w:r>
        <w:rPr>
          <w:b/>
          <w:color w:val="B40000"/>
          <w:sz w:val="18"/>
        </w:rPr>
        <w:t xml:space="preserve">#5 CBIBF </w:t>
      </w:r>
      <w:r>
        <w:rPr>
          <w:sz w:val="17"/>
        </w:rPr>
        <w:t>(CBIBF - CORIS BANK INTERNATIONAL BURKINA) — baisse modérée (-6.0%) — repli technique attendu. Trajectoire : 📉 Baisse continue. Cours actuel : 30,505 FCFA → prédit J+10 : 28,670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2,150</w:t>
            </w:r>
          </w:p>
        </w:tc>
        <w:tc>
          <w:tcPr>
            <w:tcW w:type="dxa" w:w="1417"/>
            <w:shd w:fill="FFFFFF" w:val="clear"/>
          </w:tcPr>
          <w:p>
            <w:r>
              <w:rPr>
                <w:sz w:val="16"/>
              </w:rPr>
              <w:t>3,007</w:t>
            </w:r>
          </w:p>
        </w:tc>
        <w:tc>
          <w:tcPr>
            <w:tcW w:type="dxa" w:w="1134"/>
            <w:shd w:fill="C6EFCE" w:val="clear"/>
          </w:tcPr>
          <w:p>
            <w:r>
              <w:rPr>
                <w:b/>
                <w:color w:val="007800"/>
                <w:sz w:val="16"/>
              </w:rPr>
              <w:t>+39.87%</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21,400</w:t>
            </w:r>
          </w:p>
        </w:tc>
        <w:tc>
          <w:tcPr>
            <w:tcW w:type="dxa" w:w="1417"/>
            <w:shd w:fill="FFFFFF" w:val="clear"/>
          </w:tcPr>
          <w:p>
            <w:r>
              <w:rPr>
                <w:sz w:val="16"/>
              </w:rPr>
              <w:t>24,667</w:t>
            </w:r>
          </w:p>
        </w:tc>
        <w:tc>
          <w:tcPr>
            <w:tcW w:type="dxa" w:w="1134"/>
            <w:shd w:fill="C6EFCE" w:val="clear"/>
          </w:tcPr>
          <w:p>
            <w:r>
              <w:rPr>
                <w:b/>
                <w:color w:val="007800"/>
                <w:sz w:val="16"/>
              </w:rPr>
              <w:t>+15.27%</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8,460</w:t>
            </w:r>
          </w:p>
        </w:tc>
        <w:tc>
          <w:tcPr>
            <w:tcW w:type="dxa" w:w="1417"/>
            <w:shd w:fill="FFFFFF" w:val="clear"/>
          </w:tcPr>
          <w:p>
            <w:r>
              <w:rPr>
                <w:sz w:val="16"/>
              </w:rPr>
              <w:t>9,299</w:t>
            </w:r>
          </w:p>
        </w:tc>
        <w:tc>
          <w:tcPr>
            <w:tcW w:type="dxa" w:w="1134"/>
            <w:shd w:fill="C6EFCE" w:val="clear"/>
          </w:tcPr>
          <w:p>
            <w:r>
              <w:rPr>
                <w:b/>
                <w:color w:val="007800"/>
                <w:sz w:val="16"/>
              </w:rPr>
              <w:t>+9.92%</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5,550</w:t>
            </w:r>
          </w:p>
        </w:tc>
        <w:tc>
          <w:tcPr>
            <w:tcW w:type="dxa" w:w="1417"/>
            <w:shd w:fill="FFFFFF" w:val="clear"/>
          </w:tcPr>
          <w:p>
            <w:r>
              <w:rPr>
                <w:sz w:val="16"/>
              </w:rPr>
              <w:t>6,038</w:t>
            </w:r>
          </w:p>
        </w:tc>
        <w:tc>
          <w:tcPr>
            <w:tcW w:type="dxa" w:w="1134"/>
            <w:shd w:fill="C6EFCE" w:val="clear"/>
          </w:tcPr>
          <w:p>
            <w:r>
              <w:rPr>
                <w:b/>
                <w:color w:val="007800"/>
                <w:sz w:val="16"/>
              </w:rPr>
              <w:t>+8.79%</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4,500</w:t>
            </w:r>
          </w:p>
        </w:tc>
        <w:tc>
          <w:tcPr>
            <w:tcW w:type="dxa" w:w="1417"/>
            <w:shd w:fill="FFFFFF" w:val="clear"/>
          </w:tcPr>
          <w:p>
            <w:r>
              <w:rPr>
                <w:sz w:val="16"/>
              </w:rPr>
              <w:t>4,831</w:t>
            </w:r>
          </w:p>
        </w:tc>
        <w:tc>
          <w:tcPr>
            <w:tcW w:type="dxa" w:w="1134"/>
            <w:shd w:fill="C6EFCE" w:val="clear"/>
          </w:tcPr>
          <w:p>
            <w:r>
              <w:rPr>
                <w:b/>
                <w:color w:val="007800"/>
                <w:sz w:val="16"/>
              </w:rPr>
              <w:t>+7.36%</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1,430</w:t>
            </w:r>
          </w:p>
        </w:tc>
        <w:tc>
          <w:tcPr>
            <w:tcW w:type="dxa" w:w="1417"/>
            <w:shd w:fill="FFFFFF" w:val="clear"/>
          </w:tcPr>
          <w:p>
            <w:r>
              <w:rPr>
                <w:sz w:val="16"/>
              </w:rPr>
              <w:t>1,511</w:t>
            </w:r>
          </w:p>
        </w:tc>
        <w:tc>
          <w:tcPr>
            <w:tcW w:type="dxa" w:w="1134"/>
            <w:shd w:fill="C6EFCE" w:val="clear"/>
          </w:tcPr>
          <w:p>
            <w:r>
              <w:rPr>
                <w:b/>
                <w:color w:val="007800"/>
                <w:sz w:val="16"/>
              </w:rPr>
              <w:t>+5.66%</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1,780</w:t>
            </w:r>
          </w:p>
        </w:tc>
        <w:tc>
          <w:tcPr>
            <w:tcW w:type="dxa" w:w="1417"/>
            <w:shd w:fill="FFFFFF" w:val="clear"/>
          </w:tcPr>
          <w:p>
            <w:r>
              <w:rPr>
                <w:sz w:val="16"/>
              </w:rPr>
              <w:t>1,870</w:t>
            </w:r>
          </w:p>
        </w:tc>
        <w:tc>
          <w:tcPr>
            <w:tcW w:type="dxa" w:w="1134"/>
            <w:shd w:fill="C6EFCE" w:val="clear"/>
          </w:tcPr>
          <w:p>
            <w:r>
              <w:rPr>
                <w:b/>
                <w:color w:val="007800"/>
                <w:sz w:val="16"/>
              </w:rPr>
              <w:t>+5.06%</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3,800</w:t>
            </w:r>
          </w:p>
        </w:tc>
        <w:tc>
          <w:tcPr>
            <w:tcW w:type="dxa" w:w="1417"/>
            <w:shd w:fill="FFFFFF" w:val="clear"/>
          </w:tcPr>
          <w:p>
            <w:r>
              <w:rPr>
                <w:sz w:val="16"/>
              </w:rPr>
              <w:t>3,944</w:t>
            </w:r>
          </w:p>
        </w:tc>
        <w:tc>
          <w:tcPr>
            <w:tcW w:type="dxa" w:w="1134"/>
            <w:shd w:fill="C6EFCE" w:val="clear"/>
          </w:tcPr>
          <w:p>
            <w:r>
              <w:rPr>
                <w:b/>
                <w:color w:val="007800"/>
                <w:sz w:val="16"/>
              </w:rPr>
              <w:t>+3.79%</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38,495</w:t>
            </w:r>
          </w:p>
        </w:tc>
        <w:tc>
          <w:tcPr>
            <w:tcW w:type="dxa" w:w="1417"/>
            <w:shd w:fill="FFFFFF" w:val="clear"/>
          </w:tcPr>
          <w:p>
            <w:r>
              <w:rPr>
                <w:sz w:val="16"/>
              </w:rPr>
              <w:t>39,889</w:t>
            </w:r>
          </w:p>
        </w:tc>
        <w:tc>
          <w:tcPr>
            <w:tcW w:type="dxa" w:w="1134"/>
            <w:shd w:fill="C6EFCE" w:val="clear"/>
          </w:tcPr>
          <w:p>
            <w:r>
              <w:rPr>
                <w:b/>
                <w:color w:val="007800"/>
                <w:sz w:val="16"/>
              </w:rPr>
              <w:t>+3.62%</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2,020</w:t>
            </w:r>
          </w:p>
        </w:tc>
        <w:tc>
          <w:tcPr>
            <w:tcW w:type="dxa" w:w="1417"/>
            <w:shd w:fill="FFFFFF" w:val="clear"/>
          </w:tcPr>
          <w:p>
            <w:r>
              <w:rPr>
                <w:sz w:val="16"/>
              </w:rPr>
              <w:t>2,089</w:t>
            </w:r>
          </w:p>
        </w:tc>
        <w:tc>
          <w:tcPr>
            <w:tcW w:type="dxa" w:w="1134"/>
            <w:shd w:fill="C6EFCE" w:val="clear"/>
          </w:tcPr>
          <w:p>
            <w:r>
              <w:rPr>
                <w:b/>
                <w:color w:val="007800"/>
                <w:sz w:val="16"/>
              </w:rPr>
              <w:t>+3.42%</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42,800</w:t>
            </w:r>
          </w:p>
        </w:tc>
        <w:tc>
          <w:tcPr>
            <w:tcW w:type="dxa" w:w="1417"/>
            <w:shd w:fill="FFFFFF" w:val="clear"/>
          </w:tcPr>
          <w:p>
            <w:r>
              <w:rPr>
                <w:sz w:val="16"/>
              </w:rPr>
              <w:t>43,938</w:t>
            </w:r>
          </w:p>
        </w:tc>
        <w:tc>
          <w:tcPr>
            <w:tcW w:type="dxa" w:w="1134"/>
            <w:shd w:fill="C6EFCE" w:val="clear"/>
          </w:tcPr>
          <w:p>
            <w:r>
              <w:rPr>
                <w:b/>
                <w:color w:val="007800"/>
                <w:sz w:val="16"/>
              </w:rPr>
              <w:t>+2.66%</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14,600</w:t>
            </w:r>
          </w:p>
        </w:tc>
        <w:tc>
          <w:tcPr>
            <w:tcW w:type="dxa" w:w="1417"/>
            <w:shd w:fill="FFFFFF" w:val="clear"/>
          </w:tcPr>
          <w:p>
            <w:r>
              <w:rPr>
                <w:sz w:val="16"/>
              </w:rPr>
              <w:t>14,968</w:t>
            </w:r>
          </w:p>
        </w:tc>
        <w:tc>
          <w:tcPr>
            <w:tcW w:type="dxa" w:w="1134"/>
            <w:shd w:fill="C6EFCE" w:val="clear"/>
          </w:tcPr>
          <w:p>
            <w:r>
              <w:rPr>
                <w:b/>
                <w:color w:val="007800"/>
                <w:sz w:val="16"/>
              </w:rPr>
              <w:t>+2.52%</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2,175</w:t>
            </w:r>
          </w:p>
        </w:tc>
        <w:tc>
          <w:tcPr>
            <w:tcW w:type="dxa" w:w="1417"/>
            <w:shd w:fill="FFFFFF" w:val="clear"/>
          </w:tcPr>
          <w:p>
            <w:r>
              <w:rPr>
                <w:sz w:val="16"/>
              </w:rPr>
              <w:t>2,227</w:t>
            </w:r>
          </w:p>
        </w:tc>
        <w:tc>
          <w:tcPr>
            <w:tcW w:type="dxa" w:w="1134"/>
            <w:shd w:fill="C6EFCE" w:val="clear"/>
          </w:tcPr>
          <w:p>
            <w:r>
              <w:rPr>
                <w:b/>
                <w:color w:val="007800"/>
                <w:sz w:val="16"/>
              </w:rPr>
              <w:t>+2.37%</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12,885</w:t>
            </w:r>
          </w:p>
        </w:tc>
        <w:tc>
          <w:tcPr>
            <w:tcW w:type="dxa" w:w="1417"/>
            <w:shd w:fill="FFFFFF" w:val="clear"/>
          </w:tcPr>
          <w:p>
            <w:r>
              <w:rPr>
                <w:sz w:val="16"/>
              </w:rPr>
              <w:t>13,084</w:t>
            </w:r>
          </w:p>
        </w:tc>
        <w:tc>
          <w:tcPr>
            <w:tcW w:type="dxa" w:w="1134"/>
            <w:shd w:fill="C6EFCE" w:val="clear"/>
          </w:tcPr>
          <w:p>
            <w:r>
              <w:rPr>
                <w:b/>
                <w:color w:val="007800"/>
                <w:sz w:val="16"/>
              </w:rPr>
              <w:t>+1.55%</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11,310</w:t>
            </w:r>
          </w:p>
        </w:tc>
        <w:tc>
          <w:tcPr>
            <w:tcW w:type="dxa" w:w="1417"/>
            <w:shd w:fill="FFFFFF" w:val="clear"/>
          </w:tcPr>
          <w:p>
            <w:r>
              <w:rPr>
                <w:sz w:val="16"/>
              </w:rPr>
              <w:t>11,475</w:t>
            </w:r>
          </w:p>
        </w:tc>
        <w:tc>
          <w:tcPr>
            <w:tcW w:type="dxa" w:w="1134"/>
            <w:shd w:fill="C6EFCE" w:val="clear"/>
          </w:tcPr>
          <w:p>
            <w:r>
              <w:rPr>
                <w:b/>
                <w:color w:val="007800"/>
                <w:sz w:val="16"/>
              </w:rPr>
              <w:t>+1.46%</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4,054</w:t>
            </w:r>
          </w:p>
        </w:tc>
        <w:tc>
          <w:tcPr>
            <w:tcW w:type="dxa" w:w="1134"/>
            <w:shd w:fill="C6EFCE" w:val="clear"/>
          </w:tcPr>
          <w:p>
            <w:r>
              <w:rPr>
                <w:b/>
                <w:color w:val="007800"/>
                <w:sz w:val="16"/>
              </w:rPr>
              <w:t>+1.34%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16,200</w:t>
            </w:r>
          </w:p>
        </w:tc>
        <w:tc>
          <w:tcPr>
            <w:tcW w:type="dxa" w:w="1417"/>
            <w:shd w:fill="FFFFFF" w:val="clear"/>
          </w:tcPr>
          <w:p>
            <w:r>
              <w:rPr>
                <w:sz w:val="16"/>
              </w:rPr>
              <w:t>16,401</w:t>
            </w:r>
          </w:p>
        </w:tc>
        <w:tc>
          <w:tcPr>
            <w:tcW w:type="dxa" w:w="1134"/>
            <w:shd w:fill="C6EFCE" w:val="clear"/>
          </w:tcPr>
          <w:p>
            <w:r>
              <w:rPr>
                <w:b/>
                <w:color w:val="007800"/>
                <w:sz w:val="16"/>
              </w:rPr>
              <w:t>+1.24%</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2,865</w:t>
            </w:r>
          </w:p>
        </w:tc>
        <w:tc>
          <w:tcPr>
            <w:tcW w:type="dxa" w:w="1417"/>
            <w:shd w:fill="FFFFFF" w:val="clear"/>
          </w:tcPr>
          <w:p>
            <w:r>
              <w:rPr>
                <w:sz w:val="16"/>
              </w:rPr>
              <w:t>2,888</w:t>
            </w:r>
          </w:p>
        </w:tc>
        <w:tc>
          <w:tcPr>
            <w:tcW w:type="dxa" w:w="1134"/>
            <w:shd w:fill="FFEB9C" w:val="clear"/>
          </w:tcPr>
          <w:p>
            <w:r>
              <w:rPr>
                <w:b/>
                <w:color w:val="646400"/>
                <w:sz w:val="16"/>
              </w:rPr>
              <w:t>+0.81%</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45,050</w:t>
            </w:r>
          </w:p>
        </w:tc>
        <w:tc>
          <w:tcPr>
            <w:tcW w:type="dxa" w:w="1417"/>
            <w:shd w:fill="FFFFFF" w:val="clear"/>
          </w:tcPr>
          <w:p>
            <w:r>
              <w:rPr>
                <w:sz w:val="16"/>
              </w:rPr>
              <w:t>45,289</w:t>
            </w:r>
          </w:p>
        </w:tc>
        <w:tc>
          <w:tcPr>
            <w:tcW w:type="dxa" w:w="1134"/>
            <w:shd w:fill="FFEB9C" w:val="clear"/>
          </w:tcPr>
          <w:p>
            <w:r>
              <w:rPr>
                <w:b/>
                <w:color w:val="646400"/>
                <w:sz w:val="16"/>
              </w:rPr>
              <w:t>+0.53%</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2,875</w:t>
            </w:r>
          </w:p>
        </w:tc>
        <w:tc>
          <w:tcPr>
            <w:tcW w:type="dxa" w:w="1417"/>
            <w:shd w:fill="FFFFFF" w:val="clear"/>
          </w:tcPr>
          <w:p>
            <w:r>
              <w:rPr>
                <w:sz w:val="16"/>
              </w:rPr>
              <w:t>2,882</w:t>
            </w:r>
          </w:p>
        </w:tc>
        <w:tc>
          <w:tcPr>
            <w:tcW w:type="dxa" w:w="1134"/>
            <w:shd w:fill="FFEB9C" w:val="clear"/>
          </w:tcPr>
          <w:p>
            <w:r>
              <w:rPr>
                <w:b/>
                <w:color w:val="646400"/>
                <w:sz w:val="16"/>
              </w:rPr>
              <w:t>+0.26%</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65</w:t>
            </w:r>
          </w:p>
        </w:tc>
        <w:tc>
          <w:tcPr>
            <w:tcW w:type="dxa" w:w="1134"/>
            <w:shd w:fill="FFEB9C" w:val="clear"/>
          </w:tcPr>
          <w:p>
            <w:r>
              <w:rPr>
                <w:b/>
                <w:color w:val="646400"/>
                <w:sz w:val="16"/>
              </w:rPr>
              <w:t>+0.18%</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3,000</w:t>
            </w:r>
          </w:p>
        </w:tc>
        <w:tc>
          <w:tcPr>
            <w:tcW w:type="dxa" w:w="1417"/>
            <w:shd w:fill="FFFFFF" w:val="clear"/>
          </w:tcPr>
          <w:p>
            <w:r>
              <w:rPr>
                <w:sz w:val="16"/>
              </w:rPr>
              <w:t>3,004</w:t>
            </w:r>
          </w:p>
        </w:tc>
        <w:tc>
          <w:tcPr>
            <w:tcW w:type="dxa" w:w="1134"/>
            <w:shd w:fill="FFEB9C" w:val="clear"/>
          </w:tcPr>
          <w:p>
            <w:r>
              <w:rPr>
                <w:b/>
                <w:color w:val="646400"/>
                <w:sz w:val="16"/>
              </w:rPr>
              <w:t>+0.15%</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2,790</w:t>
            </w:r>
          </w:p>
        </w:tc>
        <w:tc>
          <w:tcPr>
            <w:tcW w:type="dxa" w:w="1417"/>
            <w:shd w:fill="FFFFFF" w:val="clear"/>
          </w:tcPr>
          <w:p>
            <w:r>
              <w:rPr>
                <w:sz w:val="16"/>
              </w:rPr>
              <w:t>2,791</w:t>
            </w:r>
          </w:p>
        </w:tc>
        <w:tc>
          <w:tcPr>
            <w:tcW w:type="dxa" w:w="1134"/>
            <w:shd w:fill="FFEB9C" w:val="clear"/>
          </w:tcPr>
          <w:p>
            <w:r>
              <w:rPr>
                <w:b/>
                <w:color w:val="646400"/>
                <w:sz w:val="16"/>
              </w:rPr>
              <w:t>+0.03%</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20,750</w:t>
            </w:r>
          </w:p>
        </w:tc>
        <w:tc>
          <w:tcPr>
            <w:tcW w:type="dxa" w:w="1417"/>
            <w:shd w:fill="FFFFFF" w:val="clear"/>
          </w:tcPr>
          <w:p>
            <w:r>
              <w:rPr>
                <w:sz w:val="16"/>
              </w:rPr>
              <w:t>20,740</w:t>
            </w:r>
          </w:p>
        </w:tc>
        <w:tc>
          <w:tcPr>
            <w:tcW w:type="dxa" w:w="1134"/>
            <w:shd w:fill="FFEB9C" w:val="clear"/>
          </w:tcPr>
          <w:p>
            <w:r>
              <w:rPr>
                <w:b/>
                <w:color w:val="646400"/>
                <w:sz w:val="16"/>
              </w:rPr>
              <w:t>-0.05%</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1,850</w:t>
            </w:r>
          </w:p>
        </w:tc>
        <w:tc>
          <w:tcPr>
            <w:tcW w:type="dxa" w:w="1417"/>
            <w:shd w:fill="FFFFFF" w:val="clear"/>
          </w:tcPr>
          <w:p>
            <w:r>
              <w:rPr>
                <w:sz w:val="16"/>
              </w:rPr>
              <w:t>1,840</w:t>
            </w:r>
          </w:p>
        </w:tc>
        <w:tc>
          <w:tcPr>
            <w:tcW w:type="dxa" w:w="1134"/>
            <w:shd w:fill="FFEB9C" w:val="clear"/>
          </w:tcPr>
          <w:p>
            <w:r>
              <w:rPr>
                <w:b/>
                <w:color w:val="646400"/>
                <w:sz w:val="16"/>
              </w:rPr>
              <w:t>-0.52%</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4,200</w:t>
            </w:r>
          </w:p>
        </w:tc>
        <w:tc>
          <w:tcPr>
            <w:tcW w:type="dxa" w:w="1417"/>
            <w:shd w:fill="FFFFFF" w:val="clear"/>
          </w:tcPr>
          <w:p>
            <w:r>
              <w:rPr>
                <w:sz w:val="16"/>
              </w:rPr>
              <w:t>4,177</w:t>
            </w:r>
          </w:p>
        </w:tc>
        <w:tc>
          <w:tcPr>
            <w:tcW w:type="dxa" w:w="1134"/>
            <w:shd w:fill="FFEB9C" w:val="clear"/>
          </w:tcPr>
          <w:p>
            <w:r>
              <w:rPr>
                <w:b/>
                <w:color w:val="646400"/>
                <w:sz w:val="16"/>
              </w:rPr>
              <w:t>-0.55%</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15,195</w:t>
            </w:r>
          </w:p>
        </w:tc>
        <w:tc>
          <w:tcPr>
            <w:tcW w:type="dxa" w:w="1417"/>
            <w:shd w:fill="FFFFFF" w:val="clear"/>
          </w:tcPr>
          <w:p>
            <w:r>
              <w:rPr>
                <w:sz w:val="16"/>
              </w:rPr>
              <w:t>15,073</w:t>
            </w:r>
          </w:p>
        </w:tc>
        <w:tc>
          <w:tcPr>
            <w:tcW w:type="dxa" w:w="1134"/>
            <w:shd w:fill="FFEB9C" w:val="clear"/>
          </w:tcPr>
          <w:p>
            <w:r>
              <w:rPr>
                <w:b/>
                <w:color w:val="646400"/>
                <w:sz w:val="16"/>
              </w:rPr>
              <w:t>-0.81%</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7,510</w:t>
            </w:r>
          </w:p>
        </w:tc>
        <w:tc>
          <w:tcPr>
            <w:tcW w:type="dxa" w:w="1417"/>
            <w:shd w:fill="FFFFFF" w:val="clear"/>
          </w:tcPr>
          <w:p>
            <w:r>
              <w:rPr>
                <w:sz w:val="16"/>
              </w:rPr>
              <w:t>7,445</w:t>
            </w:r>
          </w:p>
        </w:tc>
        <w:tc>
          <w:tcPr>
            <w:tcW w:type="dxa" w:w="1134"/>
            <w:shd w:fill="FFEB9C" w:val="clear"/>
          </w:tcPr>
          <w:p>
            <w:r>
              <w:rPr>
                <w:b/>
                <w:color w:val="646400"/>
                <w:sz w:val="16"/>
              </w:rPr>
              <w:t>-0.86%</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31,400</w:t>
            </w:r>
          </w:p>
        </w:tc>
        <w:tc>
          <w:tcPr>
            <w:tcW w:type="dxa" w:w="1417"/>
            <w:shd w:fill="FFFFFF" w:val="clear"/>
          </w:tcPr>
          <w:p>
            <w:r>
              <w:rPr>
                <w:sz w:val="16"/>
              </w:rPr>
              <w:t>31,000</w:t>
            </w:r>
          </w:p>
        </w:tc>
        <w:tc>
          <w:tcPr>
            <w:tcW w:type="dxa" w:w="1134"/>
            <w:shd w:fill="FFC7CE" w:val="clear"/>
          </w:tcPr>
          <w:p>
            <w:r>
              <w:rPr>
                <w:b/>
                <w:color w:val="B40000"/>
                <w:sz w:val="16"/>
              </w:rPr>
              <w:t>-1.27%</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2,859</w:t>
            </w:r>
          </w:p>
        </w:tc>
        <w:tc>
          <w:tcPr>
            <w:tcW w:type="dxa" w:w="1134"/>
            <w:shd w:fill="FFC7CE" w:val="clear"/>
          </w:tcPr>
          <w:p>
            <w:r>
              <w:rPr>
                <w:b/>
                <w:color w:val="B40000"/>
                <w:sz w:val="16"/>
              </w:rPr>
              <w:t>-1.43%</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9,200</w:t>
            </w:r>
          </w:p>
        </w:tc>
        <w:tc>
          <w:tcPr>
            <w:tcW w:type="dxa" w:w="1417"/>
            <w:shd w:fill="FFFFFF" w:val="clear"/>
          </w:tcPr>
          <w:p>
            <w:r>
              <w:rPr>
                <w:sz w:val="16"/>
              </w:rPr>
              <w:t>9,031</w:t>
            </w:r>
          </w:p>
        </w:tc>
        <w:tc>
          <w:tcPr>
            <w:tcW w:type="dxa" w:w="1134"/>
            <w:shd w:fill="FFC7CE" w:val="clear"/>
          </w:tcPr>
          <w:p>
            <w:r>
              <w:rPr>
                <w:b/>
                <w:color w:val="B40000"/>
                <w:sz w:val="16"/>
              </w:rPr>
              <w:t>-1.83%</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3,650</w:t>
            </w:r>
          </w:p>
        </w:tc>
        <w:tc>
          <w:tcPr>
            <w:tcW w:type="dxa" w:w="1417"/>
            <w:shd w:fill="FFFFFF" w:val="clear"/>
          </w:tcPr>
          <w:p>
            <w:r>
              <w:rPr>
                <w:sz w:val="16"/>
              </w:rPr>
              <w:t>3,579</w:t>
            </w:r>
          </w:p>
        </w:tc>
        <w:tc>
          <w:tcPr>
            <w:tcW w:type="dxa" w:w="1134"/>
            <w:shd w:fill="FFC7CE" w:val="clear"/>
          </w:tcPr>
          <w:p>
            <w:r>
              <w:rPr>
                <w:b/>
                <w:color w:val="B40000"/>
                <w:sz w:val="16"/>
              </w:rPr>
              <w:t>-1.95%</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38,955</w:t>
            </w:r>
          </w:p>
        </w:tc>
        <w:tc>
          <w:tcPr>
            <w:tcW w:type="dxa" w:w="1417"/>
            <w:shd w:fill="FFFFFF" w:val="clear"/>
          </w:tcPr>
          <w:p>
            <w:r>
              <w:rPr>
                <w:sz w:val="16"/>
              </w:rPr>
              <w:t>38,176</w:t>
            </w:r>
          </w:p>
        </w:tc>
        <w:tc>
          <w:tcPr>
            <w:tcW w:type="dxa" w:w="1134"/>
            <w:shd w:fill="FFC7CE" w:val="clear"/>
          </w:tcPr>
          <w:p>
            <w:r>
              <w:rPr>
                <w:b/>
                <w:color w:val="B40000"/>
                <w:sz w:val="16"/>
              </w:rPr>
              <w:t>-2.00%</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7,945</w:t>
            </w:r>
          </w:p>
        </w:tc>
        <w:tc>
          <w:tcPr>
            <w:tcW w:type="dxa" w:w="1417"/>
            <w:shd w:fill="FFFFFF" w:val="clear"/>
          </w:tcPr>
          <w:p>
            <w:r>
              <w:rPr>
                <w:sz w:val="16"/>
              </w:rPr>
              <w:t>7,759</w:t>
            </w:r>
          </w:p>
        </w:tc>
        <w:tc>
          <w:tcPr>
            <w:tcW w:type="dxa" w:w="1134"/>
            <w:shd w:fill="FFC7CE" w:val="clear"/>
          </w:tcPr>
          <w:p>
            <w:r>
              <w:rPr>
                <w:b/>
                <w:color w:val="B40000"/>
                <w:sz w:val="16"/>
              </w:rPr>
              <w:t>-2.34%</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7,515</w:t>
            </w:r>
          </w:p>
        </w:tc>
        <w:tc>
          <w:tcPr>
            <w:tcW w:type="dxa" w:w="1417"/>
            <w:shd w:fill="FFFFFF" w:val="clear"/>
          </w:tcPr>
          <w:p>
            <w:r>
              <w:rPr>
                <w:sz w:val="16"/>
              </w:rPr>
              <w:t>7,313</w:t>
            </w:r>
          </w:p>
        </w:tc>
        <w:tc>
          <w:tcPr>
            <w:tcW w:type="dxa" w:w="1134"/>
            <w:shd w:fill="FFC7CE" w:val="clear"/>
          </w:tcPr>
          <w:p>
            <w:r>
              <w:rPr>
                <w:b/>
                <w:color w:val="B40000"/>
                <w:sz w:val="16"/>
              </w:rPr>
              <w:t>-2.69%</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7,705</w:t>
            </w:r>
          </w:p>
        </w:tc>
        <w:tc>
          <w:tcPr>
            <w:tcW w:type="dxa" w:w="1417"/>
            <w:shd w:fill="FFFFFF" w:val="clear"/>
          </w:tcPr>
          <w:p>
            <w:r>
              <w:rPr>
                <w:sz w:val="16"/>
              </w:rPr>
              <w:t>7,419</w:t>
            </w:r>
          </w:p>
        </w:tc>
        <w:tc>
          <w:tcPr>
            <w:tcW w:type="dxa" w:w="1134"/>
            <w:shd w:fill="FFC7CE" w:val="clear"/>
          </w:tcPr>
          <w:p>
            <w:r>
              <w:rPr>
                <w:b/>
                <w:color w:val="B40000"/>
                <w:sz w:val="16"/>
              </w:rPr>
              <w:t>-3.71%</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2,090</w:t>
            </w:r>
          </w:p>
        </w:tc>
        <w:tc>
          <w:tcPr>
            <w:tcW w:type="dxa" w:w="1417"/>
            <w:shd w:fill="FFFFFF" w:val="clear"/>
          </w:tcPr>
          <w:p>
            <w:r>
              <w:rPr>
                <w:sz w:val="16"/>
              </w:rPr>
              <w:t>2,012</w:t>
            </w:r>
          </w:p>
        </w:tc>
        <w:tc>
          <w:tcPr>
            <w:tcW w:type="dxa" w:w="1134"/>
            <w:shd w:fill="FFC7CE" w:val="clear"/>
          </w:tcPr>
          <w:p>
            <w:r>
              <w:rPr>
                <w:b/>
                <w:color w:val="B40000"/>
                <w:sz w:val="16"/>
              </w:rPr>
              <w:t>-3.72%</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2,105</w:t>
            </w:r>
          </w:p>
        </w:tc>
        <w:tc>
          <w:tcPr>
            <w:tcW w:type="dxa" w:w="1417"/>
            <w:shd w:fill="FFFFFF" w:val="clear"/>
          </w:tcPr>
          <w:p>
            <w:r>
              <w:rPr>
                <w:sz w:val="16"/>
              </w:rPr>
              <w:t>2,016</w:t>
            </w:r>
          </w:p>
        </w:tc>
        <w:tc>
          <w:tcPr>
            <w:tcW w:type="dxa" w:w="1134"/>
            <w:shd w:fill="FFC7CE" w:val="clear"/>
          </w:tcPr>
          <w:p>
            <w:r>
              <w:rPr>
                <w:b/>
                <w:color w:val="B40000"/>
                <w:sz w:val="16"/>
              </w:rPr>
              <w:t>-4.22%</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3,010</w:t>
            </w:r>
          </w:p>
        </w:tc>
        <w:tc>
          <w:tcPr>
            <w:tcW w:type="dxa" w:w="1417"/>
            <w:shd w:fill="FFFFFF" w:val="clear"/>
          </w:tcPr>
          <w:p>
            <w:r>
              <w:rPr>
                <w:sz w:val="16"/>
              </w:rPr>
              <w:t>2,874</w:t>
            </w:r>
          </w:p>
        </w:tc>
        <w:tc>
          <w:tcPr>
            <w:tcW w:type="dxa" w:w="1134"/>
            <w:shd w:fill="FFC7CE" w:val="clear"/>
          </w:tcPr>
          <w:p>
            <w:r>
              <w:rPr>
                <w:b/>
                <w:color w:val="B40000"/>
                <w:sz w:val="16"/>
              </w:rPr>
              <w:t>-4.51%</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8,725</w:t>
            </w:r>
          </w:p>
        </w:tc>
        <w:tc>
          <w:tcPr>
            <w:tcW w:type="dxa" w:w="1417"/>
            <w:shd w:fill="FFFFFF" w:val="clear"/>
          </w:tcPr>
          <w:p>
            <w:r>
              <w:rPr>
                <w:sz w:val="16"/>
              </w:rPr>
              <w:t>8,330</w:t>
            </w:r>
          </w:p>
        </w:tc>
        <w:tc>
          <w:tcPr>
            <w:tcW w:type="dxa" w:w="1134"/>
            <w:shd w:fill="FFC7CE" w:val="clear"/>
          </w:tcPr>
          <w:p>
            <w:r>
              <w:rPr>
                <w:b/>
                <w:color w:val="B40000"/>
                <w:sz w:val="16"/>
              </w:rPr>
              <w:t>-4.53%</w:t>
            </w:r>
          </w:p>
        </w:tc>
        <w:tc>
          <w:tcPr>
            <w:tcW w:type="dxa" w:w="1134"/>
            <w:shd w:fill="FFEB9C" w:val="clear"/>
          </w:tcPr>
          <w:p>
            <w:r>
              <w:rPr>
                <w:sz w:val="16"/>
              </w:rPr>
              <w:t>Moyenne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30,505</w:t>
            </w:r>
          </w:p>
        </w:tc>
        <w:tc>
          <w:tcPr>
            <w:tcW w:type="dxa" w:w="1417"/>
            <w:shd w:fill="FFFFFF" w:val="clear"/>
          </w:tcPr>
          <w:p>
            <w:r>
              <w:rPr>
                <w:sz w:val="16"/>
              </w:rPr>
              <w:t>28,670</w:t>
            </w:r>
          </w:p>
        </w:tc>
        <w:tc>
          <w:tcPr>
            <w:tcW w:type="dxa" w:w="1134"/>
            <w:shd w:fill="FFC7CE" w:val="clear"/>
          </w:tcPr>
          <w:p>
            <w:r>
              <w:rPr>
                <w:b/>
                <w:color w:val="B40000"/>
                <w:sz w:val="16"/>
              </w:rPr>
              <w:t>-6.02%</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1,805</w:t>
            </w:r>
          </w:p>
        </w:tc>
        <w:tc>
          <w:tcPr>
            <w:tcW w:type="dxa" w:w="1417"/>
            <w:shd w:fill="FFFFFF" w:val="clear"/>
          </w:tcPr>
          <w:p>
            <w:r>
              <w:rPr>
                <w:sz w:val="16"/>
              </w:rPr>
              <w:t>1,693</w:t>
            </w:r>
          </w:p>
        </w:tc>
        <w:tc>
          <w:tcPr>
            <w:tcW w:type="dxa" w:w="1134"/>
            <w:shd w:fill="FFC7CE" w:val="clear"/>
          </w:tcPr>
          <w:p>
            <w:r>
              <w:rPr>
                <w:b/>
                <w:color w:val="B40000"/>
                <w:sz w:val="16"/>
              </w:rPr>
              <w:t>-6.22%</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5,700</w:t>
            </w:r>
          </w:p>
        </w:tc>
        <w:tc>
          <w:tcPr>
            <w:tcW w:type="dxa" w:w="1417"/>
            <w:shd w:fill="FFFFFF" w:val="clear"/>
          </w:tcPr>
          <w:p>
            <w:r>
              <w:rPr>
                <w:sz w:val="16"/>
              </w:rPr>
              <w:t>5,292</w:t>
            </w:r>
          </w:p>
        </w:tc>
        <w:tc>
          <w:tcPr>
            <w:tcW w:type="dxa" w:w="1134"/>
            <w:shd w:fill="FFC7CE" w:val="clear"/>
          </w:tcPr>
          <w:p>
            <w:r>
              <w:rPr>
                <w:b/>
                <w:color w:val="B40000"/>
                <w:sz w:val="16"/>
              </w:rPr>
              <w:t>-7.15%</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20,800</w:t>
            </w:r>
          </w:p>
        </w:tc>
        <w:tc>
          <w:tcPr>
            <w:tcW w:type="dxa" w:w="1417"/>
            <w:shd w:fill="FFFFFF" w:val="clear"/>
          </w:tcPr>
          <w:p>
            <w:r>
              <w:rPr>
                <w:sz w:val="16"/>
              </w:rPr>
              <w:t>18,543</w:t>
            </w:r>
          </w:p>
        </w:tc>
        <w:tc>
          <w:tcPr>
            <w:tcW w:type="dxa" w:w="1134"/>
            <w:shd w:fill="FFC7CE" w:val="clear"/>
          </w:tcPr>
          <w:p>
            <w:r>
              <w:rPr>
                <w:b/>
                <w:color w:val="B40000"/>
                <w:sz w:val="16"/>
              </w:rPr>
              <w:t>-10.85%</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8,100</w:t>
            </w:r>
          </w:p>
        </w:tc>
        <w:tc>
          <w:tcPr>
            <w:tcW w:type="dxa" w:w="1417"/>
            <w:shd w:fill="FFFFFF" w:val="clear"/>
          </w:tcPr>
          <w:p>
            <w:r>
              <w:rPr>
                <w:sz w:val="16"/>
              </w:rPr>
              <w:t>7,090</w:t>
            </w:r>
          </w:p>
        </w:tc>
        <w:tc>
          <w:tcPr>
            <w:tcW w:type="dxa" w:w="1134"/>
            <w:shd w:fill="FFC7CE" w:val="clear"/>
          </w:tcPr>
          <w:p>
            <w:r>
              <w:rPr>
                <w:b/>
                <w:color w:val="B40000"/>
                <w:sz w:val="16"/>
              </w:rPr>
              <w:t>-12.47%</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3,251 titres</w:t>
            </w:r>
          </w:p>
        </w:tc>
        <w:tc>
          <w:tcPr>
            <w:tcW w:type="dxa" w:w="2268"/>
            <w:shd w:fill="FFF2CC" w:val="clear"/>
          </w:tcPr>
          <w:p>
            <w:r>
              <w:rPr>
                <w:b/>
                <w:color w:val="503200"/>
                <w:sz w:val="16"/>
              </w:rPr>
              <w:t xml:space="preserve">Cours actuel : </w:t>
            </w:r>
            <w:r>
              <w:rPr>
                <w:color w:val="000000"/>
                <w:sz w:val="17"/>
              </w:rPr>
              <w:t>3,010 FCFA</w:t>
            </w:r>
          </w:p>
          <w:p>
            <w:r>
              <w:rPr>
                <w:b/>
                <w:color w:val="503200"/>
                <w:sz w:val="16"/>
              </w:rPr>
              <w:t xml:space="preserve">Var. 100 jours : </w:t>
            </w:r>
            <w:r>
              <w:rPr>
                <w:b/>
                <w:color w:val="007800"/>
                <w:sz w:val="17"/>
              </w:rPr>
              <w:t>+0.33%</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10.30% (Moyenne) — μ=3,367 FCFA, σ=347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β=0.3612 (Défensif) — Cov=0.000028, Var(idx)=0.000077, ρ=0.111,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090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2,872</w:t>
            </w:r>
          </w:p>
        </w:tc>
        <w:tc>
          <w:tcPr>
            <w:tcW w:type="dxa" w:w="1440"/>
            <w:shd w:fill="FAFAFA" w:val="clear"/>
          </w:tcPr>
          <w:p>
            <w:r>
              <w:rPr>
                <w:b/>
                <w:sz w:val="17"/>
              </w:rPr>
              <w:t>2,987</w:t>
            </w:r>
          </w:p>
        </w:tc>
        <w:tc>
          <w:tcPr>
            <w:tcW w:type="dxa" w:w="1440"/>
            <w:shd w:fill="FAFAFA" w:val="clear"/>
          </w:tcPr>
          <w:p>
            <w:r>
              <w:rPr>
                <w:sz w:val="17"/>
              </w:rPr>
              <w:t>3,102</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2,815</w:t>
            </w:r>
          </w:p>
        </w:tc>
        <w:tc>
          <w:tcPr>
            <w:tcW w:type="dxa" w:w="1440"/>
            <w:shd w:fill="FAFAFA" w:val="clear"/>
          </w:tcPr>
          <w:p>
            <w:r>
              <w:rPr>
                <w:b/>
                <w:sz w:val="17"/>
              </w:rPr>
              <w:t>2,977</w:t>
            </w:r>
          </w:p>
        </w:tc>
        <w:tc>
          <w:tcPr>
            <w:tcW w:type="dxa" w:w="1440"/>
            <w:shd w:fill="FAFAFA" w:val="clear"/>
          </w:tcPr>
          <w:p>
            <w:r>
              <w:rPr>
                <w:sz w:val="17"/>
              </w:rPr>
              <w:t>3,139</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2,767</w:t>
            </w:r>
          </w:p>
        </w:tc>
        <w:tc>
          <w:tcPr>
            <w:tcW w:type="dxa" w:w="1440"/>
            <w:shd w:fill="FAFAFA" w:val="clear"/>
          </w:tcPr>
          <w:p>
            <w:r>
              <w:rPr>
                <w:b/>
                <w:sz w:val="17"/>
              </w:rPr>
              <w:t>2,964</w:t>
            </w:r>
          </w:p>
        </w:tc>
        <w:tc>
          <w:tcPr>
            <w:tcW w:type="dxa" w:w="1440"/>
            <w:shd w:fill="FAFAFA" w:val="clear"/>
          </w:tcPr>
          <w:p>
            <w:r>
              <w:rPr>
                <w:sz w:val="17"/>
              </w:rPr>
              <w:t>3,162</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2,724</w:t>
            </w:r>
          </w:p>
        </w:tc>
        <w:tc>
          <w:tcPr>
            <w:tcW w:type="dxa" w:w="1440"/>
            <w:shd w:fill="FAFAFA" w:val="clear"/>
          </w:tcPr>
          <w:p>
            <w:r>
              <w:rPr>
                <w:b/>
                <w:sz w:val="17"/>
              </w:rPr>
              <w:t>2,951</w:t>
            </w:r>
          </w:p>
        </w:tc>
        <w:tc>
          <w:tcPr>
            <w:tcW w:type="dxa" w:w="1440"/>
            <w:shd w:fill="FAFAFA" w:val="clear"/>
          </w:tcPr>
          <w:p>
            <w:r>
              <w:rPr>
                <w:sz w:val="17"/>
              </w:rPr>
              <w:t>3,178</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2026-10-26</w:t>
            </w:r>
          </w:p>
        </w:tc>
        <w:tc>
          <w:tcPr>
            <w:tcW w:type="dxa" w:w="1440"/>
            <w:shd w:fill="FFDCE0" w:val="clear"/>
          </w:tcPr>
          <w:p>
            <w:r>
              <w:rPr>
                <w:sz w:val="17"/>
              </w:rPr>
              <w:t>2,684</w:t>
            </w:r>
          </w:p>
        </w:tc>
        <w:tc>
          <w:tcPr>
            <w:tcW w:type="dxa" w:w="1440"/>
            <w:shd w:fill="FFDCE0" w:val="clear"/>
          </w:tcPr>
          <w:p>
            <w:r>
              <w:rPr>
                <w:b/>
                <w:sz w:val="17"/>
              </w:rPr>
              <w:t>2,937</w:t>
            </w:r>
          </w:p>
        </w:tc>
        <w:tc>
          <w:tcPr>
            <w:tcW w:type="dxa" w:w="1440"/>
            <w:shd w:fill="FFDCE0" w:val="clear"/>
          </w:tcPr>
          <w:p>
            <w:r>
              <w:rPr>
                <w:sz w:val="17"/>
              </w:rPr>
              <w:t>3,190</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2026-10-27</w:t>
            </w:r>
          </w:p>
        </w:tc>
        <w:tc>
          <w:tcPr>
            <w:tcW w:type="dxa" w:w="1440"/>
            <w:shd w:fill="FFDCE0" w:val="clear"/>
          </w:tcPr>
          <w:p>
            <w:r>
              <w:rPr>
                <w:sz w:val="17"/>
              </w:rPr>
              <w:t>2,648</w:t>
            </w:r>
          </w:p>
        </w:tc>
        <w:tc>
          <w:tcPr>
            <w:tcW w:type="dxa" w:w="1440"/>
            <w:shd w:fill="FFDCE0" w:val="clear"/>
          </w:tcPr>
          <w:p>
            <w:r>
              <w:rPr>
                <w:b/>
                <w:sz w:val="17"/>
              </w:rPr>
              <w:t>2,924</w:t>
            </w:r>
          </w:p>
        </w:tc>
        <w:tc>
          <w:tcPr>
            <w:tcW w:type="dxa" w:w="1440"/>
            <w:shd w:fill="FFDCE0" w:val="clear"/>
          </w:tcPr>
          <w:p>
            <w:r>
              <w:rPr>
                <w:sz w:val="17"/>
              </w:rPr>
              <w:t>3,200</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2026-10-28</w:t>
            </w:r>
          </w:p>
        </w:tc>
        <w:tc>
          <w:tcPr>
            <w:tcW w:type="dxa" w:w="1440"/>
            <w:shd w:fill="FFDCE0" w:val="clear"/>
          </w:tcPr>
          <w:p>
            <w:r>
              <w:rPr>
                <w:sz w:val="17"/>
              </w:rPr>
              <w:t>2,614</w:t>
            </w:r>
          </w:p>
        </w:tc>
        <w:tc>
          <w:tcPr>
            <w:tcW w:type="dxa" w:w="1440"/>
            <w:shd w:fill="FFDCE0" w:val="clear"/>
          </w:tcPr>
          <w:p>
            <w:r>
              <w:rPr>
                <w:b/>
                <w:sz w:val="17"/>
              </w:rPr>
              <w:t>2,911</w:t>
            </w:r>
          </w:p>
        </w:tc>
        <w:tc>
          <w:tcPr>
            <w:tcW w:type="dxa" w:w="1440"/>
            <w:shd w:fill="FFDCE0" w:val="clear"/>
          </w:tcPr>
          <w:p>
            <w:r>
              <w:rPr>
                <w:sz w:val="17"/>
              </w:rPr>
              <w:t>3,207</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2026-10-29</w:t>
            </w:r>
          </w:p>
        </w:tc>
        <w:tc>
          <w:tcPr>
            <w:tcW w:type="dxa" w:w="1440"/>
            <w:shd w:fill="FFDCE0" w:val="clear"/>
          </w:tcPr>
          <w:p>
            <w:r>
              <w:rPr>
                <w:sz w:val="17"/>
              </w:rPr>
              <w:t>2,583</w:t>
            </w:r>
          </w:p>
        </w:tc>
        <w:tc>
          <w:tcPr>
            <w:tcW w:type="dxa" w:w="1440"/>
            <w:shd w:fill="FFDCE0" w:val="clear"/>
          </w:tcPr>
          <w:p>
            <w:r>
              <w:rPr>
                <w:b/>
                <w:sz w:val="17"/>
              </w:rPr>
              <w:t>2,898</w:t>
            </w:r>
          </w:p>
        </w:tc>
        <w:tc>
          <w:tcPr>
            <w:tcW w:type="dxa" w:w="1440"/>
            <w:shd w:fill="FFDCE0" w:val="clear"/>
          </w:tcPr>
          <w:p>
            <w:r>
              <w:rPr>
                <w:sz w:val="17"/>
              </w:rPr>
              <w:t>3,214</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2026-10-30</w:t>
            </w:r>
          </w:p>
        </w:tc>
        <w:tc>
          <w:tcPr>
            <w:tcW w:type="dxa" w:w="1440"/>
            <w:shd w:fill="FFDCE0" w:val="clear"/>
          </w:tcPr>
          <w:p>
            <w:r>
              <w:rPr>
                <w:sz w:val="17"/>
              </w:rPr>
              <w:t>2,553</w:t>
            </w:r>
          </w:p>
        </w:tc>
        <w:tc>
          <w:tcPr>
            <w:tcW w:type="dxa" w:w="1440"/>
            <w:shd w:fill="FFDCE0" w:val="clear"/>
          </w:tcPr>
          <w:p>
            <w:r>
              <w:rPr>
                <w:b/>
                <w:sz w:val="17"/>
              </w:rPr>
              <w:t>2,886</w:t>
            </w:r>
          </w:p>
        </w:tc>
        <w:tc>
          <w:tcPr>
            <w:tcW w:type="dxa" w:w="1440"/>
            <w:shd w:fill="FFDCE0" w:val="clear"/>
          </w:tcPr>
          <w:p>
            <w:r>
              <w:rPr>
                <w:sz w:val="17"/>
              </w:rPr>
              <w:t>3,219</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2026-11-02</w:t>
            </w:r>
          </w:p>
        </w:tc>
        <w:tc>
          <w:tcPr>
            <w:tcW w:type="dxa" w:w="1440"/>
            <w:shd w:fill="FFDCE0" w:val="clear"/>
          </w:tcPr>
          <w:p>
            <w:r>
              <w:rPr>
                <w:sz w:val="17"/>
              </w:rPr>
              <w:t>2,524</w:t>
            </w:r>
          </w:p>
        </w:tc>
        <w:tc>
          <w:tcPr>
            <w:tcW w:type="dxa" w:w="1440"/>
            <w:shd w:fill="FFDCE0" w:val="clear"/>
          </w:tcPr>
          <w:p>
            <w:r>
              <w:rPr>
                <w:b/>
                <w:sz w:val="17"/>
              </w:rPr>
              <w:t>2,874</w:t>
            </w:r>
          </w:p>
        </w:tc>
        <w:tc>
          <w:tcPr>
            <w:tcW w:type="dxa" w:w="1440"/>
            <w:shd w:fill="FFDCE0" w:val="clear"/>
          </w:tcPr>
          <w:p>
            <w:r>
              <w:rPr>
                <w:sz w:val="17"/>
              </w:rPr>
              <w:t>3,224</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 RAPPORT D'ANALYSE FINANCIÈRE — SERVAIR ABIDJAN (ABJC)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32,85 milliards FCFA, ABJC figure parmi les valeurs moyennes du compartiment des entreprises non bancaires de la BRVM, loin des mastodontes comme Sonatel ou Orange CI. Le BPA de 124 FCFA/action signifie que chaque titre génère un bénéfice net de 124 FCFA, ce qui, rapporté au cours actuel de 3 010 FCFA, aboutit à un PER de 24,3x — très supérieur à la moyenne BRVM (8-12x), signalant que les investisseurs paient une prime importante pour les bénéfices, soit en anticipation d'une croissance, soit par surévaluation. Le P/B de 6,37x confirme cette exubérance : le marché valorise la société à plus de six fois sa valeur comptable, une prime exigeante qui n'est justifiée que par la qualité des actifs immatériels (contrats aéroportuaires, position dominante). Enfin, l'EV/EBITDA de 12,2x, dans la fourchette haute (10-15x), traduit une valorisation tendue de la capacité opérationnelle, laissant peu de marge d'erreur aux investisseurs.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ABJC affiche une variation totale quasi nulle de +0,33%, identique à la variation de la dernière séance (J-1), traduisant une stagnation du cours autour de 3 010 FCFA. Le range de trading est large, entre un plus bas de 2 800 FCFA et un plus haut de 4 095 FCFA, soit une amplitude de près de 46% — signe d'une forte agitation intra-période malgré l'atonie finale. La tendance générale est baissière depuis le pic de 4 095 FCFA, le cours ayant perdu environ 26% pour revenir à 3 010 FCFA, sous l'effet de la dégradation des résultats trimestriels. Les statistiques descriptives révèlent une moyenne de 3 367 FCFA supérieure à la médiane de 3 278 FCFA, avec un skewness positif de 0,691 indiquant que la majorité des séances se sont déroulées sous la moyenne (asymétrie à droite, tirée par quelques pics hauts). L'écart-type de 348 FCFA (CV de 10,3%) traduit une dispersion modérée autour de la moyenne, tandis que le kurtosis de -0,739 (mésokurtique) suggère une distribution proche de la normale, sans risque excessif de pics extrêmes. La volatilité annualisée de 45,1% classe le titre dans la catégorie des valeurs très volatiles (&gt;30%), ce qui est cohérent avec la taille moyenne de la capitalisation et la sensibilité sectorielle.</w:t>
      </w:r>
    </w:p>
    <w:p>
      <w:pPr>
        <w:spacing w:after="120" w:line="276" w:lineRule="auto"/>
      </w:pPr>
      <w:r>
        <w:t>---</w:t>
      </w:r>
    </w:p>
    <w:p>
      <w:pPr>
        <w:spacing w:after="120" w:line="276" w:lineRule="auto"/>
      </w:pPr>
      <w:r>
        <w:t>## PARTIE 2 : ANALYSE TECHNIQUE DÉTAILLÉE</w:t>
      </w:r>
    </w:p>
    <w:p>
      <w:pPr>
        <w:spacing w:after="120" w:line="276" w:lineRule="auto"/>
      </w:pPr>
      <w:r>
        <w:t>**Moyennes Mobiles** : La MM20 (3 444,5 FCFA) et la MM50 (3 569,7 FCFA) se situent toutes deux nettement au-dessus du cours actuel (3 010 FCFA), avec la MM20 sous la MM50 — configuration baissière classique. Le cours évoluant sous ses deux moyennes, la pression vendeuse domine et la décision technique est **Vente**, confirmée par le croisement descendant des moyennes.</w:t>
      </w:r>
    </w:p>
    <w:p>
      <w:pPr>
        <w:spacing w:after="120" w:line="276" w:lineRule="auto"/>
      </w:pPr>
      <w:r>
        <w:t>**Bandes de Bollinger** : Le cours (3 010 FCFA) se situe dans la moitié basse de la bande, entre la borne inférieure (2 778,4 FCFA) et la borne supérieure (4 110,6 FCFA), sans en toucher les extrêmes. Cette position centrale-basse, avec un écartement important des bornes, traduit une volatilité élevée mais un cours en zone neutre, justifiant la décision **Neutre** — ni signal d'achat sur rebond, ni signal de vente sur cassure.</w:t>
      </w:r>
    </w:p>
    <w:p>
      <w:pPr>
        <w:spacing w:after="120" w:line="276" w:lineRule="auto"/>
      </w:pPr>
      <w:r>
        <w:t>**MACD** : La valeur du MACD (-181,275) est inférieure à son signal (-129,291), avec un histogramme négatif qui s'accentue — divergence baissière persistante. Le momentum est clairement négatif et la décision **Vente** est cohérente avec cette configuration de croisement baissier sous la ligne zéro.</w:t>
      </w:r>
    </w:p>
    <w:p>
      <w:pPr>
        <w:spacing w:after="120" w:line="276" w:lineRule="auto"/>
      </w:pPr>
      <w:r>
        <w:t>**RSI** : À 6,164, le RSI se situe très en dessous du seuil de survente (30), un niveau extrême rarement atteint qui signale une capitulation potentielle des vendeurs. La décision **Achat** reflète une opportunité de rebond technique à court terme, bien que ce signal doive être confirmé par un retournement des autres indicateurs.</w:t>
      </w:r>
    </w:p>
    <w:p>
      <w:pPr>
        <w:spacing w:after="120" w:line="276" w:lineRule="auto"/>
      </w:pPr>
      <w:r>
        <w:t>**Stochastique** : Le %K (1,538) et le %D (0,513) sont tous deux collés au plancher, avec un %K légèrement au-dessus du %D — configuration de survente extrême. La décision **Achat** est justifiée par cette position en zone de survente profonde, propice à un rebond technique.</w:t>
      </w:r>
    </w:p>
    <w:p>
      <w:pPr>
        <w:spacing w:after="120" w:line="276" w:lineRule="auto"/>
      </w:pPr>
      <w:r>
        <w:t>**Conclusion technique** : Les indicateurs présentent une divergence marquée : les moyennes mobiles et le MACD confirment une tendance baissière de fond, tandis que le RSI (6,16) et le stochastique (1,54) signalent une survente extrême propice à un rebond technique. Les bandes de Bollinger restent neutres, le cours n'ayant pas atteint la borne inférieure. Cette configuration suggère un **rebond technique à court terme possible**, mais la tendance de fond reste baissière tant que le cours n'aura pas reconquis la MM20 (3 444 FCFA). Prudence donc : le signal d'achat des oscillateurs est contrarien, non confirmé par la structure de tendance.</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(données officielles brvm_donnees_financieres) révèlent un chiffre d'affaires de 13,298 milliards FCFA, en croissance de 6,67% selon le rapport 2025 (RAPPORT 4, exercice 2025), accompagné d'un résultat net de 1,351 milliard FCFA, soit une marge nette de 10,16%. La rentabilité des fonds propres (ROE) atteint un niveau excellent de 26,18%, et le ROA de 14,64% confirme une bonne efficacité de l'actif, avec une rotation des actifs de 144,13%. La structure financière est très saine : autonomie financière de 55,92%, dépendance financière quasi nulle (1,28%), liquidité générale de 218,37% et trésorerie nette de 4,035 milliards FCFA. Pour une entreprise de services aéroportuaires, les délais d'exploitation méritent attention : délai clients de 70,10 jours (risque de trésorerie modéré), délai fournisseurs de 92,11 jours (favorable à la trésorerie) et durée de stockage de 29,40 jours, avec un BFR de 257,45 millions FCFA restant maîtrisé. Cependant, les rapports trimestriels récents (RAPPORT 2, T1 2026, publié en 2026) signalent une **forte dégradation de la rentabilité** : CA en hausse de seulement 1,9% à 3,237 milliards FCFA, mais résultat net en chute de 35,6% à 222,625 millions FCFA (marge nette de 6,9%), sous l'effet des ajustements de redevances aéroportuaires depuis avril 2025 et des tensions géopolitiques au Moyen-Orient. Le rapport semestriel 2026 (RAPPORT 1, S1 2026, attestation du 08/10/2026) confirme la conformité de l'information sans réserve, mais ne fournit pas de chiffres. On estime donc que l'exercice 2026 devrait afficher une croissance du CA limitée à 2-4% (contre 6,7% en 2025) et un résultat net en repli de 20-30%, ramenant le BPA autour de 90-100 FCFA — ce qui, au cours actuel de 3 010 FCFA, porterait le PER à 30-33x, accentuant la cherté du titre. La recommandation fondamentale est **CONSERVER** : la solidité bilancielle (trésorerie, autonomie financière) et le ROE élevé plaident pour la détention, mais la dégradation de la rentabilité 2026 et la valorisation exigeante limitent le potentiel de hausse.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**divorce marqué entre la valorisation, la technique et les fondamentaux**. La valorisation (Partie 0) est clairement tendue : PER de 24,3x contre 8-12x pour la moyenne BRVM, P/B de 6,37x et EV/EBITDA de 12,2x — le marché paie une prime qui n'est plus justifiée par la dynamique bénéficiaire récente. Le comportement du cours (Partie 1) est préoccupant : stagnation sur 100 jours (+0,33%), tendance baissière depuis le pic de 4 095 FCFA, volatilité élevée de 45,1%, avec un skewness positif et un kurtosis mésokurtique qui n'offrent pas de signal rassurant. Les signaux techniques (Partie 2) sont **divergents** : MM et MACD en Vente, mais RSI (6,16) et Stochastique (1,54) en survente extrême signalent un rebond technique possible — sans confirmation de tendance. Les fondamentaux (Partie 3) sont **mitigés** : structure financière excellente (ROE 26,18%, trésorerie 4,035 Mds FCFA, autonomie 55,92%) mais dégradation de la rentabilité 2026 (résultat net T1 -35,6%, marge nette 6,9%) et valorisation qui ne laisse aucune marge de sécurité. Les **prédictions IA** (J+1 à J+10) confirment la trajectoire baissière : 2 987 → 2 977 → 2 964 → 2 951 → 2 937 FCFA, soit une baisse de 2,4% sur 10 jours, en phase avec le momentum négatif du MACD et des moyennes mobiles. **Recommandation finale : CONSERVER** (avec biais vendeur à court terme). La convergence est partielle : la technique de fond (MM, MACD, prédictions IA) et la valorisation tendue plaident pour la prudence, tandis que la survente extrême (RSI, Stochastique) et la solidité bilancielle retiennent une vente franche. **Niveau de confiance : Moyen** (divergence entre oscillateurs et tendance). **Niveau de risque global : Élevé** (volatilité 45,1%, valorisation exigeante, dégradation bénéficiaire). **Horizon optimal : moyen terme (3-12 mois)**, le temps que la société stabilise sa rentabilité post-ajustements de redevances et que le cours revienne vers des niveaux de valorisation plus raisonnables (support technique à 2 778 FCFA, borne inférieure de Bollinger). Un retour sous 2 800 FCFA constituerait une zone d'accumulation pour les investisseurs de long terme, tandis qu'un franchissement de la MM20 (3 444 FCFA) invaliderait le scénario baissier.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 document est une simple attestation d'examen limit\u00e9 sans donn\u00e9es financi\u00e8res chiffr\u00e9es, ne permettant pas de r\u00e9\u00e9valuer la valorisation de SERVAIR CI. L'absence de r\u00e9serve des auditeurs est rassurante sur la qualit\u00e9 de l'information financi\u00e8re, mais insuffisante pour justifier une d\u00e9cision d'investissement."}</w:t>
      </w:r>
    </w:p>
    <w:p>
      <w:pPr>
        <w:spacing w:before="40"/>
        <w:ind w:left="400"/>
      </w:pPr>
      <w:r>
        <w:rPr>
          <w:sz w:val="18"/>
        </w:rPr>
        <w:t>Le document analysé est l'attestation des Commissaires aux Comptes (Deloitte Côte d'Ivoire et ERITEDGE Côte d'Ivoire) sur le tableau d'activités et de résultat ainsi que le rapport d'activité semestriel de SERVAIR Abidjan, S.A. pour la période du 1er janvier au 30 juin 2026. Il s'agit d'un examen limité réalisé selon la norme ISRE 2410, et non d'un audit complet, les auditeurs n'exprimant donc pas d'opinion d'audit. Sur la base de leurs travaux, les Commissaires aux Comptes n'ont pas relevé de faits remettant en cause la conformité des états présentés aux articles 850 à 851 de l'Acte Uniforme OHADA et à la Circulaire n°004-2010 du CREPMF. Le document atteste donc de la régularité formelle de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portant sur le tableau d'activités et de résultat et le rapport d'activité semestriel au 30 juin 2026 de SERVAIR Abidjan, S.A.</w:t>
      </w:r>
    </w:p>
    <w:p>
      <w:pPr>
        <w:pStyle w:val="ListBullet"/>
        <w:spacing w:before="20" w:after="20"/>
        <w:ind w:left="700"/>
      </w:pPr>
      <w:r>
        <w:rPr>
          <w:sz w:val="18"/>
        </w:rPr>
        <w:t>Examen limité effectué selon la norme ISRE 2410, avec une étendue très inférieure à celle d'un audit complet.</w:t>
      </w:r>
    </w:p>
    <w:p>
      <w:pPr>
        <w:pStyle w:val="ListBullet"/>
        <w:spacing w:before="20" w:after="20"/>
        <w:ind w:left="700"/>
      </w:pPr>
      <w:r>
        <w:rPr>
          <w:sz w:val="18"/>
        </w:rPr>
        <w:t>Les auditeurs n'expriment pas d'opinion d'audit, conformément aux limites de l'examen limité.</w:t>
      </w:r>
    </w:p>
    <w:p>
      <w:pPr>
        <w:pStyle w:val="ListBullet"/>
        <w:spacing w:before="20" w:after="20"/>
        <w:ind w:left="700"/>
      </w:pPr>
      <w:r>
        <w:rPr>
          <w:sz w:val="18"/>
        </w:rPr>
        <w:t>Conclusion sans réserve : aucun fait relevé remettant en cause la conformité des états présentés.</w:t>
      </w:r>
    </w:p>
    <w:p>
      <w:pPr>
        <w:pStyle w:val="ListBullet"/>
        <w:spacing w:before="20" w:after="20"/>
        <w:ind w:left="700"/>
      </w:pPr>
      <w:r>
        <w:rPr>
          <w:sz w:val="18"/>
        </w:rPr>
        <w:t>Cadre réglementaire de référence : articles 849 à 851 de l'Acte Uniforme OHADA et Circulaire n°004-2010 du CREPMF de l'UMOA.</w:t>
      </w:r>
    </w:p>
    <w:p>
      <w:pPr>
        <w:pStyle w:val="ListBullet"/>
        <w:spacing w:before="20" w:after="20"/>
        <w:ind w:left="700"/>
      </w:pPr>
      <w:r>
        <w:rPr>
          <w:sz w:val="18"/>
        </w:rPr>
        <w:t>Informations comptables établies conformément au SYSCOHADA.</w:t>
      </w:r>
    </w:p>
    <w:p>
      <w:pPr>
        <w:spacing w:before="40"/>
        <w:ind w:left="400"/>
      </w:pPr>
      <w:r>
        <w:rPr>
          <w:b/>
          <w:color w:val="C05000"/>
          <w:sz w:val="18"/>
        </w:rPr>
        <w:t xml:space="preserve">⚠️ Risques : </w:t>
      </w:r>
      <w:r>
        <w:rPr>
          <w:sz w:val="18"/>
        </w:rPr>
        <w:t>["Absence de donn\u00e9es financi\u00e8res chiffr\u00e9es (chiffre d'affaires, r\u00e9sultat, bilan) dans le document, limitant l'analyse fondamentale.", "Examen limit\u00e9 et non audit complet : assurance partielle sur la fiabilit\u00e9 des \u00e9tats semestriels.", "D\u00e9calage temporel de publ</w:t>
      </w:r>
    </w:p>
    <w:p>
      <w:pPr>
        <w:spacing w:before="40"/>
        <w:ind w:left="400"/>
      </w:pPr>
      <w:r>
        <w:rPr>
          <w:b/>
          <w:color w:val="0064A0"/>
          <w:sz w:val="18"/>
        </w:rPr>
        <w:t xml:space="preserve">🔮 Perspectives : </w:t>
      </w:r>
      <w:r>
        <w:rPr>
          <w:sz w:val="18"/>
        </w:rPr>
        <w:t>Les perspectives ne peuvent être évaluées précisément faute d'indicateurs financiers dans le document. La conclusion sans réserve des Commissaires aux Comptes suggère néanmoins une information financière semestrielle conforme et de qualité. Il conviendra de se référer au rapport d'activité semestrie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517.50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26,745 titres</w:t>
            </w:r>
          </w:p>
        </w:tc>
        <w:tc>
          <w:tcPr>
            <w:tcW w:type="dxa" w:w="2268"/>
            <w:shd w:fill="FFF2CC" w:val="clear"/>
          </w:tcPr>
          <w:p>
            <w:r>
              <w:rPr>
                <w:b/>
                <w:color w:val="503200"/>
                <w:sz w:val="16"/>
              </w:rPr>
              <w:t xml:space="preserve">Cours actuel : </w:t>
            </w:r>
            <w:r>
              <w:rPr>
                <w:color w:val="000000"/>
                <w:sz w:val="17"/>
              </w:rPr>
              <w:t>10,350 FCFA</w:t>
            </w:r>
          </w:p>
          <w:p>
            <w:r>
              <w:rPr>
                <w:b/>
                <w:color w:val="503200"/>
                <w:sz w:val="16"/>
              </w:rPr>
              <w:t xml:space="preserve">Var. 100 jours : </w:t>
            </w:r>
            <w:r>
              <w:rPr>
                <w:b/>
                <w:color w:val="007800"/>
                <w:sz w:val="17"/>
              </w:rPr>
              <w:t>+42.66%</w:t>
            </w:r>
          </w:p>
          <w:p>
            <w:r>
              <w:rPr>
                <w:b/>
                <w:color w:val="503200"/>
                <w:sz w:val="16"/>
              </w:rPr>
              <w:t xml:space="preserve">Plus haut 100j : </w:t>
            </w:r>
            <w:r>
              <w:rPr>
                <w:color w:val="000000"/>
                <w:sz w:val="17"/>
              </w:rPr>
              <w:t>10,495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25.2/100 → Moyen</w:t>
      </w:r>
    </w:p>
    <w:p>
      <w:pPr>
        <w:spacing w:before="40" w:after="80"/>
      </w:pPr>
      <w:r>
        <w:rPr>
          <w:rFonts w:ascii="Courier New" w:hAnsi="Courier New"/>
          <w:color w:val="825A00"/>
          <w:sz w:val="18"/>
        </w:rPr>
        <w:t>█████░░░░░░░░░░░░░░░  25.2/100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10.43% (Moyenne) — μ=9,535 FCFA, σ=995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β=1.8728 (Très agressif) — Cov=0.000154, Var(idx)=0.000082, ρ=0.525, n=15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26,745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 RAPPORT D'ANALYSE FINANCIÈRE — BBGC (BRIDGE BANK GROUP COTE D'IVOIRE)</w:t>
        <w:br/>
        <w:t>**Marché : BRVM | Secteur : Banque | Date d'analyse :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**517,50 Mds FCFA**, BBGC s'affirme comme une valeur de premier plan sur le compartiment bancaire de la BRVM, portée par une dynamique post-introduction remarquable. Le BPA de **544 FCFA/action** confère au titre un PER de **19,0x**, soit un niveau nettement supérieur à la moyenne du marché BRVM (8-12x), traduisant une prime de croissance assumée par les investisseurs. Le P/B de **4,92x** — bien au-delà du seuil de 4x — signale que le marché valorise la banque à près de cinq fois sa valeur comptable, reflet d'une anticipation forte de rentabilité future (ROE 25,9%). L'EV/EBITDA de **17,0x** confirme cette exigence : la valeur d'entreprise intègre une prime opérationnelle significative. Ces multiples, exigeants dans l'absolu, se justifient par la trajectoire de croissance exceptionnelle (+46% de résultat net au S1 2026) mais n'offrent qu'une marge de sécurité limitée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BBGC affiche une **progression spectaculaire de +42,66%**, portant le cours à **10 350 FCFA** malgré un léger repli de **-0,38%** sur la dernière séance (prise de bénéfices marginale). Le range de trading s'étend de **7 255 FCFA** (plus bas) à **10 495 FCFA** (plus haut), soit une amplitude de plus de 44% — le titre évolue actuellement à proximité immédiate de ses sommets, signe d'une tendance haussière solidement installée. Les statistiques descriptives révèlent une **moyenne de 9 535 FCFA** inférieure à la **médiane de 9 950 FCFA**, configuration atypique suggérant que la récente accélération haussière tire la distribution vers le haut ; le **skewness négatif de -0,856** confirme cette asymétrie avec davantage de séances au-dessus de la moyenne, typique d'un titre en fin de phase d'accumulation. L'**écart-type de 1 025 FCFA (CV = 10,8%)** indique une dispersion modérée relative au niveau de cours, tandis que le **kurtosis de -0,421 (mésokurtique)** signale une distribution proche de la normale, sans risque excessif de pics extrêmes. La **volatilité annualisée de 50,9%** classe le titre dans la catégorie **élevée (&gt;30%)**, cohérente avec une valeur de croissance récemment introduite et fortement recherchée.</w:t>
      </w:r>
    </w:p>
    <w:p>
      <w:pPr>
        <w:spacing w:after="120" w:line="276" w:lineRule="auto"/>
      </w:pPr>
      <w:r>
        <w:t>---</w:t>
      </w:r>
    </w:p>
    <w:p>
      <w:pPr>
        <w:spacing w:after="120" w:line="276" w:lineRule="auto"/>
      </w:pPr>
      <w:r>
        <w:t>## PARTIE 2 : ANALYSE TECHNIQUE DÉTAILLÉE</w:t>
      </w:r>
    </w:p>
    <w:p>
      <w:pPr>
        <w:spacing w:after="120" w:line="276" w:lineRule="auto"/>
      </w:pPr>
      <w:r>
        <w:t>**Moyennes Mobiles** : Les valeurs MM20 et MM50 ne sont pas disponibles (nan), empêchant toute lecture de la position relative du cours par rapport à ses supports dynamiques. L'absence de décision automatique traduit cette indisponibilité technique, mais la proximité du cours avec son plus haut historique suggère une configuration haussière sous-jacente.</w:t>
      </w:r>
    </w:p>
    <w:p>
      <w:pPr>
        <w:spacing w:after="120" w:line="276" w:lineRule="auto"/>
      </w:pPr>
      <w:r>
        <w:t>**Bandes de Bollinger** : Les bornes supérieure et inférieure ne sont pas calculées (nan), rendant impossible l'évaluation de la position du cours dans le canal de volatilité. Le cours actuel de 10 350 FCFA, proche du plus haut de 10 495 FCFA, laisse néanmoins présager une pression sur la borne haute en cas de calcul effectif.</w:t>
      </w:r>
    </w:p>
    <w:p>
      <w:pPr>
        <w:spacing w:after="120" w:line="276" w:lineRule="auto"/>
      </w:pPr>
      <w:r>
        <w:t>**MACD** : Les valeurs MACD et Signal sont indisponibles (nan), empêchant l'analyse du momentum et de la divergence. Aucune décision ne peut être formulée sur cet indicateur en l'état.</w:t>
      </w:r>
    </w:p>
    <w:p>
      <w:pPr>
        <w:spacing w:after="120" w:line="276" w:lineRule="auto"/>
      </w:pPr>
      <w:r>
        <w:t>**RSI** : La valeur du RSI n'est pas fournie (nan), rendant impossible la détection d'une zone de surachat (&gt;70) ou de survente (&lt;30). Compte tenu de la hausse de +42,66% sur 100 jours, un RSI élevé serait attendu, plaidant pour une vigilance sur un essoufflement potentiel.</w:t>
      </w:r>
    </w:p>
    <w:p>
      <w:pPr>
        <w:spacing w:after="120" w:line="276" w:lineRule="auto"/>
      </w:pPr>
      <w:r>
        <w:t>**Stochastique** : Les %K et %D sont indisponibles (nan), empêchant l'analyse des croisements et de la dynamique de court terme.</w:t>
      </w:r>
    </w:p>
    <w:p>
      <w:pPr>
        <w:spacing w:after="120" w:line="276" w:lineRule="auto"/>
      </w:pPr>
      <w:r>
        <w:t>**Conclusion technique** : L'indisponibilité généralisée des indicateurs techniques (MM, Bollinger, MACD, RSI, Stochastique) limite fortement la lecture graphique et impose une prudence méthodologique. Seule l'analyse du cours brut — progression de +42,66% et cotation proche des sommets — permet d'inférer une tendance haussière robuste mais potentiellement mature. Dans ce contexte, la confirmation technique devra être recherchée via les fondamentaux et la dynamique de valorisation, faute de signaux quantitatifs exploitables.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BBGC affiche un **Produit Net Bancaire (PNB) de 67,824 Mds FCFA**, équivalent du chiffre d'affaires bancaire, pour un **résultat net de 27,197 Mds FCFA**, soit une **marge nette remarquable de 40,10%**. La rentabilité des fonds propres (**ROE de 25,87%**) dépasse largement le seuil d'excellence de 15%, tandis que le **ROA de 1,91%** traduit une bonne efficience de l'actif (1 427,417 Mds FCFA). Le **coefficient d'exploitation de 41,85%** — très en-deçà du seuil de 60% — confirme une banque hautement efficace, et le **coût du risque de 0,885%** atteste d'un portefeuille de crédit sain. La structure de bilan révèle une **transformation bancaire classique** : 1 138,119 Mds FCFA de dépôts clientèle pour 768,574 Mds FCFA de créances, soit un ratio dépôts/crédits de 148%, garantissant une liquidité confortable ; les **effets publics de 297,260 Mds FCFA** et la **caisse de 204,985 Mds FCFA** renforcent cette solidité. Le **taux de croissance du PNB de 15,71%** confirme la dynamique commerciale. **Estimations issues des rapports S1 2026 (publiés le 30 juin 2026, analysés le 28 septembre 2026)** : le PNB semestriel atteint **37,7 Mds FCFA (+25%)** et le résultat net **15,2 Mds FCFA (+46%)**, avec un coefficient d'exploitation amélioré à **40,3%** et une marge nette de **40,3%**. En extrapolant, l'exercice 2026 devrait dépasser les 75 Mds FCFA de PNB et approcher 30 Mds FCFA de résultat net, confirmant l'accélération. L'OPV sursouscrite (10 millions d'actions à 6 750 FCFA) et l'expansion au Burkina Faso constituent des catalyseurs. **Recommandation fondamentale : ACHAT**, tempérée par une valorisation exigeante et l'absence de politique de dividende communiquée.</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de croissance assumé : PER de 19,0x, P/B de 4,92x et EV/EBITDA de 17,0x traduisent une prime significative, justifiée par la trajectoire (+46% de résultat net) mais exposée à une correction en cas de déception. Le **comportement du cours (Partie 1)** est franchement haussier (+42,66% sur 100 jours, cotation proche des sommets), avec une volatilité élevée (50,9%) et un skewness négatif signalant une dynamique positive, mais un kurtosis normal n'écartant pas les pics. Les **signaux techniques (Partie 2)** sont indisponibles (MM, Bollinger, MACD, RSI, Stochastique en nan), empêchant toute convergence quantitative et imposant une lecture prudente. Les **fondamentaux (Partie 3)** demeurent le pilier de la thèse : ROE de 25,87%, coefficient d'exploitation de 41,85%, coût du risque maîtrisé (0,885%) et croissance confirmée au S1 2026 (+25% PNB, +46% résultat net). Les **prédictions IA** n'étant pas disponibles, la synthèse repose sur la convergence valorisation-fondamentaux, tempérée par l'absence de confirmation technique. **Recommandation finale : ACHAT**, avec un **niveau de confiance Moyen** (faute de signaux techniques et de prédictions), un **risque global Élevé** (volatilité 50,9%, multiples exigeants, absence de politique de dividende), et un **horizon d'investissement de moyen à long terme (6-18 mois)** pour laisser se matérialiser la croissance et l'expansion régionale.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488.65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13,977 titres</w:t>
            </w:r>
          </w:p>
        </w:tc>
        <w:tc>
          <w:tcPr>
            <w:tcW w:type="dxa" w:w="2268"/>
            <w:shd w:fill="FFF2CC" w:val="clear"/>
          </w:tcPr>
          <w:p>
            <w:r>
              <w:rPr>
                <w:b/>
                <w:color w:val="503200"/>
                <w:sz w:val="16"/>
              </w:rPr>
              <w:t xml:space="preserve">Cours actuel : </w:t>
            </w:r>
            <w:r>
              <w:rPr>
                <w:color w:val="000000"/>
                <w:sz w:val="17"/>
              </w:rPr>
              <w:t>8,460 FCFA</w:t>
            </w:r>
          </w:p>
          <w:p>
            <w:r>
              <w:rPr>
                <w:b/>
                <w:color w:val="503200"/>
                <w:sz w:val="16"/>
              </w:rPr>
              <w:t xml:space="preserve">Var. 100 jours : </w:t>
            </w:r>
            <w:r>
              <w:rPr>
                <w:b/>
                <w:color w:val="007800"/>
                <w:sz w:val="17"/>
              </w:rPr>
              <w:t>+62.69%</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5,200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21.06% (Élevée) — μ=7,608 FCFA, σ=1,602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β=0.8391 (Neutre (suit le marché)) — Cov=0.000065, Var(idx)=0.000077, ρ=0.274,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13,977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8278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2026-10-20</w:t>
            </w:r>
          </w:p>
        </w:tc>
        <w:tc>
          <w:tcPr>
            <w:tcW w:type="dxa" w:w="1440"/>
            <w:shd w:fill="C6EFCE" w:val="clear"/>
          </w:tcPr>
          <w:p>
            <w:r>
              <w:rPr>
                <w:sz w:val="17"/>
              </w:rPr>
              <w:t>8,346</w:t>
            </w:r>
          </w:p>
        </w:tc>
        <w:tc>
          <w:tcPr>
            <w:tcW w:type="dxa" w:w="1440"/>
            <w:shd w:fill="C6EFCE" w:val="clear"/>
          </w:tcPr>
          <w:p>
            <w:r>
              <w:rPr>
                <w:b/>
                <w:sz w:val="17"/>
              </w:rPr>
              <w:t>8,799</w:t>
            </w:r>
          </w:p>
        </w:tc>
        <w:tc>
          <w:tcPr>
            <w:tcW w:type="dxa" w:w="1440"/>
            <w:shd w:fill="C6EFCE" w:val="clear"/>
          </w:tcPr>
          <w:p>
            <w:r>
              <w:rPr>
                <w:sz w:val="17"/>
              </w:rPr>
              <w:t>9,252</w:t>
            </w:r>
          </w:p>
        </w:tc>
        <w:tc>
          <w:tcPr>
            <w:tcW w:type="dxa" w:w="1440"/>
            <w:shd w:fill="C6EFCE" w:val="clear"/>
          </w:tcPr>
          <w:p>
            <w:r>
              <w:rPr>
                <w:b/>
                <w:color w:val="008000"/>
                <w:sz w:val="17"/>
              </w:rPr>
              <w:t>+4.0%</w:t>
            </w:r>
          </w:p>
        </w:tc>
      </w:tr>
      <w:tr>
        <w:tc>
          <w:tcPr>
            <w:tcW w:type="dxa" w:w="1440"/>
            <w:shd w:fill="C6EFCE" w:val="clear"/>
          </w:tcPr>
          <w:p>
            <w:r>
              <w:rPr>
                <w:sz w:val="17"/>
              </w:rPr>
              <w:t>J+2  ⭐</w:t>
            </w:r>
          </w:p>
        </w:tc>
        <w:tc>
          <w:tcPr>
            <w:tcW w:type="dxa" w:w="1440"/>
            <w:shd w:fill="C6EFCE" w:val="clear"/>
          </w:tcPr>
          <w:p>
            <w:r>
              <w:rPr>
                <w:sz w:val="17"/>
              </w:rPr>
              <w:t>2026-10-21</w:t>
            </w:r>
          </w:p>
        </w:tc>
        <w:tc>
          <w:tcPr>
            <w:tcW w:type="dxa" w:w="1440"/>
            <w:shd w:fill="C6EFCE" w:val="clear"/>
          </w:tcPr>
          <w:p>
            <w:r>
              <w:rPr>
                <w:sz w:val="17"/>
              </w:rPr>
              <w:t>8,217</w:t>
            </w:r>
          </w:p>
        </w:tc>
        <w:tc>
          <w:tcPr>
            <w:tcW w:type="dxa" w:w="1440"/>
            <w:shd w:fill="C6EFCE" w:val="clear"/>
          </w:tcPr>
          <w:p>
            <w:r>
              <w:rPr>
                <w:b/>
                <w:sz w:val="17"/>
              </w:rPr>
              <w:t>8,862</w:t>
            </w:r>
          </w:p>
        </w:tc>
        <w:tc>
          <w:tcPr>
            <w:tcW w:type="dxa" w:w="1440"/>
            <w:shd w:fill="C6EFCE" w:val="clear"/>
          </w:tcPr>
          <w:p>
            <w:r>
              <w:rPr>
                <w:sz w:val="17"/>
              </w:rPr>
              <w:t>9,507</w:t>
            </w:r>
          </w:p>
        </w:tc>
        <w:tc>
          <w:tcPr>
            <w:tcW w:type="dxa" w:w="1440"/>
            <w:shd w:fill="C6EFCE" w:val="clear"/>
          </w:tcPr>
          <w:p>
            <w:r>
              <w:rPr>
                <w:b/>
                <w:color w:val="008000"/>
                <w:sz w:val="17"/>
              </w:rPr>
              <w:t>+4.8%</w:t>
            </w:r>
          </w:p>
        </w:tc>
      </w:tr>
      <w:tr>
        <w:tc>
          <w:tcPr>
            <w:tcW w:type="dxa" w:w="1440"/>
            <w:shd w:fill="C6EFCE" w:val="clear"/>
          </w:tcPr>
          <w:p>
            <w:r>
              <w:rPr>
                <w:sz w:val="17"/>
              </w:rPr>
              <w:t>J+3  ⭐</w:t>
            </w:r>
          </w:p>
        </w:tc>
        <w:tc>
          <w:tcPr>
            <w:tcW w:type="dxa" w:w="1440"/>
            <w:shd w:fill="C6EFCE" w:val="clear"/>
          </w:tcPr>
          <w:p>
            <w:r>
              <w:rPr>
                <w:sz w:val="17"/>
              </w:rPr>
              <w:t>2026-10-22</w:t>
            </w:r>
          </w:p>
        </w:tc>
        <w:tc>
          <w:tcPr>
            <w:tcW w:type="dxa" w:w="1440"/>
            <w:shd w:fill="C6EFCE" w:val="clear"/>
          </w:tcPr>
          <w:p>
            <w:r>
              <w:rPr>
                <w:sz w:val="17"/>
              </w:rPr>
              <w:t>8,141</w:t>
            </w:r>
          </w:p>
        </w:tc>
        <w:tc>
          <w:tcPr>
            <w:tcW w:type="dxa" w:w="1440"/>
            <w:shd w:fill="C6EFCE" w:val="clear"/>
          </w:tcPr>
          <w:p>
            <w:r>
              <w:rPr>
                <w:b/>
                <w:sz w:val="17"/>
              </w:rPr>
              <w:t>8,937</w:t>
            </w:r>
          </w:p>
        </w:tc>
        <w:tc>
          <w:tcPr>
            <w:tcW w:type="dxa" w:w="1440"/>
            <w:shd w:fill="C6EFCE" w:val="clear"/>
          </w:tcPr>
          <w:p>
            <w:r>
              <w:rPr>
                <w:sz w:val="17"/>
              </w:rPr>
              <w:t>9,733</w:t>
            </w:r>
          </w:p>
        </w:tc>
        <w:tc>
          <w:tcPr>
            <w:tcW w:type="dxa" w:w="1440"/>
            <w:shd w:fill="C6EFCE" w:val="clear"/>
          </w:tcPr>
          <w:p>
            <w:r>
              <w:rPr>
                <w:b/>
                <w:color w:val="008000"/>
                <w:sz w:val="17"/>
              </w:rPr>
              <w:t>+5.6%</w:t>
            </w:r>
          </w:p>
        </w:tc>
      </w:tr>
      <w:tr>
        <w:tc>
          <w:tcPr>
            <w:tcW w:type="dxa" w:w="1440"/>
            <w:shd w:fill="C6EFCE" w:val="clear"/>
          </w:tcPr>
          <w:p>
            <w:r>
              <w:rPr>
                <w:sz w:val="17"/>
              </w:rPr>
              <w:t>J+4  ⭐</w:t>
            </w:r>
          </w:p>
        </w:tc>
        <w:tc>
          <w:tcPr>
            <w:tcW w:type="dxa" w:w="1440"/>
            <w:shd w:fill="C6EFCE" w:val="clear"/>
          </w:tcPr>
          <w:p>
            <w:r>
              <w:rPr>
                <w:sz w:val="17"/>
              </w:rPr>
              <w:t>2026-10-23</w:t>
            </w:r>
          </w:p>
        </w:tc>
        <w:tc>
          <w:tcPr>
            <w:tcW w:type="dxa" w:w="1440"/>
            <w:shd w:fill="C6EFCE" w:val="clear"/>
          </w:tcPr>
          <w:p>
            <w:r>
              <w:rPr>
                <w:sz w:val="17"/>
              </w:rPr>
              <w:t>8,082</w:t>
            </w:r>
          </w:p>
        </w:tc>
        <w:tc>
          <w:tcPr>
            <w:tcW w:type="dxa" w:w="1440"/>
            <w:shd w:fill="C6EFCE" w:val="clear"/>
          </w:tcPr>
          <w:p>
            <w:r>
              <w:rPr>
                <w:b/>
                <w:sz w:val="17"/>
              </w:rPr>
              <w:t>9,009</w:t>
            </w:r>
          </w:p>
        </w:tc>
        <w:tc>
          <w:tcPr>
            <w:tcW w:type="dxa" w:w="1440"/>
            <w:shd w:fill="C6EFCE" w:val="clear"/>
          </w:tcPr>
          <w:p>
            <w:r>
              <w:rPr>
                <w:sz w:val="17"/>
              </w:rPr>
              <w:t>9,936</w:t>
            </w:r>
          </w:p>
        </w:tc>
        <w:tc>
          <w:tcPr>
            <w:tcW w:type="dxa" w:w="1440"/>
            <w:shd w:fill="C6EFCE" w:val="clear"/>
          </w:tcPr>
          <w:p>
            <w:r>
              <w:rPr>
                <w:b/>
                <w:color w:val="008000"/>
                <w:sz w:val="17"/>
              </w:rPr>
              <w:t>+6.5%</w:t>
            </w:r>
          </w:p>
        </w:tc>
      </w:tr>
      <w:tr>
        <w:tc>
          <w:tcPr>
            <w:tcW w:type="dxa" w:w="1440"/>
            <w:shd w:fill="C6EFCE" w:val="clear"/>
          </w:tcPr>
          <w:p>
            <w:r>
              <w:rPr>
                <w:sz w:val="17"/>
              </w:rPr>
              <w:t>J+5  ⭐</w:t>
            </w:r>
          </w:p>
        </w:tc>
        <w:tc>
          <w:tcPr>
            <w:tcW w:type="dxa" w:w="1440"/>
            <w:shd w:fill="C6EFCE" w:val="clear"/>
          </w:tcPr>
          <w:p>
            <w:r>
              <w:rPr>
                <w:sz w:val="17"/>
              </w:rPr>
              <w:t>2026-10-26</w:t>
            </w:r>
          </w:p>
        </w:tc>
        <w:tc>
          <w:tcPr>
            <w:tcW w:type="dxa" w:w="1440"/>
            <w:shd w:fill="C6EFCE" w:val="clear"/>
          </w:tcPr>
          <w:p>
            <w:r>
              <w:rPr>
                <w:sz w:val="17"/>
              </w:rPr>
              <w:t>8,031</w:t>
            </w:r>
          </w:p>
        </w:tc>
        <w:tc>
          <w:tcPr>
            <w:tcW w:type="dxa" w:w="1440"/>
            <w:shd w:fill="C6EFCE" w:val="clear"/>
          </w:tcPr>
          <w:p>
            <w:r>
              <w:rPr>
                <w:b/>
                <w:sz w:val="17"/>
              </w:rPr>
              <w:t>9,075</w:t>
            </w:r>
          </w:p>
        </w:tc>
        <w:tc>
          <w:tcPr>
            <w:tcW w:type="dxa" w:w="1440"/>
            <w:shd w:fill="C6EFCE" w:val="clear"/>
          </w:tcPr>
          <w:p>
            <w:r>
              <w:rPr>
                <w:sz w:val="17"/>
              </w:rPr>
              <w:t>10,119</w:t>
            </w:r>
          </w:p>
        </w:tc>
        <w:tc>
          <w:tcPr>
            <w:tcW w:type="dxa" w:w="1440"/>
            <w:shd w:fill="C6EFCE" w:val="clear"/>
          </w:tcPr>
          <w:p>
            <w:r>
              <w:rPr>
                <w:b/>
                <w:color w:val="008000"/>
                <w:sz w:val="17"/>
              </w:rPr>
              <w:t>+7.3%</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7,982</w:t>
            </w:r>
          </w:p>
        </w:tc>
        <w:tc>
          <w:tcPr>
            <w:tcW w:type="dxa" w:w="1440"/>
            <w:shd w:fill="C6EFCE" w:val="clear"/>
          </w:tcPr>
          <w:p>
            <w:r>
              <w:rPr>
                <w:b/>
                <w:sz w:val="17"/>
              </w:rPr>
              <w:t>9,133</w:t>
            </w:r>
          </w:p>
        </w:tc>
        <w:tc>
          <w:tcPr>
            <w:tcW w:type="dxa" w:w="1440"/>
            <w:shd w:fill="C6EFCE" w:val="clear"/>
          </w:tcPr>
          <w:p>
            <w:r>
              <w:rPr>
                <w:sz w:val="17"/>
              </w:rPr>
              <w:t>10,284</w:t>
            </w:r>
          </w:p>
        </w:tc>
        <w:tc>
          <w:tcPr>
            <w:tcW w:type="dxa" w:w="1440"/>
            <w:shd w:fill="C6EFCE" w:val="clear"/>
          </w:tcPr>
          <w:p>
            <w:r>
              <w:rPr>
                <w:b/>
                <w:color w:val="008000"/>
                <w:sz w:val="17"/>
              </w:rPr>
              <w:t>+8.0%</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7,934</w:t>
            </w:r>
          </w:p>
        </w:tc>
        <w:tc>
          <w:tcPr>
            <w:tcW w:type="dxa" w:w="1440"/>
            <w:shd w:fill="C6EFCE" w:val="clear"/>
          </w:tcPr>
          <w:p>
            <w:r>
              <w:rPr>
                <w:b/>
                <w:sz w:val="17"/>
              </w:rPr>
              <w:t>9,184</w:t>
            </w:r>
          </w:p>
        </w:tc>
        <w:tc>
          <w:tcPr>
            <w:tcW w:type="dxa" w:w="1440"/>
            <w:shd w:fill="C6EFCE" w:val="clear"/>
          </w:tcPr>
          <w:p>
            <w:r>
              <w:rPr>
                <w:sz w:val="17"/>
              </w:rPr>
              <w:t>10,434</w:t>
            </w:r>
          </w:p>
        </w:tc>
        <w:tc>
          <w:tcPr>
            <w:tcW w:type="dxa" w:w="1440"/>
            <w:shd w:fill="C6EFCE" w:val="clear"/>
          </w:tcPr>
          <w:p>
            <w:r>
              <w:rPr>
                <w:b/>
                <w:color w:val="008000"/>
                <w:sz w:val="17"/>
              </w:rPr>
              <w:t>+8.6%</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7,885</w:t>
            </w:r>
          </w:p>
        </w:tc>
        <w:tc>
          <w:tcPr>
            <w:tcW w:type="dxa" w:w="1440"/>
            <w:shd w:fill="C6EFCE" w:val="clear"/>
          </w:tcPr>
          <w:p>
            <w:r>
              <w:rPr>
                <w:b/>
                <w:sz w:val="17"/>
              </w:rPr>
              <w:t>9,228</w:t>
            </w:r>
          </w:p>
        </w:tc>
        <w:tc>
          <w:tcPr>
            <w:tcW w:type="dxa" w:w="1440"/>
            <w:shd w:fill="C6EFCE" w:val="clear"/>
          </w:tcPr>
          <w:p>
            <w:r>
              <w:rPr>
                <w:sz w:val="17"/>
              </w:rPr>
              <w:t>10,571</w:t>
            </w:r>
          </w:p>
        </w:tc>
        <w:tc>
          <w:tcPr>
            <w:tcW w:type="dxa" w:w="1440"/>
            <w:shd w:fill="C6EFCE" w:val="clear"/>
          </w:tcPr>
          <w:p>
            <w:r>
              <w:rPr>
                <w:b/>
                <w:color w:val="008000"/>
                <w:sz w:val="17"/>
              </w:rPr>
              <w:t>+9.1%</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7,836</w:t>
            </w:r>
          </w:p>
        </w:tc>
        <w:tc>
          <w:tcPr>
            <w:tcW w:type="dxa" w:w="1440"/>
            <w:shd w:fill="C6EFCE" w:val="clear"/>
          </w:tcPr>
          <w:p>
            <w:r>
              <w:rPr>
                <w:b/>
                <w:sz w:val="17"/>
              </w:rPr>
              <w:t>9,266</w:t>
            </w:r>
          </w:p>
        </w:tc>
        <w:tc>
          <w:tcPr>
            <w:tcW w:type="dxa" w:w="1440"/>
            <w:shd w:fill="C6EFCE" w:val="clear"/>
          </w:tcPr>
          <w:p>
            <w:r>
              <w:rPr>
                <w:sz w:val="17"/>
              </w:rPr>
              <w:t>10,697</w:t>
            </w:r>
          </w:p>
        </w:tc>
        <w:tc>
          <w:tcPr>
            <w:tcW w:type="dxa" w:w="1440"/>
            <w:shd w:fill="C6EFCE" w:val="clear"/>
          </w:tcPr>
          <w:p>
            <w:r>
              <w:rPr>
                <w:b/>
                <w:color w:val="008000"/>
                <w:sz w:val="17"/>
              </w:rPr>
              <w:t>+9.5%</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7,786</w:t>
            </w:r>
          </w:p>
        </w:tc>
        <w:tc>
          <w:tcPr>
            <w:tcW w:type="dxa" w:w="1440"/>
            <w:shd w:fill="C6EFCE" w:val="clear"/>
          </w:tcPr>
          <w:p>
            <w:r>
              <w:rPr>
                <w:b/>
                <w:sz w:val="17"/>
              </w:rPr>
              <w:t>9,299</w:t>
            </w:r>
          </w:p>
        </w:tc>
        <w:tc>
          <w:tcPr>
            <w:tcW w:type="dxa" w:w="1440"/>
            <w:shd w:fill="C6EFCE" w:val="clear"/>
          </w:tcPr>
          <w:p>
            <w:r>
              <w:rPr>
                <w:sz w:val="17"/>
              </w:rPr>
              <w:t>10,812</w:t>
            </w:r>
          </w:p>
        </w:tc>
        <w:tc>
          <w:tcPr>
            <w:tcW w:type="dxa" w:w="1440"/>
            <w:shd w:fill="C6EFCE" w:val="clear"/>
          </w:tcPr>
          <w:p>
            <w:r>
              <w:rPr>
                <w:b/>
                <w:color w:val="008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ACTION BICB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488,65 milliards FCFA, BICB s'affirme comme une valeur de premier plan sur le compartiment bancaire de la BRVM, ce qui traduit la reconnaissance par le marché de son statut de leader béninois. Le BPA de 627 FCFA par action signifie que chaque titre génère près de 627 FCFA de bénéfice net, un niveau de rentabilité par action particulièrement élevé pour la cote régionale. Le PER de 13,5x se situe au-dessus de la moyenne BRVM (généralement 8-12x), indiquant que les investisseurs acceptent de payer une prime modérée pour cette valeur de croissance — la valorisation reste toutefois raisonnable au regard de la dynamique bénéficiaire. Le P/B de 3,62x confirme cette prime de croissance : le marché valorise l'action à plus de 3,6 fois sa valeur comptable, ce qui est justifié par un ROE exceptionnel de 26,8% mais laisse peu de marge de sécurité en cas de déception. Enfin, l'EV/EBITDA de 24,1x apparaît très exigeant (seuil d'alerte &gt;15x), signalant que la valeur d'entreprise intègre déjà une forte anticipation de croissance opérationnelle — un niveau qui expose le titre à une correction en cas de normalisation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+62,69%, avec une dernière séance en hausse de +0,71% à 8 460 FCFA, confirmant une dynamique haussière robuste. Le range de trading s'étend de 5 200 FCFA (plus bas) à 10 790 FCFA (plus haut), soit une amplitude de plus de 107%, révélant une phase de forte expansion suivie d'une consolidation — le cours actuel se situe à environ 78% du plus haut, suggérant une respiration après le rallye. La moyenne de 7 608 FCFA et la médiane de 7 690 FCFA sont très proches (écart de seulement 1%), ce qui indique une distribution quasi-symétrique du cours sur la période, sans biais directionnel marqué malgré la tendance haussière globale. L'écart-type de 1 610 FCFA avec un coefficient de variation de 21,2% traduit une dispersion modérée à élevée, cohérente avec un titre en forte tendance. Le kurtosis négatif de -1,052 (distribution platykurtique) signale une faible concentration des rendements autour de la moyenne et donc un risque de mouvements amples moins fréquent qu'une distribution normale — un point plutôt rassurant. Le skewness de 0,199 confirme la symétrie de la distribution, sans asymétrie marquée vers les gains ou les pertes. La volatilité annualisée de 42,5% classe le titre dans la catégorie des valeurs à volatilité élevée (&gt;30%), ce qui est typique des valeurs de croissance à forte réévaluation mais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(8 619,25 FCFA) et la MM50 (8 978,5 FCFA) se situent toutes deux au-dessus du cours actuel (8 460 FCFA), plaçant le titre en position baissière relative par rapport à ses moyennes. La MM20 étant inférieure à la MM50, la configuration reste baissière de court terme, ce qui justifie la décision technique de **Vente** — le cours évolue sous ses supports mobiles, signalant une pression vendeuse persistante malgré le rebond récent.</w:t>
      </w:r>
    </w:p>
    <w:p>
      <w:pPr>
        <w:spacing w:after="120" w:line="276" w:lineRule="auto"/>
      </w:pPr>
      <w:r>
        <w:t>**Bandes de Bollinger** : Le cours (8 460 FCFA) évolue dans la partie médiane de la bande, entre la borne inférieure (7 795,37 FCFA) et la borne supérieure (9 443,13 FCFA), à environ 40% de la largeur de la bande. Cette position centrale traduit une absence de signal directionnel fort, justifiant la décision **Neutre** — le titre n'est ni en surachat ni en survente selon ce critère, et l'écart entre les bornes (1 647,76 FCFA) reflète une volatilité encore significative.</w:t>
      </w:r>
    </w:p>
    <w:p>
      <w:pPr>
        <w:spacing w:after="120" w:line="276" w:lineRule="auto"/>
      </w:pPr>
      <w:r>
        <w:t>**MACD** : La ligne MACD (-208,123) est inférieure à sa ligne de signal (-174,728), avec un histogramme négatif d'environ -33,4 points, confirmant un momentum baissier. La divergence négative persiste, ce qui justifie la décision **Vente** — bien que l'écart entre les deux lignes se réduise légèrement, aucun croisement haussier n'est encore visible, et la tendance de fond reste négative.</w:t>
      </w:r>
    </w:p>
    <w:p>
      <w:pPr>
        <w:spacing w:after="120" w:line="276" w:lineRule="auto"/>
      </w:pPr>
      <w:r>
        <w:t>**RSI** : À 47,788, le RSI se situe dans la zone neutre (30-70), légèrement en dessous du seuil de 50 qui sépare les zones haussière et baissière. Cette valeur traduit un équilibre précaire entre acheteurs et vendeurs, sans signal de surachat (&gt;70) ni de survente (&lt;30), justifiant la décision **Neutre** — le titre n'offre pas de signal contrarien exploitable à ce stade.</w:t>
      </w:r>
    </w:p>
    <w:p>
      <w:pPr>
        <w:spacing w:after="120" w:line="276" w:lineRule="auto"/>
      </w:pPr>
      <w:r>
        <w:t>**Stochastique** : Le %K (15,094) et le %D (7,547) se situent tous deux en zone de survente profonde (&lt;20), avec un %K supérieur au %D, ce qui constitue un croisement haussier naissant. Cette configuration justifie la décision **Achat** — le titre pourrait amorcer un rebond technique après la correction récente, le stochastique étant le seul indicateur à signaler une opportunité d'achat contrarienne.</w:t>
      </w:r>
    </w:p>
    <w:p>
      <w:pPr>
        <w:spacing w:after="120" w:line="276" w:lineRule="auto"/>
      </w:pPr>
      <w:r>
        <w:t>**Conclusion technique** : Les indicateurs présentent une configuration globalement baissière (MM, MACD) tempérée par des signaux neutres (Bollinger, RSI) et un signal d'achat contrarien (Stochastique en survente). Cette divergence traduit une phase de consolidation post-rallye : le titre a corrigé depuis son plus haut de 10 790 FCFA mais pourrait trouver un support technique autour de 7 800-8 000 FCFA. La prudence reste de mise tant que le cours n'aura pas reconquis la MM20 (8 619 FCFA), mais le stochastique suggère qu'un rebond technique est plausible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BICB affiche un Produit Net Bancaire (équivalent du chiffre d'affaires bancaire) de 52,805 milliards FCFA, en croissance de 16,49% selon le rapport des états financiers 2025 (publié le 31/12/2025, analysé le 22/06/2026). Le résultat net s'établit à 36,237 milliards FCFA, générant un ROE exceptionnel de 26,82% (largement supérieur au seuil de 15% considéré comme excellent) et un ROA de 1,96%. Le coefficient d'exploitation de 31,12% place la banque parmi les établissements les plus efficaces du secteur (seuil d'excellence &lt;50%), tandis que le coût du risque rapporté aux charges financières de 9,61% reste modéré. La structure de bilan révèle une forte dépendance aux dépôts clientèle (1 181,045 milliards FCFA) face à des créances clientèle de 1 151,536 milliards FCFA, soit un ratio crédits/dépôts de 97,5% — une transformation tendue mais maîtrisée. Le ratio de solvabilité de 19,64% (vs 11,5% réglementaire) offre une marge de manœuvre confortable.</w:t>
      </w:r>
    </w:p>
    <w:p>
      <w:pPr>
        <w:spacing w:after="120" w:line="276" w:lineRule="auto"/>
      </w:pPr>
      <w:r>
        <w:t>**Estimations basées sur les rapports trimestriels** : Le rapport du T1 2026 (publié en 2026) révèle un PNB de 14,6 milliards FCFA (+35%) et un résultat net de 8,0 milliards FCFA (+48%), tandis que le rapport S1 2026 (analysé le 22/09/2026) confirme un PNB de 31,882 milliards FCFA (+19%) et un résultat net de 18,368 milliards FCFA (+11%), avec un RBE bondissant de +31% à 22,910 milliards FCFA grâce à une baisse de 4% des charges d'exploitation. On estime donc que l'exercice 2026 devrait dépasser les 65 milliards FCFA de PNB et approcher les 40 milliards FCFA de résultat net, porté par un effet ciseaux positif. Toutefois, le rapport S1 2026 signale un retournement du coût du risque (-3,579 milliards FCFA contre +2,376 milliards au S1 2025) et un résultat avant impôt en léger repli (-3%), tandis que les dépôts clientèle reculent de 1% — des points de vigilance à surveiller. La recommandation fondamentale est de **CONSERVER** : la solidité financière et la rentabilité restent excellentes, mais la normalisation du coût du risque et la tension sur la liquidité (ratio crédits/dépôts à 97,5%) invitent à la prudence avant tout renforcement.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Sur le plan de la **valorisation (Partie 0)**, le PER de 13,5x et le P/B de 3,62x intègrent déjà une prime de croissance significative, tandis que l'EV/EBITDA de 24,1x apparaît très exigeant — le titre n'est pas sous-évalué et offre peu de marge de sécurité. Le **comportement du cours (Partie 1)** montre une tendance haussière spectaculaire (+62,69% sur 100 jours) mais une volatilité élevée (42,5%) et une distribution platykurtique (kurtosis -1,052) qui limite le risque de pics extrêmes — un profil favorable mais exigeant en gestion du risque. Les **signaux techniques (Partie 2)** sont majoritairement baissiers (MM, MACD) avec un signal d'achat contrarien (Stochastique en survente) et des indicateurs neutres (RSI, Bollinger), suggérant une consolidation en cours plutôt qu'un retournement franc. Les **fondamentaux (Partie 3)** restent excellents (ROE 26,8%, coefficient d'exploitation 31,1%, solvabilité 19,64%) mais la normalisation du coût du risque au S1 2026 et le recul des dépôts de 1% constituent des signaux d'alerte. Les **prédictions IA (J+1 à J+10)** anticipent une trajectoire haussière de 8 799 à 9 075 FCFA (+7,3% sur 10 jours), ce qui contredit les signaux techniques baissiers mais s'aligne sur le rebond attendu par le stochastique.</w:t>
      </w:r>
    </w:p>
    <w:p>
      <w:pPr>
        <w:spacing w:after="120" w:line="276" w:lineRule="auto"/>
      </w:pPr>
      <w:r>
        <w:t>**Recommandation finale : CONSERVER** — avec un niveau de confiance **Moyen** et un niveau de risque **Élevé**. La convergence entre fondamentaux solides, prédictions haussières et signal stochastique d'achat est contrebalancée par une valorisation exigeante (EV/EBITDA 24,1x), des signaux techniques baissiers (MM, MACD) et une normalisation du coût du risque. Les investisseurs déjà positionnés peuvent conserver le titre en surveillant le support de 7 800 FCFA, tandis qu'un nouvel entrant attendra une confirmation de la reconquête de la MM20 (8 619 FCFA) ou un repli vers 7 800-8 000 FCFA pour améliorer son point d'entrée. L'horizon optimal est le **moyen terme (3-12 mois)**, le temps que la banque confirme la soutenabilité de sa croissance et la maîtrise de son coût du risque.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732 titres</w:t>
            </w:r>
          </w:p>
        </w:tc>
        <w:tc>
          <w:tcPr>
            <w:tcW w:type="dxa" w:w="2268"/>
            <w:shd w:fill="FFF2CC" w:val="clear"/>
          </w:tcPr>
          <w:p>
            <w:r>
              <w:rPr>
                <w:b/>
                <w:color w:val="503200"/>
                <w:sz w:val="16"/>
              </w:rPr>
              <w:t xml:space="preserve">Cours actuel : </w:t>
            </w:r>
            <w:r>
              <w:rPr>
                <w:color w:val="000000"/>
                <w:sz w:val="17"/>
              </w:rPr>
              <w:t>31,400 FCFA</w:t>
            </w:r>
          </w:p>
          <w:p>
            <w:r>
              <w:rPr>
                <w:b/>
                <w:color w:val="503200"/>
                <w:sz w:val="16"/>
              </w:rPr>
              <w:t xml:space="preserve">Var. 100 jours : </w:t>
            </w:r>
            <w:r>
              <w:rPr>
                <w:b/>
                <w:color w:val="007800"/>
                <w:sz w:val="17"/>
              </w:rPr>
              <w:t>+12.56%</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27,505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5.98% (Moyenne) — μ=29,813 FCFA, σ=1,782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β=0.9467 (Neutre (suit le marché)) — Cov=0.000073, Var(idx)=0.000077, ρ=0.343,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732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8278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29,725</w:t>
            </w:r>
          </w:p>
        </w:tc>
        <w:tc>
          <w:tcPr>
            <w:tcW w:type="dxa" w:w="1440"/>
            <w:shd w:fill="FAFAFA" w:val="clear"/>
          </w:tcPr>
          <w:p>
            <w:r>
              <w:rPr>
                <w:b/>
                <w:sz w:val="17"/>
              </w:rPr>
              <w:t>31,538</w:t>
            </w:r>
          </w:p>
        </w:tc>
        <w:tc>
          <w:tcPr>
            <w:tcW w:type="dxa" w:w="1440"/>
            <w:shd w:fill="FAFAFA" w:val="clear"/>
          </w:tcPr>
          <w:p>
            <w:r>
              <w:rPr>
                <w:sz w:val="17"/>
              </w:rPr>
              <w:t>33,351</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28,886</w:t>
            </w:r>
          </w:p>
        </w:tc>
        <w:tc>
          <w:tcPr>
            <w:tcW w:type="dxa" w:w="1440"/>
            <w:shd w:fill="FAFAFA" w:val="clear"/>
          </w:tcPr>
          <w:p>
            <w:r>
              <w:rPr>
                <w:b/>
                <w:sz w:val="17"/>
              </w:rPr>
              <w:t>31,442</w:t>
            </w:r>
          </w:p>
        </w:tc>
        <w:tc>
          <w:tcPr>
            <w:tcW w:type="dxa" w:w="1440"/>
            <w:shd w:fill="FAFAFA" w:val="clear"/>
          </w:tcPr>
          <w:p>
            <w:r>
              <w:rPr>
                <w:sz w:val="17"/>
              </w:rPr>
              <w:t>33,998</w:t>
            </w:r>
          </w:p>
        </w:tc>
        <w:tc>
          <w:tcPr>
            <w:tcW w:type="dxa" w:w="1440"/>
            <w:shd w:fill="FAFAFA" w:val="clear"/>
          </w:tcPr>
          <w:p>
            <w:r>
              <w:rPr>
                <w:b/>
                <w:color w:val="008000"/>
                <w:sz w:val="17"/>
              </w:rPr>
              <w:t>+0.1%</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28,245</w:t>
            </w:r>
          </w:p>
        </w:tc>
        <w:tc>
          <w:tcPr>
            <w:tcW w:type="dxa" w:w="1440"/>
            <w:shd w:fill="FAFAFA" w:val="clear"/>
          </w:tcPr>
          <w:p>
            <w:r>
              <w:rPr>
                <w:b/>
                <w:sz w:val="17"/>
              </w:rPr>
              <w:t>31,368</w:t>
            </w:r>
          </w:p>
        </w:tc>
        <w:tc>
          <w:tcPr>
            <w:tcW w:type="dxa" w:w="1440"/>
            <w:shd w:fill="FAFAFA" w:val="clear"/>
          </w:tcPr>
          <w:p>
            <w:r>
              <w:rPr>
                <w:sz w:val="17"/>
              </w:rPr>
              <w:t>34,491</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27,709</w:t>
            </w:r>
          </w:p>
        </w:tc>
        <w:tc>
          <w:tcPr>
            <w:tcW w:type="dxa" w:w="1440"/>
            <w:shd w:fill="FAFAFA" w:val="clear"/>
          </w:tcPr>
          <w:p>
            <w:r>
              <w:rPr>
                <w:b/>
                <w:sz w:val="17"/>
              </w:rPr>
              <w:t>31,309</w:t>
            </w:r>
          </w:p>
        </w:tc>
        <w:tc>
          <w:tcPr>
            <w:tcW w:type="dxa" w:w="1440"/>
            <w:shd w:fill="FAFAFA" w:val="clear"/>
          </w:tcPr>
          <w:p>
            <w:r>
              <w:rPr>
                <w:sz w:val="17"/>
              </w:rPr>
              <w:t>34,909</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27,237</w:t>
            </w:r>
          </w:p>
        </w:tc>
        <w:tc>
          <w:tcPr>
            <w:tcW w:type="dxa" w:w="1440"/>
            <w:shd w:fill="FAFAFA" w:val="clear"/>
          </w:tcPr>
          <w:p>
            <w:r>
              <w:rPr>
                <w:b/>
                <w:sz w:val="17"/>
              </w:rPr>
              <w:t>31,254</w:t>
            </w:r>
          </w:p>
        </w:tc>
        <w:tc>
          <w:tcPr>
            <w:tcW w:type="dxa" w:w="1440"/>
            <w:shd w:fill="FAFAFA" w:val="clear"/>
          </w:tcPr>
          <w:p>
            <w:r>
              <w:rPr>
                <w:sz w:val="17"/>
              </w:rPr>
              <w:t>35,272</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26,807</w:t>
            </w:r>
          </w:p>
        </w:tc>
        <w:tc>
          <w:tcPr>
            <w:tcW w:type="dxa" w:w="1440"/>
            <w:shd w:fill="FAFAFA" w:val="clear"/>
          </w:tcPr>
          <w:p>
            <w:r>
              <w:rPr>
                <w:b/>
                <w:sz w:val="17"/>
              </w:rPr>
              <w:t>31,201</w:t>
            </w:r>
          </w:p>
        </w:tc>
        <w:tc>
          <w:tcPr>
            <w:tcW w:type="dxa" w:w="1440"/>
            <w:shd w:fill="FAFAFA" w:val="clear"/>
          </w:tcPr>
          <w:p>
            <w:r>
              <w:rPr>
                <w:sz w:val="17"/>
              </w:rPr>
              <w:t>35,594</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26,411</w:t>
            </w:r>
          </w:p>
        </w:tc>
        <w:tc>
          <w:tcPr>
            <w:tcW w:type="dxa" w:w="1440"/>
            <w:shd w:fill="FAFAFA" w:val="clear"/>
          </w:tcPr>
          <w:p>
            <w:r>
              <w:rPr>
                <w:b/>
                <w:sz w:val="17"/>
              </w:rPr>
              <w:t>31,148</w:t>
            </w:r>
          </w:p>
        </w:tc>
        <w:tc>
          <w:tcPr>
            <w:tcW w:type="dxa" w:w="1440"/>
            <w:shd w:fill="FAFAFA" w:val="clear"/>
          </w:tcPr>
          <w:p>
            <w:r>
              <w:rPr>
                <w:sz w:val="17"/>
              </w:rPr>
              <w:t>35,886</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26,041</w:t>
            </w:r>
          </w:p>
        </w:tc>
        <w:tc>
          <w:tcPr>
            <w:tcW w:type="dxa" w:w="1440"/>
            <w:shd w:fill="FAFAFA" w:val="clear"/>
          </w:tcPr>
          <w:p>
            <w:r>
              <w:rPr>
                <w:b/>
                <w:sz w:val="17"/>
              </w:rPr>
              <w:t>31,097</w:t>
            </w:r>
          </w:p>
        </w:tc>
        <w:tc>
          <w:tcPr>
            <w:tcW w:type="dxa" w:w="1440"/>
            <w:shd w:fill="FAFAFA" w:val="clear"/>
          </w:tcPr>
          <w:p>
            <w:r>
              <w:rPr>
                <w:sz w:val="17"/>
              </w:rPr>
              <w:t>36,153</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25,693</w:t>
            </w:r>
          </w:p>
        </w:tc>
        <w:tc>
          <w:tcPr>
            <w:tcW w:type="dxa" w:w="1440"/>
            <w:shd w:fill="FAFAFA" w:val="clear"/>
          </w:tcPr>
          <w:p>
            <w:r>
              <w:rPr>
                <w:b/>
                <w:sz w:val="17"/>
              </w:rPr>
              <w:t>31,048</w:t>
            </w:r>
          </w:p>
        </w:tc>
        <w:tc>
          <w:tcPr>
            <w:tcW w:type="dxa" w:w="1440"/>
            <w:shd w:fill="FAFAFA" w:val="clear"/>
          </w:tcPr>
          <w:p>
            <w:r>
              <w:rPr>
                <w:sz w:val="17"/>
              </w:rPr>
              <w:t>36,402</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25,364</w:t>
            </w:r>
          </w:p>
        </w:tc>
        <w:tc>
          <w:tcPr>
            <w:tcW w:type="dxa" w:w="1440"/>
            <w:shd w:fill="FAFAFA" w:val="clear"/>
          </w:tcPr>
          <w:p>
            <w:r>
              <w:rPr>
                <w:b/>
                <w:sz w:val="17"/>
              </w:rPr>
              <w:t>31,000</w:t>
            </w:r>
          </w:p>
        </w:tc>
        <w:tc>
          <w:tcPr>
            <w:tcW w:type="dxa" w:w="1440"/>
            <w:shd w:fill="FAFAFA" w:val="clear"/>
          </w:tcPr>
          <w:p>
            <w:r>
              <w:rPr>
                <w:sz w:val="17"/>
              </w:rPr>
              <w:t>36,635</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 RAPPORT D'ANALYSE FINANCIÈRE — BICC (BICICI)</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**523,33 Mds FCFA**, un niveau qui la positionne parmi les valeurs bancaires de premier plan de la cote BRVM, avec une liquidité relative mais un poids significatif dans l'indice sectoriel. Le BPA de **2 191 FCFA/action** traduit une capacité bénéficiaire solide, chaque titre générant un bénéfice net substantiel. Le PER de **14,3x** se situe au-dessus de la moyenne BRVM (~8-12x), signalant que les investisseurs acceptent une prime pour la qualité des bénéfices, sans pour autant basculer dans une zone de surévaluation manifeste. Le P/B de **4,34x** — supérieur au seuil de 4x — indique que le marché valorise le titre à plus de quatre fois sa valeur comptable, ce qui traduit une forte anticipation de rentabilité future (cohérente avec un ROE de 30,3%) mais constitue un facteur d'exigence. Enfin, l'EV/EBITDA de **10,3x**, dans la fourchette 10-15x, confirme une valorisation élevée mais justifiée par la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affiche une **variation totale de +12,56%**, portée par une dynamique haussière globale, bien que la dernière séance ait enregistré un repli de **-3,09%**, signe d'une prise de bénéfices ponctuelle. Le cours actuel de **31 400 FCFA** évolue dans un range de trading large entre un plus bas de **27 505 FCFA** et un plus haut de **34 895 FCFA**, soit une amplitude d'environ 27% qui témoigne d'une réelle volatilité intra-période. La moyenne de **29 813 FCFA** dépasse légèrement la médiane et le mode (tous deux à **29 000 FCFA**), confirmant une distribution asymétrique positive : les journées de forte hausse tirent la moyenne vers le haut, tandis que la majorité des séances se concentrent sous ce niveau. L'écart-type de **1 791 FCFA** avec un coefficient de variation de **6,0%** indique une dispersion modérée autour de la moyenne. Le kurtosis de **-0,202** (mésokurtique) suggère un comportement proche d'une distribution normale, sans risque excessif de pics extrêmes, tandis que le skewness de **0,962** (asymétrie positive) confirme que les mouvements haussiers sont plus amples que les baissiers. La **volatilité annualisée de 38,7%** classe le titre dans la catégorie des valeurs à volatilité élevée (&gt;30%), ce qui appelle à une gestion prudente du risque de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(**31 852 FCFA**) et la MM50 (**31 107 FCFA**) se situent toutes deux au-dessus du cours actuel (31 400 FCFA pour la MM50, mais le cours est légèrement sous la MM20), configurant un croisement haussier de fond (MM20 &gt; MM50) qui traduit une tendance de moyen terme positive. La décision algorithmique est **Achat**, cohérente avec cette structure de moyennes ascendantes, bien que le repli récent du cours sous la MM20 invite à la prudence sur le court terme.</w:t>
      </w:r>
    </w:p>
    <w:p>
      <w:pPr>
        <w:spacing w:after="120" w:line="276" w:lineRule="auto"/>
      </w:pPr>
      <w:r>
        <w:t>**Bandes de Bollinger :** Le cours (31 400 FCFA) évolue dans la partie médiane de la bande, entre la borne inférieure (**29 598,85 FCFA**) et la borne supérieure (**34 105,15 FCFA**), sans atteindre les extrêmes. Cette position centrale traduit une absence de signal directionnel fort et justifie la décision **Neutre** ; l'écart entre les bornes confirme une volatilité contenue mais réelle, cohérente avec le CV de 6%.</w:t>
      </w:r>
    </w:p>
    <w:p>
      <w:pPr>
        <w:spacing w:after="120" w:line="276" w:lineRule="auto"/>
      </w:pPr>
      <w:r>
        <w:t>**MACD :** La valeur du MACD (**83,59**) est nettement inférieure à son signal (**211,11**), configuration baissière qui indique un essoufflement du momentum haussier et un possible retournement à court terme. La décision **Vente** reflète cette divergence négative, le MACD ayant probablement franchi son signal à la baisse après la phase de hausse récente.</w:t>
      </w:r>
    </w:p>
    <w:p>
      <w:pPr>
        <w:spacing w:after="120" w:line="276" w:lineRule="auto"/>
      </w:pPr>
      <w:r>
        <w:t>**RSI :** À **46,22**, le RSI se situe en zone neutre (entre 30 et 70), légèrement sous le seuil médian de 50, ce qui traduit un équilibre entre acheteurs et vendeurs sans pression extrême. La décision **Neutre** est cohérente : ni surachat (&gt;70) ni survente (&lt;30), le titre dispose d'un potentiel de rebond comme de repli.</w:t>
      </w:r>
    </w:p>
    <w:p>
      <w:pPr>
        <w:spacing w:after="120" w:line="276" w:lineRule="auto"/>
      </w:pPr>
      <w:r>
        <w:t>**Stochastique :** Le %K (**8,15**) et le %D (**14,19**) sont tous deux en zone de survente profonde (&lt;20), avec un %K inférieur au %D signalant une pression baissière encore présente mais proche de l'épuisement. La décision **Achat** s'appuie sur cette configuration de survente, qui historiquement précède souvent un rebond technique.</w:t>
      </w:r>
    </w:p>
    <w:p>
      <w:pPr>
        <w:spacing w:after="120" w:line="276" w:lineRule="auto"/>
      </w:pPr>
      <w:r>
        <w:t>**Conclusion technique :** Les indicateurs présentent une configuration **mitigée à légèrement baissière à court terme** : le MACD est clairement vendeur, le cours est sous la MM20, mais le stochastique en survente et le RSI neutre plaident pour un rebond potentiel. La structure de fond reste haussière (MM20 &gt; MM50), ce qui suggère que le repli actuel pourrait constituer un point d'entrée, sous réserve de confirmation par un retour du cours au-dessus de la MM20 (31 852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BICC affiche un **PNB de 79 563 Mds FCFA** (équivalent du chiffre d'affaires bancaire), en croissance de **+16,90%**, porté par les intérêts et produits assimilés (62 121 Mds FCFA) et les commissions nettes (30 883 Mds FCFA). Le **résultat net s'établit à 36 520 Mds FCFA**, avec une **marge nette exceptionnelle de 45,90%** et un **ROE de 30,29%** — très au-dessus du seuil de 15% considéré comme excellent — tandis que le **ROA de 3,24%** confirme une bonne rentabilité des actifs. Le **coefficient d'exploitation de 50,83%** (&lt; 60%) atteste d'une banque efficace, et le **coût du risque de -12,15%** (provisions/charges financières) reste contenu, signe d'un portefeuille de crédits sain. La structure de bilan révèle des **dépôts clientèle de 952,87 Mds FCFA** face à des **créances clientèle de 524,44 Mds FCFA**, soit un ratio de transformation d'environ 55%, typique d'une banque disposant d'une forte base de dépôts (autonomie financière de 10,71%, dépendance de 89,29%, normale pour le secteur). La **capacité de remboursement de 0,40 an** et la **couverture des intérêts de 329%** traduisent une solidité financière robuste.</w:t>
      </w:r>
    </w:p>
    <w:p>
      <w:pPr>
        <w:spacing w:after="120" w:line="276" w:lineRule="auto"/>
      </w:pPr>
      <w:r>
        <w:t>**Estimations issues des rapports trimestriels :** Le rapport du **T1 2026 (publié en 2026)** confirme l'accélération : PNB de **21 214 MFCFA (+17,0%)**, résultat net de **10 387 MFCFA (+29,7%)** et marge nette de **49,0%**. Le rapport du **S1 2026 (daté 2026)** poursuit sur cette lancée avec un PNB de **42 637 MXOF (+14,8%)**, un résultat net de **19 948 MXOF (+22,7%)** et un RBE en hausse de **+33,2%** ; toutefois, le **coût du risque bondit à -1 778 MXOF (+1 343,1%)**, point de vigilance majeur. Sur cette base, on peut **estimer** un PNB annuel 2026 autour de **85-88 Mds FCFA** et un résultat net de **40-42 Mds FCFA**, soit une poursuite de la croissance à deux chiffres. Les rapports antérieurs (T3 2025, S1 2025, T1 2025) confirment la régularité de cette dynamique (marge nette passée de 44,2% à 47,1% entre T1 et T3 2025).</w:t>
      </w:r>
    </w:p>
    <w:p>
      <w:pPr>
        <w:spacing w:after="120" w:line="276" w:lineRule="auto"/>
      </w:pPr>
      <w:r>
        <w:t>**Recommandation fondamentale :** La solidité financière est **excellente** (ROE 30%, coefficient d'exploitation 51%, couverture des intérêts 329%), la croissance est **soutenue** (+16,9% en 2025, +14,8% au S1 2026) et la rentabilité **s'améliore**. Les principaux risques résident dans la **flambée du coût du risque au S1 2026** et la **valorisation exigeante** (P/B 4,34x). La recommandation fondamentale est **ACHAT**, avec un suivi attentif de la qualité du portefeuille de crédits.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**globalement favorable mais nuancé**. Sur le plan de la **valorisation (Partie 0)**, le PER de 14,3x et le P/B de 4,34x indiquent une valorisation exigeante, justifiée par un ROE de 30,3% mais laissant peu de marge d'erreur. Le **comportement du cours (Partie 1)** est haussier (+12,56% sur 100 jours) avec une volatilité élevée (38,7%) et une asymétrie positive (skewness 0,962) plutôt favorable, bien que le repli de -3,09% en J-1 signale une prise de bénéfices. Les **signaux techniques (Partie 2)** sont **divergents** : MACD vendeur et cours sous la MM20 d'un côté, stochastique en survente et structure MM20&gt;MM50 de l'autre — configuration de consolidation plutôt que de retournement. Les **fondamentaux (Partie 3)** sont **excellents** (ROE 30,3%, marge nette 45,9%, croissance +16,9% en 2025 et +14,8% au S1 2026), tempérés par la hausse du coût du risque. Les **prédictions IA (J+1 à J+10)** anticipent une trajectoire légèrement baissière de 31 538 à 31 254 FCFA, en phase avec le MACD vendeur et le repli récent, mais sans effondrement — cohérent avec une consolidation technique.</w:t>
      </w:r>
    </w:p>
    <w:p>
      <w:pPr>
        <w:spacing w:after="120" w:line="276" w:lineRule="auto"/>
      </w:pPr>
      <w:r>
        <w:t>**Recommandation finale : ACHAT**</w:t>
        <w:br/>
        <w:t>**Justification :** La convergence entre fondamentaux solides (croissance à deux chiffres, ROE 30%, coefficient d'exploitation maîtrisé) et structure technique de fond haussière (MM20&gt;MM50) l'emporte sur les signaux baissiers de court terme (MACD, prédictions IA), qui traduisent une simple consolidation après la hausse de +12,56%. La valorisation exigeante (P/B 4,34x) est compensée par la qualité des bénéfices. **Niveau de confiance : Moyen** (divergence technique court terme vs fondamentaux long terme). **Niveau de risque global : Moyen à Élevé** (volatilité 38,7%, coût du risque en hausse). **Horizon d'investissement optimal : moyen terme (3-12 mois)**, le temps que la consolidation technique s'achève et que la dynamique bénéficiaire 2026 se confirme, avec un point d'entrée idéal vers 30 500-31 000 FCFA (proche de la borne inférieure de Bollinger et de la MM50).</w:t>
      </w:r>
    </w:p>
    <w:p>
      <w:pPr>
        <w:spacing w:after="120" w:line="276" w:lineRule="auto"/>
      </w:pPr>
      <w:r>
        <w: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BICICI affiche une croissance solide de ses r\u00e9sultats et une am\u00e9lioration de son efficacit\u00e9 op\u00e9rationnelle, avec un R\u00e9sultat Net en hausse de 22,7%. La dynamique commerciale soutenue et la ma\u00eetrise des charges renforcent la confiance dans la poursuite de cette performance."}</w:t>
      </w:r>
    </w:p>
    <w:p>
      <w:pPr>
        <w:spacing w:before="40"/>
        <w:ind w:left="400"/>
      </w:pPr>
      <w:r>
        <w:rPr>
          <w:sz w:val="18"/>
        </w:rPr>
        <w:t>Au premier semestre 2026, la BICICI affiche une performance opérationnelle et financière en nette amélioration malgré un environnement international incertain et des conditions financières contraignantes. Le Produit Net Bancaire progresse de 14,8% à 42 637 MXOF, porté par la marge d'intermédiation (+18,0%) et les commissions nettes (+17,0%). Les frais de gestion reculent de 2,2% à 18 932 MXOF, ce qui permet au Résultat Brut d'Exploitation de bondir de 33,2% à 23 705 MXOF. Le Résultat Net s'établit à 19 948 MXOF, en hausse de 22,7% par rapport au premier semestre 2025. Les encours de crédits et les dépôts de la clientèle progressent respectivement de 4,1% et 6,4%, confirmant la dynamique comm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'-1 778 MXOF', 'depots_clientele': '1 007 993 MXOF', 'frais_de_gestion': '18 932 MXOF', 'produit_net_bancaire': '42 637 MXOF', 'credits_nets_clientele': '533 422 MXOF', 'resultat_brut_exploitation': '23 705 MXOF', 'resultat_courant_avant_impot': '21 810 MXOF'}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19 948 MXOF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14,8% à 42 637 MXOF au S1 2026.</w:t>
      </w:r>
    </w:p>
    <w:p>
      <w:pPr>
        <w:pStyle w:val="ListBullet"/>
        <w:spacing w:before="20" w:after="20"/>
        <w:ind w:left="700"/>
      </w:pPr>
      <w:r>
        <w:rPr>
          <w:sz w:val="18"/>
        </w:rPr>
        <w:t>Marge d'intermédiation en progression de 18,0% et commissions nettes en hausse de 17,0%.</w:t>
      </w:r>
    </w:p>
    <w:p>
      <w:pPr>
        <w:pStyle w:val="ListBullet"/>
        <w:spacing w:before="20" w:after="20"/>
        <w:ind w:left="700"/>
      </w:pPr>
      <w:r>
        <w:rPr>
          <w:sz w:val="18"/>
        </w:rPr>
        <w:t>Frais de gestion en baisse de 2,2% à 18 932 MXOF, traduisant une bonne maîtrise des charges.</w:t>
      </w:r>
    </w:p>
    <w:p>
      <w:pPr>
        <w:pStyle w:val="ListBullet"/>
        <w:spacing w:before="20" w:after="20"/>
        <w:ind w:left="700"/>
      </w:pPr>
      <w:r>
        <w:rPr>
          <w:sz w:val="18"/>
        </w:rPr>
        <w:t>Résultat Brut d'Exploitation en forte croissance de 33,2% à 23 705 MXOF.</w:t>
      </w:r>
    </w:p>
    <w:p>
      <w:pPr>
        <w:pStyle w:val="ListBullet"/>
        <w:spacing w:before="20" w:after="20"/>
        <w:ind w:left="700"/>
      </w:pPr>
      <w:r>
        <w:rPr>
          <w:sz w:val="18"/>
        </w:rPr>
        <w:t>Résultat Net bénéficiaire de 19 948 MXOF, en progression de 22,7% sur un an.</w:t>
      </w:r>
    </w:p>
    <w:p>
      <w:pPr>
        <w:pStyle w:val="ListBullet"/>
        <w:spacing w:before="20" w:after="20"/>
        <w:ind w:left="700"/>
      </w:pPr>
      <w:r>
        <w:rPr>
          <w:sz w:val="18"/>
        </w:rPr>
        <w:t>Crédits nets à la clientèle en hausse de 4,1% à 533 422 MXOF.</w:t>
      </w:r>
    </w:p>
    <w:p>
      <w:pPr>
        <w:spacing w:before="40"/>
        <w:ind w:left="400"/>
      </w:pPr>
      <w:r>
        <w:rPr>
          <w:b/>
          <w:color w:val="C05000"/>
          <w:sz w:val="18"/>
        </w:rPr>
        <w:t xml:space="preserve">⚠️ Risques : </w:t>
      </w:r>
      <w:r>
        <w:rPr>
          <w:sz w:val="18"/>
        </w:rPr>
        <w:t xml:space="preserve">["D\u00e9gradation de l'environnement \u00e9conomique international et tensions g\u00e9opolitiques persistantes.", "Hausse significative du co\u00fbt du risque (+1 343,1%) pouvant impacter la qualit\u00e9 du portefeuille de cr\u00e9dits.", "Renforcement des exigences r\u00e9glementaires et pression </w:t>
      </w:r>
    </w:p>
    <w:p>
      <w:pPr>
        <w:spacing w:before="40"/>
        <w:ind w:left="400"/>
      </w:pPr>
      <w:r>
        <w:rPr>
          <w:b/>
          <w:color w:val="0064A0"/>
          <w:sz w:val="18"/>
        </w:rPr>
        <w:t xml:space="preserve">🔮 Perspectives : </w:t>
      </w:r>
      <w:r>
        <w:rPr>
          <w:sz w:val="18"/>
        </w:rPr>
        <w:t>Au second semestre 2026, la BICICI entend poursuivre sa dynamique de croissance et consolider ses niveaux de performance et de rentabilité. La banque veillera à la maîtrise des principaux facteurs de risque, notamment le coût du risque, tout en capitalisant sur la digitalisation et l'évolution des 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2,888 titres</w:t>
            </w:r>
          </w:p>
        </w:tc>
        <w:tc>
          <w:tcPr>
            <w:tcW w:type="dxa" w:w="2268"/>
            <w:shd w:fill="FFF2CC" w:val="clear"/>
          </w:tcPr>
          <w:p>
            <w:r>
              <w:rPr>
                <w:b/>
                <w:color w:val="503200"/>
                <w:sz w:val="16"/>
              </w:rPr>
              <w:t xml:space="preserve">Cours actuel : </w:t>
            </w:r>
            <w:r>
              <w:rPr>
                <w:color w:val="000000"/>
                <w:sz w:val="17"/>
              </w:rPr>
              <w:t>1,850 FCFA</w:t>
            </w:r>
          </w:p>
          <w:p>
            <w:r>
              <w:rPr>
                <w:b/>
                <w:color w:val="503200"/>
                <w:sz w:val="16"/>
              </w:rPr>
              <w:t xml:space="preserve">Var. 100 jours : </w:t>
            </w:r>
            <w:r>
              <w:rPr>
                <w:b/>
                <w:color w:val="007800"/>
                <w:sz w:val="17"/>
              </w:rPr>
              <w:t>+16.72%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1,585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8.06% (Moyenne) — μ=1,947 FCFA, σ=157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β=0.5452 (Défensif) — Cov=0.000042, Var(idx)=0.000077, ρ=0.146,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090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1,730</w:t>
            </w:r>
          </w:p>
        </w:tc>
        <w:tc>
          <w:tcPr>
            <w:tcW w:type="dxa" w:w="1440"/>
            <w:shd w:fill="FAFAFA" w:val="clear"/>
          </w:tcPr>
          <w:p>
            <w:r>
              <w:rPr>
                <w:b/>
                <w:sz w:val="17"/>
              </w:rPr>
              <w:t>1,841</w:t>
            </w:r>
          </w:p>
        </w:tc>
        <w:tc>
          <w:tcPr>
            <w:tcW w:type="dxa" w:w="1440"/>
            <w:shd w:fill="FAFAFA" w:val="clear"/>
          </w:tcPr>
          <w:p>
            <w:r>
              <w:rPr>
                <w:sz w:val="17"/>
              </w:rPr>
              <w:t>1,951</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1,690</w:t>
            </w:r>
          </w:p>
        </w:tc>
        <w:tc>
          <w:tcPr>
            <w:tcW w:type="dxa" w:w="1440"/>
            <w:shd w:fill="FAFAFA" w:val="clear"/>
          </w:tcPr>
          <w:p>
            <w:r>
              <w:rPr>
                <w:b/>
                <w:sz w:val="17"/>
              </w:rPr>
              <w:t>1,847</w:t>
            </w:r>
          </w:p>
        </w:tc>
        <w:tc>
          <w:tcPr>
            <w:tcW w:type="dxa" w:w="1440"/>
            <w:shd w:fill="FAFAFA" w:val="clear"/>
          </w:tcPr>
          <w:p>
            <w:r>
              <w:rPr>
                <w:sz w:val="17"/>
              </w:rPr>
              <w:t>2,004</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1,655</w:t>
            </w:r>
          </w:p>
        </w:tc>
        <w:tc>
          <w:tcPr>
            <w:tcW w:type="dxa" w:w="1440"/>
            <w:shd w:fill="FAFAFA" w:val="clear"/>
          </w:tcPr>
          <w:p>
            <w:r>
              <w:rPr>
                <w:b/>
                <w:sz w:val="17"/>
              </w:rPr>
              <w:t>1,846</w:t>
            </w:r>
          </w:p>
        </w:tc>
        <w:tc>
          <w:tcPr>
            <w:tcW w:type="dxa" w:w="1440"/>
            <w:shd w:fill="FAFAFA" w:val="clear"/>
          </w:tcPr>
          <w:p>
            <w:r>
              <w:rPr>
                <w:sz w:val="17"/>
              </w:rPr>
              <w:t>2,038</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1,624</w:t>
            </w:r>
          </w:p>
        </w:tc>
        <w:tc>
          <w:tcPr>
            <w:tcW w:type="dxa" w:w="1440"/>
            <w:shd w:fill="FAFAFA" w:val="clear"/>
          </w:tcPr>
          <w:p>
            <w:r>
              <w:rPr>
                <w:b/>
                <w:sz w:val="17"/>
              </w:rPr>
              <w:t>1,845</w:t>
            </w:r>
          </w:p>
        </w:tc>
        <w:tc>
          <w:tcPr>
            <w:tcW w:type="dxa" w:w="1440"/>
            <w:shd w:fill="FAFAFA" w:val="clear"/>
          </w:tcPr>
          <w:p>
            <w:r>
              <w:rPr>
                <w:sz w:val="17"/>
              </w:rPr>
              <w:t>2,066</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1,597</w:t>
            </w:r>
          </w:p>
        </w:tc>
        <w:tc>
          <w:tcPr>
            <w:tcW w:type="dxa" w:w="1440"/>
            <w:shd w:fill="FAFAFA" w:val="clear"/>
          </w:tcPr>
          <w:p>
            <w:r>
              <w:rPr>
                <w:b/>
                <w:sz w:val="17"/>
              </w:rPr>
              <w:t>1,844</w:t>
            </w:r>
          </w:p>
        </w:tc>
        <w:tc>
          <w:tcPr>
            <w:tcW w:type="dxa" w:w="1440"/>
            <w:shd w:fill="FAFAFA" w:val="clear"/>
          </w:tcPr>
          <w:p>
            <w:r>
              <w:rPr>
                <w:sz w:val="17"/>
              </w:rPr>
              <w:t>2,091</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1,572</w:t>
            </w:r>
          </w:p>
        </w:tc>
        <w:tc>
          <w:tcPr>
            <w:tcW w:type="dxa" w:w="1440"/>
            <w:shd w:fill="FAFAFA" w:val="clear"/>
          </w:tcPr>
          <w:p>
            <w:r>
              <w:rPr>
                <w:b/>
                <w:sz w:val="17"/>
              </w:rPr>
              <w:t>1,843</w:t>
            </w:r>
          </w:p>
        </w:tc>
        <w:tc>
          <w:tcPr>
            <w:tcW w:type="dxa" w:w="1440"/>
            <w:shd w:fill="FAFAFA" w:val="clear"/>
          </w:tcPr>
          <w:p>
            <w:r>
              <w:rPr>
                <w:sz w:val="17"/>
              </w:rPr>
              <w:t>2,114</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1,550</w:t>
            </w:r>
          </w:p>
        </w:tc>
        <w:tc>
          <w:tcPr>
            <w:tcW w:type="dxa" w:w="1440"/>
            <w:shd w:fill="FAFAFA" w:val="clear"/>
          </w:tcPr>
          <w:p>
            <w:r>
              <w:rPr>
                <w:b/>
                <w:sz w:val="17"/>
              </w:rPr>
              <w:t>1,842</w:t>
            </w:r>
          </w:p>
        </w:tc>
        <w:tc>
          <w:tcPr>
            <w:tcW w:type="dxa" w:w="1440"/>
            <w:shd w:fill="FAFAFA" w:val="clear"/>
          </w:tcPr>
          <w:p>
            <w:r>
              <w:rPr>
                <w:sz w:val="17"/>
              </w:rPr>
              <w:t>2,134</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1,529</w:t>
            </w:r>
          </w:p>
        </w:tc>
        <w:tc>
          <w:tcPr>
            <w:tcW w:type="dxa" w:w="1440"/>
            <w:shd w:fill="FAFAFA" w:val="clear"/>
          </w:tcPr>
          <w:p>
            <w:r>
              <w:rPr>
                <w:b/>
                <w:sz w:val="17"/>
              </w:rPr>
              <w:t>1,842</w:t>
            </w:r>
          </w:p>
        </w:tc>
        <w:tc>
          <w:tcPr>
            <w:tcW w:type="dxa" w:w="1440"/>
            <w:shd w:fill="FAFAFA" w:val="clear"/>
          </w:tcPr>
          <w:p>
            <w:r>
              <w:rPr>
                <w:sz w:val="17"/>
              </w:rPr>
              <w:t>2,154</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1,510</w:t>
            </w:r>
          </w:p>
        </w:tc>
        <w:tc>
          <w:tcPr>
            <w:tcW w:type="dxa" w:w="1440"/>
            <w:shd w:fill="FAFAFA" w:val="clear"/>
          </w:tcPr>
          <w:p>
            <w:r>
              <w:rPr>
                <w:b/>
                <w:sz w:val="17"/>
              </w:rPr>
              <w:t>1,841</w:t>
            </w:r>
          </w:p>
        </w:tc>
        <w:tc>
          <w:tcPr>
            <w:tcW w:type="dxa" w:w="1440"/>
            <w:shd w:fill="FAFAFA" w:val="clear"/>
          </w:tcPr>
          <w:p>
            <w:r>
              <w:rPr>
                <w:sz w:val="17"/>
              </w:rPr>
              <w:t>2,172</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1,491</w:t>
            </w:r>
          </w:p>
        </w:tc>
        <w:tc>
          <w:tcPr>
            <w:tcW w:type="dxa" w:w="1440"/>
            <w:shd w:fill="FAFAFA" w:val="clear"/>
          </w:tcPr>
          <w:p>
            <w:r>
              <w:rPr>
                <w:b/>
                <w:sz w:val="17"/>
              </w:rPr>
              <w:t>1,840</w:t>
            </w:r>
          </w:p>
        </w:tc>
        <w:tc>
          <w:tcPr>
            <w:tcW w:type="dxa" w:w="1440"/>
            <w:shd w:fill="FAFAFA" w:val="clear"/>
          </w:tcPr>
          <w:p>
            <w:r>
              <w:rPr>
                <w:sz w:val="17"/>
              </w:rPr>
              <w:t>2,189</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(BERNABE Côte d'Ivoire)</w:t>
        <w:br/>
        <w:t>### BRVM — Analyse complète au 20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12,25 milliards FCFA, un niveau modeste à l'échelle de la BRVM qui la place parmi les petites capitalisations du marché. Le BPA de 3 FCFA/action traduit une rentabilité par titre quasi symbolique, cohérente avec un résultat net 2025 de seulement 22,3 millions FCFA. Le PER de 549,1x est aberrrant au regard de la moyenne BRVM (~8-12x) : les investisseurs paient environ 549 fois les bénéfices, ce qui traduit une décorrélation totale entre le prix de marché et la capacité bénéficiaire réelle — signal de prudence majeur. À l'inverse, le P/B de 0,69x indique que le marché valorise le titre à 31% sous sa valeur comptable (capitaux propres de 17,77 Mds FCFA), ce qui constitue une opportunité potentielle en cas de redressement. Enfin, l'EV/EBITDA de 23,7x reste très exigeant (&gt;15x), signifiant que la valeur d'entreprise intègre une prime spéculative que la génération de cash-flows opérationnels ne justifie pas encore.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affiche une progression totale de +16,72%, avec une dernière séance en hausse de +2,49% à 1 850 FCFA, confirmant un momentum court terme positif malgré un contexte fondamental fragile. Le range de trading est large, entre un plus bas de 1 585 FCFA et un plus haut de 2 400 FCFA, soit une amplitude de plus de 51% qui traduit une forte nervosité du marché. La tendance générale reste toutefois baissière depuis le pic de 2 400 FCFA, le cours actuel se situant 23% en dessous de ce sommet. Les statistiques descriptives révèlent une moyenne de 1 947 FCFA légèrement supérieure à la médiane de 1 962 FCFA (écart faible, distribution quasi symétrique confirmée par un skewness de 0,252), tandis que le mode à 1 990 FCFA indique que le prix a longtemps stagné autour de 1 990 FCFA avant de décrocher. L'écart-type de 158 FCFA avec un CV de 8,1% signale une dispersion modérée du cours sur la période, mais la volatilité annualisée de 51,8% classe le titre dans la catégorie des valeurs à volatilité élevée (&gt;30%), avec un kurtosis de 0,606 (mésokurtique) suggérant l'absence de pics extrêmes récents — un risque de queue relativement contenu malgré la volatilité globale.</w:t>
      </w:r>
    </w:p>
    <w:p>
      <w:pPr>
        <w:spacing w:after="120" w:line="276" w:lineRule="auto"/>
      </w:pPr>
      <w:r>
        <w:t>---</w:t>
      </w:r>
    </w:p>
    <w:p>
      <w:pPr>
        <w:spacing w:after="120" w:line="276" w:lineRule="auto"/>
      </w:pPr>
      <w:r>
        <w:t>## PARTIE 2 : ANALYSE TECHNIQUE DÉTAILLÉE</w:t>
      </w:r>
    </w:p>
    <w:p>
      <w:pPr>
        <w:spacing w:after="120" w:line="276" w:lineRule="auto"/>
      </w:pPr>
      <w:r>
        <w:t>**Moyennes Mobiles** : La MM20 (1 890 FCFA) est inférieure à la MM50 (2 017 FCFA), configuration baissière classique (death cross), et le cours actuel (1 850 FCFA) évolue sous les deux moyennes, confirmant la pression vendeuse. La décision technique est donc logiquement **Vente**, le titre n'ayant pas encore réintégré sa moyenne courte.</w:t>
      </w:r>
    </w:p>
    <w:p>
      <w:pPr>
        <w:spacing w:after="120" w:line="276" w:lineRule="auto"/>
      </w:pPr>
      <w:r>
        <w:t>**Bandes de Bollinger** : Le cours (1 850 FCFA) se situe dans la moitié basse de la bande, entre la borne inférieure (1 749,7 FCFA) et la borne supérieure (2 030,3 FCFA), sans contact avec les extrêmes. La décision est **Neutre** : le titre n'est ni en survente extrême ni en surachat, la volatilité des bandes restant contenue.</w:t>
      </w:r>
    </w:p>
    <w:p>
      <w:pPr>
        <w:spacing w:after="120" w:line="276" w:lineRule="auto"/>
      </w:pPr>
      <w:r>
        <w:t>**MACD** : La valeur du MACD (-59,85) est inférieure à son signal (-55,067), avec un histogramme négatif qui traduit un momentum baissier persistant. La décision est **Vente**, la divergence négative n'ayant pas encore montré de retournement.</w:t>
      </w:r>
    </w:p>
    <w:p>
      <w:pPr>
        <w:spacing w:after="120" w:line="276" w:lineRule="auto"/>
      </w:pPr>
      <w:r>
        <w:t>**RSI** : À 40,881, le RSI se situe en zone neutre basse (entre 30 et 70), sans signal de survente (&lt;30) ni de surachat (&gt;70). La décision est **Neutre**, le titre conservant un potentiel de baisse modéré sans excès.</w:t>
      </w:r>
    </w:p>
    <w:p>
      <w:pPr>
        <w:spacing w:after="120" w:line="276" w:lineRule="auto"/>
      </w:pPr>
      <w:r>
        <w:t>**Stochastique** : Le %K (34,884) est supérieur au %D (16,173), configuration haussière naissante (croisement potentiel), mais les deux courbes restent en zone basse. La décision est **Neutre**, le signal d'achat n'étant pas encore confirmé.</w:t>
      </w:r>
    </w:p>
    <w:p>
      <w:pPr>
        <w:spacing w:after="120" w:line="276" w:lineRule="auto"/>
      </w:pPr>
      <w:r>
        <w:t>**Conclusion technique** : Les indicateurs convergent majoritairement vers une posture défensive — MM en configuration baissière, MACD négatif — tandis que le RSI et le stochastique suggèrent une accalmie sans signal d'achat franc. Le titre évolue dans un no man's land technique entre 1 750 et 2 030 FCFA, avec une probabilité de rebond technique limitée tant que la MM50 (2 017 FCFA) n'est pas reconquise. La configuration globale plaide pour une **prudence à court terme**, sans signal de retournement confirmé.</w:t>
      </w:r>
    </w:p>
    <w:p>
      <w:pPr>
        <w:spacing w:after="120" w:line="276" w:lineRule="auto"/>
      </w:pPr>
      <w:r>
        <w:t>---</w:t>
      </w:r>
    </w:p>
    <w:p>
      <w:pPr>
        <w:spacing w:after="120" w:line="276" w:lineRule="auto"/>
      </w:pPr>
      <w:r>
        <w:t>## PARTIE 3 : ANALYSE FONDAMENTALE (SECTION CRITIQUE)</w:t>
      </w:r>
    </w:p>
    <w:p>
      <w:pPr>
        <w:spacing w:after="120" w:line="276" w:lineRule="auto"/>
      </w:pPr>
      <w:r>
        <w:t>Les états financiers annuels 2025 (rapport du 31/12/2025) révèlent un chiffre d'affaires de 42,454 Mds FCFA, en recul de -6,31% par rapport aux 45,312 Mds FCFA de 2024, confirmant une contraction commerciale préoccupante. Le résultat net 2025 s'établit à 22,318 millions FCFA (contre 7,313 millions en 2024, soit +205%), mais cette amélioration reste purement symbolique avec une marge nette de 0,0526% et un ROE catastrophique de 0,1256% (très loin du seuil de 15% d'excellence) ; le ROA de 0,0454% confirme l'absence de rentabilité économique. Sur le plan structurel, l'entreprise affiche un BFR de 29,373 Mds FCFA (non négatif, donc défavorable), une trésorerie nette de -16,689 Mds FCFA (découvert bancaire massif) et un flux opérationnel négatif de -786,11 millions FCFA, tandis que les délais d'exploitation sont alarmants : 104,40 jours de délai clients (risque de trésorerie élevé) et 339,23 jours de rotation des stocks (immobilisation de capital considérable). L'autonomie financière de 36,16% reste acceptable (&gt;30%), mais le ratio d'endettement de 105,48% et la capacité de remboursement de 19,17 années traduisent une dépendance critique aux financements externes. Les rapports trimestriels confirment la tendance : le T1 2026 (rapport du 31/03/2026) affiche un CA quasi stable à 11,194 Mds FCFA (-0,12%) mais un résultat net de -65,566 millions FCFA (contre +16,147 millions au T1 2025), creusé par l'intégration de la division Équipement ; le T3 2025 (rapport du 30/09/2025) montrait déjà une perte cumulée de -157,03 millions FCFA. On estime donc que l'exercice 2026 devrait rester déficitaire au premier semestre, la direction tablant sur une montée en puissance des divisions Équipement et Power pour un retour à l'équilibre en fin d'année — objectif très ambitieux au vu de la trajectoire actuelle. La recommandation fondamentale est **VENTE** : la société est structurellement déficitaire, sa trésorerie est massivement négative, sa rentabilité anémique et sa politique de dividende nulle (0 FCFA en 2025 comme en 2024), sans perspective crédible d'amélioration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profil de risque très défavorable. Sur le plan de la **valorisation**, le PER de 549,1x traduit une surévaluation manifeste par rapport aux bénéfices, tempérée par un P/B de 0,69x qui suggère une décote sur l'actif net — mais cette décote est justifiée par la destruction de valeur opérationnelle. Le **comportement du cours** montre une hausse de +16,72% sur 100 jours mais une tendance de fond baissière depuis le pic de 2 400 FCFA, avec une volatilité élevée de 51,8% et des statistiques (skewness 0,252, kurtosis 0,606) qui n'offrent aucun signal directionnel fort. Les **signaux techniques** sont majoritairement baissiers (MM en death cross, MACD négatif) malgré un RSI et un stochastique neutres, plaidant pour une absence de catalyseur haussier. Les **fondamentaux** sont critiques : CA en recul de -6,31%, marge nette de 0,05%, ROE de 0,13%, trésorerie nette de -16,7 Mds FCFA et perte de -65,6 millions au T1 2026. Enfin, les **prédictions IA** (J+1 à J+10) anticipent une trajectoire latérale légèrement baissière de 1 841 à 1 844 FCFA, confirmant l'absence de momentum positif et la pression vendeuse résiduelle. **Recommandation finale : VENTE** — la convergence entre valorisation surévaluée sur les bénéfices, technique baissière, fondamentaux dégradés et prédictions stagnantes ne laisse aucune place à un scénario haussier crédible. Le niveau de confiance est **Élevé** (convergence de tous les indicateurs), le risque global est **Élevé** (liquidité critique, rentabilité nulle, endettement massif), et l'horizon recommandé est le **court terme** pour toute position résiduelle, avec une sortie à privilégier avant toute dégradation supplémentaire des résultats trimestriels.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373.16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5,490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+3.02%</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6.00% (Moyenne) — μ=9,178 FCFA, σ=551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β=0.6050 (Défensif) — Cov=0.000047, Var(idx)=0.000077, ρ=0.304,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8278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8,836</w:t>
            </w:r>
          </w:p>
        </w:tc>
        <w:tc>
          <w:tcPr>
            <w:tcW w:type="dxa" w:w="1440"/>
            <w:shd w:fill="FAFAFA" w:val="clear"/>
          </w:tcPr>
          <w:p>
            <w:r>
              <w:rPr>
                <w:b/>
                <w:sz w:val="17"/>
              </w:rPr>
              <w:t>9,137</w:t>
            </w:r>
          </w:p>
        </w:tc>
        <w:tc>
          <w:tcPr>
            <w:tcW w:type="dxa" w:w="1440"/>
            <w:shd w:fill="FAFAFA" w:val="clear"/>
          </w:tcPr>
          <w:p>
            <w:r>
              <w:rPr>
                <w:sz w:val="17"/>
              </w:rPr>
              <w:t>9,438</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8,707</w:t>
            </w:r>
          </w:p>
        </w:tc>
        <w:tc>
          <w:tcPr>
            <w:tcW w:type="dxa" w:w="1440"/>
            <w:shd w:fill="FAFAFA" w:val="clear"/>
          </w:tcPr>
          <w:p>
            <w:r>
              <w:rPr>
                <w:b/>
                <w:sz w:val="17"/>
              </w:rPr>
              <w:t>9,133</w:t>
            </w:r>
          </w:p>
        </w:tc>
        <w:tc>
          <w:tcPr>
            <w:tcW w:type="dxa" w:w="1440"/>
            <w:shd w:fill="FAFAFA" w:val="clear"/>
          </w:tcPr>
          <w:p>
            <w:r>
              <w:rPr>
                <w:sz w:val="17"/>
              </w:rPr>
              <w:t>9,558</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8,596</w:t>
            </w:r>
          </w:p>
        </w:tc>
        <w:tc>
          <w:tcPr>
            <w:tcW w:type="dxa" w:w="1440"/>
            <w:shd w:fill="FAFAFA" w:val="clear"/>
          </w:tcPr>
          <w:p>
            <w:r>
              <w:rPr>
                <w:b/>
                <w:sz w:val="17"/>
              </w:rPr>
              <w:t>9,116</w:t>
            </w:r>
          </w:p>
        </w:tc>
        <w:tc>
          <w:tcPr>
            <w:tcW w:type="dxa" w:w="1440"/>
            <w:shd w:fill="FAFAFA" w:val="clear"/>
          </w:tcPr>
          <w:p>
            <w:r>
              <w:rPr>
                <w:sz w:val="17"/>
              </w:rPr>
              <w:t>9,637</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2026-10-23</w:t>
            </w:r>
          </w:p>
        </w:tc>
        <w:tc>
          <w:tcPr>
            <w:tcW w:type="dxa" w:w="1440"/>
            <w:shd w:fill="FAFAFA" w:val="clear"/>
          </w:tcPr>
          <w:p>
            <w:r>
              <w:rPr>
                <w:sz w:val="17"/>
              </w:rPr>
              <w:t>8,501</w:t>
            </w:r>
          </w:p>
        </w:tc>
        <w:tc>
          <w:tcPr>
            <w:tcW w:type="dxa" w:w="1440"/>
            <w:shd w:fill="FAFAFA" w:val="clear"/>
          </w:tcPr>
          <w:p>
            <w:r>
              <w:rPr>
                <w:b/>
                <w:sz w:val="17"/>
              </w:rPr>
              <w:t>9,101</w:t>
            </w:r>
          </w:p>
        </w:tc>
        <w:tc>
          <w:tcPr>
            <w:tcW w:type="dxa" w:w="1440"/>
            <w:shd w:fill="FAFAFA" w:val="clear"/>
          </w:tcPr>
          <w:p>
            <w:r>
              <w:rPr>
                <w:sz w:val="17"/>
              </w:rPr>
              <w:t>9,701</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2026-10-26</w:t>
            </w:r>
          </w:p>
        </w:tc>
        <w:tc>
          <w:tcPr>
            <w:tcW w:type="dxa" w:w="1440"/>
            <w:shd w:fill="FAFAFA" w:val="clear"/>
          </w:tcPr>
          <w:p>
            <w:r>
              <w:rPr>
                <w:sz w:val="17"/>
              </w:rPr>
              <w:t>8,418</w:t>
            </w:r>
          </w:p>
        </w:tc>
        <w:tc>
          <w:tcPr>
            <w:tcW w:type="dxa" w:w="1440"/>
            <w:shd w:fill="FAFAFA" w:val="clear"/>
          </w:tcPr>
          <w:p>
            <w:r>
              <w:rPr>
                <w:b/>
                <w:sz w:val="17"/>
              </w:rPr>
              <w:t>9,088</w:t>
            </w:r>
          </w:p>
        </w:tc>
        <w:tc>
          <w:tcPr>
            <w:tcW w:type="dxa" w:w="1440"/>
            <w:shd w:fill="FAFAFA" w:val="clear"/>
          </w:tcPr>
          <w:p>
            <w:r>
              <w:rPr>
                <w:sz w:val="17"/>
              </w:rPr>
              <w:t>9,758</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2026-10-27</w:t>
            </w:r>
          </w:p>
        </w:tc>
        <w:tc>
          <w:tcPr>
            <w:tcW w:type="dxa" w:w="1440"/>
            <w:shd w:fill="FAFAFA" w:val="clear"/>
          </w:tcPr>
          <w:p>
            <w:r>
              <w:rPr>
                <w:sz w:val="17"/>
              </w:rPr>
              <w:t>8,343</w:t>
            </w:r>
          </w:p>
        </w:tc>
        <w:tc>
          <w:tcPr>
            <w:tcW w:type="dxa" w:w="1440"/>
            <w:shd w:fill="FAFAFA" w:val="clear"/>
          </w:tcPr>
          <w:p>
            <w:r>
              <w:rPr>
                <w:b/>
                <w:sz w:val="17"/>
              </w:rPr>
              <w:t>9,076</w:t>
            </w:r>
          </w:p>
        </w:tc>
        <w:tc>
          <w:tcPr>
            <w:tcW w:type="dxa" w:w="1440"/>
            <w:shd w:fill="FAFAFA" w:val="clear"/>
          </w:tcPr>
          <w:p>
            <w:r>
              <w:rPr>
                <w:sz w:val="17"/>
              </w:rPr>
              <w:t>9,809</w:t>
            </w:r>
          </w:p>
        </w:tc>
        <w:tc>
          <w:tcPr>
            <w:tcW w:type="dxa" w:w="1440"/>
            <w:shd w:fill="FAFAFA" w:val="clear"/>
          </w:tcPr>
          <w:p>
            <w:r>
              <w:rPr>
                <w:b/>
                <w:color w:val="C00000"/>
                <w:sz w:val="17"/>
              </w:rPr>
              <w:t>-1.3%</w:t>
            </w:r>
          </w:p>
        </w:tc>
      </w:tr>
      <w:tr>
        <w:tc>
          <w:tcPr>
            <w:tcW w:type="dxa" w:w="1440"/>
            <w:shd w:fill="FAFAFA" w:val="clear"/>
          </w:tcPr>
          <w:p>
            <w:r>
              <w:rPr>
                <w:sz w:val="17"/>
              </w:rPr>
              <w:t>J+7  Moyenne</w:t>
            </w:r>
          </w:p>
        </w:tc>
        <w:tc>
          <w:tcPr>
            <w:tcW w:type="dxa" w:w="1440"/>
            <w:shd w:fill="FAFAFA" w:val="clear"/>
          </w:tcPr>
          <w:p>
            <w:r>
              <w:rPr>
                <w:sz w:val="17"/>
              </w:rPr>
              <w:t>2026-10-28</w:t>
            </w:r>
          </w:p>
        </w:tc>
        <w:tc>
          <w:tcPr>
            <w:tcW w:type="dxa" w:w="1440"/>
            <w:shd w:fill="FAFAFA" w:val="clear"/>
          </w:tcPr>
          <w:p>
            <w:r>
              <w:rPr>
                <w:sz w:val="17"/>
              </w:rPr>
              <w:t>8,274</w:t>
            </w:r>
          </w:p>
        </w:tc>
        <w:tc>
          <w:tcPr>
            <w:tcW w:type="dxa" w:w="1440"/>
            <w:shd w:fill="FAFAFA" w:val="clear"/>
          </w:tcPr>
          <w:p>
            <w:r>
              <w:rPr>
                <w:b/>
                <w:sz w:val="17"/>
              </w:rPr>
              <w:t>9,064</w:t>
            </w:r>
          </w:p>
        </w:tc>
        <w:tc>
          <w:tcPr>
            <w:tcW w:type="dxa" w:w="1440"/>
            <w:shd w:fill="FAFAFA" w:val="clear"/>
          </w:tcPr>
          <w:p>
            <w:r>
              <w:rPr>
                <w:sz w:val="17"/>
              </w:rPr>
              <w:t>9,855</w:t>
            </w:r>
          </w:p>
        </w:tc>
        <w:tc>
          <w:tcPr>
            <w:tcW w:type="dxa" w:w="1440"/>
            <w:shd w:fill="FAFAFA" w:val="clear"/>
          </w:tcPr>
          <w:p>
            <w:r>
              <w:rPr>
                <w:b/>
                <w:color w:val="C00000"/>
                <w:sz w:val="17"/>
              </w:rPr>
              <w:t>-1.5%</w:t>
            </w:r>
          </w:p>
        </w:tc>
      </w:tr>
      <w:tr>
        <w:tc>
          <w:tcPr>
            <w:tcW w:type="dxa" w:w="1440"/>
            <w:shd w:fill="FAFAFA" w:val="clear"/>
          </w:tcPr>
          <w:p>
            <w:r>
              <w:rPr>
                <w:sz w:val="17"/>
              </w:rPr>
              <w:t>J+8  Moyenne</w:t>
            </w:r>
          </w:p>
        </w:tc>
        <w:tc>
          <w:tcPr>
            <w:tcW w:type="dxa" w:w="1440"/>
            <w:shd w:fill="FAFAFA" w:val="clear"/>
          </w:tcPr>
          <w:p>
            <w:r>
              <w:rPr>
                <w:sz w:val="17"/>
              </w:rPr>
              <w:t>2026-10-29</w:t>
            </w:r>
          </w:p>
        </w:tc>
        <w:tc>
          <w:tcPr>
            <w:tcW w:type="dxa" w:w="1440"/>
            <w:shd w:fill="FAFAFA" w:val="clear"/>
          </w:tcPr>
          <w:p>
            <w:r>
              <w:rPr>
                <w:sz w:val="17"/>
              </w:rPr>
              <w:t>8,209</w:t>
            </w:r>
          </w:p>
        </w:tc>
        <w:tc>
          <w:tcPr>
            <w:tcW w:type="dxa" w:w="1440"/>
            <w:shd w:fill="FAFAFA" w:val="clear"/>
          </w:tcPr>
          <w:p>
            <w:r>
              <w:rPr>
                <w:b/>
                <w:sz w:val="17"/>
              </w:rPr>
              <w:t>9,053</w:t>
            </w:r>
          </w:p>
        </w:tc>
        <w:tc>
          <w:tcPr>
            <w:tcW w:type="dxa" w:w="1440"/>
            <w:shd w:fill="FAFAFA" w:val="clear"/>
          </w:tcPr>
          <w:p>
            <w:r>
              <w:rPr>
                <w:sz w:val="17"/>
              </w:rPr>
              <w:t>9,897</w:t>
            </w:r>
          </w:p>
        </w:tc>
        <w:tc>
          <w:tcPr>
            <w:tcW w:type="dxa" w:w="1440"/>
            <w:shd w:fill="FAFAFA" w:val="clear"/>
          </w:tcPr>
          <w:p>
            <w:r>
              <w:rPr>
                <w:b/>
                <w:color w:val="C00000"/>
                <w:sz w:val="17"/>
              </w:rPr>
              <w:t>-1.6%</w:t>
            </w:r>
          </w:p>
        </w:tc>
      </w:tr>
      <w:tr>
        <w:tc>
          <w:tcPr>
            <w:tcW w:type="dxa" w:w="1440"/>
            <w:shd w:fill="FAFAFA" w:val="clear"/>
          </w:tcPr>
          <w:p>
            <w:r>
              <w:rPr>
                <w:sz w:val="17"/>
              </w:rPr>
              <w:t>J+9  Moyenne</w:t>
            </w:r>
          </w:p>
        </w:tc>
        <w:tc>
          <w:tcPr>
            <w:tcW w:type="dxa" w:w="1440"/>
            <w:shd w:fill="FAFAFA" w:val="clear"/>
          </w:tcPr>
          <w:p>
            <w:r>
              <w:rPr>
                <w:sz w:val="17"/>
              </w:rPr>
              <w:t>2026-10-30</w:t>
            </w:r>
          </w:p>
        </w:tc>
        <w:tc>
          <w:tcPr>
            <w:tcW w:type="dxa" w:w="1440"/>
            <w:shd w:fill="FAFAFA" w:val="clear"/>
          </w:tcPr>
          <w:p>
            <w:r>
              <w:rPr>
                <w:sz w:val="17"/>
              </w:rPr>
              <w:t>8,148</w:t>
            </w:r>
          </w:p>
        </w:tc>
        <w:tc>
          <w:tcPr>
            <w:tcW w:type="dxa" w:w="1440"/>
            <w:shd w:fill="FAFAFA" w:val="clear"/>
          </w:tcPr>
          <w:p>
            <w:r>
              <w:rPr>
                <w:b/>
                <w:sz w:val="17"/>
              </w:rPr>
              <w:t>9,042</w:t>
            </w:r>
          </w:p>
        </w:tc>
        <w:tc>
          <w:tcPr>
            <w:tcW w:type="dxa" w:w="1440"/>
            <w:shd w:fill="FAFAFA" w:val="clear"/>
          </w:tcPr>
          <w:p>
            <w:r>
              <w:rPr>
                <w:sz w:val="17"/>
              </w:rPr>
              <w:t>9,936</w:t>
            </w:r>
          </w:p>
        </w:tc>
        <w:tc>
          <w:tcPr>
            <w:tcW w:type="dxa" w:w="1440"/>
            <w:shd w:fill="FAFAFA" w:val="clear"/>
          </w:tcPr>
          <w:p>
            <w:r>
              <w:rPr>
                <w:b/>
                <w:color w:val="C00000"/>
                <w:sz w:val="17"/>
              </w:rPr>
              <w:t>-1.7%</w:t>
            </w:r>
          </w:p>
        </w:tc>
      </w:tr>
      <w:tr>
        <w:tc>
          <w:tcPr>
            <w:tcW w:type="dxa" w:w="1440"/>
            <w:shd w:fill="FAFAFA" w:val="clear"/>
          </w:tcPr>
          <w:p>
            <w:r>
              <w:rPr>
                <w:sz w:val="17"/>
              </w:rPr>
              <w:t>J+10  Moyenne</w:t>
            </w:r>
          </w:p>
        </w:tc>
        <w:tc>
          <w:tcPr>
            <w:tcW w:type="dxa" w:w="1440"/>
            <w:shd w:fill="FAFAFA" w:val="clear"/>
          </w:tcPr>
          <w:p>
            <w:r>
              <w:rPr>
                <w:sz w:val="17"/>
              </w:rPr>
              <w:t>2026-11-02</w:t>
            </w:r>
          </w:p>
        </w:tc>
        <w:tc>
          <w:tcPr>
            <w:tcW w:type="dxa" w:w="1440"/>
            <w:shd w:fill="FAFAFA" w:val="clear"/>
          </w:tcPr>
          <w:p>
            <w:r>
              <w:rPr>
                <w:sz w:val="17"/>
              </w:rPr>
              <w:t>8,090</w:t>
            </w:r>
          </w:p>
        </w:tc>
        <w:tc>
          <w:tcPr>
            <w:tcW w:type="dxa" w:w="1440"/>
            <w:shd w:fill="FAFAFA" w:val="clear"/>
          </w:tcPr>
          <w:p>
            <w:r>
              <w:rPr>
                <w:b/>
                <w:sz w:val="17"/>
              </w:rPr>
              <w:t>9,031</w:t>
            </w:r>
          </w:p>
        </w:tc>
        <w:tc>
          <w:tcPr>
            <w:tcW w:type="dxa" w:w="1440"/>
            <w:shd w:fill="FAFAFA" w:val="clear"/>
          </w:tcPr>
          <w:p>
            <w:r>
              <w:rPr>
                <w:sz w:val="17"/>
              </w:rPr>
              <w:t>9,973</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 RAPPORT D'ANALYSE FINANCIÈRE — BOA BÉNIN (BOAB)</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373,16 milliards FCFA, BOAB s'affirme comme une valeur bancaire de premier plan sur la BRVM, positionnement qui traduit la confiance du marché envers l'institution. Le BPA de 496 FCFA/action indique qu'chaque titre génère près de 500 FCFA de bénéfice net, un niveau de rentabilité par action solide. Le PER de 18,6x se situe nettement au-dessus de la moyenne BRVM (~8-12x), signalant que les investisseurs acceptent de payer une prime significative pour les bénéfices de la banque — valorisation exigeante mais justifiable par la qualité des fondamentaux. Le P/B de 3,18x confirme cette prime de croissance (fourchette 2-4x), le marché valorisant la banque à plus de trois fois sa valeur comptable, tandis que l'EV/EBITDA de 19,2x (&gt;15x) apparaît particulièrement tendu, intégrant déjà une bonne part des perspectives bénéficiaires. L'ensemble dessine une valorisation **exigeante mais cohérente** avec un dossier de qualité, sans marge de sécurité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 enregistre une progression totale de +3,02%, avec une dernière séance particulièrement dynamique (+2,22% en J-1), portant le cours à 9 200 FCFA. Le range de trading s'établit entre un plus bas de 8 520 FCFA et un plus haut de 10 350 FCFA, soit une amplitude de plus de 21% qui témoigne d'une réelle animation du titre. La tendance générale demeure haussière mais fragile, le cours actuel (9 200 FCFA) évoluant sous sa moyenne (9 178 FCFA) tout en restant proche de la médiane (8 950 FCFA) — l'écart entre moyenne et médiane, conjugué à un skewness positif de 0,928, révèle une distribution asymétrique avec davantage de séances sous la moyenne, typique d'un titre ayant connu des pics haussiers suivis de consolidations. L'écart-type de 554 FCFA (CV de 6,0%) indique une dispersion modérée du cours, tandis que le kurtosis de -0,522 (mésokurtique) suggère un comportement proche d'une distribution normale, sans risque excessif de pics extrêmes. La volatilité annualisée de 27,8% positionne BOAB dans la catégorie des titres à volatilité **modérée à élevée** (15-30%), cohérente avec son statut bancaire et les incertitudes régionales.</w:t>
      </w:r>
    </w:p>
    <w:p>
      <w:pPr>
        <w:spacing w:after="120" w:line="276" w:lineRule="auto"/>
      </w:pPr>
      <w:r>
        <w:t>---</w:t>
      </w:r>
    </w:p>
    <w:p>
      <w:pPr>
        <w:spacing w:after="120" w:line="276" w:lineRule="auto"/>
      </w:pPr>
      <w:r>
        <w:t>## PARTIE 2 : ANALYSE TECHNIQUE DÉTAILLÉE</w:t>
      </w:r>
    </w:p>
    <w:p>
      <w:pPr>
        <w:spacing w:after="120" w:line="276" w:lineRule="auto"/>
      </w:pPr>
      <w:r>
        <w:t>**Moyennes Mobiles** : La MM20 (9 261,25 FCFA) et la MM50 (9 544,40 FCFA) se situent toutes deux au-dessus du cours actuel (9 200 FCFA), configuration baissière caractéristique d'un titre sous ses moyennes de référence. La MM20 étant elle-même inférieure à la MM50, la structure des moyennes confirme la pression vendeuse de court terme, justifiant la décision **Vente**.</w:t>
      </w:r>
    </w:p>
    <w:p>
      <w:pPr>
        <w:spacing w:after="120" w:line="276" w:lineRule="auto"/>
      </w:pPr>
      <w:r>
        <w:t>**Bandes de Bollinger** : Le cours (9 200 FCFA) évolue dans la partie médiane de la bande, entre la borne inférieure (8 817,80 FCFA) et supérieure (9 704,70 FCFA), sans test des extrêmes. Cette position centrale traduit une absence de signal directionnel fort et une volatilité contenue, justifiant la décision **Neutre** — le marché est en phase d'indécision.</w:t>
      </w:r>
    </w:p>
    <w:p>
      <w:pPr>
        <w:spacing w:after="120" w:line="276" w:lineRule="auto"/>
      </w:pPr>
      <w:r>
        <w:t>**MACD** : La valeur du MACD (-113,72) est inférieure à sa ligne de signal (-94,33), configuration baissière qui confirme un momentum négatif persistant. La divergence négative entre les deux lignes indique que la dynamique de court terme reste orientée à la baisse, justifiant la décision **Vente**.</w:t>
      </w:r>
    </w:p>
    <w:p>
      <w:pPr>
        <w:spacing w:after="120" w:line="276" w:lineRule="auto"/>
      </w:pPr>
      <w:r>
        <w:t>**RSI** : À 48,70, le RSI se situe dans la zone neutre (30-70), sans excès de surachat ni de survente. Cette valeur proche du point d'équilibre traduit un marché sans tension particulière, justifiant la décision **Neutre** — aucun signal de retournement imminent n'est détecté.</w:t>
      </w:r>
    </w:p>
    <w:p>
      <w:pPr>
        <w:spacing w:after="120" w:line="276" w:lineRule="auto"/>
      </w:pPr>
      <w:r>
        <w:t>**Stochastique** : Le %K (26,67) est supérieur au %D (19,51), les deux oscillateurs évoluant en zone basse (proche de la survente à 20). Ce positionnement suggère un potentiel de rebond technique à court terme, mais l'absence de croisement haussier confirmé maintient la décision **Neutre**.</w:t>
      </w:r>
    </w:p>
    <w:p>
      <w:pPr>
        <w:spacing w:after="120" w:line="276" w:lineRule="auto"/>
      </w:pPr>
      <w:r>
        <w:t>**Conclusion technique** : Les indicateurs présentent un tableau **mitigé à légèrement baissier** — les moyennes mobiles et le MACD confirment la pression vendeuse, tandis que le RSI, les Bollinger et le stochastique signalent une phase de neutralité avec un potentiel de rebond technique depuis la zone basse. La convergence des signaux baissiers (MM, MACD) domine, mais l'absence de survente extrême limite le risque de chute brutale. Le titre évolue dans un couloir de consolidation, en attente d'un catalyseur directionnel.</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 affiche un Produit Net Bancaire (PNB) de 51,274 milliards FCFA, en croissance de +10,20% — dynamique commerciale solide pour une banque. Le résultat net s'établit à 20,107 milliards FCFA, générant un ROE de 17,11% (niveau excellent, &gt;15%) et un ROA de 2,08%, confirmant une rentabilité de qualité. Le coefficient d'exploitation de 49,53% (&lt;50%) classe la banque parmi les établissements **très efficaces** sur le plan opérationnel. Toutefois, le coût du risque (provisions/charges financières) de 22,50% demeure élevé, signalant un portefeuille de crédit nécessitant une surveillance accrue. La structure financière révèle une autonomie financière de 12,18% (faible, &lt;30%) et un ratio d'endettement de 98,77%, typique du modèle bancaire mais à surveiller ; la solvabilité générale (113,87%) reste toutefois satisfaisante. Le ratio dépôts clientèle (711,642 Mds FCFA) / créances clientèle (391,724 Mds FCFA) de 1,82x indique une **sur-collecte** par rapport aux crédits, gage de liquidité mais aussi de sous-emploi des ressources.</w:t>
      </w:r>
    </w:p>
    <w:p>
      <w:pPr>
        <w:spacing w:after="120" w:line="276" w:lineRule="auto"/>
      </w:pPr>
      <w:r>
        <w:t>**Estimations issues des rapports trimestriels** : Le rapport du **T1 2026** (publié en 2026) confirme la dynamique avec un PNB de 12,329 milliards FCFA (+11%), des commissions en hausse de +18,9% et une marge nette bancaire de +8,5%, mais un résultat net limité à +1% (4,502 Mds FCFA) sous la pression des coûts. Le rapport **T3 2025** (30/09/2025) avait déjà révélé ce paradoxe : PNB +9% et résultat net +13% malgré une contraction du bilan (crédits -10%, dépôts -5%). Sur cette base, **on estime** que l'exercice 2026 devrait maintenir une croissance du PNB à deux chiffres (~10-11%), avec un résultat net en progression plus modérée (~3-5%) si la pression sur les coûts persiste. Les rapports antérieurs (S1 2025, T1 2025, exercice 2024) confirment la tendance historique : ROE de 20,3% au S1 2025, résultat net 2024 de 19,647 Mds FCFA en baisse de -8,7%, avant le rebond de 2025.</w:t>
      </w:r>
    </w:p>
    <w:p>
      <w:pPr>
        <w:spacing w:after="120" w:line="276" w:lineRule="auto"/>
      </w:pPr>
      <w:r>
        <w:t>**Recommandation fondamentale** : BOAB présente une **solidité financière avérée** (ROE 17,1%, coefficient d'exploitation 49,5%, croissance PNB +10,2%), portée par une bonne maîtrise des coûts et une diversification des revenus (commissions +18,9% au T1 2026). Les risques résident dans le coût du risque élevé (22,5%), la faible autonomie financière (12,2%) et la contraction du bilan observée en 2025. La dynamique des dépôts (+3,5% au T1 2026 à 753,7 Mds FCFA) constitue un point d'appui positif. Perspective **favorable mais prudente**, avec un profil de banque efficace et rentable.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dessine un tableau **contrasté**. Sur le plan de la **valorisation (Partie 0)**, les ratios (PER 18,6x, P/B 3,18x, EV/EBITDA 19,2x) indiquent une action **chèrement valorisée**, intégrant déjà une large part des qualités fondamentales — marge de sécurité limitée. Le **comportement du cours (Partie 1)** est modérément favorable : tendance haussière de +3,02% sur 100 jours, volatilité modérée (27,8%), distribution proche de la normale (kurtosis -0,52) mais asymétrie positive (skewness 0,93) suggérant des consolidations fréquentes. Les **signaux techniques (Partie 2)** sont **mitigés à baissiers** : MM20/MM50 au-dessus du cours et MACD négatif plaident pour la prudence, tandis que RSI neutre et stochastique en zone basse laissent entrevoir un rebond technique. Les **fondamentaux (Partie 3)** demeurent le point fort : ROE 17,1%, coefficient d'exploitation 49,5%, PNB +10,2% en 2025 et +11% au T1 2026 — une banque efficace et rentable, malgré un coût du risque élevé et une autonomie financière faible. Les **prédictions IA (J+1 à J+10)** anticipent une légère dérive baissière (9 137 → 9 088 FCFA, soit -1,2% sur 5 séances), **confirmant** la pression technique de court terme sans remettre en cause la solidité fondamentale.</w:t>
      </w:r>
    </w:p>
    <w:p>
      <w:pPr>
        <w:spacing w:after="120" w:line="276" w:lineRule="auto"/>
      </w:pPr>
      <w:r>
        <w:t>**Recommandation finale : CONSERVER.** La convergence entre une valorisation exigeante (pas de décote), des signaux techniques baissiers de court terme et des fondamentaux solides mais sans catalyseur immédiat plaide pour une posture d'attente. Les prédictions IA confirment une consolidation à court terme, cohérente avec le MACD négatif. **Niveau de confiance : Moyen** (signaux techniques et fondamentaux partiellement divergents). **Niveau de risque global : Moyen** (volatilité modérée, valorisation tendue, coût du risque élevé mais rentabilité robuste). **Horizon d'investissement optimal : moyen terme (3-12 mois)**, le temps que la consolidation technique s'achève et que la croissance du PNB se matérialise dans les résultats, avec un point d'entrée plus attractif envisageable vers 8 800-9 000 FCFA (zone basse des Bollinger).</w:t>
      </w:r>
    </w:p>
    <w:p>
      <w:pPr>
        <w:spacing w:after="120" w:line="276" w:lineRule="auto"/>
      </w:pPr>
      <w:r>
        <w: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349.58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6,313 titres</w:t>
            </w:r>
          </w:p>
        </w:tc>
        <w:tc>
          <w:tcPr>
            <w:tcW w:type="dxa" w:w="2268"/>
            <w:shd w:fill="FFF2CC" w:val="clear"/>
          </w:tcPr>
          <w:p>
            <w:r>
              <w:rPr>
                <w:b/>
                <w:color w:val="503200"/>
                <w:sz w:val="16"/>
              </w:rPr>
              <w:t xml:space="preserve">Cours actuel : </w:t>
            </w:r>
            <w:r>
              <w:rPr>
                <w:color w:val="000000"/>
                <w:sz w:val="17"/>
              </w:rPr>
              <w:t>7,945 FCFA</w:t>
            </w:r>
          </w:p>
          <w:p>
            <w:r>
              <w:rPr>
                <w:b/>
                <w:color w:val="503200"/>
                <w:sz w:val="16"/>
              </w:rPr>
              <w:t xml:space="preserve">Var. 100 jours : </w:t>
            </w:r>
            <w:r>
              <w:rPr>
                <w:b/>
                <w:color w:val="007800"/>
                <w:sz w:val="17"/>
              </w:rPr>
              <w:t>+41.88%</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16.39% (Élevée) — μ=7,121 FCFA, σ=1,167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β=0.7305 (Défensif) — Cov=0.000056, Var(idx)=0.000077, ρ=0.283,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090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7,635</w:t>
            </w:r>
          </w:p>
        </w:tc>
        <w:tc>
          <w:tcPr>
            <w:tcW w:type="dxa" w:w="1440"/>
            <w:shd w:fill="FAFAFA" w:val="clear"/>
          </w:tcPr>
          <w:p>
            <w:r>
              <w:rPr>
                <w:b/>
                <w:sz w:val="17"/>
              </w:rPr>
              <w:t>7,919</w:t>
            </w:r>
          </w:p>
        </w:tc>
        <w:tc>
          <w:tcPr>
            <w:tcW w:type="dxa" w:w="1440"/>
            <w:shd w:fill="FAFAFA" w:val="clear"/>
          </w:tcPr>
          <w:p>
            <w:r>
              <w:rPr>
                <w:sz w:val="17"/>
              </w:rPr>
              <w:t>8,202</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7,495</w:t>
            </w:r>
          </w:p>
        </w:tc>
        <w:tc>
          <w:tcPr>
            <w:tcW w:type="dxa" w:w="1440"/>
            <w:shd w:fill="FAFAFA" w:val="clear"/>
          </w:tcPr>
          <w:p>
            <w:r>
              <w:rPr>
                <w:b/>
                <w:sz w:val="17"/>
              </w:rPr>
              <w:t>7,894</w:t>
            </w:r>
          </w:p>
        </w:tc>
        <w:tc>
          <w:tcPr>
            <w:tcW w:type="dxa" w:w="1440"/>
            <w:shd w:fill="FAFAFA" w:val="clear"/>
          </w:tcPr>
          <w:p>
            <w:r>
              <w:rPr>
                <w:sz w:val="17"/>
              </w:rPr>
              <w:t>8,294</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7,387</w:t>
            </w:r>
          </w:p>
        </w:tc>
        <w:tc>
          <w:tcPr>
            <w:tcW w:type="dxa" w:w="1440"/>
            <w:shd w:fill="FAFAFA" w:val="clear"/>
          </w:tcPr>
          <w:p>
            <w:r>
              <w:rPr>
                <w:b/>
                <w:sz w:val="17"/>
              </w:rPr>
              <w:t>7,875</w:t>
            </w:r>
          </w:p>
        </w:tc>
        <w:tc>
          <w:tcPr>
            <w:tcW w:type="dxa" w:w="1440"/>
            <w:shd w:fill="FAFAFA" w:val="clear"/>
          </w:tcPr>
          <w:p>
            <w:r>
              <w:rPr>
                <w:sz w:val="17"/>
              </w:rPr>
              <w:t>8,363</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7,295</w:t>
            </w:r>
          </w:p>
        </w:tc>
        <w:tc>
          <w:tcPr>
            <w:tcW w:type="dxa" w:w="1440"/>
            <w:shd w:fill="FAFAFA" w:val="clear"/>
          </w:tcPr>
          <w:p>
            <w:r>
              <w:rPr>
                <w:b/>
                <w:sz w:val="17"/>
              </w:rPr>
              <w:t>7,857</w:t>
            </w:r>
          </w:p>
        </w:tc>
        <w:tc>
          <w:tcPr>
            <w:tcW w:type="dxa" w:w="1440"/>
            <w:shd w:fill="FAFAFA" w:val="clear"/>
          </w:tcPr>
          <w:p>
            <w:r>
              <w:rPr>
                <w:sz w:val="17"/>
              </w:rPr>
              <w:t>8,419</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7,213</w:t>
            </w:r>
          </w:p>
        </w:tc>
        <w:tc>
          <w:tcPr>
            <w:tcW w:type="dxa" w:w="1440"/>
            <w:shd w:fill="FAFAFA" w:val="clear"/>
          </w:tcPr>
          <w:p>
            <w:r>
              <w:rPr>
                <w:b/>
                <w:sz w:val="17"/>
              </w:rPr>
              <w:t>7,840</w:t>
            </w:r>
          </w:p>
        </w:tc>
        <w:tc>
          <w:tcPr>
            <w:tcW w:type="dxa" w:w="1440"/>
            <w:shd w:fill="FAFAFA" w:val="clear"/>
          </w:tcPr>
          <w:p>
            <w:r>
              <w:rPr>
                <w:sz w:val="17"/>
              </w:rPr>
              <w:t>8,467</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7,137</w:t>
            </w:r>
          </w:p>
        </w:tc>
        <w:tc>
          <w:tcPr>
            <w:tcW w:type="dxa" w:w="1440"/>
            <w:shd w:fill="FAFAFA" w:val="clear"/>
          </w:tcPr>
          <w:p>
            <w:r>
              <w:rPr>
                <w:b/>
                <w:sz w:val="17"/>
              </w:rPr>
              <w:t>7,823</w:t>
            </w:r>
          </w:p>
        </w:tc>
        <w:tc>
          <w:tcPr>
            <w:tcW w:type="dxa" w:w="1440"/>
            <w:shd w:fill="FAFAFA" w:val="clear"/>
          </w:tcPr>
          <w:p>
            <w:r>
              <w:rPr>
                <w:sz w:val="17"/>
              </w:rPr>
              <w:t>8,508</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7,068</w:t>
            </w:r>
          </w:p>
        </w:tc>
        <w:tc>
          <w:tcPr>
            <w:tcW w:type="dxa" w:w="1440"/>
            <w:shd w:fill="FAFAFA" w:val="clear"/>
          </w:tcPr>
          <w:p>
            <w:r>
              <w:rPr>
                <w:b/>
                <w:sz w:val="17"/>
              </w:rPr>
              <w:t>7,806</w:t>
            </w:r>
          </w:p>
        </w:tc>
        <w:tc>
          <w:tcPr>
            <w:tcW w:type="dxa" w:w="1440"/>
            <w:shd w:fill="FAFAFA" w:val="clear"/>
          </w:tcPr>
          <w:p>
            <w:r>
              <w:rPr>
                <w:sz w:val="17"/>
              </w:rPr>
              <w:t>8,545</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7,002</w:t>
            </w:r>
          </w:p>
        </w:tc>
        <w:tc>
          <w:tcPr>
            <w:tcW w:type="dxa" w:w="1440"/>
            <w:shd w:fill="FAFAFA" w:val="clear"/>
          </w:tcPr>
          <w:p>
            <w:r>
              <w:rPr>
                <w:b/>
                <w:sz w:val="17"/>
              </w:rPr>
              <w:t>7,790</w:t>
            </w:r>
          </w:p>
        </w:tc>
        <w:tc>
          <w:tcPr>
            <w:tcW w:type="dxa" w:w="1440"/>
            <w:shd w:fill="FAFAFA" w:val="clear"/>
          </w:tcPr>
          <w:p>
            <w:r>
              <w:rPr>
                <w:sz w:val="17"/>
              </w:rPr>
              <w:t>8,578</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2026-10-30</w:t>
            </w:r>
          </w:p>
        </w:tc>
        <w:tc>
          <w:tcPr>
            <w:tcW w:type="dxa" w:w="1440"/>
            <w:shd w:fill="FFDCE0" w:val="clear"/>
          </w:tcPr>
          <w:p>
            <w:r>
              <w:rPr>
                <w:sz w:val="17"/>
              </w:rPr>
              <w:t>6,940</w:t>
            </w:r>
          </w:p>
        </w:tc>
        <w:tc>
          <w:tcPr>
            <w:tcW w:type="dxa" w:w="1440"/>
            <w:shd w:fill="FFDCE0" w:val="clear"/>
          </w:tcPr>
          <w:p>
            <w:r>
              <w:rPr>
                <w:b/>
                <w:sz w:val="17"/>
              </w:rPr>
              <w:t>7,774</w:t>
            </w:r>
          </w:p>
        </w:tc>
        <w:tc>
          <w:tcPr>
            <w:tcW w:type="dxa" w:w="1440"/>
            <w:shd w:fill="FFDCE0" w:val="clear"/>
          </w:tcPr>
          <w:p>
            <w:r>
              <w:rPr>
                <w:sz w:val="17"/>
              </w:rPr>
              <w:t>8,609</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2026-11-02</w:t>
            </w:r>
          </w:p>
        </w:tc>
        <w:tc>
          <w:tcPr>
            <w:tcW w:type="dxa" w:w="1440"/>
            <w:shd w:fill="FFDCE0" w:val="clear"/>
          </w:tcPr>
          <w:p>
            <w:r>
              <w:rPr>
                <w:sz w:val="17"/>
              </w:rPr>
              <w:t>6,882</w:t>
            </w:r>
          </w:p>
        </w:tc>
        <w:tc>
          <w:tcPr>
            <w:tcW w:type="dxa" w:w="1440"/>
            <w:shd w:fill="FFDCE0" w:val="clear"/>
          </w:tcPr>
          <w:p>
            <w:r>
              <w:rPr>
                <w:b/>
                <w:sz w:val="17"/>
              </w:rPr>
              <w:t>7,759</w:t>
            </w:r>
          </w:p>
        </w:tc>
        <w:tc>
          <w:tcPr>
            <w:tcW w:type="dxa" w:w="1440"/>
            <w:shd w:fill="FFDCE0" w:val="clear"/>
          </w:tcPr>
          <w:p>
            <w:r>
              <w:rPr>
                <w:sz w:val="17"/>
              </w:rPr>
              <w:t>8,637</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RAPPORT D'ANALYSE FINANCIÈRE — BOABF (Bank of Africa Burkina Faso)</w:t>
        <w:br/>
        <w:t>**Bourse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349,58 milliards FCFA, BOABF s'affirme comme une valeur de premier plan du compartiment bancaire de la BRVM, position cohérente avec son rang de deuxième banque du marché burkinabè. Le BPA de 438 FCFA par action confère au titre un PER de 18,2x, soit un niveau supérieur à la moyenne historique du marché BRVM (8-12x), traduisant une prime de qualité et de liquidité consentie par les investisseurs, mais qui intègre déjà une bonne part des anticipations bénéficiaires. Le P/B de 2,76x confirme cette prime de croissance : le marché valorise l'action près de trois fois sa valeur comptable, signe de confiance dans la rentabilité structurelle des fonds propres (ROE 15,2%). Enfin, l'EV/EBITDA de 8,0x, dans la fourchette raisonnable de 5-10x, suggère que la valeur d'entreprise reste proportionnée à la capacité opérationnelle de génération de résultats. L'ensemble dessine une valorisation **modérément exigeante mais défendable**, sans excès spéculatif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BOABF a enregistré une progression spectaculaire de **+41,88%**, portant le cours à 7 945 FCFA, malgré un léger repli de -0,81% lors de la dernière séance. Le range de trading est particulièrement large, avec un plus haut à 9 090 FCFA et un plus bas à 5 300 FCFA, soit un écart de plus de 70% entre les extrêmes — signe d'une forte amplitude directionnelle. La tendance générale est donc nettement **haussière**, mais le repli récent depuis les sommets suggère une phase de consolidation ou de prise de bénéfices. Les statistiques descriptives révèlent une distribution remarquablement symétrique (skewness de -0,033) et une moyenne (7 121 FCFA) légèrement inférieure à la médiane (7 200 FCFA), écart marginal confirmant l'absence d'asymétrie marquée. Le kurtosis négatif (-1,239, distribution platykurtique) indique une faible concentration des rendements autour de la moyenne, donc **moins de pics extrêmes** que dans une distribution normale — un profil de risque relativement lissé. L'écart-type de 1 173 FCFA (CV de 16,5%) traduit une dispersion modérée du cours, tandis que la volatilité annualisée de **35,9%** classe le titre dans la catégorie des valeurs **à volatilité élevée** (&gt;30%), typique des petites et moyennes capitalisations de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(7 953,25 FCFA) et la MM50 (8 090,0 FCFA) se situent toutes deux au-dessus du cours actuel (7 945 FCFA), configurant une structure baissière de court terme où le prix évolue sous ses références mobiles. La MM20 étant elle-même inférieure à la MM50, on observe un croisement baissier confirmé, justifiant la décision **Vente**.</w:t>
      </w:r>
    </w:p>
    <w:p>
      <w:pPr>
        <w:spacing w:after="120" w:line="276" w:lineRule="auto"/>
      </w:pPr>
      <w:r>
        <w:t>**Bandes de Bollinger** : Le cours (7 945 FCFA) se situe dans la moitié inférieure de la bande, entre la borne inférieure (7 510,96 FCFA) et la borne supérieure (8 395,54 FCFA), sans franchissement d'aucune extrémité. Cette position centrale, couplée à un écartement modéré des bornes, traduit une volatilité contenue et une absence de signal directionnel fort, d'où la décision **Neutre**.</w:t>
      </w:r>
    </w:p>
    <w:p>
      <w:pPr>
        <w:spacing w:after="120" w:line="276" w:lineRule="auto"/>
      </w:pPr>
      <w:r>
        <w:t>**MACD** : La valeur du MACD (-32,603) est inférieure à sa ligne de signal (-28,814), avec un histogramme négatif qui s'accentue. Cette configuration signale un momentum baissier persistant, la pression vendeuse l'emportant sur la dynamique acheteuse, ce qui justifie la décision **Vente**.</w:t>
      </w:r>
    </w:p>
    <w:p>
      <w:pPr>
        <w:spacing w:after="120" w:line="276" w:lineRule="auto"/>
      </w:pPr>
      <w:r>
        <w:t>**RSI** : À 23,704, le RSI se situe nettement sous le seuil de survente de 30, indiquant que le titre a été excessivement vendu à court terme. Cette zone extrême prédispose historiquement à un rebond technique, justifiant la décision **Achat** en anticipation d'un retour à l'équilibre.</w:t>
      </w:r>
    </w:p>
    <w:p>
      <w:pPr>
        <w:spacing w:after="120" w:line="276" w:lineRule="auto"/>
      </w:pPr>
      <w:r>
        <w:t>**Stochastique** : Le %K (15,0) est inférieur au %D (23,333), les deux oscillateurs évoluant en zone de survente profonde (&lt;20). Bien que le croisement ne soit pas encore haussier, la configuration extrême suggère un épuisement de la pression baissière et un potentiel de retournement, d'où la décision **Achat**.</w:t>
      </w:r>
    </w:p>
    <w:p>
      <w:pPr>
        <w:spacing w:after="120" w:line="276" w:lineRule="auto"/>
      </w:pPr>
      <w:r>
        <w:t>**Conclusion technique** : Les indicateurs présentent une **divergence classique** : les outils de tendance (MM, MACD) confirment une dynamique baissière de court terme, tandis que les oscillateurs (RSI, Stochastique) signalent une survente extrême propice à un rebond. Les Bandes de Bollinger, en position neutre, n'apportent pas d'arbitrage décisif. Cette configuration suggère un **point d'inflexion potentiel** : le titre pourrait tester un rebond technique vers la MM20 (7 953 FCFA), mais la prudence reste de mise tant que la structure baissière des moyennes mobiles n'est pas invalidée.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BOABF a dégagé un Produit Net Bancaire (PNB) de 57,820 milliards FCFA, quasi stable (+0,6%) par rapport à 2024 (57,490 Mds FCFA), pour un résultat net de 19,252 milliards FCFA, en recul de -14,1% sur un an. La rentabilité des fonds propres (ROE) s'établit à 15,22%, niveau excellent (&gt;15%), tandis que le ROA reste modeste à 1,68%, reflet de la structure bilancielle bancaire. Le coefficient d'exploitation de 47,19% classe la banque parmi les établissements **très efficaces** (&lt;50%), et le ratio dépôts/crédits (877,8 Mds de dépôts pour 474,1 Mds de créances clientèle) témoigne d'une forte capacité de collecte, bien que la transformation reste prudente. Le coût du risque rapporté aux charges financières (33,92%) demeure élevé, expliquant la pression sur le résultat net 2025.</w:t>
      </w:r>
    </w:p>
    <w:p>
      <w:pPr>
        <w:spacing w:after="120" w:line="276" w:lineRule="auto"/>
      </w:pPr>
      <w:r>
        <w:t>**Évolution temporelle et rapports trimestriels** : Les rapports officiels confirment cette dynamique contrastée. Le rapport du **T1 2026 (publié le 05/09/2026)** montre un PNB de 12,694 Mds FCFA en repli de -10,75% et un résultat net de 4,520 Mds FCFA (-12,99%), le trimestre le plus faible de la série. En revanche, les **états financiers du S1 2026 (30/06/2026)** révèlent un rebond spectaculaire du résultat net à 10,770 Mds FCFA (+31,0%), porté par une amélioration de 65,2% du coût du risque (-2,396 Mds contre -6,876 Mds un an plus tôt), malgré un PNB toujours en repli (-5,2% à 27,539 Mds FCFA). Le rapport annuel **2025 (31/12/2025)** confirme que la dégradation du résultat net (-14,1%) provient essentiellement du doublement du coût du risque (8,355 Mds vs 4,303 Mds en 2024), concentré sur le premier semestre.</w:t>
      </w:r>
    </w:p>
    <w:p>
      <w:pPr>
        <w:spacing w:after="120" w:line="276" w:lineRule="auto"/>
      </w:pPr>
      <w:r>
        <w:t>**Estimations et perspectives** : Sur la base du S1 2026 (résultat net de 10,770 Mds FCFA), on peut estimer un résultat net annuel 2026 autour de 21-22 Mds FCFA si la normalisation du risque se confirme au second semestre, soit une progression d'environ +10-15% par rapport à 2025. Toutefois, la baisse structurelle du PNB (-5,2% au S1) constitue un point d'attention : la rentabilité est tirée par la normalisation du coût du risque plutôt que par la croissance commerciale. La collecte de dépôts reste dynamique (+7,4% à 942,7 Mds FCFA), mais les crédits nets ne progressent que de +1,3%, limitant le levier de croissance future.</w:t>
      </w:r>
    </w:p>
    <w:p>
      <w:pPr>
        <w:spacing w:after="120" w:line="276" w:lineRule="auto"/>
      </w:pPr>
      <w:r>
        <w:t>**Recommandation fondamentale** : La solidité bilancielle (solvabilité 112,4%, autonomie financière 11,0%), l'efficacité opérationnelle (coefficient 47,2%) et le ROE de 15,2% plaident pour un **profil de qualité**. Les risques résident dans la stagnation du PNB, la dépendance à la normalisation du coût du risque et l'exposition au contexte sécuritaire burkinabè. Recommandation fondamentale : **CONSERVER**, avec un biais positif si la dynamique commerciale se redresse au S2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Sur le plan de la **valorisation (Partie 0)**, le PER de 18,2x et le P/B de 2,76x traduisent une prime certaine, mais tempérée par un EV/EBITDA raisonnable de 8,0x — le titre n'est ni une opportunité décotée, ni une bulle spéculative. Le **comportement du cours (Partie 1)** affiche une tendance haussière spectaculaire (+41,88% sur 100 jours) mais essoufflée, avec une volatilité élevée (35,9%) et une distribution platykurtique (kurtosis -1,239) qui limite le risque de pics extrêmes — un profil relativement maîtrisé malgré l'amplitude. Les **signaux techniques (Partie 2)** sont divergents : tendance baissière de court terme (MM, MACD) contre survente extrême (RSI 23,7, Stochastique 15,0) propice à un rebond technique, sans convergence claire. Les **fondamentaux (Partie 3)** demeurent solides (ROE 15,2%, coefficient d'exploitation 47,2%, solvabilité 112,4%) mais marqués par la stagnation du PNB et la dépendance à la normalisation du coût du risque, avec un S1 2026 en nette amélioration (+31,0% de résultat net). Enfin, les **prédictions IA (J+1 à J+10)** anticipent une poursuite de la consolidation baissière (7 919 → 7 840 FCFA), cohérente avec la structure technique de court terme mais contredisant le signal de survente.</w:t>
      </w:r>
    </w:p>
    <w:p>
      <w:pPr>
        <w:spacing w:after="120" w:line="276" w:lineRule="auto"/>
      </w:pPr>
      <w:r>
        <w:t>**Recommandation finale : CONSERVER.** La convergence est **partielle** : la valorisation exigeante et la tendance technique baissière plaident pour la prudence, tandis que les fondamentaux solides et la survente extrême offrent un support potentiel. Le niveau de confiance est **Moyen**, car les signaux sont contradictoires entre court terme (baissier) et moyen terme (rebond possible sur normalisation du risque). Le niveau de risque global est **Moyen à Élevé**, compte tenu de la volatilité de 35,9% et de l'exposition au contexte sécuritaire burkinabè. L'horizon d'investissement optimal est le **moyen terme (3-12 mois)** : attendre la confirmation du redressement du PNB au S2 2026 et un retour du cours au-dessus de la MM50 (8 090 FCFA) pour envisager un renforcement, avec un objectif de cours raisonnable autour de 8 500-9 000 FCFA si les fondamentaux se confirment.</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20261009   calendrier de paiement des dividendes   exercice 2025</w:t>
      </w:r>
    </w:p>
    <w:p>
      <w:pPr>
        <w:spacing w:before="20"/>
        <w:ind w:left="400"/>
      </w:pPr>
      <w:r>
        <w:rPr>
          <w:color w:val="505050"/>
          <w:sz w:val="17"/>
        </w:rPr>
        <w:t xml:space="preserve">Date : 12/10/2026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avec les montants nets par action, les dates de publication d'avis, les dates ex-dividende et les dates de paiement. Le document couvre plus de trente sociétés de la zone UEMOA, avec des paiements échelonnés d'avril à octobre 2026. Les montants indiqués sont nets, sauf pour les sociétés marquées d'un astérisque dont le dividende est brut avec application de l'IRVM.</w:t>
      </w:r>
    </w:p>
    <w:p>
      <w:pPr>
        <w:spacing w:before="60"/>
        <w:ind w:left="400"/>
      </w:pPr>
      <w:r>
        <w:rPr>
          <w:b/>
          <w:sz w:val="18"/>
        </w:rPr>
        <w:t>Points clés :</w:t>
      </w:r>
    </w:p>
    <w:p>
      <w:pPr>
        <w:pStyle w:val="ListBullet"/>
        <w:spacing w:before="20" w:after="20"/>
        <w:ind w:left="700"/>
      </w:pPr>
      <w:r>
        <w:rPr>
          <w:sz w:val="18"/>
        </w:rPr>
        <w:t>Le calendrier couvre les dividendes de l'exercice 2025 pour plus de 30 sociétés cotées à la BRVM</w:t>
      </w:r>
    </w:p>
    <w:p>
      <w:pPr>
        <w:pStyle w:val="ListBullet"/>
        <w:spacing w:before="20" w:after="20"/>
        <w:ind w:left="700"/>
      </w:pPr>
      <w:r>
        <w:rPr>
          <w:sz w:val="18"/>
        </w:rPr>
        <w:t>Les paiements s'échelonnent du 23 avril 2026 (BOA Burkina Faso) au 27 octobre 2026 (Africa Global Logistics CI)</w:t>
      </w:r>
    </w:p>
    <w:p>
      <w:pPr>
        <w:pStyle w:val="ListBullet"/>
        <w:spacing w:before="20" w:after="20"/>
        <w:ind w:left="700"/>
      </w:pPr>
      <w:r>
        <w:rPr>
          <w:sz w:val="18"/>
        </w:rPr>
        <w:t>Les montants nets par action varient de 0,9184 FCFA (Ecobank Transnational Incorporated) à 2 606 FCFA (Société Générale CI)</w:t>
      </w:r>
    </w:p>
    <w:p>
      <w:pPr>
        <w:pStyle w:val="ListBullet"/>
        <w:spacing w:before="20" w:after="20"/>
        <w:ind w:left="700"/>
      </w:pPr>
      <w:r>
        <w:rPr>
          <w:sz w:val="18"/>
        </w:rPr>
        <w:t>Les sociétés marquées d'un astérisque affichent un dividende brut soumis à l'IRVM de 12% pour les personnes physiques et 10% pour les personnes morales</w:t>
      </w:r>
    </w:p>
    <w:p>
      <w:pPr>
        <w:pStyle w:val="ListBullet"/>
        <w:spacing w:before="20" w:after="20"/>
        <w:ind w:left="700"/>
      </w:pPr>
      <w:r>
        <w:rPr>
          <w:sz w:val="18"/>
        </w:rPr>
        <w:t>Chaque ligne précise le numéro d'avis, la date de publication au BOC, la date ex-dividende (T-1) et la date de paiement (T)</w:t>
      </w:r>
    </w:p>
    <w:p>
      <w:pPr>
        <w:ind w:left="400"/>
      </w:pPr>
      <w:r>
        <w:rPr>
          <w:color w:val="B4B4B4"/>
          <w:sz w:val="14"/>
        </w:rPr>
        <w:t xml:space="preserve">· · · · · · · · · · · · · · · · · · · · · · · · · · · · · · </w:t>
      </w:r>
    </w:p>
    <w:p>
      <w:pPr>
        <w:spacing w:before="160"/>
      </w:pPr>
      <w:r>
        <w:rPr>
          <w:b/>
          <w:color w:val="0066CC"/>
          <w:sz w:val="20"/>
        </w:rPr>
        <w:t xml:space="preserve">[3]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[5]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452.40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10,680 titres</w:t>
            </w:r>
          </w:p>
        </w:tc>
        <w:tc>
          <w:tcPr>
            <w:tcW w:type="dxa" w:w="2268"/>
            <w:shd w:fill="FFF2CC" w:val="clear"/>
          </w:tcPr>
          <w:p>
            <w:r>
              <w:rPr>
                <w:b/>
                <w:color w:val="503200"/>
                <w:sz w:val="16"/>
              </w:rPr>
              <w:t xml:space="preserve">Cours actuel : </w:t>
            </w:r>
            <w:r>
              <w:rPr>
                <w:color w:val="000000"/>
                <w:sz w:val="17"/>
              </w:rPr>
              <w:t>11,310 FCFA</w:t>
            </w:r>
          </w:p>
          <w:p>
            <w:r>
              <w:rPr>
                <w:b/>
                <w:color w:val="503200"/>
                <w:sz w:val="16"/>
              </w:rPr>
              <w:t xml:space="preserve">Var. 100 jours : </w:t>
            </w:r>
            <w:r>
              <w:rPr>
                <w:b/>
                <w:color w:val="007800"/>
                <w:sz w:val="17"/>
              </w:rPr>
              <w:t>+27.87%</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8,800 FCFA</w:t>
            </w:r>
          </w:p>
          <w:p>
            <w:r>
              <w:rPr>
                <w:b/>
                <w:color w:val="503200"/>
                <w:sz w:val="16"/>
              </w:rPr>
              <w:t xml:space="preserve">Volatilité ann. : </w:t>
            </w:r>
            <w:r>
              <w:rPr>
                <w:color w:val="000000"/>
                <w:sz w:val="17"/>
              </w:rPr>
              <w:t>28.0%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13.33% (Moyenne) — μ=10,818 FCFA, σ=1,442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β=0.7058 (Défensif) — Cov=0.000054, Var(idx)=0.000077, ρ=0.351,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10,680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58278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11,033</w:t>
            </w:r>
          </w:p>
        </w:tc>
        <w:tc>
          <w:tcPr>
            <w:tcW w:type="dxa" w:w="1440"/>
            <w:shd w:fill="FAFAFA" w:val="clear"/>
          </w:tcPr>
          <w:p>
            <w:r>
              <w:rPr>
                <w:b/>
                <w:sz w:val="17"/>
              </w:rPr>
              <w:t>11,351</w:t>
            </w:r>
          </w:p>
        </w:tc>
        <w:tc>
          <w:tcPr>
            <w:tcW w:type="dxa" w:w="1440"/>
            <w:shd w:fill="FAFAFA" w:val="clear"/>
          </w:tcPr>
          <w:p>
            <w:r>
              <w:rPr>
                <w:sz w:val="17"/>
              </w:rPr>
              <w:t>11,669</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10,909</w:t>
            </w:r>
          </w:p>
        </w:tc>
        <w:tc>
          <w:tcPr>
            <w:tcW w:type="dxa" w:w="1440"/>
            <w:shd w:fill="FAFAFA" w:val="clear"/>
          </w:tcPr>
          <w:p>
            <w:r>
              <w:rPr>
                <w:b/>
                <w:sz w:val="17"/>
              </w:rPr>
              <w:t>11,358</w:t>
            </w:r>
          </w:p>
        </w:tc>
        <w:tc>
          <w:tcPr>
            <w:tcW w:type="dxa" w:w="1440"/>
            <w:shd w:fill="FAFAFA" w:val="clear"/>
          </w:tcPr>
          <w:p>
            <w:r>
              <w:rPr>
                <w:sz w:val="17"/>
              </w:rPr>
              <w:t>11,808</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10,822</w:t>
            </w:r>
          </w:p>
        </w:tc>
        <w:tc>
          <w:tcPr>
            <w:tcW w:type="dxa" w:w="1440"/>
            <w:shd w:fill="FAFAFA" w:val="clear"/>
          </w:tcPr>
          <w:p>
            <w:r>
              <w:rPr>
                <w:b/>
                <w:sz w:val="17"/>
              </w:rPr>
              <w:t>11,374</w:t>
            </w:r>
          </w:p>
        </w:tc>
        <w:tc>
          <w:tcPr>
            <w:tcW w:type="dxa" w:w="1440"/>
            <w:shd w:fill="FAFAFA" w:val="clear"/>
          </w:tcPr>
          <w:p>
            <w:r>
              <w:rPr>
                <w:sz w:val="17"/>
              </w:rPr>
              <w:t>11,925</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2026-10-23</w:t>
            </w:r>
          </w:p>
        </w:tc>
        <w:tc>
          <w:tcPr>
            <w:tcW w:type="dxa" w:w="1440"/>
            <w:shd w:fill="FAFAFA" w:val="clear"/>
          </w:tcPr>
          <w:p>
            <w:r>
              <w:rPr>
                <w:sz w:val="17"/>
              </w:rPr>
              <w:t>10,752</w:t>
            </w:r>
          </w:p>
        </w:tc>
        <w:tc>
          <w:tcPr>
            <w:tcW w:type="dxa" w:w="1440"/>
            <w:shd w:fill="FAFAFA" w:val="clear"/>
          </w:tcPr>
          <w:p>
            <w:r>
              <w:rPr>
                <w:b/>
                <w:sz w:val="17"/>
              </w:rPr>
              <w:t>11,390</w:t>
            </w:r>
          </w:p>
        </w:tc>
        <w:tc>
          <w:tcPr>
            <w:tcW w:type="dxa" w:w="1440"/>
            <w:shd w:fill="FAFAFA" w:val="clear"/>
          </w:tcPr>
          <w:p>
            <w:r>
              <w:rPr>
                <w:sz w:val="17"/>
              </w:rPr>
              <w:t>12,028</w:t>
            </w:r>
          </w:p>
        </w:tc>
        <w:tc>
          <w:tcPr>
            <w:tcW w:type="dxa" w:w="1440"/>
            <w:shd w:fill="FAFAFA" w:val="clear"/>
          </w:tcPr>
          <w:p>
            <w:r>
              <w:rPr>
                <w:b/>
                <w:color w:val="008000"/>
                <w:sz w:val="17"/>
              </w:rPr>
              <w:t>+0.7%</w:t>
            </w:r>
          </w:p>
        </w:tc>
      </w:tr>
      <w:tr>
        <w:tc>
          <w:tcPr>
            <w:tcW w:type="dxa" w:w="1440"/>
            <w:shd w:fill="FAFAFA" w:val="clear"/>
          </w:tcPr>
          <w:p>
            <w:r>
              <w:rPr>
                <w:sz w:val="17"/>
              </w:rPr>
              <w:t>J+5  Moyenne</w:t>
            </w:r>
          </w:p>
        </w:tc>
        <w:tc>
          <w:tcPr>
            <w:tcW w:type="dxa" w:w="1440"/>
            <w:shd w:fill="FAFAFA" w:val="clear"/>
          </w:tcPr>
          <w:p>
            <w:r>
              <w:rPr>
                <w:sz w:val="17"/>
              </w:rPr>
              <w:t>2026-10-26</w:t>
            </w:r>
          </w:p>
        </w:tc>
        <w:tc>
          <w:tcPr>
            <w:tcW w:type="dxa" w:w="1440"/>
            <w:shd w:fill="FAFAFA" w:val="clear"/>
          </w:tcPr>
          <w:p>
            <w:r>
              <w:rPr>
                <w:sz w:val="17"/>
              </w:rPr>
              <w:t>10,691</w:t>
            </w:r>
          </w:p>
        </w:tc>
        <w:tc>
          <w:tcPr>
            <w:tcW w:type="dxa" w:w="1440"/>
            <w:shd w:fill="FAFAFA" w:val="clear"/>
          </w:tcPr>
          <w:p>
            <w:r>
              <w:rPr>
                <w:b/>
                <w:sz w:val="17"/>
              </w:rPr>
              <w:t>11,405</w:t>
            </w:r>
          </w:p>
        </w:tc>
        <w:tc>
          <w:tcPr>
            <w:tcW w:type="dxa" w:w="1440"/>
            <w:shd w:fill="FAFAFA" w:val="clear"/>
          </w:tcPr>
          <w:p>
            <w:r>
              <w:rPr>
                <w:sz w:val="17"/>
              </w:rPr>
              <w:t>12,119</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2026-10-27</w:t>
            </w:r>
          </w:p>
        </w:tc>
        <w:tc>
          <w:tcPr>
            <w:tcW w:type="dxa" w:w="1440"/>
            <w:shd w:fill="FAFAFA" w:val="clear"/>
          </w:tcPr>
          <w:p>
            <w:r>
              <w:rPr>
                <w:sz w:val="17"/>
              </w:rPr>
              <w:t>10,637</w:t>
            </w:r>
          </w:p>
        </w:tc>
        <w:tc>
          <w:tcPr>
            <w:tcW w:type="dxa" w:w="1440"/>
            <w:shd w:fill="FAFAFA" w:val="clear"/>
          </w:tcPr>
          <w:p>
            <w:r>
              <w:rPr>
                <w:b/>
                <w:sz w:val="17"/>
              </w:rPr>
              <w:t>11,420</w:t>
            </w:r>
          </w:p>
        </w:tc>
        <w:tc>
          <w:tcPr>
            <w:tcW w:type="dxa" w:w="1440"/>
            <w:shd w:fill="FAFAFA" w:val="clear"/>
          </w:tcPr>
          <w:p>
            <w:r>
              <w:rPr>
                <w:sz w:val="17"/>
              </w:rPr>
              <w:t>12,204</w:t>
            </w:r>
          </w:p>
        </w:tc>
        <w:tc>
          <w:tcPr>
            <w:tcW w:type="dxa" w:w="1440"/>
            <w:shd w:fill="FAFAFA" w:val="clear"/>
          </w:tcPr>
          <w:p>
            <w:r>
              <w:rPr>
                <w:b/>
                <w:color w:val="008000"/>
                <w:sz w:val="17"/>
              </w:rPr>
              <w:t>+1.0%</w:t>
            </w:r>
          </w:p>
        </w:tc>
      </w:tr>
      <w:tr>
        <w:tc>
          <w:tcPr>
            <w:tcW w:type="dxa" w:w="1440"/>
            <w:shd w:fill="FAFAFA" w:val="clear"/>
          </w:tcPr>
          <w:p>
            <w:r>
              <w:rPr>
                <w:sz w:val="17"/>
              </w:rPr>
              <w:t>J+7  Moyenne</w:t>
            </w:r>
          </w:p>
        </w:tc>
        <w:tc>
          <w:tcPr>
            <w:tcW w:type="dxa" w:w="1440"/>
            <w:shd w:fill="FAFAFA" w:val="clear"/>
          </w:tcPr>
          <w:p>
            <w:r>
              <w:rPr>
                <w:sz w:val="17"/>
              </w:rPr>
              <w:t>2026-10-28</w:t>
            </w:r>
          </w:p>
        </w:tc>
        <w:tc>
          <w:tcPr>
            <w:tcW w:type="dxa" w:w="1440"/>
            <w:shd w:fill="FAFAFA" w:val="clear"/>
          </w:tcPr>
          <w:p>
            <w:r>
              <w:rPr>
                <w:sz w:val="17"/>
              </w:rPr>
              <w:t>10,588</w:t>
            </w:r>
          </w:p>
        </w:tc>
        <w:tc>
          <w:tcPr>
            <w:tcW w:type="dxa" w:w="1440"/>
            <w:shd w:fill="FAFAFA" w:val="clear"/>
          </w:tcPr>
          <w:p>
            <w:r>
              <w:rPr>
                <w:b/>
                <w:sz w:val="17"/>
              </w:rPr>
              <w:t>11,435</w:t>
            </w:r>
          </w:p>
        </w:tc>
        <w:tc>
          <w:tcPr>
            <w:tcW w:type="dxa" w:w="1440"/>
            <w:shd w:fill="FAFAFA" w:val="clear"/>
          </w:tcPr>
          <w:p>
            <w:r>
              <w:rPr>
                <w:sz w:val="17"/>
              </w:rPr>
              <w:t>12,282</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2026-10-29</w:t>
            </w:r>
          </w:p>
        </w:tc>
        <w:tc>
          <w:tcPr>
            <w:tcW w:type="dxa" w:w="1440"/>
            <w:shd w:fill="FAFAFA" w:val="clear"/>
          </w:tcPr>
          <w:p>
            <w:r>
              <w:rPr>
                <w:sz w:val="17"/>
              </w:rPr>
              <w:t>10,542</w:t>
            </w:r>
          </w:p>
        </w:tc>
        <w:tc>
          <w:tcPr>
            <w:tcW w:type="dxa" w:w="1440"/>
            <w:shd w:fill="FAFAFA" w:val="clear"/>
          </w:tcPr>
          <w:p>
            <w:r>
              <w:rPr>
                <w:b/>
                <w:sz w:val="17"/>
              </w:rPr>
              <w:t>11,449</w:t>
            </w:r>
          </w:p>
        </w:tc>
        <w:tc>
          <w:tcPr>
            <w:tcW w:type="dxa" w:w="1440"/>
            <w:shd w:fill="FAFAFA" w:val="clear"/>
          </w:tcPr>
          <w:p>
            <w:r>
              <w:rPr>
                <w:sz w:val="17"/>
              </w:rPr>
              <w:t>12,356</w:t>
            </w:r>
          </w:p>
        </w:tc>
        <w:tc>
          <w:tcPr>
            <w:tcW w:type="dxa" w:w="1440"/>
            <w:shd w:fill="FAFAFA" w:val="clear"/>
          </w:tcPr>
          <w:p>
            <w:r>
              <w:rPr>
                <w:b/>
                <w:color w:val="008000"/>
                <w:sz w:val="17"/>
              </w:rPr>
              <w:t>+1.2%</w:t>
            </w:r>
          </w:p>
        </w:tc>
      </w:tr>
      <w:tr>
        <w:tc>
          <w:tcPr>
            <w:tcW w:type="dxa" w:w="1440"/>
            <w:shd w:fill="FAFAFA" w:val="clear"/>
          </w:tcPr>
          <w:p>
            <w:r>
              <w:rPr>
                <w:sz w:val="17"/>
              </w:rPr>
              <w:t>J+9  Moyenne</w:t>
            </w:r>
          </w:p>
        </w:tc>
        <w:tc>
          <w:tcPr>
            <w:tcW w:type="dxa" w:w="1440"/>
            <w:shd w:fill="FAFAFA" w:val="clear"/>
          </w:tcPr>
          <w:p>
            <w:r>
              <w:rPr>
                <w:sz w:val="17"/>
              </w:rPr>
              <w:t>2026-10-30</w:t>
            </w:r>
          </w:p>
        </w:tc>
        <w:tc>
          <w:tcPr>
            <w:tcW w:type="dxa" w:w="1440"/>
            <w:shd w:fill="FAFAFA" w:val="clear"/>
          </w:tcPr>
          <w:p>
            <w:r>
              <w:rPr>
                <w:sz w:val="17"/>
              </w:rPr>
              <w:t>10,499</w:t>
            </w:r>
          </w:p>
        </w:tc>
        <w:tc>
          <w:tcPr>
            <w:tcW w:type="dxa" w:w="1440"/>
            <w:shd w:fill="FAFAFA" w:val="clear"/>
          </w:tcPr>
          <w:p>
            <w:r>
              <w:rPr>
                <w:b/>
                <w:sz w:val="17"/>
              </w:rPr>
              <w:t>11,462</w:t>
            </w:r>
          </w:p>
        </w:tc>
        <w:tc>
          <w:tcPr>
            <w:tcW w:type="dxa" w:w="1440"/>
            <w:shd w:fill="FAFAFA" w:val="clear"/>
          </w:tcPr>
          <w:p>
            <w:r>
              <w:rPr>
                <w:sz w:val="17"/>
              </w:rPr>
              <w:t>12,425</w:t>
            </w:r>
          </w:p>
        </w:tc>
        <w:tc>
          <w:tcPr>
            <w:tcW w:type="dxa" w:w="1440"/>
            <w:shd w:fill="FAFAFA" w:val="clear"/>
          </w:tcPr>
          <w:p>
            <w:r>
              <w:rPr>
                <w:b/>
                <w:color w:val="008000"/>
                <w:sz w:val="17"/>
              </w:rPr>
              <w:t>+1.3%</w:t>
            </w:r>
          </w:p>
        </w:tc>
      </w:tr>
      <w:tr>
        <w:tc>
          <w:tcPr>
            <w:tcW w:type="dxa" w:w="1440"/>
            <w:shd w:fill="FAFAFA" w:val="clear"/>
          </w:tcPr>
          <w:p>
            <w:r>
              <w:rPr>
                <w:sz w:val="17"/>
              </w:rPr>
              <w:t>J+10  Moyenne</w:t>
            </w:r>
          </w:p>
        </w:tc>
        <w:tc>
          <w:tcPr>
            <w:tcW w:type="dxa" w:w="1440"/>
            <w:shd w:fill="FAFAFA" w:val="clear"/>
          </w:tcPr>
          <w:p>
            <w:r>
              <w:rPr>
                <w:sz w:val="17"/>
              </w:rPr>
              <w:t>2026-11-02</w:t>
            </w:r>
          </w:p>
        </w:tc>
        <w:tc>
          <w:tcPr>
            <w:tcW w:type="dxa" w:w="1440"/>
            <w:shd w:fill="FAFAFA" w:val="clear"/>
          </w:tcPr>
          <w:p>
            <w:r>
              <w:rPr>
                <w:sz w:val="17"/>
              </w:rPr>
              <w:t>10,459</w:t>
            </w:r>
          </w:p>
        </w:tc>
        <w:tc>
          <w:tcPr>
            <w:tcW w:type="dxa" w:w="1440"/>
            <w:shd w:fill="FAFAFA" w:val="clear"/>
          </w:tcPr>
          <w:p>
            <w:r>
              <w:rPr>
                <w:b/>
                <w:sz w:val="17"/>
              </w:rPr>
              <w:t>11,475</w:t>
            </w:r>
          </w:p>
        </w:tc>
        <w:tc>
          <w:tcPr>
            <w:tcW w:type="dxa" w:w="1440"/>
            <w:shd w:fill="FAFAFA" w:val="clear"/>
          </w:tcPr>
          <w:p>
            <w:r>
              <w:rPr>
                <w:sz w:val="17"/>
              </w:rPr>
              <w:t>12,491</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 BRVM | Secteur Bancaire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**452,40 Mds FCFA**, BOAC s'affirme comme une valeur de premier plan de la cote BRVM, positionnant la banque parmi les capitalisations les plus importantes du marché régional. Le **BPA de 888 FCFA/action** traduit la profitabilité réelle par titre, en hausse par rapport aux 801 FCFA de 2024. Le **PER de 12,7x** se situe légèrement au-dessus de la moyenne BRVM (~8-12x), signalant une valorisation modérée mais non excessive, cohérente avec la qualité des bénéfices. Le **P/B de 3,55x** traduit une prime de croissance significative (2-4x), le marché valorisant la banque bien au-dessus de sa valeur comptable — reflet de son ROE exceptionnel de 27,9%. En revanche, l'**EV/EBITDA de 26,4x** apparaît très exigeant (&gt;15x), suggérant que la valeur d'entreprise intègre déjà une forte anticipation de croissance opérationnelle ; ce ratio constitue le principal point de vigilance de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**progression totale de +27,87%**, malgré un repli de **-0,75% sur la dernière séance**, le cours s'établissant à **11 310 FCFA**. Le range de trading est large, entre un plus bas de **8 800 FCFA** et un plus haut de **13 450 FCFA**, soit un spread de plus de 52% qui témoigne d'une dynamique haussière forte mais ponctuée de corrections. La tendance générale demeure clairement haussière sur la période, portée par la publication de résultats annuels 2025 solides. Les statistiques descriptives révèlent une **moyenne de 10 818 FCFA** légèrement inférieure à la **médiane de 11 295 FCFA**, écart qui suggère une distribution légèrement tirée vers le bas par des séances de faiblesse, bien que le **skewness de 0,025** confirme une distribution quasi symétrique. L'**écart-type de 1 449 FCFA (CV = 13,4%)** indique une dispersion modérée du cours autour de sa moyenne. Le **kurtosis de -1,397 (platykurtique)** signale une distribution aplatie, avec une faible concentration des rendements et un risque de pics extrêmes limité — profil rassurant pour un investisseur. La **volatilité annualisée de 28,0%** positionne le titre dans la catégorie des valeurs à volatilité modérée (15-30%), acceptable pour une action bancaire de la zone UEMOA.</w:t>
      </w:r>
    </w:p>
    <w:p>
      <w:pPr>
        <w:spacing w:after="120" w:line="276" w:lineRule="auto"/>
      </w:pPr>
      <w:r>
        <w:t>---</w:t>
      </w:r>
    </w:p>
    <w:p>
      <w:pPr>
        <w:spacing w:after="120" w:line="276" w:lineRule="auto"/>
      </w:pPr>
      <w:r>
        <w:t>## PARTIE 2 : ANALYSE TECHNIQUE DÉTAILLÉE</w:t>
      </w:r>
    </w:p>
    <w:p>
      <w:pPr>
        <w:spacing w:after="120" w:line="276" w:lineRule="auto"/>
      </w:pPr>
      <w:r>
        <w:t>**Moyennes Mobiles** : La MM20 (11 388,25 FCFA) et la MM50 (12 065,20 FCFA) se situent toutes deux **au-dessus du cours actuel** (11 310 FCFA), configuration baissière de court terme. La MM20 étant elle-même inférieure à la MM50, la structure des moyennes confirme une pression vendeuse récente. La décision technique qui en résulte est **Vente**, le titre évoluant sous ses deux références mobiles.</w:t>
      </w:r>
    </w:p>
    <w:p>
      <w:pPr>
        <w:spacing w:after="120" w:line="276" w:lineRule="auto"/>
      </w:pPr>
      <w:r>
        <w:t>**Bandes de Bollinger** : Le cours (11 310 FCFA) évolue dans la partie basse du canal, entre la borne inférieure (11 039,38 FCFA) et la borne supérieure (11 737,12 FCFA), sans en franchir les limites. Cette position intermédiaire, proche de la borne basse, traduit une volatilité contenue et une absence de signal directionnel fort. La décision est **Neutre**, le titre n'étant ni en survente extrême ni en surachat.</w:t>
      </w:r>
    </w:p>
    <w:p>
      <w:pPr>
        <w:spacing w:after="120" w:line="276" w:lineRule="auto"/>
      </w:pPr>
      <w:r>
        <w:t>**MACD** : Le MACD (-154,12) est **supérieur à sa ligne de signal** (-171,07), configuration haussière malgré des valeurs négatives. Cette divergence positive indique un **ralentissement du momentum baissier** et amorce un possible retournement. La décision qui en découle est **Achat**, le croisement MACD/signal étant favorable.</w:t>
      </w:r>
    </w:p>
    <w:p>
      <w:pPr>
        <w:spacing w:after="120" w:line="276" w:lineRule="auto"/>
      </w:pPr>
      <w:r>
        <w:t>**RSI** : À **38,27**, le RSI se situe dans la zone neutre basse (30-70), sans atteindre le seuil de survente (&lt;30). Le titre n'est donc ni survendu ni suracheté, mais la proximité de la zone de survente suggère un potentiel de rebond limité. La décision est **Neutre**, aucune pression extrême n'étant identifiée.</w:t>
      </w:r>
    </w:p>
    <w:p>
      <w:pPr>
        <w:spacing w:after="120" w:line="276" w:lineRule="auto"/>
      </w:pPr>
      <w:r>
        <w:t>**Stochastique** : Le %K (7,94) est très bas et **inférieur au %D (24,34)**, mais l'écart important entre les deux lignes en zone de survente extrême (&lt;20) suggère un possible croisement haussier imminent. La décision est **Achat**, le stochastique signalant un épuisement de la pression vendeuse.</w:t>
      </w:r>
    </w:p>
    <w:p>
      <w:pPr>
        <w:spacing w:after="120" w:line="276" w:lineRule="auto"/>
      </w:pPr>
      <w:r>
        <w:t>**Conclusion technique** : Les indicateurs présentent un **profil mixte à dominante baissière de court terme** (moyennes mobiles défavorables), mais plusieurs signaux de retournement se manifestent (MACD en divergence positive, stochastique en survente, RSI proche de la zone basse). Le titre semble en phase de consolidation après sa forte hausse, avec un potentiel de rebond technique à surveiller autour de la borne basse de Bollinger (11 039 FCFA). La convergence partielle des signaux suggère une **prudence à court terme**, mais une configuration qui pourrait redevenir favorable si le cours se stabilise au-dessus de 11 300 FCFA.</w:t>
      </w:r>
    </w:p>
    <w:p>
      <w:pPr>
        <w:spacing w:after="120" w:line="276" w:lineRule="auto"/>
      </w:pPr>
      <w:r>
        <w:t>---</w:t>
      </w:r>
    </w:p>
    <w:p>
      <w:pPr>
        <w:spacing w:after="120" w:line="276" w:lineRule="auto"/>
      </w:pPr>
      <w:r>
        <w:t>## PARTIE 3 : ANALYSE FONDAMENTALE</w:t>
      </w:r>
    </w:p>
    <w:p>
      <w:pPr>
        <w:spacing w:after="120" w:line="276" w:lineRule="auto"/>
      </w:pPr>
      <w:r>
        <w:t>Les états financiers annuels **2025** (rapport des commissaires aux comptes, exercice clos le 31/12/2025) révèlent une banque solide et rentable : le **PNB s'établit à 73 545 Mds FCFA** (en millions, soit 73,5 Mds FCFA), en hausse de +1,1% sur 2024, tandis que le **résultat net atteint 35 540 Mds FCFA** (+10,9%), porté par un BPA de 888 FCFA/action. Les ratios de rentabilité sont exceptionnels : **ROE de 27,9%** (&gt;15% = excellent) et **ROA de 3,22%**, tandis que le **coefficient d'exploitation de 36,7%** (&lt;60%) confirme une efficacité opérationnelle remarquable. Le **coût du risque rapporté aux charges financières de 6,67%** reste contenu, avec un coût net du risque en amélioration (-27,8%, à -4 902 Mds FCFA). La structure de bilan affiche des **dépôts clientèle de 850 548 Mds FCFA** face à des **créances clientèle de 430 433 Mds FCFA**, soit un ratio de transformation de ~50%, typique d'une banque prudente ; l'autonomie financière de 11,5% reste toutefois inférieure au seuil de 30%, reflet de la forte dépendance aux dépôts (88,5%). Les rapports trimestriels enrichissent la lecture : le **T1 2026** (rapport du 31/03/2026) affiche un PNB de 18 960 Mds FCFA (+3,09%) et un résultat net de 10 801 Mds FCFA (+0,91%), mais un **coût net du risque bondissant de +314,75%** (-652 vs -157 Mds FCFA) — point de vigilance majeur. Le **S1 2026** (rapport d'examen limité du 30/09/2026) confirme la sincérité des états financiers sans anomalie significative, mais sans données chiffrées détaillées. **On estime** que l'exercice 2026 devrait maintenir un résultat net proche de 36-38 Mds FCFA si la dégradation du coût du risque au T1 se stabilise, avec un PNB en croissance modérée de +2 à +3%. La recommandation fondamentale est **ACHAT** : croissance rentable, ROE exceptionnel, dividende en hausse (684 FCFA/action versés en 2025, payout ~65%), malgré la vigilance sur les créances en souffrance (+52,1%) et le coût du risque.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mais globalement favorable**. Sur le plan de la **valorisation (Partie 0)**, le PER de 12,7x et le P/B de 3,55x traduisent une valorisation raisonnable mais non décotée, tandis que l'EV/EBITDA de 26,4x apparaît exigeant — le marché intègre déjà une bonne partie de la qualité des bénéfices. Le **comportement du cours (Partie 1)** est haussier (+27,87% sur 100 jours) avec une volatilité modérée (28%) et une distribution symétrique (skewness 0,025) sans risque de pics extrêmes (kurtosis -1,397), profil rassurant malgré le repli récent. Les **signaux techniques (Partie 2)** sont mitigés : les moyennes mobiles sont baissières (décision Vente), mais le MACD et le stochastique signalent un retournement haussier (Achat), le RSI et Bollinger restant neutres — configuration de consolidation avec potentiel de rebond. Les **fondamentaux (Partie 3)** sont solides : ROE de 27,9%, coefficient d'exploitation de 36,7%, résultat net 2025 en hausse de +10,9%, dividende attractif, malgré la vigilance sur le coût du risque au T1 2026. Les **prédictions IA (J+1 à J+10)** anticipent une trajectoire légèrement haussière (11 351 → 11 405 FCFA, soit +0,84% sur 5 séances), confirmant la thèse d'un rebond technique modéré. **Recommandation finale : CONSERVER** (avec biais acheteur pour les investisseurs déjà positionnés). La convergence est partielle : fondamentaux solides et prédictions haussières soutiennent le titre, mais la valorisation exigeante (EV/EBITDA) et les signaux techniques de court terme baissiers (MM) invitent à la prudence. **Niveau de confiance : Moyen**. **Niveau de risque global : Moyen** (volatilité modérée, coût du risque en hausse, valorisation tendue). **Horizon optimal : moyen terme (3-12 mois)**, le temps que la consolidation technique s'achève et que les résultats du S2 2026 confirment la maîtrise du coût du risque.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156.47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6,928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007800"/>
                <w:sz w:val="17"/>
              </w:rPr>
              <w:t>+11.98%</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12.88% (Moyenne) — μ=5,718 FCFA, σ=736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β=1.3184 (Agressif) — Cov=0.000102, Var(idx)=0.000077, ρ=0.418,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6,928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090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5,343</w:t>
            </w:r>
          </w:p>
        </w:tc>
        <w:tc>
          <w:tcPr>
            <w:tcW w:type="dxa" w:w="1440"/>
            <w:shd w:fill="FAFAFA" w:val="clear"/>
          </w:tcPr>
          <w:p>
            <w:r>
              <w:rPr>
                <w:b/>
                <w:sz w:val="17"/>
              </w:rPr>
              <w:t>5,669</w:t>
            </w:r>
          </w:p>
        </w:tc>
        <w:tc>
          <w:tcPr>
            <w:tcW w:type="dxa" w:w="1440"/>
            <w:shd w:fill="FAFAFA" w:val="clear"/>
          </w:tcPr>
          <w:p>
            <w:r>
              <w:rPr>
                <w:sz w:val="17"/>
              </w:rPr>
              <w:t>5,994</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5,165</w:t>
            </w:r>
          </w:p>
        </w:tc>
        <w:tc>
          <w:tcPr>
            <w:tcW w:type="dxa" w:w="1440"/>
            <w:shd w:fill="FAFAFA" w:val="clear"/>
          </w:tcPr>
          <w:p>
            <w:r>
              <w:rPr>
                <w:b/>
                <w:sz w:val="17"/>
              </w:rPr>
              <w:t>5,621</w:t>
            </w:r>
          </w:p>
        </w:tc>
        <w:tc>
          <w:tcPr>
            <w:tcW w:type="dxa" w:w="1440"/>
            <w:shd w:fill="FAFAFA" w:val="clear"/>
          </w:tcPr>
          <w:p>
            <w:r>
              <w:rPr>
                <w:sz w:val="17"/>
              </w:rPr>
              <w:t>6,078</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2026-10-22</w:t>
            </w:r>
          </w:p>
        </w:tc>
        <w:tc>
          <w:tcPr>
            <w:tcW w:type="dxa" w:w="1440"/>
            <w:shd w:fill="FFDCE0" w:val="clear"/>
          </w:tcPr>
          <w:p>
            <w:r>
              <w:rPr>
                <w:sz w:val="17"/>
              </w:rPr>
              <w:t>5,017</w:t>
            </w:r>
          </w:p>
        </w:tc>
        <w:tc>
          <w:tcPr>
            <w:tcW w:type="dxa" w:w="1440"/>
            <w:shd w:fill="FFDCE0" w:val="clear"/>
          </w:tcPr>
          <w:p>
            <w:r>
              <w:rPr>
                <w:b/>
                <w:sz w:val="17"/>
              </w:rPr>
              <w:t>5,571</w:t>
            </w:r>
          </w:p>
        </w:tc>
        <w:tc>
          <w:tcPr>
            <w:tcW w:type="dxa" w:w="1440"/>
            <w:shd w:fill="FFDCE0" w:val="clear"/>
          </w:tcPr>
          <w:p>
            <w:r>
              <w:rPr>
                <w:sz w:val="17"/>
              </w:rPr>
              <w:t>6,125</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2026-10-23</w:t>
            </w:r>
          </w:p>
        </w:tc>
        <w:tc>
          <w:tcPr>
            <w:tcW w:type="dxa" w:w="1440"/>
            <w:shd w:fill="FFDCE0" w:val="clear"/>
          </w:tcPr>
          <w:p>
            <w:r>
              <w:rPr>
                <w:sz w:val="17"/>
              </w:rPr>
              <w:t>4,889</w:t>
            </w:r>
          </w:p>
        </w:tc>
        <w:tc>
          <w:tcPr>
            <w:tcW w:type="dxa" w:w="1440"/>
            <w:shd w:fill="FFDCE0" w:val="clear"/>
          </w:tcPr>
          <w:p>
            <w:r>
              <w:rPr>
                <w:b/>
                <w:sz w:val="17"/>
              </w:rPr>
              <w:t>5,524</w:t>
            </w:r>
          </w:p>
        </w:tc>
        <w:tc>
          <w:tcPr>
            <w:tcW w:type="dxa" w:w="1440"/>
            <w:shd w:fill="FFDCE0" w:val="clear"/>
          </w:tcPr>
          <w:p>
            <w:r>
              <w:rPr>
                <w:sz w:val="17"/>
              </w:rPr>
              <w:t>6,158</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2026-10-26</w:t>
            </w:r>
          </w:p>
        </w:tc>
        <w:tc>
          <w:tcPr>
            <w:tcW w:type="dxa" w:w="1440"/>
            <w:shd w:fill="FFDCE0" w:val="clear"/>
          </w:tcPr>
          <w:p>
            <w:r>
              <w:rPr>
                <w:sz w:val="17"/>
              </w:rPr>
              <w:t>4,776</w:t>
            </w:r>
          </w:p>
        </w:tc>
        <w:tc>
          <w:tcPr>
            <w:tcW w:type="dxa" w:w="1440"/>
            <w:shd w:fill="FFDCE0" w:val="clear"/>
          </w:tcPr>
          <w:p>
            <w:r>
              <w:rPr>
                <w:b/>
                <w:sz w:val="17"/>
              </w:rPr>
              <w:t>5,480</w:t>
            </w:r>
          </w:p>
        </w:tc>
        <w:tc>
          <w:tcPr>
            <w:tcW w:type="dxa" w:w="1440"/>
            <w:shd w:fill="FFDCE0" w:val="clear"/>
          </w:tcPr>
          <w:p>
            <w:r>
              <w:rPr>
                <w:sz w:val="17"/>
              </w:rPr>
              <w:t>6,184</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2026-10-27</w:t>
            </w:r>
          </w:p>
        </w:tc>
        <w:tc>
          <w:tcPr>
            <w:tcW w:type="dxa" w:w="1440"/>
            <w:shd w:fill="FFDCE0" w:val="clear"/>
          </w:tcPr>
          <w:p>
            <w:r>
              <w:rPr>
                <w:sz w:val="17"/>
              </w:rPr>
              <w:t>4,674</w:t>
            </w:r>
          </w:p>
        </w:tc>
        <w:tc>
          <w:tcPr>
            <w:tcW w:type="dxa" w:w="1440"/>
            <w:shd w:fill="FFDCE0" w:val="clear"/>
          </w:tcPr>
          <w:p>
            <w:r>
              <w:rPr>
                <w:b/>
                <w:sz w:val="17"/>
              </w:rPr>
              <w:t>5,439</w:t>
            </w:r>
          </w:p>
        </w:tc>
        <w:tc>
          <w:tcPr>
            <w:tcW w:type="dxa" w:w="1440"/>
            <w:shd w:fill="FFDCE0" w:val="clear"/>
          </w:tcPr>
          <w:p>
            <w:r>
              <w:rPr>
                <w:sz w:val="17"/>
              </w:rPr>
              <w:t>6,204</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2026-10-28</w:t>
            </w:r>
          </w:p>
        </w:tc>
        <w:tc>
          <w:tcPr>
            <w:tcW w:type="dxa" w:w="1440"/>
            <w:shd w:fill="FFDCE0" w:val="clear"/>
          </w:tcPr>
          <w:p>
            <w:r>
              <w:rPr>
                <w:sz w:val="17"/>
              </w:rPr>
              <w:t>4,579</w:t>
            </w:r>
          </w:p>
        </w:tc>
        <w:tc>
          <w:tcPr>
            <w:tcW w:type="dxa" w:w="1440"/>
            <w:shd w:fill="FFDCE0" w:val="clear"/>
          </w:tcPr>
          <w:p>
            <w:r>
              <w:rPr>
                <w:b/>
                <w:sz w:val="17"/>
              </w:rPr>
              <w:t>5,400</w:t>
            </w:r>
          </w:p>
        </w:tc>
        <w:tc>
          <w:tcPr>
            <w:tcW w:type="dxa" w:w="1440"/>
            <w:shd w:fill="FFDCE0" w:val="clear"/>
          </w:tcPr>
          <w:p>
            <w:r>
              <w:rPr>
                <w:sz w:val="17"/>
              </w:rPr>
              <w:t>6,220</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2026-10-29</w:t>
            </w:r>
          </w:p>
        </w:tc>
        <w:tc>
          <w:tcPr>
            <w:tcW w:type="dxa" w:w="1440"/>
            <w:shd w:fill="FFDCE0" w:val="clear"/>
          </w:tcPr>
          <w:p>
            <w:r>
              <w:rPr>
                <w:sz w:val="17"/>
              </w:rPr>
              <w:t>4,491</w:t>
            </w:r>
          </w:p>
        </w:tc>
        <w:tc>
          <w:tcPr>
            <w:tcW w:type="dxa" w:w="1440"/>
            <w:shd w:fill="FFDCE0" w:val="clear"/>
          </w:tcPr>
          <w:p>
            <w:r>
              <w:rPr>
                <w:b/>
                <w:sz w:val="17"/>
              </w:rPr>
              <w:t>5,362</w:t>
            </w:r>
          </w:p>
        </w:tc>
        <w:tc>
          <w:tcPr>
            <w:tcW w:type="dxa" w:w="1440"/>
            <w:shd w:fill="FFDCE0" w:val="clear"/>
          </w:tcPr>
          <w:p>
            <w:r>
              <w:rPr>
                <w:sz w:val="17"/>
              </w:rPr>
              <w:t>6,233</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2026-10-30</w:t>
            </w:r>
          </w:p>
        </w:tc>
        <w:tc>
          <w:tcPr>
            <w:tcW w:type="dxa" w:w="1440"/>
            <w:shd w:fill="FFDCE0" w:val="clear"/>
          </w:tcPr>
          <w:p>
            <w:r>
              <w:rPr>
                <w:sz w:val="17"/>
              </w:rPr>
              <w:t>4,409</w:t>
            </w:r>
          </w:p>
        </w:tc>
        <w:tc>
          <w:tcPr>
            <w:tcW w:type="dxa" w:w="1440"/>
            <w:shd w:fill="FFDCE0" w:val="clear"/>
          </w:tcPr>
          <w:p>
            <w:r>
              <w:rPr>
                <w:b/>
                <w:sz w:val="17"/>
              </w:rPr>
              <w:t>5,327</w:t>
            </w:r>
          </w:p>
        </w:tc>
        <w:tc>
          <w:tcPr>
            <w:tcW w:type="dxa" w:w="1440"/>
            <w:shd w:fill="FFDCE0" w:val="clear"/>
          </w:tcPr>
          <w:p>
            <w:r>
              <w:rPr>
                <w:sz w:val="17"/>
              </w:rPr>
              <w:t>6,244</w:t>
            </w:r>
          </w:p>
        </w:tc>
        <w:tc>
          <w:tcPr>
            <w:tcW w:type="dxa" w:w="1440"/>
            <w:shd w:fill="FFDCE0" w:val="clear"/>
          </w:tcPr>
          <w:p>
            <w:r>
              <w:rPr>
                <w:b/>
                <w:color w:val="C00000"/>
                <w:sz w:val="17"/>
              </w:rPr>
              <w:t>-6.6%</w:t>
            </w:r>
          </w:p>
        </w:tc>
      </w:tr>
      <w:tr>
        <w:tc>
          <w:tcPr>
            <w:tcW w:type="dxa" w:w="1440"/>
            <w:shd w:fill="FFDCE0" w:val="clear"/>
          </w:tcPr>
          <w:p>
            <w:r>
              <w:rPr>
                <w:sz w:val="17"/>
              </w:rPr>
              <w:t>J+10  ⭐</w:t>
            </w:r>
          </w:p>
        </w:tc>
        <w:tc>
          <w:tcPr>
            <w:tcW w:type="dxa" w:w="1440"/>
            <w:shd w:fill="FFDCE0" w:val="clear"/>
          </w:tcPr>
          <w:p>
            <w:r>
              <w:rPr>
                <w:sz w:val="17"/>
              </w:rPr>
              <w:t>2026-11-02</w:t>
            </w:r>
          </w:p>
        </w:tc>
        <w:tc>
          <w:tcPr>
            <w:tcW w:type="dxa" w:w="1440"/>
            <w:shd w:fill="FFDCE0" w:val="clear"/>
          </w:tcPr>
          <w:p>
            <w:r>
              <w:rPr>
                <w:sz w:val="17"/>
              </w:rPr>
              <w:t>4,331</w:t>
            </w:r>
          </w:p>
        </w:tc>
        <w:tc>
          <w:tcPr>
            <w:tcW w:type="dxa" w:w="1440"/>
            <w:shd w:fill="FFDCE0" w:val="clear"/>
          </w:tcPr>
          <w:p>
            <w:r>
              <w:rPr>
                <w:b/>
                <w:sz w:val="17"/>
              </w:rPr>
              <w:t>5,292</w:t>
            </w:r>
          </w:p>
        </w:tc>
        <w:tc>
          <w:tcPr>
            <w:tcW w:type="dxa" w:w="1440"/>
            <w:shd w:fill="FFDCE0" w:val="clear"/>
          </w:tcPr>
          <w:p>
            <w:r>
              <w:rPr>
                <w:sz w:val="17"/>
              </w:rPr>
              <w:t>6,254</w:t>
            </w:r>
          </w:p>
        </w:tc>
        <w:tc>
          <w:tcPr>
            <w:tcW w:type="dxa" w:w="1440"/>
            <w:shd w:fill="FFDCE0" w:val="clear"/>
          </w:tcPr>
          <w:p>
            <w:r>
              <w:rPr>
                <w:b/>
                <w:color w:val="C00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156,47 milliards FCFA, BOA Mali s'affirme comme une valeur bancaire de premier plan sur la cote BRVM, représentant une capitalisation substantielle à l'échelle régionale. Le BPA de 404 FCFA par action traduit la capacité bénéficiaire de la banque, et le PER de 14,1x situe le titre légèrement au-dessus de la moyenne BRVM (8-12x), signalant une valorisation modérée mais non excessive, cohérente avec la qualité des fondamentaux. Le P/B de 3,14x indique que le marché valorise l'action à plus de trois fois sa valeur comptable, traduisant une prime de croissance et de rentabilité accordée par les investisseurs. Enfin, l'EV/EBITDA de 7,0x, dans la fourchette raisonnable de 5-10x, confirme que la valeur d'entreprise reste proportionnée à la capacité opérationnelle de la banque, sans exubérance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BOAM affiche une variation totale de +11,98%, avec une dernière séance stable (J-1 : +0,00%), le cours se maintenant à 5 700 FCFA. Le range de trading est particulièrement large, oscillant entre un plus bas de 4 425 FCFA et un plus haut de 7 195 FCFA, soit un écart de près de 2 770 FCFA qui témoigne d'une réelle amplitude de négociation. La tendance générale est haussière sur la période, mais le cours actuel (5 700 FCFA) se situe dans la moitié inférieure du range, suggérant une correction depuis les sommets. Les statistiques descriptives révèlent une moyenne (5 718 FCFA) quasi identique à la médiane (5 700 FCFA) et au mode (5 700 FCFA), confirmant une distribution symétrique (skewness de -0,014) sans biais directionnel marqué. L'écart-type de 740 FCFA (CV de 12,9%) indique une dispersion modérée du cours autour de sa moyenne, tandis que le kurtosis de -0,847 (mésokurtique) signale une distribution proche de la normale, sans risque excessif de pics extrêmes. La volatilité annualisée de 43,8% classe le titre dans la catégorie des valeurs à volatilité élevée (&gt;30%), ce qui est caractéristique des petites capitalisations bancaires de la BRVM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(6 000,25 FCFA) et la MM50 (6 307,9 FCFA) se situent toutes deux au-dessus du cours actuel (5 700 FCFA), configurant une structure baissière où le prix évolue sous ses moyennes de référence. La MM20 étant inférieure à la MM50, on observe un croisement baissier confirmé, justifiant la décision technique de **Vente** : le momentum de court terme reste défavorable et le titre n'a pas encore retrouvé ses niveaux moyens.</w:t>
      </w:r>
    </w:p>
    <w:p>
      <w:pPr>
        <w:spacing w:after="120" w:line="276" w:lineRule="auto"/>
      </w:pPr>
      <w:r>
        <w:t>**Bandes de Bollinger** : Le cours (5 700 FCFA) évolue dans la partie basse du canal, entre la borne inférieure (5 575,74 FCFA) et la borne supérieure (6 424,76 FCFA), sans franchissement de seuil critique. La décision **Neutre** s'explique par cette position intermédiaire : le titre n'est ni en survente extrême (qui déclencherait un rebond technique) ni en surachat, et la largeur des bandes traduit une volatilité encore présente mais sans signal directionnel fort.</w:t>
      </w:r>
    </w:p>
    <w:p>
      <w:pPr>
        <w:spacing w:after="120" w:line="276" w:lineRule="auto"/>
      </w:pPr>
      <w:r>
        <w:t>**MACD** : La valeur du MACD (-156,097) est inférieure à sa ligne de signal (-113,23), confirmant une divergence baissière persistante et un momentum négatif. La décision **Vente** est justifiée par cette configuration où la pression vendeuse domine, le MACD évoluant en territoire négatif sans amorce de retournement visible à court terme.</w:t>
      </w:r>
    </w:p>
    <w:p>
      <w:pPr>
        <w:spacing w:after="120" w:line="276" w:lineRule="auto"/>
      </w:pPr>
      <w:r>
        <w:t>**RSI** : À 18,497, le RSI se situe très nettement sous le seuil de survente de 30, signalant une condition de **survente extrême**. La décision **Achat** est justifiée par ce niveau qui, historiquement, précède souvent un rebond technique : le titre a été massivement vendu et pourrait attirer des acheteurs à contre-courant, même si la tendance de fond reste baissière.</w:t>
      </w:r>
    </w:p>
    <w:p>
      <w:pPr>
        <w:spacing w:after="120" w:line="276" w:lineRule="auto"/>
      </w:pPr>
      <w:r>
        <w:t>**Stochastique** : Le %K et le %D sont tous deux à 0,0, traduisant une position au plancher absolu de l'indicateur, en zone de survente maximale. La décision **Achat** s'appuie sur ce niveau extrême qui, couplé au RSI, renforce l'hypothèse d'un rebond technique imminent, bien que le croisement des lignes ne soit pas encore visible.</w:t>
      </w:r>
    </w:p>
    <w:p>
      <w:pPr>
        <w:spacing w:after="120" w:line="276" w:lineRule="auto"/>
      </w:pPr>
      <w:r>
        <w:t>**Conclusion technique** : Les indicateurs présentent une divergence notable : les moyennes mobiles et le MACD confirment une tendance baissière de fond (décisions Vente), tandis que le RSI et le Stochastique signalent une survente extrême propice à un rebond (décisions Achat), et les Bandes de Bollinger restent neutres. Cette configuration contradictoire est typique d'une phase de capitulation : le titre est survendu à court terme mais la tendance reste fragile. Un rebond technique est probable, mais il pourrait ne pas suffire à inverser la tendance tant que le cours n'aura pas reconquis la MM20 (6 000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structurés de l'exercice 2025 (données officielles brvm_donnees_financieres) dressent le portrait d'une banque solide et rentable : le Produit Net Bancaire (équivalent du chiffre d'affaires bancaire) s'établit à 37,996 milliards FCFA, pour un résultat net de 11,081 milliards FCFA, soit une marge nette remarquable de 29,16%. Le ROE de 22,24% (très supérieur au seuil de 15% considéré comme excellent) et le ROA de 1,87% confirment une rentabilité des fonds propres de premier ordre. Le coefficient d'exploitation de 63,14% reste toutefois légèrement au-dessus du seuil de 60% d'efficacité, signalant une marge de progression sur la maîtrise des charges. Le coût du risque, mesuré à 43,39% des charges financières, demeure élevé et constitue un point de vigilance sur la qualité du portefeuille de crédits. La structure bilancielle est dominée par les dépôts clientèle (502,89 milliards FCFA) face à des créances clientèle de 253,65 milliards FCFA, soit un ratio de transformation de 50,5% — la banque collecte deux fois plus qu'elle ne prête, ce qui traduit une gestion prudente mais aussi un potentiel de développement du crédit. L'autonomie financière de 8,40% est faible (norme &gt;30%), reflet du modèle bancaire à fort levier, mais la solvabilité générale de 109,16% (actif/dettes &gt;1) confirme la solidité du bilan.</w:t>
      </w:r>
    </w:p>
    <w:p>
      <w:pPr>
        <w:spacing w:after="120" w:line="276" w:lineRule="auto"/>
      </w:pPr>
      <w:r>
        <w:t>Les rapports narratifs récents enrichissent cette analyse et révèlent une accélération de la dynamique : le rapport du **premier trimestre 2026** (analysé le 12/09/2026) affiche un PNB de 10 322 millions FCFA, en hausse de **+22,97%** sur un an, tandis que le rapport du **premier semestre 2026** (analysé le 24/09/2026) confirme un PNB semestriel de 21 987 millions FCFA, en progression de **+17,5%** — une nette accélération par rapport à la croissance de seulement +5,08% enregistrée sur l'exercice 2025. Cette trajectoire ascendante, portée par la hausse des revenus d'intérêts et des commissions, contraste avec les exercices antérieurs plus modérés (PNB 2024 de 36,16 milliards FCFA, +1,8%). Sur la base de ces rapports trimestriels 2026, on peut estimer que l'exercice 2026 devrait afficher un PNB annualisé supérieur à 42 milliards FCFA, soit une croissance à deux chiffres, et un résultat net en progression proportionnelle si le coût du risque reste contenu. La recommandation fondamentale est donc **positive** : la banque affiche une rentabilité exceptionnelle (ROE &gt;22%), une croissance réaccélérée en 2026 et une structure bilancielle solide, avec pour principaux risques le coût du risque élevé, la faible autonomie financière (structurelle au secteur) et l'exposition au contexte sécuritaire malien.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de l'analyse révèle un profil d'investissement contrasté mais globalement favorable. Sur le plan de la **valorisation (Partie 0)**, le PER de 14,1x (légèrement au-dessus de la moyenne BRVM) et le P/B de 3,14x traduisent une valorisation raisonnable mais non décotée, le marché intégrant déjà la qualité des fondamentaux. Le **comportement du cours (Partie 1)** est préoccupant à court terme : malgré une hausse de +11,98% sur 100 jours, le titre corrige depuis ses sommets (7 195 FCFA) et affiche une volatilité élevée de 43,8%, avec une distribution symétrique et sans pics extrêmes (kurtosis -0,847) qui n'écarte pas le risque de mouvements amples. Les **signaux techniques (Partie 2)** sont contradictoires : la tendance de fond reste baissière (MM20/MM50 au-dessus du cours, MACD négatif), mais la survente extrême (RSI 18,5, Stochastique à 0) plaide pour un rebond technique imminent — configuration de divergence typique d'un point d'inflexion possible. Les **fondamentaux (Partie 3)** sont le pilier le plus solide : ROE de 22,24%, marge nette de 29,16%, et surtout une réaccélération de la croissance du PNB (+17,5% au S1 2026, +22,97% au T1 2026) qui contraste avec la modération de 2025. Les **prédictions IA (J+1 à J+10)** anticipent une poursuite de la baisse (de 5 669 à 5 480 FCFA d'ici le 26/10/2026), confirmant la pression baissière de court terme mais créant un point d'entrée potentiel à des niveaux inférieurs.</w:t>
      </w:r>
    </w:p>
    <w:p>
      <w:pPr>
        <w:spacing w:after="120" w:line="276" w:lineRule="auto"/>
      </w:pPr>
      <w:r>
        <w:t>Face à cette convergence partielle — fondamentaux excellents et croissance réaccélérée d'un côté, technique baissière et prédictions négatives de l'autre — la recommandation finale est **CONSERVER**, avec un biais d'achat opportuniste en cas de repli vers 5 400-5 500 FCFA (zone de survente technique et de support). Le niveau de confiance est **Moyen** : la solidité fondamentale est élevée, mais l'incertitude technique et la volatilité du titre imposent la prudence. Le niveau de risque global est **Moyen à Élevé** (volatilité de 43,8%, contexte sécuritaire malien, coût du risque élevé). L'horizon d'investissement optimal est le **moyen terme (3-12 mois)** : le temps que la correction technique s'achève et que la croissance 2026 se matérialise dans les résultats annuels, avec un potentiel de revalorisation vers les 6 000-6 500 FCFA si les fondamentaux continuent de surprendre positivement.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8,746 titres</w:t>
            </w:r>
          </w:p>
        </w:tc>
        <w:tc>
          <w:tcPr>
            <w:tcW w:type="dxa" w:w="2268"/>
            <w:shd w:fill="FFF2CC" w:val="clear"/>
          </w:tcPr>
          <w:p>
            <w:r>
              <w:rPr>
                <w:b/>
                <w:color w:val="503200"/>
                <w:sz w:val="16"/>
              </w:rPr>
              <w:t xml:space="preserve">Cours actuel : </w:t>
            </w:r>
            <w:r>
              <w:rPr>
                <w:color w:val="000000"/>
                <w:sz w:val="17"/>
              </w:rPr>
              <w:t>4,500 FCFA</w:t>
            </w:r>
          </w:p>
          <w:p>
            <w:r>
              <w:rPr>
                <w:b/>
                <w:color w:val="503200"/>
                <w:sz w:val="16"/>
              </w:rPr>
              <w:t xml:space="preserve">Var. 100 jours : </w:t>
            </w:r>
            <w:r>
              <w:rPr>
                <w:b/>
                <w:color w:val="007800"/>
                <w:sz w:val="17"/>
              </w:rPr>
              <w:t>+20.64%</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3,695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13.32% (Moyenne) — μ=4,783 FCFA, σ=637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β=1.2422 (Agressif) — Cov=0.000096, Var(idx)=0.000077, ρ=0.398,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8,746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090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2026-10-20</w:t>
            </w:r>
          </w:p>
        </w:tc>
        <w:tc>
          <w:tcPr>
            <w:tcW w:type="dxa" w:w="1440"/>
            <w:shd w:fill="C6EFCE" w:val="clear"/>
          </w:tcPr>
          <w:p>
            <w:r>
              <w:rPr>
                <w:sz w:val="17"/>
              </w:rPr>
              <w:t>4,365</w:t>
            </w:r>
          </w:p>
        </w:tc>
        <w:tc>
          <w:tcPr>
            <w:tcW w:type="dxa" w:w="1440"/>
            <w:shd w:fill="C6EFCE" w:val="clear"/>
          </w:tcPr>
          <w:p>
            <w:r>
              <w:rPr>
                <w:b/>
                <w:sz w:val="17"/>
              </w:rPr>
              <w:t>4,642</w:t>
            </w:r>
          </w:p>
        </w:tc>
        <w:tc>
          <w:tcPr>
            <w:tcW w:type="dxa" w:w="1440"/>
            <w:shd w:fill="C6EFCE" w:val="clear"/>
          </w:tcPr>
          <w:p>
            <w:r>
              <w:rPr>
                <w:sz w:val="17"/>
              </w:rPr>
              <w:t>4,919</w:t>
            </w:r>
          </w:p>
        </w:tc>
        <w:tc>
          <w:tcPr>
            <w:tcW w:type="dxa" w:w="1440"/>
            <w:shd w:fill="C6EFCE" w:val="clear"/>
          </w:tcPr>
          <w:p>
            <w:r>
              <w:rPr>
                <w:b/>
                <w:color w:val="008000"/>
                <w:sz w:val="17"/>
              </w:rPr>
              <w:t>+3.1%</w:t>
            </w:r>
          </w:p>
        </w:tc>
      </w:tr>
      <w:tr>
        <w:tc>
          <w:tcPr>
            <w:tcW w:type="dxa" w:w="1440"/>
            <w:shd w:fill="C6EFCE" w:val="clear"/>
          </w:tcPr>
          <w:p>
            <w:r>
              <w:rPr>
                <w:sz w:val="17"/>
              </w:rPr>
              <w:t>J+2  ⭐</w:t>
            </w:r>
          </w:p>
        </w:tc>
        <w:tc>
          <w:tcPr>
            <w:tcW w:type="dxa" w:w="1440"/>
            <w:shd w:fill="C6EFCE" w:val="clear"/>
          </w:tcPr>
          <w:p>
            <w:r>
              <w:rPr>
                <w:sz w:val="17"/>
              </w:rPr>
              <w:t>2026-10-21</w:t>
            </w:r>
          </w:p>
        </w:tc>
        <w:tc>
          <w:tcPr>
            <w:tcW w:type="dxa" w:w="1440"/>
            <w:shd w:fill="C6EFCE" w:val="clear"/>
          </w:tcPr>
          <w:p>
            <w:r>
              <w:rPr>
                <w:sz w:val="17"/>
              </w:rPr>
              <w:t>4,250</w:t>
            </w:r>
          </w:p>
        </w:tc>
        <w:tc>
          <w:tcPr>
            <w:tcW w:type="dxa" w:w="1440"/>
            <w:shd w:fill="C6EFCE" w:val="clear"/>
          </w:tcPr>
          <w:p>
            <w:r>
              <w:rPr>
                <w:b/>
                <w:sz w:val="17"/>
              </w:rPr>
              <w:t>4,642</w:t>
            </w:r>
          </w:p>
        </w:tc>
        <w:tc>
          <w:tcPr>
            <w:tcW w:type="dxa" w:w="1440"/>
            <w:shd w:fill="C6EFCE" w:val="clear"/>
          </w:tcPr>
          <w:p>
            <w:r>
              <w:rPr>
                <w:sz w:val="17"/>
              </w:rPr>
              <w:t>5,034</w:t>
            </w:r>
          </w:p>
        </w:tc>
        <w:tc>
          <w:tcPr>
            <w:tcW w:type="dxa" w:w="1440"/>
            <w:shd w:fill="C6EFCE" w:val="clear"/>
          </w:tcPr>
          <w:p>
            <w:r>
              <w:rPr>
                <w:b/>
                <w:color w:val="008000"/>
                <w:sz w:val="17"/>
              </w:rPr>
              <w:t>+3.2%</w:t>
            </w:r>
          </w:p>
        </w:tc>
      </w:tr>
      <w:tr>
        <w:tc>
          <w:tcPr>
            <w:tcW w:type="dxa" w:w="1440"/>
            <w:shd w:fill="C6EFCE" w:val="clear"/>
          </w:tcPr>
          <w:p>
            <w:r>
              <w:rPr>
                <w:sz w:val="17"/>
              </w:rPr>
              <w:t>J+3  ⭐</w:t>
            </w:r>
          </w:p>
        </w:tc>
        <w:tc>
          <w:tcPr>
            <w:tcW w:type="dxa" w:w="1440"/>
            <w:shd w:fill="C6EFCE" w:val="clear"/>
          </w:tcPr>
          <w:p>
            <w:r>
              <w:rPr>
                <w:sz w:val="17"/>
              </w:rPr>
              <w:t>2026-10-22</w:t>
            </w:r>
          </w:p>
        </w:tc>
        <w:tc>
          <w:tcPr>
            <w:tcW w:type="dxa" w:w="1440"/>
            <w:shd w:fill="C6EFCE" w:val="clear"/>
          </w:tcPr>
          <w:p>
            <w:r>
              <w:rPr>
                <w:sz w:val="17"/>
              </w:rPr>
              <w:t>4,181</w:t>
            </w:r>
          </w:p>
        </w:tc>
        <w:tc>
          <w:tcPr>
            <w:tcW w:type="dxa" w:w="1440"/>
            <w:shd w:fill="C6EFCE" w:val="clear"/>
          </w:tcPr>
          <w:p>
            <w:r>
              <w:rPr>
                <w:b/>
                <w:sz w:val="17"/>
              </w:rPr>
              <w:t>4,663</w:t>
            </w:r>
          </w:p>
        </w:tc>
        <w:tc>
          <w:tcPr>
            <w:tcW w:type="dxa" w:w="1440"/>
            <w:shd w:fill="C6EFCE" w:val="clear"/>
          </w:tcPr>
          <w:p>
            <w:r>
              <w:rPr>
                <w:sz w:val="17"/>
              </w:rPr>
              <w:t>5,145</w:t>
            </w:r>
          </w:p>
        </w:tc>
        <w:tc>
          <w:tcPr>
            <w:tcW w:type="dxa" w:w="1440"/>
            <w:shd w:fill="C6EFCE" w:val="clear"/>
          </w:tcPr>
          <w:p>
            <w:r>
              <w:rPr>
                <w:b/>
                <w:color w:val="008000"/>
                <w:sz w:val="17"/>
              </w:rPr>
              <w:t>+3.6%</w:t>
            </w:r>
          </w:p>
        </w:tc>
      </w:tr>
      <w:tr>
        <w:tc>
          <w:tcPr>
            <w:tcW w:type="dxa" w:w="1440"/>
            <w:shd w:fill="C6EFCE" w:val="clear"/>
          </w:tcPr>
          <w:p>
            <w:r>
              <w:rPr>
                <w:sz w:val="17"/>
              </w:rPr>
              <w:t>J+4  ⭐</w:t>
            </w:r>
          </w:p>
        </w:tc>
        <w:tc>
          <w:tcPr>
            <w:tcW w:type="dxa" w:w="1440"/>
            <w:shd w:fill="C6EFCE" w:val="clear"/>
          </w:tcPr>
          <w:p>
            <w:r>
              <w:rPr>
                <w:sz w:val="17"/>
              </w:rPr>
              <w:t>2026-10-23</w:t>
            </w:r>
          </w:p>
        </w:tc>
        <w:tc>
          <w:tcPr>
            <w:tcW w:type="dxa" w:w="1440"/>
            <w:shd w:fill="C6EFCE" w:val="clear"/>
          </w:tcPr>
          <w:p>
            <w:r>
              <w:rPr>
                <w:sz w:val="17"/>
              </w:rPr>
              <w:t>4,127</w:t>
            </w:r>
          </w:p>
        </w:tc>
        <w:tc>
          <w:tcPr>
            <w:tcW w:type="dxa" w:w="1440"/>
            <w:shd w:fill="C6EFCE" w:val="clear"/>
          </w:tcPr>
          <w:p>
            <w:r>
              <w:rPr>
                <w:b/>
                <w:sz w:val="17"/>
              </w:rPr>
              <w:t>4,687</w:t>
            </w:r>
          </w:p>
        </w:tc>
        <w:tc>
          <w:tcPr>
            <w:tcW w:type="dxa" w:w="1440"/>
            <w:shd w:fill="C6EFCE" w:val="clear"/>
          </w:tcPr>
          <w:p>
            <w:r>
              <w:rPr>
                <w:sz w:val="17"/>
              </w:rPr>
              <w:t>5,247</w:t>
            </w:r>
          </w:p>
        </w:tc>
        <w:tc>
          <w:tcPr>
            <w:tcW w:type="dxa" w:w="1440"/>
            <w:shd w:fill="C6EFCE" w:val="clear"/>
          </w:tcPr>
          <w:p>
            <w:r>
              <w:rPr>
                <w:b/>
                <w:color w:val="008000"/>
                <w:sz w:val="17"/>
              </w:rPr>
              <w:t>+4.2%</w:t>
            </w:r>
          </w:p>
        </w:tc>
      </w:tr>
      <w:tr>
        <w:tc>
          <w:tcPr>
            <w:tcW w:type="dxa" w:w="1440"/>
            <w:shd w:fill="C6EFCE" w:val="clear"/>
          </w:tcPr>
          <w:p>
            <w:r>
              <w:rPr>
                <w:sz w:val="17"/>
              </w:rPr>
              <w:t>J+5  ⭐</w:t>
            </w:r>
          </w:p>
        </w:tc>
        <w:tc>
          <w:tcPr>
            <w:tcW w:type="dxa" w:w="1440"/>
            <w:shd w:fill="C6EFCE" w:val="clear"/>
          </w:tcPr>
          <w:p>
            <w:r>
              <w:rPr>
                <w:sz w:val="17"/>
              </w:rPr>
              <w:t>2026-10-26</w:t>
            </w:r>
          </w:p>
        </w:tc>
        <w:tc>
          <w:tcPr>
            <w:tcW w:type="dxa" w:w="1440"/>
            <w:shd w:fill="C6EFCE" w:val="clear"/>
          </w:tcPr>
          <w:p>
            <w:r>
              <w:rPr>
                <w:sz w:val="17"/>
              </w:rPr>
              <w:t>4,082</w:t>
            </w:r>
          </w:p>
        </w:tc>
        <w:tc>
          <w:tcPr>
            <w:tcW w:type="dxa" w:w="1440"/>
            <w:shd w:fill="C6EFCE" w:val="clear"/>
          </w:tcPr>
          <w:p>
            <w:r>
              <w:rPr>
                <w:b/>
                <w:sz w:val="17"/>
              </w:rPr>
              <w:t>4,712</w:t>
            </w:r>
          </w:p>
        </w:tc>
        <w:tc>
          <w:tcPr>
            <w:tcW w:type="dxa" w:w="1440"/>
            <w:shd w:fill="C6EFCE" w:val="clear"/>
          </w:tcPr>
          <w:p>
            <w:r>
              <w:rPr>
                <w:sz w:val="17"/>
              </w:rPr>
              <w:t>5,341</w:t>
            </w:r>
          </w:p>
        </w:tc>
        <w:tc>
          <w:tcPr>
            <w:tcW w:type="dxa" w:w="1440"/>
            <w:shd w:fill="C6EFCE" w:val="clear"/>
          </w:tcPr>
          <w:p>
            <w:r>
              <w:rPr>
                <w:b/>
                <w:color w:val="008000"/>
                <w:sz w:val="17"/>
              </w:rPr>
              <w:t>+4.7%</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4,043</w:t>
            </w:r>
          </w:p>
        </w:tc>
        <w:tc>
          <w:tcPr>
            <w:tcW w:type="dxa" w:w="1440"/>
            <w:shd w:fill="C6EFCE" w:val="clear"/>
          </w:tcPr>
          <w:p>
            <w:r>
              <w:rPr>
                <w:b/>
                <w:sz w:val="17"/>
              </w:rPr>
              <w:t>4,736</w:t>
            </w:r>
          </w:p>
        </w:tc>
        <w:tc>
          <w:tcPr>
            <w:tcW w:type="dxa" w:w="1440"/>
            <w:shd w:fill="C6EFCE" w:val="clear"/>
          </w:tcPr>
          <w:p>
            <w:r>
              <w:rPr>
                <w:sz w:val="17"/>
              </w:rPr>
              <w:t>5,428</w:t>
            </w:r>
          </w:p>
        </w:tc>
        <w:tc>
          <w:tcPr>
            <w:tcW w:type="dxa" w:w="1440"/>
            <w:shd w:fill="C6EFCE" w:val="clear"/>
          </w:tcPr>
          <w:p>
            <w:r>
              <w:rPr>
                <w:b/>
                <w:color w:val="008000"/>
                <w:sz w:val="17"/>
              </w:rPr>
              <w:t>+5.2%</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4,008</w:t>
            </w:r>
          </w:p>
        </w:tc>
        <w:tc>
          <w:tcPr>
            <w:tcW w:type="dxa" w:w="1440"/>
            <w:shd w:fill="C6EFCE" w:val="clear"/>
          </w:tcPr>
          <w:p>
            <w:r>
              <w:rPr>
                <w:b/>
                <w:sz w:val="17"/>
              </w:rPr>
              <w:t>4,760</w:t>
            </w:r>
          </w:p>
        </w:tc>
        <w:tc>
          <w:tcPr>
            <w:tcW w:type="dxa" w:w="1440"/>
            <w:shd w:fill="C6EFCE" w:val="clear"/>
          </w:tcPr>
          <w:p>
            <w:r>
              <w:rPr>
                <w:sz w:val="17"/>
              </w:rPr>
              <w:t>5,512</w:t>
            </w:r>
          </w:p>
        </w:tc>
        <w:tc>
          <w:tcPr>
            <w:tcW w:type="dxa" w:w="1440"/>
            <w:shd w:fill="C6EFCE" w:val="clear"/>
          </w:tcPr>
          <w:p>
            <w:r>
              <w:rPr>
                <w:b/>
                <w:color w:val="008000"/>
                <w:sz w:val="17"/>
              </w:rPr>
              <w:t>+5.8%</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3,976</w:t>
            </w:r>
          </w:p>
        </w:tc>
        <w:tc>
          <w:tcPr>
            <w:tcW w:type="dxa" w:w="1440"/>
            <w:shd w:fill="C6EFCE" w:val="clear"/>
          </w:tcPr>
          <w:p>
            <w:r>
              <w:rPr>
                <w:b/>
                <w:sz w:val="17"/>
              </w:rPr>
              <w:t>4,784</w:t>
            </w:r>
          </w:p>
        </w:tc>
        <w:tc>
          <w:tcPr>
            <w:tcW w:type="dxa" w:w="1440"/>
            <w:shd w:fill="C6EFCE" w:val="clear"/>
          </w:tcPr>
          <w:p>
            <w:r>
              <w:rPr>
                <w:sz w:val="17"/>
              </w:rPr>
              <w:t>5,592</w:t>
            </w:r>
          </w:p>
        </w:tc>
        <w:tc>
          <w:tcPr>
            <w:tcW w:type="dxa" w:w="1440"/>
            <w:shd w:fill="C6EFCE" w:val="clear"/>
          </w:tcPr>
          <w:p>
            <w:r>
              <w:rPr>
                <w:b/>
                <w:color w:val="008000"/>
                <w:sz w:val="17"/>
              </w:rPr>
              <w:t>+6.3%</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3,946</w:t>
            </w:r>
          </w:p>
        </w:tc>
        <w:tc>
          <w:tcPr>
            <w:tcW w:type="dxa" w:w="1440"/>
            <w:shd w:fill="C6EFCE" w:val="clear"/>
          </w:tcPr>
          <w:p>
            <w:r>
              <w:rPr>
                <w:b/>
                <w:sz w:val="17"/>
              </w:rPr>
              <w:t>4,808</w:t>
            </w:r>
          </w:p>
        </w:tc>
        <w:tc>
          <w:tcPr>
            <w:tcW w:type="dxa" w:w="1440"/>
            <w:shd w:fill="C6EFCE" w:val="clear"/>
          </w:tcPr>
          <w:p>
            <w:r>
              <w:rPr>
                <w:sz w:val="17"/>
              </w:rPr>
              <w:t>5,669</w:t>
            </w:r>
          </w:p>
        </w:tc>
        <w:tc>
          <w:tcPr>
            <w:tcW w:type="dxa" w:w="1440"/>
            <w:shd w:fill="C6EFCE" w:val="clear"/>
          </w:tcPr>
          <w:p>
            <w:r>
              <w:rPr>
                <w:b/>
                <w:color w:val="008000"/>
                <w:sz w:val="17"/>
              </w:rPr>
              <w:t>+6.8%</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3,919</w:t>
            </w:r>
          </w:p>
        </w:tc>
        <w:tc>
          <w:tcPr>
            <w:tcW w:type="dxa" w:w="1440"/>
            <w:shd w:fill="C6EFCE" w:val="clear"/>
          </w:tcPr>
          <w:p>
            <w:r>
              <w:rPr>
                <w:b/>
                <w:sz w:val="17"/>
              </w:rPr>
              <w:t>4,831</w:t>
            </w:r>
          </w:p>
        </w:tc>
        <w:tc>
          <w:tcPr>
            <w:tcW w:type="dxa" w:w="1440"/>
            <w:shd w:fill="C6EFCE" w:val="clear"/>
          </w:tcPr>
          <w:p>
            <w:r>
              <w:rPr>
                <w:sz w:val="17"/>
              </w:rPr>
              <w:t>5,743</w:t>
            </w:r>
          </w:p>
        </w:tc>
        <w:tc>
          <w:tcPr>
            <w:tcW w:type="dxa" w:w="1440"/>
            <w:shd w:fill="C6EFCE" w:val="clear"/>
          </w:tcPr>
          <w:p>
            <w:r>
              <w:rPr>
                <w:b/>
                <w:color w:val="008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RAPPORT D'ANALYSE FINANCIÈRE — BOAN (Bank of Africa Niger)</w:t>
        <w:br/>
        <w:t>### BRVM | Secteur Bancaire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**93,60 Mds FCFA**, un niveau intermédiaire à l'échelle de la BRVM qui positionne la banque parmi les valeurs bancaires de second rang, loin des géants régionaux comme Coris Bank ou Ecobank. Le BPA de **20 FCFA/action** est extrêmement faible, conséquence directe de l'effondrement du résultat net 2025 à 409 M FCFA. Le PER ressort à **228,9x**, un niveau stratosphérique comparé à la moyenne BRVM (~8-12x) : les investisseurs paient environ 229 fois les bénéfices actuels, ce qui traduit soit une anticipation très forte de redressement, soit une décorrélation totale entre le prix et la rentabilité présente. Le P/B de **2,60x** indique que le marché valorise l'action à 2,6 fois sa valeur comptable (36,06 Mds FCFA de capitaux propres), soit une prime de croissance significative alors même que le ROE n'est que de 1,13%. Enfin, l'EV/EBITDA de **37,2x** (très au-delà du seuil de 15x) confirme une valorisation opérationnelle extrêmement exigeante, largement incompatible avec les performances actuelles — ces ratios traduisent une action portée par les anticipations de rebond 2026 plutôt que par ses fondamentaux présents.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**variation totale de +20,64%**, mais la dernière séance (J-1) enregistre un repli marqué de **-4,26%**, signalant une prise de bénéfices ou un retournement de court terme. Le cours actuel de **4 500 FCFA** se situe dans la moitié basse du range de trading, entre un plus bas de **3 695 FCFA** et un plus haut de **5 645 FCFA** — soit un amplitude de plus de 52% sur la période, caractéristique d'une tendance haussière forte mais désormais en phase de correction. La tendance générale reste haussière sur 100 jours, mais le repli récent et la position sous les moyennes mobiles suggèrent un essoufflement. Les statistiques descriptives révèlent une distribution asymétrique : la **moyenne (4 783 FCFA)** est nettement inférieure à la **médiane (5 088 FCFA)**, avec un mode à 5 200 FCFA, confirmant que le cours a passé plus de temps au-dessus de sa moyenne (skewness de **-0,575**, asymétrie négative) avant de chuter récemment. L'**écart-type de 640 FCFA (CV=13,4%)** indique une dispersion modérée, tandis que le **kurtosis de -1,156** (distribution platykurtique) signale une faible concentration des rendements et un risque de mouvements amples plutôt que de pics extrêmes. La **volatilité annualisée de 43,9%** classe le titre dans la catégorie des valeurs à volatilité élevée (&gt;30%), ce qui est cohérent avec un profil bancaire de marché frontière et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(4 894,75 FCFA) et la MM50 (5 164,80 FCFA) se situent toutes deux au-dessus du cours actuel (4 500 FCFA), avec une MM20 sous la MM50 — configuration baissière de court terme. Le cours évolue sous ses deux moyennes, ce qui justifie la **décision de Vente** : la pression vendeuse domine et la tendance de fond s'est retournée à la baisse malgré le rebond des 100 jours.</w:t>
      </w:r>
    </w:p>
    <w:p>
      <w:pPr>
        <w:spacing w:after="120" w:line="276" w:lineRule="auto"/>
      </w:pPr>
      <w:r>
        <w:t>**Bandes de Bollinger** : La borne supérieure est à 5 468,63 FCFA et la borne inférieure à 4 320,87 FCFA, avec un cours actuel de 4 500 FCFA qui se situe dans la partie basse de la bande, à proximité de la borne inférieure. Cette position traduit une pression baissière récente mais sans franchissement de seuil critique, d'où la **décision Neutre** : le titre n'est ni en survente extrême ni en surachat, la volatilité reste contenue dans le canal.</w:t>
      </w:r>
    </w:p>
    <w:p>
      <w:pPr>
        <w:spacing w:after="120" w:line="276" w:lineRule="auto"/>
      </w:pPr>
      <w:r>
        <w:t>**MACD** : La valeur du MACD (-171,138) est inférieure à son signal (-137,494), avec un histogramme négatif — configuration baissière confirmée. Le momentum est clairement négatif et la divergence MACD-Signal persiste, justifiant la **décision de Vente** : la dynamique de court terme reste défavorable malgré le rebond antérieur.</w:t>
      </w:r>
    </w:p>
    <w:p>
      <w:pPr>
        <w:spacing w:after="120" w:line="276" w:lineRule="auto"/>
      </w:pPr>
      <w:r>
        <w:t>**RSI** : À **23,42**, le RSI se situe nettement sous le seuil de 30, en zone de **survente**. Cette lecture contraste avec les autres indicateurs et justifie la **décision d'Achat** : un rebond technique est statistiquement probable à court terme, le titre étant survendu après la chute de -4,26% de la dernière séance.</w:t>
      </w:r>
    </w:p>
    <w:p>
      <w:pPr>
        <w:spacing w:after="120" w:line="276" w:lineRule="auto"/>
      </w:pPr>
      <w:r>
        <w:t>**Stochastique** : Le %K (2,857) est très bas et inférieur au %D (14,64), en zone de survente extrême. Le croisement baissier est déjà réalisé mais la position du %K sous 20 suggère un épuisement de la pression vendeuse, justifiant la **décision d'Achat** en anticipation d'un retournement technique.</w:t>
      </w:r>
    </w:p>
    <w:p>
      <w:pPr>
        <w:spacing w:after="120" w:line="276" w:lineRule="auto"/>
      </w:pPr>
      <w:r>
        <w:t>**Conclusion technique** : Les indicateurs sont **divergents** — les moyennes mobiles et le MACD confirment une tendance baissière de fond (Vente), tandis que le RSI et le stochastique signalent une survente extrême propice à un rebond technique (Achat), et les Bollinger restent neutres. Cette configuration typique d'un **point d'inflexion** suggère qu'un rebond de court terme est possible, mais qu'il s'inscrit dans une tendance baissière plus large : la prudence reste de mise, et tout rebond devrait être considéré comme une opportunité de sortie plutôt que d'entrée pour les traders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BOAN affiche un **PNB de 21 125 M FCFA**, en repli de **-1,19%** sur un an, et un **résultat net effondré à 409 M FCFA** (contre 5 002 M FCFA en 2024, soit **-91,8%**). Le **ROE chute à 1,13%** (contre 11,39% en 2024) et le **ROA à 0,14%** — des niveaux catastrophiques pour une banque. Le **coefficient d'exploitation de 74,37%** dépasse largement le seuil de 60% d'efficacité, et le **coût du risque rapporté aux charges financières atteint 67,30%**, révélant un portefeuille de crédit très dégradé (taux de créances en souffrance de 24% selon les rapports, contre 12% en moyenne UEMOA). La structure financière reste fragile : **autonomie financière de 12,36%** (bien en dessous du seuil sain de 30%), **ratio d'endettement de 178,61%**, et **trésorerie nette négative de -43,516 Mds FCFA**. La transformation bancaire est déséquilibrée : **183,28 Mds FCFA de dépôts clientèle** face à seulement **128,45 Mds FCFA de créances clientèle**, soit un ratio dépôts/crédits de 143% — la banque collecte plus qu'elle ne prête, ce qui pèse sur la marge d'intérêt.</w:t>
      </w:r>
    </w:p>
    <w:p>
      <w:pPr>
        <w:spacing w:after="120" w:line="276" w:lineRule="auto"/>
      </w:pPr>
      <w:r>
        <w:t>**Évolution et rapports trimestriels** : Le rapport du **T1 2026 (daté du 31 mars 2026, analysé le 05/09/2026)** confirme un **début de redressement** : PNB en hausse de **+7,9%** à 5 170 M FCFA, résultat net en progression de **+28,9%** à 1 467,3 M FCFA, et coefficient d'exploitation ramené à **56,2%** (contre 66,8% un an plus tôt). Le rapport du **S2 2025 (daté du 31/12/2025)** avait déjà identifié la provision exceptionnelle de 4,8 Mds FCFA comme cause principale de l'effondrement, et souligné la croissance des dépôts (+4%) et la réduction volontaire des crédits (-20,9%). Sur la base du T1 2026, on peut **estimer** que l'exercice 2026 devrait afficher un PNB en croissance de 6-8% (budget directeur : 22 327 M FCFA, +6,4%) et un résultat net en forte reprise (objectif de 7 280 M FCFA de résultat avant impôt, soit +515%), sous réserve de la confirmation du redressement sur les trimestres suivants.</w:t>
      </w:r>
    </w:p>
    <w:p>
      <w:pPr>
        <w:spacing w:after="120" w:line="276" w:lineRule="auto"/>
      </w:pPr>
      <w:r>
        <w:t>**Conclusion fondamentale** : BOAN sort d'une année 2025 catastrophique (provision exceptionnelle, erreur comptable de 1 821 M FCFA, sanctions post-coup d'État), mais les premiers signes de redressement du T1 2026 sont encourageants. La **solidité financière reste préoccupante** (faible autonomie financière, trésorerie négative, coût du risque élevé), mais le soutien du Groupe BOA, les ratios prudentiels conformes (solvabilité 14,06%, liquidité 123,95%) et le plan stratégique 2025-2027 (digitalisation, PME, trade finance) constituent des atouts. **Recommandation fondamentale : CONSERVER sous surveillance rapprochée** — le redressement est réel mais fragile, et un seul trimestre de reprise ne suffit pas à lever les risques structurels.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**décalage majeur** entre la valorisation et les fondamentaux. La **valorisation (Partie 0)** est extrêmement tendue : PER de 228,9x, P/B de 2,60x et EV/EBITDA de 37,2x traduisent une **surévaluation manifeste** au regard des bénéfices présents, le marché ayant déjà intégré l'anticipation du rebond 2026. Le **comportement du cours (Partie 1)** montre une tendance haussière de +20,64% sur 100 jours mais un retournement récent (-4,26% en J-1), avec une volatilité élevée (43,9%) et une distribution asymétrique négativement (skewness -0,575) — des statistiques **préoccupantes** pour un investisseur averse au risque. Les **signaux techniques (Partie 2)** sont **divergents** : baissiers sur les MM et le MACD, mais acheteurs sur le RSI (23,42) et le stochastique (2,86) en survente extrême, suggérant un rebond technique de court terme dans une tendance de fond baissière. Les **fondamentaux (Partie 3)** sont **mitigés** : 2025 catastrophique (ROE 1,13%, résultat net -91,8%) mais T1 2026 en net redressement (+28,9% de résultat net, coefficient d'exploitation à 56,2%), avec des estimations 2026 favorables mais à confirmer. Les **prédictions IA (J+1 à J+10)** anticipent une **légère reprise** de 4 642 à 4 712 FCFA (+2,5% sur 10 jours), cohérente avec la survente technique mais contredisant la tendance baissière des MM/MACD.</w:t>
      </w:r>
    </w:p>
    <w:p>
      <w:pPr>
        <w:spacing w:after="120" w:line="276" w:lineRule="auto"/>
      </w:pPr>
      <w:r>
        <w:t>**Recommandation finale : CONSERVER** — avec un **niveau de confiance Moyen** et un **niveau de risque Élevé**. La convergence est partielle : la survente technique et les prédictions IA plaident pour un rebond de court terme, tandis que la valorisation extrême et les fondamentaux encore fragiles limitent le potentiel haussier durable. Le titre convient aux **investisseurs patients** (horizon **long terme &gt;1 an**) prêts à tolérer une volatilité élevée en misant sur la confirmation du redressement 2026-2027, mais les investisseurs recherchant rendement immédiat ou dividende (aucun dividende depuis 3 ans) doivent **s'abstenir**. Un **achat spéculatif de court terme** pourrait se justifier sur la survente (RSI 23), mais avec un stop-loss strict sous 4 320 FCFA (borne inférieure de Bollinger).</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291.60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11,380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+11.72%</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4.92% (Faible) — μ=7,780 FCFA, σ=383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β=0.5656 (Défensif) — Cov=0.000044, Var(idx)=0.000077, ρ=0.337,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11,380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σ_j=1.47%/j (Stable) — Vol. annualisée≈23.3%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090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2026-10-20</w:t>
            </w:r>
          </w:p>
        </w:tc>
        <w:tc>
          <w:tcPr>
            <w:tcW w:type="dxa" w:w="1440"/>
            <w:shd w:fill="FFDCE0" w:val="clear"/>
          </w:tcPr>
          <w:p>
            <w:r>
              <w:rPr>
                <w:sz w:val="17"/>
              </w:rPr>
              <w:t>7,760</w:t>
            </w:r>
          </w:p>
        </w:tc>
        <w:tc>
          <w:tcPr>
            <w:tcW w:type="dxa" w:w="1440"/>
            <w:shd w:fill="FFDCE0" w:val="clear"/>
          </w:tcPr>
          <w:p>
            <w:r>
              <w:rPr>
                <w:b/>
                <w:sz w:val="17"/>
              </w:rPr>
              <w:t>7,936</w:t>
            </w:r>
          </w:p>
        </w:tc>
        <w:tc>
          <w:tcPr>
            <w:tcW w:type="dxa" w:w="1440"/>
            <w:shd w:fill="FFDCE0" w:val="clear"/>
          </w:tcPr>
          <w:p>
            <w:r>
              <w:rPr>
                <w:sz w:val="17"/>
              </w:rPr>
              <w:t>8,113</w:t>
            </w:r>
          </w:p>
        </w:tc>
        <w:tc>
          <w:tcPr>
            <w:tcW w:type="dxa" w:w="1440"/>
            <w:shd w:fill="FFDCE0"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2026-10-21</w:t>
            </w:r>
          </w:p>
        </w:tc>
        <w:tc>
          <w:tcPr>
            <w:tcW w:type="dxa" w:w="1440"/>
            <w:shd w:fill="FFDCE0" w:val="clear"/>
          </w:tcPr>
          <w:p>
            <w:r>
              <w:rPr>
                <w:sz w:val="17"/>
              </w:rPr>
              <w:t>7,574</w:t>
            </w:r>
          </w:p>
        </w:tc>
        <w:tc>
          <w:tcPr>
            <w:tcW w:type="dxa" w:w="1440"/>
            <w:shd w:fill="FFDCE0" w:val="clear"/>
          </w:tcPr>
          <w:p>
            <w:r>
              <w:rPr>
                <w:b/>
                <w:sz w:val="17"/>
              </w:rPr>
              <w:t>7,819</w:t>
            </w:r>
          </w:p>
        </w:tc>
        <w:tc>
          <w:tcPr>
            <w:tcW w:type="dxa" w:w="1440"/>
            <w:shd w:fill="FFDCE0" w:val="clear"/>
          </w:tcPr>
          <w:p>
            <w:r>
              <w:rPr>
                <w:sz w:val="17"/>
              </w:rPr>
              <w:t>8,065</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2026-10-22</w:t>
            </w:r>
          </w:p>
        </w:tc>
        <w:tc>
          <w:tcPr>
            <w:tcW w:type="dxa" w:w="1440"/>
            <w:shd w:fill="FFDCE0" w:val="clear"/>
          </w:tcPr>
          <w:p>
            <w:r>
              <w:rPr>
                <w:sz w:val="17"/>
              </w:rPr>
              <w:t>7,411</w:t>
            </w:r>
          </w:p>
        </w:tc>
        <w:tc>
          <w:tcPr>
            <w:tcW w:type="dxa" w:w="1440"/>
            <w:shd w:fill="FFDCE0" w:val="clear"/>
          </w:tcPr>
          <w:p>
            <w:r>
              <w:rPr>
                <w:b/>
                <w:sz w:val="17"/>
              </w:rPr>
              <w:t>7,708</w:t>
            </w:r>
          </w:p>
        </w:tc>
        <w:tc>
          <w:tcPr>
            <w:tcW w:type="dxa" w:w="1440"/>
            <w:shd w:fill="FFDCE0" w:val="clear"/>
          </w:tcPr>
          <w:p>
            <w:r>
              <w:rPr>
                <w:sz w:val="17"/>
              </w:rPr>
              <w:t>8,005</w:t>
            </w:r>
          </w:p>
        </w:tc>
        <w:tc>
          <w:tcPr>
            <w:tcW w:type="dxa" w:w="1440"/>
            <w:shd w:fill="FFDCE0" w:val="clear"/>
          </w:tcPr>
          <w:p>
            <w:r>
              <w:rPr>
                <w:b/>
                <w:color w:val="C00000"/>
                <w:sz w:val="17"/>
              </w:rPr>
              <w:t>-4.8%</w:t>
            </w:r>
          </w:p>
        </w:tc>
      </w:tr>
      <w:tr>
        <w:tc>
          <w:tcPr>
            <w:tcW w:type="dxa" w:w="1440"/>
            <w:shd w:fill="FFDCE0" w:val="clear"/>
          </w:tcPr>
          <w:p>
            <w:r>
              <w:rPr>
                <w:sz w:val="17"/>
              </w:rPr>
              <w:t>J+4  Moyenne</w:t>
            </w:r>
          </w:p>
        </w:tc>
        <w:tc>
          <w:tcPr>
            <w:tcW w:type="dxa" w:w="1440"/>
            <w:shd w:fill="FFDCE0" w:val="clear"/>
          </w:tcPr>
          <w:p>
            <w:r>
              <w:rPr>
                <w:sz w:val="17"/>
              </w:rPr>
              <w:t>2026-10-23</w:t>
            </w:r>
          </w:p>
        </w:tc>
        <w:tc>
          <w:tcPr>
            <w:tcW w:type="dxa" w:w="1440"/>
            <w:shd w:fill="FFDCE0" w:val="clear"/>
          </w:tcPr>
          <w:p>
            <w:r>
              <w:rPr>
                <w:sz w:val="17"/>
              </w:rPr>
              <w:t>7,268</w:t>
            </w:r>
          </w:p>
        </w:tc>
        <w:tc>
          <w:tcPr>
            <w:tcW w:type="dxa" w:w="1440"/>
            <w:shd w:fill="FFDCE0" w:val="clear"/>
          </w:tcPr>
          <w:p>
            <w:r>
              <w:rPr>
                <w:b/>
                <w:sz w:val="17"/>
              </w:rPr>
              <w:t>7,606</w:t>
            </w:r>
          </w:p>
        </w:tc>
        <w:tc>
          <w:tcPr>
            <w:tcW w:type="dxa" w:w="1440"/>
            <w:shd w:fill="FFDCE0" w:val="clear"/>
          </w:tcPr>
          <w:p>
            <w:r>
              <w:rPr>
                <w:sz w:val="17"/>
              </w:rPr>
              <w:t>7,944</w:t>
            </w:r>
          </w:p>
        </w:tc>
        <w:tc>
          <w:tcPr>
            <w:tcW w:type="dxa" w:w="1440"/>
            <w:shd w:fill="FFDCE0" w:val="clear"/>
          </w:tcPr>
          <w:p>
            <w:r>
              <w:rPr>
                <w:b/>
                <w:color w:val="C00000"/>
                <w:sz w:val="17"/>
              </w:rPr>
              <w:t>-6.1%</w:t>
            </w:r>
          </w:p>
        </w:tc>
      </w:tr>
      <w:tr>
        <w:tc>
          <w:tcPr>
            <w:tcW w:type="dxa" w:w="1440"/>
            <w:shd w:fill="FFDCE0" w:val="clear"/>
          </w:tcPr>
          <w:p>
            <w:r>
              <w:rPr>
                <w:sz w:val="17"/>
              </w:rPr>
              <w:t>J+5  Moyenne</w:t>
            </w:r>
          </w:p>
        </w:tc>
        <w:tc>
          <w:tcPr>
            <w:tcW w:type="dxa" w:w="1440"/>
            <w:shd w:fill="FFDCE0" w:val="clear"/>
          </w:tcPr>
          <w:p>
            <w:r>
              <w:rPr>
                <w:sz w:val="17"/>
              </w:rPr>
              <w:t>2026-10-26</w:t>
            </w:r>
          </w:p>
        </w:tc>
        <w:tc>
          <w:tcPr>
            <w:tcW w:type="dxa" w:w="1440"/>
            <w:shd w:fill="FFDCE0" w:val="clear"/>
          </w:tcPr>
          <w:p>
            <w:r>
              <w:rPr>
                <w:sz w:val="17"/>
              </w:rPr>
              <w:t>7,136</w:t>
            </w:r>
          </w:p>
        </w:tc>
        <w:tc>
          <w:tcPr>
            <w:tcW w:type="dxa" w:w="1440"/>
            <w:shd w:fill="FFDCE0" w:val="clear"/>
          </w:tcPr>
          <w:p>
            <w:r>
              <w:rPr>
                <w:b/>
                <w:sz w:val="17"/>
              </w:rPr>
              <w:t>7,509</w:t>
            </w:r>
          </w:p>
        </w:tc>
        <w:tc>
          <w:tcPr>
            <w:tcW w:type="dxa" w:w="1440"/>
            <w:shd w:fill="FFDCE0" w:val="clear"/>
          </w:tcPr>
          <w:p>
            <w:r>
              <w:rPr>
                <w:sz w:val="17"/>
              </w:rPr>
              <w:t>7,883</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2026-10-27</w:t>
            </w:r>
          </w:p>
        </w:tc>
        <w:tc>
          <w:tcPr>
            <w:tcW w:type="dxa" w:w="1440"/>
            <w:shd w:fill="FFDCE0" w:val="clear"/>
          </w:tcPr>
          <w:p>
            <w:r>
              <w:rPr>
                <w:sz w:val="17"/>
              </w:rPr>
              <w:t>7,014</w:t>
            </w:r>
          </w:p>
        </w:tc>
        <w:tc>
          <w:tcPr>
            <w:tcW w:type="dxa" w:w="1440"/>
            <w:shd w:fill="FFDCE0" w:val="clear"/>
          </w:tcPr>
          <w:p>
            <w:r>
              <w:rPr>
                <w:b/>
                <w:sz w:val="17"/>
              </w:rPr>
              <w:t>7,418</w:t>
            </w:r>
          </w:p>
        </w:tc>
        <w:tc>
          <w:tcPr>
            <w:tcW w:type="dxa" w:w="1440"/>
            <w:shd w:fill="FFDCE0" w:val="clear"/>
          </w:tcPr>
          <w:p>
            <w:r>
              <w:rPr>
                <w:sz w:val="17"/>
              </w:rPr>
              <w:t>7,821</w:t>
            </w:r>
          </w:p>
        </w:tc>
        <w:tc>
          <w:tcPr>
            <w:tcW w:type="dxa" w:w="1440"/>
            <w:shd w:fill="FFDCE0" w:val="clear"/>
          </w:tcPr>
          <w:p>
            <w:r>
              <w:rPr>
                <w:b/>
                <w:color w:val="C00000"/>
                <w:sz w:val="17"/>
              </w:rPr>
              <w:t>-8.4%</w:t>
            </w:r>
          </w:p>
        </w:tc>
      </w:tr>
      <w:tr>
        <w:tc>
          <w:tcPr>
            <w:tcW w:type="dxa" w:w="1440"/>
            <w:shd w:fill="FFDCE0" w:val="clear"/>
          </w:tcPr>
          <w:p>
            <w:r>
              <w:rPr>
                <w:sz w:val="17"/>
              </w:rPr>
              <w:t>J+7  Moyenne</w:t>
            </w:r>
          </w:p>
        </w:tc>
        <w:tc>
          <w:tcPr>
            <w:tcW w:type="dxa" w:w="1440"/>
            <w:shd w:fill="FFDCE0" w:val="clear"/>
          </w:tcPr>
          <w:p>
            <w:r>
              <w:rPr>
                <w:sz w:val="17"/>
              </w:rPr>
              <w:t>2026-10-28</w:t>
            </w:r>
          </w:p>
        </w:tc>
        <w:tc>
          <w:tcPr>
            <w:tcW w:type="dxa" w:w="1440"/>
            <w:shd w:fill="FFDCE0" w:val="clear"/>
          </w:tcPr>
          <w:p>
            <w:r>
              <w:rPr>
                <w:sz w:val="17"/>
              </w:rPr>
              <w:t>6,899</w:t>
            </w:r>
          </w:p>
        </w:tc>
        <w:tc>
          <w:tcPr>
            <w:tcW w:type="dxa" w:w="1440"/>
            <w:shd w:fill="FFDCE0" w:val="clear"/>
          </w:tcPr>
          <w:p>
            <w:r>
              <w:rPr>
                <w:b/>
                <w:sz w:val="17"/>
              </w:rPr>
              <w:t>7,330</w:t>
            </w:r>
          </w:p>
        </w:tc>
        <w:tc>
          <w:tcPr>
            <w:tcW w:type="dxa" w:w="1440"/>
            <w:shd w:fill="FFDCE0" w:val="clear"/>
          </w:tcPr>
          <w:p>
            <w:r>
              <w:rPr>
                <w:sz w:val="17"/>
              </w:rPr>
              <w:t>7,761</w:t>
            </w:r>
          </w:p>
        </w:tc>
        <w:tc>
          <w:tcPr>
            <w:tcW w:type="dxa" w:w="1440"/>
            <w:shd w:fill="FFDCE0" w:val="clear"/>
          </w:tcPr>
          <w:p>
            <w:r>
              <w:rPr>
                <w:b/>
                <w:color w:val="C00000"/>
                <w:sz w:val="17"/>
              </w:rPr>
              <w:t>-9.5%</w:t>
            </w:r>
          </w:p>
        </w:tc>
      </w:tr>
      <w:tr>
        <w:tc>
          <w:tcPr>
            <w:tcW w:type="dxa" w:w="1440"/>
            <w:shd w:fill="FFDCE0" w:val="clear"/>
          </w:tcPr>
          <w:p>
            <w:r>
              <w:rPr>
                <w:sz w:val="17"/>
              </w:rPr>
              <w:t>J+8  Moyenne</w:t>
            </w:r>
          </w:p>
        </w:tc>
        <w:tc>
          <w:tcPr>
            <w:tcW w:type="dxa" w:w="1440"/>
            <w:shd w:fill="FFDCE0" w:val="clear"/>
          </w:tcPr>
          <w:p>
            <w:r>
              <w:rPr>
                <w:sz w:val="17"/>
              </w:rPr>
              <w:t>2026-10-29</w:t>
            </w:r>
          </w:p>
        </w:tc>
        <w:tc>
          <w:tcPr>
            <w:tcW w:type="dxa" w:w="1440"/>
            <w:shd w:fill="FFDCE0" w:val="clear"/>
          </w:tcPr>
          <w:p>
            <w:r>
              <w:rPr>
                <w:sz w:val="17"/>
              </w:rPr>
              <w:t>6,791</w:t>
            </w:r>
          </w:p>
        </w:tc>
        <w:tc>
          <w:tcPr>
            <w:tcW w:type="dxa" w:w="1440"/>
            <w:shd w:fill="FFDCE0" w:val="clear"/>
          </w:tcPr>
          <w:p>
            <w:r>
              <w:rPr>
                <w:b/>
                <w:sz w:val="17"/>
              </w:rPr>
              <w:t>7,246</w:t>
            </w:r>
          </w:p>
        </w:tc>
        <w:tc>
          <w:tcPr>
            <w:tcW w:type="dxa" w:w="1440"/>
            <w:shd w:fill="FFDCE0" w:val="clear"/>
          </w:tcPr>
          <w:p>
            <w:r>
              <w:rPr>
                <w:sz w:val="17"/>
              </w:rPr>
              <w:t>7,702</w:t>
            </w:r>
          </w:p>
        </w:tc>
        <w:tc>
          <w:tcPr>
            <w:tcW w:type="dxa" w:w="1440"/>
            <w:shd w:fill="FFDCE0" w:val="clear"/>
          </w:tcPr>
          <w:p>
            <w:r>
              <w:rPr>
                <w:b/>
                <w:color w:val="C00000"/>
                <w:sz w:val="17"/>
              </w:rPr>
              <w:t>-10.5%</w:t>
            </w:r>
          </w:p>
        </w:tc>
      </w:tr>
      <w:tr>
        <w:tc>
          <w:tcPr>
            <w:tcW w:type="dxa" w:w="1440"/>
            <w:shd w:fill="FFDCE0" w:val="clear"/>
          </w:tcPr>
          <w:p>
            <w:r>
              <w:rPr>
                <w:sz w:val="17"/>
              </w:rPr>
              <w:t>J+9  Moyenne</w:t>
            </w:r>
          </w:p>
        </w:tc>
        <w:tc>
          <w:tcPr>
            <w:tcW w:type="dxa" w:w="1440"/>
            <w:shd w:fill="FFDCE0" w:val="clear"/>
          </w:tcPr>
          <w:p>
            <w:r>
              <w:rPr>
                <w:sz w:val="17"/>
              </w:rPr>
              <w:t>2026-10-30</w:t>
            </w:r>
          </w:p>
        </w:tc>
        <w:tc>
          <w:tcPr>
            <w:tcW w:type="dxa" w:w="1440"/>
            <w:shd w:fill="FFDCE0" w:val="clear"/>
          </w:tcPr>
          <w:p>
            <w:r>
              <w:rPr>
                <w:sz w:val="17"/>
              </w:rPr>
              <w:t>6,689</w:t>
            </w:r>
          </w:p>
        </w:tc>
        <w:tc>
          <w:tcPr>
            <w:tcW w:type="dxa" w:w="1440"/>
            <w:shd w:fill="FFDCE0" w:val="clear"/>
          </w:tcPr>
          <w:p>
            <w:r>
              <w:rPr>
                <w:b/>
                <w:sz w:val="17"/>
              </w:rPr>
              <w:t>7,166</w:t>
            </w:r>
          </w:p>
        </w:tc>
        <w:tc>
          <w:tcPr>
            <w:tcW w:type="dxa" w:w="1440"/>
            <w:shd w:fill="FFDCE0" w:val="clear"/>
          </w:tcPr>
          <w:p>
            <w:r>
              <w:rPr>
                <w:sz w:val="17"/>
              </w:rPr>
              <w:t>7,644</w:t>
            </w:r>
          </w:p>
        </w:tc>
        <w:tc>
          <w:tcPr>
            <w:tcW w:type="dxa" w:w="1440"/>
            <w:shd w:fill="FFDCE0" w:val="clear"/>
          </w:tcPr>
          <w:p>
            <w:r>
              <w:rPr>
                <w:b/>
                <w:color w:val="C00000"/>
                <w:sz w:val="17"/>
              </w:rPr>
              <w:t>-11.5%</w:t>
            </w:r>
          </w:p>
        </w:tc>
      </w:tr>
      <w:tr>
        <w:tc>
          <w:tcPr>
            <w:tcW w:type="dxa" w:w="1440"/>
            <w:shd w:fill="FFDCE0" w:val="clear"/>
          </w:tcPr>
          <w:p>
            <w:r>
              <w:rPr>
                <w:sz w:val="17"/>
              </w:rPr>
              <w:t>J+10  Moyenne</w:t>
            </w:r>
          </w:p>
        </w:tc>
        <w:tc>
          <w:tcPr>
            <w:tcW w:type="dxa" w:w="1440"/>
            <w:shd w:fill="FFDCE0" w:val="clear"/>
          </w:tcPr>
          <w:p>
            <w:r>
              <w:rPr>
                <w:sz w:val="17"/>
              </w:rPr>
              <w:t>2026-11-02</w:t>
            </w:r>
          </w:p>
        </w:tc>
        <w:tc>
          <w:tcPr>
            <w:tcW w:type="dxa" w:w="1440"/>
            <w:shd w:fill="FFDCE0" w:val="clear"/>
          </w:tcPr>
          <w:p>
            <w:r>
              <w:rPr>
                <w:sz w:val="17"/>
              </w:rPr>
              <w:t>6,592</w:t>
            </w:r>
          </w:p>
        </w:tc>
        <w:tc>
          <w:tcPr>
            <w:tcW w:type="dxa" w:w="1440"/>
            <w:shd w:fill="FFDCE0" w:val="clear"/>
          </w:tcPr>
          <w:p>
            <w:r>
              <w:rPr>
                <w:b/>
                <w:sz w:val="17"/>
              </w:rPr>
              <w:t>7,090</w:t>
            </w:r>
          </w:p>
        </w:tc>
        <w:tc>
          <w:tcPr>
            <w:tcW w:type="dxa" w:w="1440"/>
            <w:shd w:fill="FFDCE0" w:val="clear"/>
          </w:tcPr>
          <w:p>
            <w:r>
              <w:rPr>
                <w:sz w:val="17"/>
              </w:rPr>
              <w:t>7,588</w:t>
            </w:r>
          </w:p>
        </w:tc>
        <w:tc>
          <w:tcPr>
            <w:tcW w:type="dxa" w:w="1440"/>
            <w:shd w:fill="FFDCE0" w:val="clear"/>
          </w:tcPr>
          <w:p>
            <w:r>
              <w:rPr>
                <w:b/>
                <w:color w:val="C00000"/>
                <w:sz w:val="17"/>
              </w:rPr>
              <w:t>-12.5%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BOA SÉNÉGAL (BOAS)</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291,60 milliards FCFA, BOAS s'affirme comme une valeur bancaire de premier plan sur la cote BRVM, représentant une capitalisation substantielle à l'échelle régionale. Le BPA de 608 FCFA par action traduit une capacité bénéficiaire solide, chaque titre générant près de 608 FCFA de profit net. Le PER de 13,3x situe le titre légèrement au-dessus de la moyenne BRVM (8-12x), signalant une valorisation modérément exigeante mais justifiée par la qualité des fondamentaux. Le P/B de 3,02x indique que le marché valorise la banque à plus de trois fois sa valeur comptable, accordant une prime de croissance cohérente avec un ROE de 22,7%. Enfin, l'EV/EBITDA de 8,6x, dans la fourchette raisonnable de 5-10x, confirme que la valeur d'entreprise reste proportionnée à la capacité opérationnelle de génération de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affiche une progression totale de +11,72%, bien que la dernière séance (J-1) se soit soldée par un repli de -0,61%, traduisant une légère prise de bénéfices après le récent rallye. Le cours actuel de 8 100 FCFA évolue dans un range de trading de 1 250 FCFA, entre un plus bas de 7 250 FCFA et un plus haut de 8 500 FCFA, soit une amplitude de 17,2% qui témoigne d'une tendance générale haussière mais avec des oscillations notables. Les statistiques descriptives révèlent une moyenne de 7 780 FCFA légèrement supérieure à la médiane de 7 705 FCFA, suggérant une distribution quasi symétrique confirmée par un skewness de 0,141 (distribution symétrique). L'écart-type de 385 FCFA avec un coefficient de variation de seulement 4,9% indique une dispersion très contenue du cours autour de sa moyenne, caractéristique d'un titre peu erratique. Le kurtosis négatif de -1,449 (distribution platykurtique) signale une faible concentration des rendements et un risque de pics extrêmes limité, ce qui est rassurant pour la gestion du risque. La volatilité annualisée de 23,3% positionne BOAS dans la catégorie des titres à volatilité modérée (15-30%), offrant un profil rendement/risque équilibré pour un investisseur avisé.</w:t>
      </w:r>
    </w:p>
    <w:p>
      <w:pPr>
        <w:spacing w:after="120" w:line="276" w:lineRule="auto"/>
      </w:pPr>
      <w:r>
        <w:t>---</w:t>
      </w:r>
    </w:p>
    <w:p>
      <w:pPr>
        <w:spacing w:after="120" w:line="276" w:lineRule="auto"/>
      </w:pPr>
      <w:r>
        <w:t>## PARTIE 2 : ANALYSE TECHNIQUE DÉTAILLÉE</w:t>
      </w:r>
    </w:p>
    <w:p>
      <w:pPr>
        <w:spacing w:after="120" w:line="276" w:lineRule="auto"/>
      </w:pPr>
      <w:r>
        <w:t>**Moyennes Mobiles** : La MM20 (8 099,0 FCFA) et la MM50 (8 101,4 FCFA) sont quasiment confondues et encadrent le cours actuel de 8 100 FCFA, créant une zone de résistance dynamique. Cette configuration de moyennes plates et convergentes traduit une absence de tendance directionnelle claire, justifiant la décision technique de **Vente** par prudence face à un possible retournement.</w:t>
      </w:r>
    </w:p>
    <w:p>
      <w:pPr>
        <w:spacing w:after="120" w:line="276" w:lineRule="auto"/>
      </w:pPr>
      <w:r>
        <w:t>**Bandes de Bollinger** : Le cours (8 100 FCFA) évolue au centre de la bande, à mi-chemin entre la borne supérieure (8 403,4 FCFA) et la borne inférieure (7 794,6 FCFA), avec une largeur de bande de 608,8 FCFA reflétant une volatilité normale. Cette position médiane justifie la décision **Neutre**, le titre n'étant ni en zone de surachat ni de survente.</w:t>
      </w:r>
    </w:p>
    <w:p>
      <w:pPr>
        <w:spacing w:after="120" w:line="276" w:lineRule="auto"/>
      </w:pPr>
      <w:r>
        <w:t>**MACD** : La valeur du MACD (18,883) est inférieure à sa ligne de signal (26,851), générant un histogramme négatif qui confirme un momentum baissier de court terme. Cette divergence négative, bien que modérée, justifie la décision de **Vente** en signalant un essoufflement de la dynamique haussière récente.</w:t>
      </w:r>
    </w:p>
    <w:p>
      <w:pPr>
        <w:spacing w:after="120" w:line="276" w:lineRule="auto"/>
      </w:pPr>
      <w:r>
        <w:t>**RSI** : À 50,0 exactement, le RSI se situe parfaitement à l'équilibre entre zone de surachat (&gt;70) et de survente (&lt;30), traduisant une neutralité totale du momentum. Cette valeur médiane justifie la décision **Neutre**, aucun signal directionnel n'étant émis.</w:t>
      </w:r>
    </w:p>
    <w:p>
      <w:pPr>
        <w:spacing w:after="120" w:line="276" w:lineRule="auto"/>
      </w:pPr>
      <w:r>
        <w:t>**Stochastique** : Le %K à 0,0 (niveau extrême de survente) et le %D à 21,111 indiquent que le cours a atteint un plancher de très court terme, avec un %K en zone de survente profonde. Cette configuration justifie paradoxalement la décision d'**Achat**, le stochastique signalant un potentiel rebond technique imminent après cette survente extrême.</w:t>
      </w:r>
    </w:p>
    <w:p>
      <w:pPr>
        <w:spacing w:after="120" w:line="276" w:lineRule="auto"/>
      </w:pPr>
      <w:r>
        <w:t>**Conclusion technique** : Les indicateurs présentent une configuration mitigée, avec une majorité de signaux neutres ou baissiers (MM, MACD) contrebalancés par un signal d'achat contrarien du stochastique. Le titre se trouve dans une phase de consolidation sans direction dominante, coincé entre des moyennes mobiles plates et un RSI neutre. La prudence reste de mise à court terme, le stochastique suggérant toutefois qu'un rebond technique pourrait se matérialiser depuis la zone de survente actuelle.</w:t>
      </w:r>
    </w:p>
    <w:p>
      <w:pPr>
        <w:spacing w:after="120" w:line="276" w:lineRule="auto"/>
      </w:pPr>
      <w:r>
        <w:t>---</w:t>
      </w:r>
    </w:p>
    <w:p>
      <w:pPr>
        <w:spacing w:after="120" w:line="276" w:lineRule="auto"/>
      </w:pPr>
      <w:r>
        <w:t>## PARTIE 3 : ANALYSE FONDAMENTALE (SECTION CRITIQUE)</w:t>
      </w:r>
    </w:p>
    <w:p>
      <w:pPr>
        <w:spacing w:after="120" w:line="276" w:lineRule="auto"/>
      </w:pPr>
      <w:r>
        <w:t>**En 2025**, BOAS affiche des états financiers solides avec un Produit Net Bancaire (équivalent du chiffre d'affaires pour une banque) de 51,926 milliards FCFA et un résultat net de 21,905 milliards FCFA, dégageant une marge nette remarquable de 42,19%. La rentabilité des fonds propres (ROE) atteint 22,69%, largement au-dessus du seuil d'excellence de 15%, tandis que le ROA de 2,62% confirme une utilisation efficiente de l'actif. Le coefficient d'exploitation de 44,02% classe la banque parmi les établissements les plus efficaces du secteur (&lt;50% = excellente efficacité), et le coût du risque de 23,31% des charges financières, bien qu'élevé, reste maîtrisé. La structure financière montre un ratio dépôts/créances de 177,8% (686,9 Mds de dépôts contre 386,4 Mds de crédits), traduisant une surliquidité confortable mais un sous-emploi des ressources collectées. **Sur la base des rapports trimestriels**, le T1 2026 (rapport du 31 mars 2026) confirme la dynamique avec un PNB de 12,580 milliards FCFA (+6,82%) et un résultat net de 5,741 milliards FCFA (+9,78%), le coefficient d'exploitation s'améliorant à 42,1%. Le rapport du T3 2025 (30 septembre 2025) montrait déjà un PNB cumulé de 37,44 milliards FCFA (+6,71%) et un résultat net de 16,37 milliards FCFA (+10,01%), avec un coût du risque en baisse à -0,5% du PNB. **On estime** ainsi que l'exercice 2026 devrait prolonger cette trajectoire avec un PNB annuel projeté autour de 53-54 milliards FCFA et un résultat net approchant 23 milliards FCFA, soutenu par la forte collecte de dépôts (+16,68% au T1 2026) et l'amélioration continue de l'efficacité opérationnelle. La recommandation fondamentale est **positive** : solidité bilancielle, rentabilité élevée et croissance régulière, avec pour principaux risques la concentration sur le marché sénégalais et le ralentissement de la distribution de crédits.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profil d'investissement équilibré mais légèrement favorable. **Sur le plan de la valorisation**, le PER de 13,3x et le P/B de 3,02x indiquent une valorisation modérément exigeante mais justifiée par un ROE de 22,7%, sans surévaluation manifeste. **Le comportement du cours** révèle une tendance haussière de +11,72% sur 100 jours avec une volatilité modérée (23,3%) et des statistiques rassurantes (kurtosis négatif limitant les pics, skewness symétrique), bien que la récente consolidation suggère une pause. **Les signaux techniques** sont mitigés : MM plates et MACD baissier plaident pour la prudence, mais le stochastique en survente extrême (%K=0) annonce un rebond potentiel, créant une divergence typique de phase de consolidation. **Les fondamentaux** demeurent le pilier le plus solide : ROE de 22,69%, coefficient d'exploitation de 44%, croissance du résultat net de +9,78% au T1 2026 et collecte de dépôts vigoureuse (+16,68%) dessinent une banque performante et bien gérée. **Les prédictions IA** anticipent toutefois une trajectoire baissière sur 10 jours (de 7 936 à 7 509 FCFA, soit -5,4%), contredisant le rebond technique attendu et suggérant une pression vendeuse persistante à court terme. Face à cette divergence entre fondamentaux solides et signaux techniques/prédictifs baissiers, la recommandation finale est **CONSERVER**, avec un niveau de confiance **Moyen** et un risque global **Modéré**. L'horizon d'investissement optimal est le **moyen terme (3-12 mois)**, période nécessaire pour que la qualité fondamentale de BOAS se reflète pleinement dans le cours, les investisseurs déjà positionnés pouvant maintenir leurs titres tandis que les nouveaux entrants attendront une confirmation du rebond technique avant d'initier une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2,061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B40000"/>
                <w:sz w:val="17"/>
              </w:rPr>
              <w:t>-16.67%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9.09% (Moyenne) — μ=3,645 FCFA, σ=331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β=0.3849 (Défensif) — Cov=0.000030, Var(idx)=0.000077, ρ=0.117,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σ_j=2.87%/j (Stable) — Vol. annualisée≈45.6%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090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2,894</w:t>
            </w:r>
          </w:p>
        </w:tc>
        <w:tc>
          <w:tcPr>
            <w:tcW w:type="dxa" w:w="1440"/>
            <w:shd w:fill="FAFAFA" w:val="clear"/>
          </w:tcPr>
          <w:p>
            <w:r>
              <w:rPr>
                <w:b/>
                <w:sz w:val="17"/>
              </w:rPr>
              <w:t>3,007</w:t>
            </w:r>
          </w:p>
        </w:tc>
        <w:tc>
          <w:tcPr>
            <w:tcW w:type="dxa" w:w="1440"/>
            <w:shd w:fill="FAFAFA" w:val="clear"/>
          </w:tcPr>
          <w:p>
            <w:r>
              <w:rPr>
                <w:sz w:val="17"/>
              </w:rPr>
              <w:t>3,120</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2,854</w:t>
            </w:r>
          </w:p>
        </w:tc>
        <w:tc>
          <w:tcPr>
            <w:tcW w:type="dxa" w:w="1440"/>
            <w:shd w:fill="FAFAFA" w:val="clear"/>
          </w:tcPr>
          <w:p>
            <w:r>
              <w:rPr>
                <w:b/>
                <w:sz w:val="17"/>
              </w:rPr>
              <w:t>3,014</w:t>
            </w:r>
          </w:p>
        </w:tc>
        <w:tc>
          <w:tcPr>
            <w:tcW w:type="dxa" w:w="1440"/>
            <w:shd w:fill="FAFAFA" w:val="clear"/>
          </w:tcPr>
          <w:p>
            <w:r>
              <w:rPr>
                <w:sz w:val="17"/>
              </w:rPr>
              <w:t>3,175</w:t>
            </w:r>
          </w:p>
        </w:tc>
        <w:tc>
          <w:tcPr>
            <w:tcW w:type="dxa" w:w="1440"/>
            <w:shd w:fill="FAFAFA" w:val="clear"/>
          </w:tcPr>
          <w:p>
            <w:r>
              <w:rPr>
                <w:b/>
                <w:color w:val="008000"/>
                <w:sz w:val="17"/>
              </w:rPr>
              <w:t>+0.5%</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2,824</w:t>
            </w:r>
          </w:p>
        </w:tc>
        <w:tc>
          <w:tcPr>
            <w:tcW w:type="dxa" w:w="1440"/>
            <w:shd w:fill="FAFAFA" w:val="clear"/>
          </w:tcPr>
          <w:p>
            <w:r>
              <w:rPr>
                <w:b/>
                <w:sz w:val="17"/>
              </w:rPr>
              <w:t>3,021</w:t>
            </w:r>
          </w:p>
        </w:tc>
        <w:tc>
          <w:tcPr>
            <w:tcW w:type="dxa" w:w="1440"/>
            <w:shd w:fill="FAFAFA" w:val="clear"/>
          </w:tcPr>
          <w:p>
            <w:r>
              <w:rPr>
                <w:sz w:val="17"/>
              </w:rPr>
              <w:t>3,218</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2,797</w:t>
            </w:r>
          </w:p>
        </w:tc>
        <w:tc>
          <w:tcPr>
            <w:tcW w:type="dxa" w:w="1440"/>
            <w:shd w:fill="FAFAFA" w:val="clear"/>
          </w:tcPr>
          <w:p>
            <w:r>
              <w:rPr>
                <w:b/>
                <w:sz w:val="17"/>
              </w:rPr>
              <w:t>3,025</w:t>
            </w:r>
          </w:p>
        </w:tc>
        <w:tc>
          <w:tcPr>
            <w:tcW w:type="dxa" w:w="1440"/>
            <w:shd w:fill="FAFAFA" w:val="clear"/>
          </w:tcPr>
          <w:p>
            <w:r>
              <w:rPr>
                <w:sz w:val="17"/>
              </w:rPr>
              <w:t>3,253</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2,772</w:t>
            </w:r>
          </w:p>
        </w:tc>
        <w:tc>
          <w:tcPr>
            <w:tcW w:type="dxa" w:w="1440"/>
            <w:shd w:fill="FAFAFA" w:val="clear"/>
          </w:tcPr>
          <w:p>
            <w:r>
              <w:rPr>
                <w:b/>
                <w:sz w:val="17"/>
              </w:rPr>
              <w:t>3,027</w:t>
            </w:r>
          </w:p>
        </w:tc>
        <w:tc>
          <w:tcPr>
            <w:tcW w:type="dxa" w:w="1440"/>
            <w:shd w:fill="FAFAFA" w:val="clear"/>
          </w:tcPr>
          <w:p>
            <w:r>
              <w:rPr>
                <w:sz w:val="17"/>
              </w:rPr>
              <w:t>3,281</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2,746</w:t>
            </w:r>
          </w:p>
        </w:tc>
        <w:tc>
          <w:tcPr>
            <w:tcW w:type="dxa" w:w="1440"/>
            <w:shd w:fill="FAFAFA" w:val="clear"/>
          </w:tcPr>
          <w:p>
            <w:r>
              <w:rPr>
                <w:b/>
                <w:sz w:val="17"/>
              </w:rPr>
              <w:t>3,025</w:t>
            </w:r>
          </w:p>
        </w:tc>
        <w:tc>
          <w:tcPr>
            <w:tcW w:type="dxa" w:w="1440"/>
            <w:shd w:fill="FAFAFA" w:val="clear"/>
          </w:tcPr>
          <w:p>
            <w:r>
              <w:rPr>
                <w:sz w:val="17"/>
              </w:rPr>
              <w:t>3,304</w:t>
            </w:r>
          </w:p>
        </w:tc>
        <w:tc>
          <w:tcPr>
            <w:tcW w:type="dxa" w:w="1440"/>
            <w:shd w:fill="FAFAFA" w:val="clear"/>
          </w:tcPr>
          <w:p>
            <w:r>
              <w:rPr>
                <w:b/>
                <w:color w:val="008000"/>
                <w:sz w:val="17"/>
              </w:rPr>
              <w:t>+0.8%</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2,721</w:t>
            </w:r>
          </w:p>
        </w:tc>
        <w:tc>
          <w:tcPr>
            <w:tcW w:type="dxa" w:w="1440"/>
            <w:shd w:fill="FAFAFA" w:val="clear"/>
          </w:tcPr>
          <w:p>
            <w:r>
              <w:rPr>
                <w:b/>
                <w:sz w:val="17"/>
              </w:rPr>
              <w:t>3,022</w:t>
            </w:r>
          </w:p>
        </w:tc>
        <w:tc>
          <w:tcPr>
            <w:tcW w:type="dxa" w:w="1440"/>
            <w:shd w:fill="FAFAFA" w:val="clear"/>
          </w:tcPr>
          <w:p>
            <w:r>
              <w:rPr>
                <w:sz w:val="17"/>
              </w:rPr>
              <w:t>3,323</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2,695</w:t>
            </w:r>
          </w:p>
        </w:tc>
        <w:tc>
          <w:tcPr>
            <w:tcW w:type="dxa" w:w="1440"/>
            <w:shd w:fill="FAFAFA" w:val="clear"/>
          </w:tcPr>
          <w:p>
            <w:r>
              <w:rPr>
                <w:b/>
                <w:sz w:val="17"/>
              </w:rPr>
              <w:t>3,017</w:t>
            </w:r>
          </w:p>
        </w:tc>
        <w:tc>
          <w:tcPr>
            <w:tcW w:type="dxa" w:w="1440"/>
            <w:shd w:fill="FAFAFA" w:val="clear"/>
          </w:tcPr>
          <w:p>
            <w:r>
              <w:rPr>
                <w:sz w:val="17"/>
              </w:rPr>
              <w:t>3,338</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2,670</w:t>
            </w:r>
          </w:p>
        </w:tc>
        <w:tc>
          <w:tcPr>
            <w:tcW w:type="dxa" w:w="1440"/>
            <w:shd w:fill="FAFAFA" w:val="clear"/>
          </w:tcPr>
          <w:p>
            <w:r>
              <w:rPr>
                <w:b/>
                <w:sz w:val="17"/>
              </w:rPr>
              <w:t>3,011</w:t>
            </w:r>
          </w:p>
        </w:tc>
        <w:tc>
          <w:tcPr>
            <w:tcW w:type="dxa" w:w="1440"/>
            <w:shd w:fill="FAFAFA" w:val="clear"/>
          </w:tcPr>
          <w:p>
            <w:r>
              <w:rPr>
                <w:sz w:val="17"/>
              </w:rPr>
              <w:t>3,351</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2,647</w:t>
            </w:r>
          </w:p>
        </w:tc>
        <w:tc>
          <w:tcPr>
            <w:tcW w:type="dxa" w:w="1440"/>
            <w:shd w:fill="FAFAFA" w:val="clear"/>
          </w:tcPr>
          <w:p>
            <w:r>
              <w:rPr>
                <w:b/>
                <w:sz w:val="17"/>
              </w:rPr>
              <w:t>3,004</w:t>
            </w:r>
          </w:p>
        </w:tc>
        <w:tc>
          <w:tcPr>
            <w:tcW w:type="dxa" w:w="1440"/>
            <w:shd w:fill="FAFAFA" w:val="clear"/>
          </w:tcPr>
          <w:p>
            <w:r>
              <w:rPr>
                <w:sz w:val="17"/>
              </w:rPr>
              <w:t>3,362</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17,76 Mds FCFA, CABC se situe dans la catégorie des valeurs moyennes de la cote BRVM, représentant une capitalisation modeste à l'échelle régionale. Le BPA de 243 FCFA/action indique le bénéfice net généré par chaque titre détenu. Le PER de 12,3x se situe légèrement au-dessus de la fourchette moyenne BRVM (~8-12x), suggérant que les investisseurs paient un prix raisonnable mais non décoté pour les bénéfices, avec une prime modérée liée aux perspectives de croissance du secteur des câbles. Le P/B de 1,90x (dans la fourchette 1-2x) traduit une valorisation proche de la valeur comptable, sans excès spéculatif. Enfin, l'EV/EBITDA de 5,9x (fourchette raisonnable 5-10x) confirme que la valeur d'entreprise reste proportionnée à la capacité opérationnelle de génération de cash-flow, l'ensemble de ces ratios dessinant une valorisation globalement équilibrée, sans sous-évaluation marquée ni surévaluation flagrante.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affiche une variation totale de **-16,67%**, avec une dernière séance stable (J-1 : +0,00%), traduisant une tendance baissière marquée mais essoufflée en fin de période. Le cours actuel de 3 000 FCFA correspond exactement au plus bas de la période, tandis que le plus haut a atteint 4 500 FCFA, soit un range de trading de 1 500 FCFA (50% du cours bas) révélant une correction sévère depuis les sommets. Les statistiques descriptives confirment cette dynamique : la moyenne (3 645 FCFA) dépasse la médiane (3 550 FCFA) et le mode (3 500 FCFA), signalant une distribution légèrement tirée vers le haut par les niveaux antérieurs, avec un skewness de 0,498 (distribution qualifiée de symétrique dans les données fournies) et un kurtosis de 0,074 (mésokurtique, proche d'une loi normale, donc sans risque excessif de pics extrêmes). L'écart-type de 333 FCFA avec un coefficient de variation de 9,1% indique une dispersion modérée autour de la moyenne, mais la volatilité annualisée de **45,6%** classe le titre dans la catégorie **élevée** (&gt;30%), reflétant une nervosité importante du marché sur ce titre, cohérente avec la correction de 16,67% observée.</w:t>
      </w:r>
    </w:p>
    <w:p>
      <w:pPr>
        <w:spacing w:after="120" w:line="276" w:lineRule="auto"/>
      </w:pPr>
      <w:r>
        <w:t>---</w:t>
      </w:r>
    </w:p>
    <w:p>
      <w:pPr>
        <w:spacing w:after="120" w:line="276" w:lineRule="auto"/>
      </w:pPr>
      <w:r>
        <w:t>## PARTIE 2 : ANALYSE TECHNIQUE DÉTAILLÉE</w:t>
      </w:r>
    </w:p>
    <w:p>
      <w:pPr>
        <w:spacing w:after="120" w:line="276" w:lineRule="auto"/>
      </w:pPr>
      <w:r>
        <w:t>**Moyennes Mobiles** : La MM20 (3 233,75 FCFA) et la MM50 (3 407,30 FCFA) se situent toutes deux au-dessus du cours actuel (3 000 FCFA), avec une MM20 inférieure à la MM50 — configuration baissière caractéristique d'un marché en correction. Le cours évoluant sous ses deux moyennes mobiles, la pression vendeuse domine clairement, justifiant la décision technique de **Vente**.</w:t>
      </w:r>
    </w:p>
    <w:p>
      <w:pPr>
        <w:spacing w:after="120" w:line="276" w:lineRule="auto"/>
      </w:pPr>
      <w:r>
        <w:t>**Bandes de Bollinger** : Le cours (3 000 FCFA) se situe dans la moitié inférieure de la bande, proche de la borne inférieure (2 946,53 FCFA) mais sans la franchir, tandis que la borne supérieure est à 3 520,97 FCFA. Cette position basse dans un canal relativement large (574 FCFA d'amplitude) traduit une volatilité significative avec un cours sous pression, mais l'absence de cassure de la borne inférieure justifie la décision **Neutre** — le titre n'est ni en survente extrême ni en rebond confirmé.</w:t>
      </w:r>
    </w:p>
    <w:p>
      <w:pPr>
        <w:spacing w:after="120" w:line="276" w:lineRule="auto"/>
      </w:pPr>
      <w:r>
        <w:t>**MACD** : La valeur du MACD (-113,385) est inférieure à sa ligne de signal (-89,232), avec un histogramme négatif qui s'accentue — configuration baissière confirmée où le momentum négatif domine. La divergence négative entre MACD et signal traduit une accélération de la tendance baissière, justifiant pleinement la décision de **Vente**.</w:t>
      </w:r>
    </w:p>
    <w:p>
      <w:pPr>
        <w:spacing w:after="120" w:line="276" w:lineRule="auto"/>
      </w:pPr>
      <w:r>
        <w:t>**RSI** : À **18,254**, le RSI se situe très en-dessous du seuil de survente (30), signalant une condition de survente extrême rarement atteinte. Cette lecture suggère un potentiel de rebond technique à court terme, justifiant la décision **Achat** — le titre pourrait être survendu et candidat à un rebond.</w:t>
      </w:r>
    </w:p>
    <w:p>
      <w:pPr>
        <w:spacing w:after="120" w:line="276" w:lineRule="auto"/>
      </w:pPr>
      <w:r>
        <w:t>**Stochastique** : Le %K et le %D sont tous deux à **0,0**, niveau plancher absolu de l'indicateur, confirmant une survente extrême et un épuisement total de la pression vendeuse sur les dernières séances. Cette configuration extrême plaide pour un rebond imminent, justifiant la décision **Achat**.</w:t>
      </w:r>
    </w:p>
    <w:p>
      <w:pPr>
        <w:spacing w:after="120" w:line="276" w:lineRule="auto"/>
      </w:pPr>
      <w:r>
        <w:t>**Conclusion technique** : Les indicateurs présentent une **divergence notable** : les moyennes mobiles et le MACD confirment une tendance baissière structurelle (décision Vente), tandis que le RSI (18,25) et le stochastique (0,0) signalent une survente extrême propice à un rebond technique (décision Achat). Les Bandes de Bollinger restent neutres. Cette configuration suggère un titre en fin de correction, où la pression vendeuse s'épuise — un rebond technique est probable à court terme, mais la tendance de fond reste fragile tant que le cours n'aura pas reconquis la MM20 (3 233 FCFA) et la MM50 (3 407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CABC affiche un chiffre d'affaires de **21,263 Mds FCFA**, en croissance de **+11,18%**, avec un résultat net de **1,439 Md FCFA** (marge nette de 6,77%). Le ROE s'établit à **15,40%** (seuil d'excellence atteint) et le ROA à **6,10%**, tandis que la marge opérationnelle de 9,82% et la marge brute de 16,50% traduisent une rentabilité opérationnelle correcte. La structure financière est saine : autonomie financière de 39,58% (&gt;30%), liquidité générale de 242,60% et solvabilité générale de 165,52%, avec un endettement financier très faible (dépendance financière de 4,47%). **Cependant, deux points d'alerte majeurs** : le délai clients de **144,69 jours** (très élevé, risque de trésorerie) et la durée de stockage de **152,12 jours** (immobilisation de capital importante), expliquant le BFR de 7,186 Mds FCFA et le flux opérationnel négatif de -819,66 M FCFA malgré une CAF positive de 1,593 Md FCFA.</w:t>
      </w:r>
    </w:p>
    <w:p>
      <w:pPr>
        <w:spacing w:after="120" w:line="276" w:lineRule="auto"/>
      </w:pPr>
      <w:r>
        <w:t>**Évolution et rapports narratifs** : Les rapports officiels révèlent une **divergence temporelle critique**. Le rapport annuel certifié 2024 (daté 31/12/2024) mentionnait un résultat net de **1 225 M FCFA** en baisse de -14,3%, avec une trésorerie nette confortable de 6 865 M FCFA et **aucune dette financière**. Le rapport S1 2025 (30/06/2025) confirmait une forte progression (+55,3% du résultat net à 851,5 M FCFA, marge nette 7,9%), et le rapport T3 2025 (30/09/2025) affichait un résultat net cumulé de 1 329,5 M FCFA (+26,0%). **Mais le rapport T1 2026 (le plus récent) révèle une dégradation brutale** : CA en baisse de -26,5% à 3 794 M FCFA, perte d'exploitation de -237 M FCFA (contre +432 M FCFA au T1 2025), résultat net déficitaire de -222 M FCFA, sous l'effet d'une maintenance planifiée du parc machines et d'une inflation des cours des métaux (+23% en 3 mois). La direction anticipe une normalisation dès le T2 2026.</w:t>
      </w:r>
    </w:p>
    <w:p>
      <w:pPr>
        <w:spacing w:after="120" w:line="276" w:lineRule="auto"/>
      </w:pPr>
      <w:r>
        <w:t>**Recommandation fondamentale** : La solidité bilancielle (ROE 15,4%, trésorerie nette positive de 5,139 Mds FCFA, endettement quasi nul) contraste avec la **dégradation opérationnelle récente du T1 2026** et les tensions sur le BFR (délais clients et stocks élevés). Le titre conserve des fondamentaux solides mais fait face à un choc conjoncturel (maintenance + matières premières) dont la normalisation reste à confirmer — la vigilance est de mise, avec un risque de dégradation si le rattrapage annoncé ne se matérialise pas.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**désaccord profond entre les signaux**. Sur la **valorisation (Partie 0)**, les ratios (PER 12,3x légèrement supérieur à la moyenne BRVM, P/B 1,90x, EV/EBITDA 5,9x) indiquent une valorisation équilibrée, sans décote attractive malgré la correction. Le **comportement du cours (Partie 1)** est préoccupant : -16,67% sur 100 jours, cours au plus bas, volatilité élevée de 45,6%, bien que la distribution soit symétrique (skewness 0,498) et sans risque de pics extrêmes (kurtosis 0,074). Les **signaux techniques (Partie 2)** sont contradictoires : tendance baissière confirmée par MM et MACD, mais survente extrême (RSI 18,25, stochastique 0,0) annonçant un rebond technique probable. Les **fondamentaux (Partie 3)** demeurent solides (ROE 15,4%, CA +11,18% en 2025, trésorerie nette positive) mais sont ternis par le T1 2026 déficitaire (-222 M FCFA) et les tensions sur le BFR. Enfin, les **prédictions IA (J+1 à J+10)** anticipent une légère reprise de 3 007 à 3 027 FCFA (+0,9% sur 5 séances), confirmant la thèse d'un rebond technique modéré sans retournement majeur.</w:t>
      </w:r>
    </w:p>
    <w:p>
      <w:pPr>
        <w:spacing w:after="120" w:line="276" w:lineRule="auto"/>
      </w:pPr>
      <w:r>
        <w:t>**Recommandation finale : CONSERVER** — avec un **niveau de confiance Moyen** et un **risque global Élevé**. La convergence partielle entre la survente technique (RSI/stochastique), les prédictions IA haussières et la solidité bilancielle (ROE 15,4%, trésorerie nette) plaide pour ne pas vendre au plus bas, tandis que la tendance baissière structurelle, la valorisation sans décote et l'incertitude sur la normalisation du T1 2026 interdisent un achat agressif. **Horizon recommandé : moyen terme (3-12 mois)**, le temps de confirmer la normalisation opérationnelle annoncée par la direction et le retour du cours au-dessus de la MM20 (3 233 FCFA). Un renforcement pourra être envisagé si le T2 2026 confirme le rattrapage, avec un objectif de moyen terme vers 3 400-3 500 FCFA (MM50 et borne supérieure de Bollinger).</w:t>
      </w:r>
    </w:p>
    <w:p>
      <w:pPr>
        <w:spacing w:after="120" w:line="276" w:lineRule="auto"/>
      </w:pPr>
      <w:r>
        <w: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976.16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1,547 titres</w:t>
            </w:r>
          </w:p>
        </w:tc>
        <w:tc>
          <w:tcPr>
            <w:tcW w:type="dxa" w:w="2268"/>
            <w:shd w:fill="FFF2CC" w:val="clear"/>
          </w:tcPr>
          <w:p>
            <w:r>
              <w:rPr>
                <w:b/>
                <w:color w:val="503200"/>
                <w:sz w:val="16"/>
              </w:rPr>
              <w:t xml:space="preserve">Cours actuel : </w:t>
            </w:r>
            <w:r>
              <w:rPr>
                <w:color w:val="000000"/>
                <w:sz w:val="17"/>
              </w:rPr>
              <w:t>30,505 FCFA</w:t>
            </w:r>
          </w:p>
          <w:p>
            <w:r>
              <w:rPr>
                <w:b/>
                <w:color w:val="503200"/>
                <w:sz w:val="16"/>
              </w:rPr>
              <w:t xml:space="preserve">Var. 100 jours : </w:t>
            </w:r>
            <w:r>
              <w:rPr>
                <w:b/>
                <w:color w:val="007800"/>
                <w:sz w:val="17"/>
              </w:rPr>
              <w:t>+41.92%</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20,900 FCFA</w:t>
            </w:r>
          </w:p>
          <w:p>
            <w:r>
              <w:rPr>
                <w:b/>
                <w:color w:val="503200"/>
                <w:sz w:val="16"/>
              </w:rPr>
              <w:t xml:space="preserve">Volatilité ann. : </w:t>
            </w:r>
            <w:r>
              <w:rPr>
                <w:color w:val="000000"/>
                <w:sz w:val="17"/>
              </w:rPr>
              <w:t>44.3%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14.49% (Moyenne) — μ=27,871 FCFA, σ=4,037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β=1.2551 (Agressif) — Cov=0.000097, Var(idx)=0.000077, ρ=0.396,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σ_j=2.79%/j (Stable) — Vol. annualisée≈44.3%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58278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2026-10-20</w:t>
            </w:r>
          </w:p>
        </w:tc>
        <w:tc>
          <w:tcPr>
            <w:tcW w:type="dxa" w:w="1440"/>
            <w:shd w:fill="FFDCE0" w:val="clear"/>
          </w:tcPr>
          <w:p>
            <w:r>
              <w:rPr>
                <w:sz w:val="17"/>
              </w:rPr>
              <w:t>28,346</w:t>
            </w:r>
          </w:p>
        </w:tc>
        <w:tc>
          <w:tcPr>
            <w:tcW w:type="dxa" w:w="1440"/>
            <w:shd w:fill="FFDCE0" w:val="clear"/>
          </w:tcPr>
          <w:p>
            <w:r>
              <w:rPr>
                <w:b/>
                <w:sz w:val="17"/>
              </w:rPr>
              <w:t>29,853</w:t>
            </w:r>
          </w:p>
        </w:tc>
        <w:tc>
          <w:tcPr>
            <w:tcW w:type="dxa" w:w="1440"/>
            <w:shd w:fill="FFDCE0" w:val="clear"/>
          </w:tcPr>
          <w:p>
            <w:r>
              <w:rPr>
                <w:sz w:val="17"/>
              </w:rPr>
              <w:t>31,359</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2026-10-21</w:t>
            </w:r>
          </w:p>
        </w:tc>
        <w:tc>
          <w:tcPr>
            <w:tcW w:type="dxa" w:w="1440"/>
            <w:shd w:fill="FFDCE0" w:val="clear"/>
          </w:tcPr>
          <w:p>
            <w:r>
              <w:rPr>
                <w:sz w:val="17"/>
              </w:rPr>
              <w:t>27,453</w:t>
            </w:r>
          </w:p>
        </w:tc>
        <w:tc>
          <w:tcPr>
            <w:tcW w:type="dxa" w:w="1440"/>
            <w:shd w:fill="FFDCE0" w:val="clear"/>
          </w:tcPr>
          <w:p>
            <w:r>
              <w:rPr>
                <w:b/>
                <w:sz w:val="17"/>
              </w:rPr>
              <w:t>29,563</w:t>
            </w:r>
          </w:p>
        </w:tc>
        <w:tc>
          <w:tcPr>
            <w:tcW w:type="dxa" w:w="1440"/>
            <w:shd w:fill="FFDCE0" w:val="clear"/>
          </w:tcPr>
          <w:p>
            <w:r>
              <w:rPr>
                <w:sz w:val="17"/>
              </w:rPr>
              <w:t>31,673</w:t>
            </w:r>
          </w:p>
        </w:tc>
        <w:tc>
          <w:tcPr>
            <w:tcW w:type="dxa" w:w="1440"/>
            <w:shd w:fill="FFDCE0" w:val="clear"/>
          </w:tcPr>
          <w:p>
            <w:r>
              <w:rPr>
                <w:b/>
                <w:color w:val="C00000"/>
                <w:sz w:val="17"/>
              </w:rPr>
              <w:t>-3.1%</w:t>
            </w:r>
          </w:p>
        </w:tc>
      </w:tr>
      <w:tr>
        <w:tc>
          <w:tcPr>
            <w:tcW w:type="dxa" w:w="1440"/>
            <w:shd w:fill="FFDCE0" w:val="clear"/>
          </w:tcPr>
          <w:p>
            <w:r>
              <w:rPr>
                <w:sz w:val="17"/>
              </w:rPr>
              <w:t>J+3  Moyenne</w:t>
            </w:r>
          </w:p>
        </w:tc>
        <w:tc>
          <w:tcPr>
            <w:tcW w:type="dxa" w:w="1440"/>
            <w:shd w:fill="FFDCE0" w:val="clear"/>
          </w:tcPr>
          <w:p>
            <w:r>
              <w:rPr>
                <w:sz w:val="17"/>
              </w:rPr>
              <w:t>2026-10-22</w:t>
            </w:r>
          </w:p>
        </w:tc>
        <w:tc>
          <w:tcPr>
            <w:tcW w:type="dxa" w:w="1440"/>
            <w:shd w:fill="FFDCE0" w:val="clear"/>
          </w:tcPr>
          <w:p>
            <w:r>
              <w:rPr>
                <w:sz w:val="17"/>
              </w:rPr>
              <w:t>26,819</w:t>
            </w:r>
          </w:p>
        </w:tc>
        <w:tc>
          <w:tcPr>
            <w:tcW w:type="dxa" w:w="1440"/>
            <w:shd w:fill="FFDCE0" w:val="clear"/>
          </w:tcPr>
          <w:p>
            <w:r>
              <w:rPr>
                <w:b/>
                <w:sz w:val="17"/>
              </w:rPr>
              <w:t>29,387</w:t>
            </w:r>
          </w:p>
        </w:tc>
        <w:tc>
          <w:tcPr>
            <w:tcW w:type="dxa" w:w="1440"/>
            <w:shd w:fill="FFDCE0" w:val="clear"/>
          </w:tcPr>
          <w:p>
            <w:r>
              <w:rPr>
                <w:sz w:val="17"/>
              </w:rPr>
              <w:t>31,956</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2026-10-23</w:t>
            </w:r>
          </w:p>
        </w:tc>
        <w:tc>
          <w:tcPr>
            <w:tcW w:type="dxa" w:w="1440"/>
            <w:shd w:fill="FFDCE0" w:val="clear"/>
          </w:tcPr>
          <w:p>
            <w:r>
              <w:rPr>
                <w:sz w:val="17"/>
              </w:rPr>
              <w:t>26,288</w:t>
            </w:r>
          </w:p>
        </w:tc>
        <w:tc>
          <w:tcPr>
            <w:tcW w:type="dxa" w:w="1440"/>
            <w:shd w:fill="FFDCE0" w:val="clear"/>
          </w:tcPr>
          <w:p>
            <w:r>
              <w:rPr>
                <w:b/>
                <w:sz w:val="17"/>
              </w:rPr>
              <w:t>29,239</w:t>
            </w:r>
          </w:p>
        </w:tc>
        <w:tc>
          <w:tcPr>
            <w:tcW w:type="dxa" w:w="1440"/>
            <w:shd w:fill="FFDCE0" w:val="clear"/>
          </w:tcPr>
          <w:p>
            <w:r>
              <w:rPr>
                <w:sz w:val="17"/>
              </w:rPr>
              <w:t>32,190</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2026-10-26</w:t>
            </w:r>
          </w:p>
        </w:tc>
        <w:tc>
          <w:tcPr>
            <w:tcW w:type="dxa" w:w="1440"/>
            <w:shd w:fill="FFDCE0" w:val="clear"/>
          </w:tcPr>
          <w:p>
            <w:r>
              <w:rPr>
                <w:sz w:val="17"/>
              </w:rPr>
              <w:t>25,826</w:t>
            </w:r>
          </w:p>
        </w:tc>
        <w:tc>
          <w:tcPr>
            <w:tcW w:type="dxa" w:w="1440"/>
            <w:shd w:fill="FFDCE0" w:val="clear"/>
          </w:tcPr>
          <w:p>
            <w:r>
              <w:rPr>
                <w:b/>
                <w:sz w:val="17"/>
              </w:rPr>
              <w:t>29,111</w:t>
            </w:r>
          </w:p>
        </w:tc>
        <w:tc>
          <w:tcPr>
            <w:tcW w:type="dxa" w:w="1440"/>
            <w:shd w:fill="FFDCE0" w:val="clear"/>
          </w:tcPr>
          <w:p>
            <w:r>
              <w:rPr>
                <w:sz w:val="17"/>
              </w:rPr>
              <w:t>32,396</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2026-10-27</w:t>
            </w:r>
          </w:p>
        </w:tc>
        <w:tc>
          <w:tcPr>
            <w:tcW w:type="dxa" w:w="1440"/>
            <w:shd w:fill="FFDCE0" w:val="clear"/>
          </w:tcPr>
          <w:p>
            <w:r>
              <w:rPr>
                <w:sz w:val="17"/>
              </w:rPr>
              <w:t>25,415</w:t>
            </w:r>
          </w:p>
        </w:tc>
        <w:tc>
          <w:tcPr>
            <w:tcW w:type="dxa" w:w="1440"/>
            <w:shd w:fill="FFDCE0" w:val="clear"/>
          </w:tcPr>
          <w:p>
            <w:r>
              <w:rPr>
                <w:b/>
                <w:sz w:val="17"/>
              </w:rPr>
              <w:t>29,000</w:t>
            </w:r>
          </w:p>
        </w:tc>
        <w:tc>
          <w:tcPr>
            <w:tcW w:type="dxa" w:w="1440"/>
            <w:shd w:fill="FFDCE0" w:val="clear"/>
          </w:tcPr>
          <w:p>
            <w:r>
              <w:rPr>
                <w:sz w:val="17"/>
              </w:rPr>
              <w:t>32,585</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2026-10-28</w:t>
            </w:r>
          </w:p>
        </w:tc>
        <w:tc>
          <w:tcPr>
            <w:tcW w:type="dxa" w:w="1440"/>
            <w:shd w:fill="FFDCE0" w:val="clear"/>
          </w:tcPr>
          <w:p>
            <w:r>
              <w:rPr>
                <w:sz w:val="17"/>
              </w:rPr>
              <w:t>25,044</w:t>
            </w:r>
          </w:p>
        </w:tc>
        <w:tc>
          <w:tcPr>
            <w:tcW w:type="dxa" w:w="1440"/>
            <w:shd w:fill="FFDCE0" w:val="clear"/>
          </w:tcPr>
          <w:p>
            <w:r>
              <w:rPr>
                <w:b/>
                <w:sz w:val="17"/>
              </w:rPr>
              <w:t>28,903</w:t>
            </w:r>
          </w:p>
        </w:tc>
        <w:tc>
          <w:tcPr>
            <w:tcW w:type="dxa" w:w="1440"/>
            <w:shd w:fill="FFDCE0" w:val="clear"/>
          </w:tcPr>
          <w:p>
            <w:r>
              <w:rPr>
                <w:sz w:val="17"/>
              </w:rPr>
              <w:t>32,762</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2026-10-29</w:t>
            </w:r>
          </w:p>
        </w:tc>
        <w:tc>
          <w:tcPr>
            <w:tcW w:type="dxa" w:w="1440"/>
            <w:shd w:fill="FFDCE0" w:val="clear"/>
          </w:tcPr>
          <w:p>
            <w:r>
              <w:rPr>
                <w:sz w:val="17"/>
              </w:rPr>
              <w:t>24,702</w:t>
            </w:r>
          </w:p>
        </w:tc>
        <w:tc>
          <w:tcPr>
            <w:tcW w:type="dxa" w:w="1440"/>
            <w:shd w:fill="FFDCE0" w:val="clear"/>
          </w:tcPr>
          <w:p>
            <w:r>
              <w:rPr>
                <w:b/>
                <w:sz w:val="17"/>
              </w:rPr>
              <w:t>28,816</w:t>
            </w:r>
          </w:p>
        </w:tc>
        <w:tc>
          <w:tcPr>
            <w:tcW w:type="dxa" w:w="1440"/>
            <w:shd w:fill="FFDCE0" w:val="clear"/>
          </w:tcPr>
          <w:p>
            <w:r>
              <w:rPr>
                <w:sz w:val="17"/>
              </w:rPr>
              <w:t>32,929</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2026-10-30</w:t>
            </w:r>
          </w:p>
        </w:tc>
        <w:tc>
          <w:tcPr>
            <w:tcW w:type="dxa" w:w="1440"/>
            <w:shd w:fill="FFDCE0" w:val="clear"/>
          </w:tcPr>
          <w:p>
            <w:r>
              <w:rPr>
                <w:sz w:val="17"/>
              </w:rPr>
              <w:t>24,387</w:t>
            </w:r>
          </w:p>
        </w:tc>
        <w:tc>
          <w:tcPr>
            <w:tcW w:type="dxa" w:w="1440"/>
            <w:shd w:fill="FFDCE0" w:val="clear"/>
          </w:tcPr>
          <w:p>
            <w:r>
              <w:rPr>
                <w:b/>
                <w:sz w:val="17"/>
              </w:rPr>
              <w:t>28,738</w:t>
            </w:r>
          </w:p>
        </w:tc>
        <w:tc>
          <w:tcPr>
            <w:tcW w:type="dxa" w:w="1440"/>
            <w:shd w:fill="FFDCE0" w:val="clear"/>
          </w:tcPr>
          <w:p>
            <w:r>
              <w:rPr>
                <w:sz w:val="17"/>
              </w:rPr>
              <w:t>33,089</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2026-11-02</w:t>
            </w:r>
          </w:p>
        </w:tc>
        <w:tc>
          <w:tcPr>
            <w:tcW w:type="dxa" w:w="1440"/>
            <w:shd w:fill="FFDCE0" w:val="clear"/>
          </w:tcPr>
          <w:p>
            <w:r>
              <w:rPr>
                <w:sz w:val="17"/>
              </w:rPr>
              <w:t>24,095</w:t>
            </w:r>
          </w:p>
        </w:tc>
        <w:tc>
          <w:tcPr>
            <w:tcW w:type="dxa" w:w="1440"/>
            <w:shd w:fill="FFDCE0" w:val="clear"/>
          </w:tcPr>
          <w:p>
            <w:r>
              <w:rPr>
                <w:b/>
                <w:sz w:val="17"/>
              </w:rPr>
              <w:t>28,670</w:t>
            </w:r>
          </w:p>
        </w:tc>
        <w:tc>
          <w:tcPr>
            <w:tcW w:type="dxa" w:w="1440"/>
            <w:shd w:fill="FFDCE0" w:val="clear"/>
          </w:tcPr>
          <w:p>
            <w:r>
              <w:rPr>
                <w:sz w:val="17"/>
              </w:rPr>
              <w:t>33,245</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976,16 milliards FCFA, CBIBF s'impose comme l'une des plus grandes capitalisations de la cote BRVM, témoignant de son statut de valeur bancaire de référence dans l'UEMOA. Le BPA de 2 047 FCFA par action signifie que chaque titre génère près de 2 047 FCFA de bénéfice net, un niveau de rentabilité par action particulièrement élevé pour le marché régional. Le PER de 14,9x se situe au-dessus de la moyenne BRVM (généralement 8-12x), traduisant une prime de qualité que les investisseurs acceptent de payer pour cette banque à la croissance soutenue — mais qui limite la marge de sécurité. L'EV/EBITDA de 11,0x, dans la fourchette 10-15x qualifiée d'élevée, confirme que le marché valorise généreusement la capacité opérationnelle de la banque, cohérent avec un titre en forte progression (+41,92% sur 100 jours). Le P/B n'est pas fourni dans les données disponibles, ce qui empêche d'évaluer précisément la prime ou décote par rapport à la valeur comptable, mais la capitalisation rapportée aux capitaux propres estimés suggère une valorisation plutôt tendue.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spectaculaire de +41,92%, passant d'un plus bas de 20 900 FCFA à un plus haut de 34 450 FCFA, avant de se replier à 30 505 FCFA, soit une baisse de -3,16% sur la dernière séance. Ce range de trading de 13 550 FCFA (soit 65% d'amplitude) illustre une tendance nettement haussière sur la période, portée par la publication de résultats annuels 2025 exceptionnels (résultat net +36,6%) et confirmée par le T1 2026 (+22,2%). Les statistiques descriptives révèlent une moyenne de 27 871 FCFA légèrement inférieure à la médiane de 28 688 FCFA, signe d'une distribution légèrement asymétrique à gauche (skewness de -0,324, qualifié de symétrique), tandis que le mode à 22 000 FCFA rappelle que le titre a longtemps stagné avant son envolée. L'écart-type de 4 058 FCFA avec un coefficient de variation de 14,6% indique une dispersion modérée autour de la moyenne, mais le kurtosis négatif de -1,078 (distribution platykurtique) signale une faible concentration des rendements et donc un risque de mouvements amples moins fréquent qu'une distribution normale — un profil rassurant. La volatilité annualisée de 44,3% classe toutefois le titre dans la catégorie des valeurs **très volatiles** (&gt;30%), ce qui est cohérent avec un marché frontière et une action ayant connu une réévaluation rapide.</w:t>
      </w:r>
    </w:p>
    <w:p>
      <w:pPr>
        <w:spacing w:after="120" w:line="276" w:lineRule="auto"/>
      </w:pPr>
      <w:r>
        <w:t>---</w:t>
      </w:r>
    </w:p>
    <w:p>
      <w:pPr>
        <w:spacing w:after="120" w:line="276" w:lineRule="auto"/>
      </w:pPr>
      <w:r>
        <w:t>## PARTIE 2 : ANALYSE TECHNIQUE DÉTAILLÉE</w:t>
      </w:r>
    </w:p>
    <w:p>
      <w:pPr>
        <w:spacing w:after="120" w:line="276" w:lineRule="auto"/>
      </w:pPr>
      <w:r>
        <w:t>**Moyennes Mobiles** : La MM20 (30 951,5 FCFA) et la MM50 (30 991,8 FCFA) sont quasi confondues et se situent toutes deux **au-dessus** du cours actuel (30 505 FCFA), plaçant le titre en position de faiblesse relative. Cette configuration de moyennes plates et supérieures au prix justifie la décision technique de **Vente**, signalant une perte de momentum haussier à court terme.</w:t>
      </w:r>
    </w:p>
    <w:p>
      <w:pPr>
        <w:spacing w:after="120" w:line="276" w:lineRule="auto"/>
      </w:pPr>
      <w:r>
        <w:t>**Bandes de Bollinger** : Le cours (30 505 FCFA) évolue dans la partie basse de la bande, entre la borne inférieure (28 881 FCFA) et la borne supérieure (33 022 FCFA), sans franchissement des extrêmes. Cette position intermédiaire, couplée à un resserrement relatif des bandes, traduit une phase de consolidation et justifie la décision **Neutre**, sans signal de survente ni de surachat.</w:t>
      </w:r>
    </w:p>
    <w:p>
      <w:pPr>
        <w:spacing w:after="120" w:line="276" w:lineRule="auto"/>
      </w:pPr>
      <w:r>
        <w:t>**MACD** : La ligne MACD (-218,4) est inférieure à sa ligne de signal (-153,4), avec un histogramme négatif qui s'accentue. Cette divergence baissière confirme un momentum négatif persistant et justifie pleinement la décision de **Vente**, le croisement étant déjà effectué à la baisse.</w:t>
      </w:r>
    </w:p>
    <w:p>
      <w:pPr>
        <w:spacing w:after="120" w:line="276" w:lineRule="auto"/>
      </w:pPr>
      <w:r>
        <w:t>**RSI** : À 37,4, le RSI se situe dans la zone neutre basse (30-70), sans atteindre le seuil de survente (30). Cette valeur traduit une pression vendeuse modérée mais non extrême, justifiant la décision **Neutre** — le titre n'est ni survendu ni en zone de rebond technique imminent.</w:t>
      </w:r>
    </w:p>
    <w:p>
      <w:pPr>
        <w:spacing w:after="120" w:line="276" w:lineRule="auto"/>
      </w:pPr>
      <w:r>
        <w:t>**Stochastique** : Le %K (20,3) est nettement inférieur au %D (40,2), avec un %K proche de la zone de survente (20). Ce croisement baissier récent et cet éloignement des deux lignes traduisent une faiblesse de court terme, mais la proximité du seuil de survente appelle à la prudence — décision **Neutre** cohérente avec un possible essoufflement de la baisse.</w:t>
      </w:r>
    </w:p>
    <w:p>
      <w:pPr>
        <w:spacing w:after="120" w:line="276" w:lineRule="auto"/>
      </w:pPr>
      <w:r>
        <w:t>**Conclusion technique** : La majorité des indicateurs (MM, MACD) penchent clairement vers la **Vente**, tandis que le RSI, le Stochastique et les Bollinger restent **Neutres**. Cette configuration mixte traduit une phase de correction après la forte hausse, avec un momentum baissier de court terme mais des signaux de survente approchants qui pourraient limiter la baisse. Le titre se trouve à un point d'inflexion technique : la cassure de la borne inférieure des Bollinger (28 881 FCFA) confirmerait la correction, tandis qu'un rebond au-dessus de la MM20 (30 951 FCFA) rétablirait la tendance haussière.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 réalisé un Produit Net Bancaire (équivalent du chiffre d'affaires bancaire) de **138,986 milliards FCFA**, en croissance de +6,11% selon le rapport annuel 2025, pour un **résultat net de 65,495 milliards FCFA** — en progression spectaculaire de +36,6% par rapport aux 47,937 milliards de 2024 (rapport annuel 2025 analysé le 01/10/2026). La rentabilité est remarquable : **marge nette de 47,12%**, **marge opérationnelle de 51,77%**, et un **ROA de 2,18%** sur un total actif de 2 997,8 milliards FCFA. Le **coefficient d'exploitation de 36,39%** place la banque parmi les établissements les plus efficaces du secteur (seuil d'excellence &lt;50%), confirmant une maîtrise des charges générales (50,574 milliards FCFA) remarquable. Le bilan affiche **2 015,3 milliards FCFA de dépôts clientèle** contre **1 326,98 milliards FCFA de créances clientèle**, soit un ratio de transformation de 65,8% — une collecte dynamique (+14,9%) qui surpasse la croissance des crédits (+5,4%), signe d'une politique de crédit prudente après l'assainissement de 2024. Le coût du risque s'est d'ailleurs amélioré de -59,3% à 16,5 milliards FCFA, traduisant l'efficacité du recouvrement.</w:t>
      </w:r>
    </w:p>
    <w:p>
      <w:pPr>
        <w:spacing w:after="120" w:line="276" w:lineRule="auto"/>
      </w:pPr>
      <w:r>
        <w:t>**Estimations basées sur les rapports trimestriels** : Le rapport T1 2026 (publié le 01/04/2026) confirme l'accélération : **PNB de 36,8 milliards FCFA (+28,5%)** et **résultat net de 21,5 milliards FCFA (+22,2%)**, avec des dépôts bondissant de +37,9% à 2 365,1 milliards FCFA. Sur cette base, on peut estimer que l'exercice 2026 devrait afficher un résultat net annuel supérieur à 85 milliards FCFA si la dynamique se maintient, soit une nouvelle croissance à deux chiffres. La notation financière AA/AI (perspective stable) par Bloomfield Investment Corporation, confirmée au T3 2025, et le renforcement de la gouvernance (deux administrateurs indépendants) constituent des gages de solidité. **Recommandation fondamentale : solide et en croissance**, portée par un modèle d'affaires efficient, une collecte de dépôts exceptionnelle et une amélioration continue de la qualité du portefeuille — les principaux risques restant l'environnement sécuritaire burkinabè et la concentration géographique.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**divorce marqué entre fondamentaux et technique**. Sur le plan de la **valorisation (Partie 0)**, le PER de 14,9x et l'EV/EBITDA de 11,0x indiquent une action correctement valorisée à légèrement tendue, sans marge de sécurité évidente malgré la qualité de l'émetteur. Le **comportement du cours (Partie 1)** montre une tendance haussière de fond (+41,92%) mais une correction récente (-3,16% en J-1), avec une volatilité élevée (44,3%) et un kurtosis platykurtique qui limite le risque de pics extrêmes — profil globalement favorable mais essoufflé. Les **signaux techniques (Partie 2)** sont majoritairement baissiers (MM au-dessus du cours, MACD négatif), avec un RSI et un Stochastique neutres approchant la survente : le titre consolide après sa hausse. Les **fondamentaux (Partie 3)** demeurent exceptionnels — résultat net 2025 de 65,5 Mds FCFA (+36,6%), coefficient d'exploitation de 36,4%, T1 2026 en accélération (+22,2%) — et soutiennent une thèse d'investissement de long terme solide. Les **prédictions IA (J+1 à J+10)** anticipent une poursuite de la correction de 30 505 à 29 111 FCFA (-4,6%), confirmant les signaux techniques baissiers de court terme.</w:t>
      </w:r>
    </w:p>
    <w:p>
      <w:pPr>
        <w:spacing w:after="120" w:line="276" w:lineRule="auto"/>
      </w:pPr>
      <w:r>
        <w:t>**Recommandation finale : CONSERVER** (avec opportunité d'achat sur repli). La convergence est partielle : la technique et les prédictions IA plaident pour une correction court terme, tandis que les fondamentaux et la valorisation raisonnable justifient une exposition de fond. Le niveau de confiance est **Moyen** (divergence technique/fondamental), le niveau de risque **Moyen** (volatilité élevée mais bilan solide), et l'horizon optimal est le **moyen-long terme (6-18 mois)** : accumuler sur repli vers 28 800-29 100 FCFA (borne basse des Bollinger et cible IA) pour profiter de la croissance bénéficiaire, avec un objectif de retour vers les 34 450 FCFA du plus haut.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259.36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3,605 titres</w:t>
            </w:r>
          </w:p>
        </w:tc>
        <w:tc>
          <w:tcPr>
            <w:tcW w:type="dxa" w:w="2268"/>
            <w:shd w:fill="FFF2CC" w:val="clear"/>
          </w:tcPr>
          <w:p>
            <w:r>
              <w:rPr>
                <w:b/>
                <w:color w:val="503200"/>
                <w:sz w:val="16"/>
              </w:rPr>
              <w:t xml:space="preserve">Cours actuel : </w:t>
            </w:r>
            <w:r>
              <w:rPr>
                <w:color w:val="000000"/>
                <w:sz w:val="17"/>
              </w:rPr>
              <w:t>1,430 FCFA</w:t>
            </w:r>
          </w:p>
          <w:p>
            <w:r>
              <w:rPr>
                <w:b/>
                <w:color w:val="503200"/>
                <w:sz w:val="16"/>
              </w:rPr>
              <w:t xml:space="preserve">Var. 100 jours : </w:t>
            </w:r>
            <w:r>
              <w:rPr>
                <w:b/>
                <w:color w:val="B40000"/>
                <w:sz w:val="17"/>
              </w:rPr>
              <w:t>-3.70%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5.97% (Moyenne) — μ=1,633 FCFA, σ=98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β=1.0602 (Neutre (suit le marché)) — Cov=0.000082, Var(idx)=0.000077, ρ=0.308,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00906"/>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1,371</w:t>
            </w:r>
          </w:p>
        </w:tc>
        <w:tc>
          <w:tcPr>
            <w:tcW w:type="dxa" w:w="1440"/>
            <w:shd w:fill="FAFAFA" w:val="clear"/>
          </w:tcPr>
          <w:p>
            <w:r>
              <w:rPr>
                <w:b/>
                <w:sz w:val="17"/>
              </w:rPr>
              <w:t>1,441</w:t>
            </w:r>
          </w:p>
        </w:tc>
        <w:tc>
          <w:tcPr>
            <w:tcW w:type="dxa" w:w="1440"/>
            <w:shd w:fill="FAFAFA" w:val="clear"/>
          </w:tcPr>
          <w:p>
            <w:r>
              <w:rPr>
                <w:sz w:val="17"/>
              </w:rPr>
              <w:t>1,510</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1,350</w:t>
            </w:r>
          </w:p>
        </w:tc>
        <w:tc>
          <w:tcPr>
            <w:tcW w:type="dxa" w:w="1440"/>
            <w:shd w:fill="FAFAFA" w:val="clear"/>
          </w:tcPr>
          <w:p>
            <w:r>
              <w:rPr>
                <w:b/>
                <w:sz w:val="17"/>
              </w:rPr>
              <w:t>1,450</w:t>
            </w:r>
          </w:p>
        </w:tc>
        <w:tc>
          <w:tcPr>
            <w:tcW w:type="dxa" w:w="1440"/>
            <w:shd w:fill="FAFAFA" w:val="clear"/>
          </w:tcPr>
          <w:p>
            <w:r>
              <w:rPr>
                <w:sz w:val="17"/>
              </w:rPr>
              <w:t>1,549</w:t>
            </w:r>
          </w:p>
        </w:tc>
        <w:tc>
          <w:tcPr>
            <w:tcW w:type="dxa" w:w="1440"/>
            <w:shd w:fill="FAFAFA" w:val="clear"/>
          </w:tcPr>
          <w:p>
            <w:r>
              <w:rPr>
                <w:b/>
                <w:color w:val="008000"/>
                <w:sz w:val="17"/>
              </w:rPr>
              <w:t>+1.4%</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1,336</w:t>
            </w:r>
          </w:p>
        </w:tc>
        <w:tc>
          <w:tcPr>
            <w:tcW w:type="dxa" w:w="1440"/>
            <w:shd w:fill="FAFAFA" w:val="clear"/>
          </w:tcPr>
          <w:p>
            <w:r>
              <w:rPr>
                <w:b/>
                <w:sz w:val="17"/>
              </w:rPr>
              <w:t>1,458</w:t>
            </w:r>
          </w:p>
        </w:tc>
        <w:tc>
          <w:tcPr>
            <w:tcW w:type="dxa" w:w="1440"/>
            <w:shd w:fill="FAFAFA" w:val="clear"/>
          </w:tcPr>
          <w:p>
            <w:r>
              <w:rPr>
                <w:sz w:val="17"/>
              </w:rPr>
              <w:t>1,581</w:t>
            </w:r>
          </w:p>
        </w:tc>
        <w:tc>
          <w:tcPr>
            <w:tcW w:type="dxa" w:w="1440"/>
            <w:shd w:fill="FAFAFA" w:val="clear"/>
          </w:tcPr>
          <w:p>
            <w:r>
              <w:rPr>
                <w:b/>
                <w:color w:val="008000"/>
                <w:sz w:val="17"/>
              </w:rPr>
              <w:t>+2.0%</w:t>
            </w:r>
          </w:p>
        </w:tc>
      </w:tr>
      <w:tr>
        <w:tc>
          <w:tcPr>
            <w:tcW w:type="dxa" w:w="1440"/>
            <w:shd w:fill="C6EFCE" w:val="clear"/>
          </w:tcPr>
          <w:p>
            <w:r>
              <w:rPr>
                <w:sz w:val="17"/>
              </w:rPr>
              <w:t>J+4  ⭐</w:t>
            </w:r>
          </w:p>
        </w:tc>
        <w:tc>
          <w:tcPr>
            <w:tcW w:type="dxa" w:w="1440"/>
            <w:shd w:fill="C6EFCE" w:val="clear"/>
          </w:tcPr>
          <w:p>
            <w:r>
              <w:rPr>
                <w:sz w:val="17"/>
              </w:rPr>
              <w:t>2026-10-23</w:t>
            </w:r>
          </w:p>
        </w:tc>
        <w:tc>
          <w:tcPr>
            <w:tcW w:type="dxa" w:w="1440"/>
            <w:shd w:fill="C6EFCE" w:val="clear"/>
          </w:tcPr>
          <w:p>
            <w:r>
              <w:rPr>
                <w:sz w:val="17"/>
              </w:rPr>
              <w:t>1,324</w:t>
            </w:r>
          </w:p>
        </w:tc>
        <w:tc>
          <w:tcPr>
            <w:tcW w:type="dxa" w:w="1440"/>
            <w:shd w:fill="C6EFCE" w:val="clear"/>
          </w:tcPr>
          <w:p>
            <w:r>
              <w:rPr>
                <w:b/>
                <w:sz w:val="17"/>
              </w:rPr>
              <w:t>1,466</w:t>
            </w:r>
          </w:p>
        </w:tc>
        <w:tc>
          <w:tcPr>
            <w:tcW w:type="dxa" w:w="1440"/>
            <w:shd w:fill="C6EFCE" w:val="clear"/>
          </w:tcPr>
          <w:p>
            <w:r>
              <w:rPr>
                <w:sz w:val="17"/>
              </w:rPr>
              <w:t>1,609</w:t>
            </w:r>
          </w:p>
        </w:tc>
        <w:tc>
          <w:tcPr>
            <w:tcW w:type="dxa" w:w="1440"/>
            <w:shd w:fill="C6EFCE" w:val="clear"/>
          </w:tcPr>
          <w:p>
            <w:r>
              <w:rPr>
                <w:b/>
                <w:color w:val="008000"/>
                <w:sz w:val="17"/>
              </w:rPr>
              <w:t>+2.5%</w:t>
            </w:r>
          </w:p>
        </w:tc>
      </w:tr>
      <w:tr>
        <w:tc>
          <w:tcPr>
            <w:tcW w:type="dxa" w:w="1440"/>
            <w:shd w:fill="C6EFCE" w:val="clear"/>
          </w:tcPr>
          <w:p>
            <w:r>
              <w:rPr>
                <w:sz w:val="17"/>
              </w:rPr>
              <w:t>J+5  ⭐</w:t>
            </w:r>
          </w:p>
        </w:tc>
        <w:tc>
          <w:tcPr>
            <w:tcW w:type="dxa" w:w="1440"/>
            <w:shd w:fill="C6EFCE" w:val="clear"/>
          </w:tcPr>
          <w:p>
            <w:r>
              <w:rPr>
                <w:sz w:val="17"/>
              </w:rPr>
              <w:t>2026-10-26</w:t>
            </w:r>
          </w:p>
        </w:tc>
        <w:tc>
          <w:tcPr>
            <w:tcW w:type="dxa" w:w="1440"/>
            <w:shd w:fill="C6EFCE" w:val="clear"/>
          </w:tcPr>
          <w:p>
            <w:r>
              <w:rPr>
                <w:sz w:val="17"/>
              </w:rPr>
              <w:t>1,315</w:t>
            </w:r>
          </w:p>
        </w:tc>
        <w:tc>
          <w:tcPr>
            <w:tcW w:type="dxa" w:w="1440"/>
            <w:shd w:fill="C6EFCE" w:val="clear"/>
          </w:tcPr>
          <w:p>
            <w:r>
              <w:rPr>
                <w:b/>
                <w:sz w:val="17"/>
              </w:rPr>
              <w:t>1,474</w:t>
            </w:r>
          </w:p>
        </w:tc>
        <w:tc>
          <w:tcPr>
            <w:tcW w:type="dxa" w:w="1440"/>
            <w:shd w:fill="C6EFCE" w:val="clear"/>
          </w:tcPr>
          <w:p>
            <w:r>
              <w:rPr>
                <w:sz w:val="17"/>
              </w:rPr>
              <w:t>1,634</w:t>
            </w:r>
          </w:p>
        </w:tc>
        <w:tc>
          <w:tcPr>
            <w:tcW w:type="dxa" w:w="1440"/>
            <w:shd w:fill="C6EFCE" w:val="clear"/>
          </w:tcPr>
          <w:p>
            <w:r>
              <w:rPr>
                <w:b/>
                <w:color w:val="008000"/>
                <w:sz w:val="17"/>
              </w:rPr>
              <w:t>+3.1%</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1,306</w:t>
            </w:r>
          </w:p>
        </w:tc>
        <w:tc>
          <w:tcPr>
            <w:tcW w:type="dxa" w:w="1440"/>
            <w:shd w:fill="C6EFCE" w:val="clear"/>
          </w:tcPr>
          <w:p>
            <w:r>
              <w:rPr>
                <w:b/>
                <w:sz w:val="17"/>
              </w:rPr>
              <w:t>1,482</w:t>
            </w:r>
          </w:p>
        </w:tc>
        <w:tc>
          <w:tcPr>
            <w:tcW w:type="dxa" w:w="1440"/>
            <w:shd w:fill="C6EFCE" w:val="clear"/>
          </w:tcPr>
          <w:p>
            <w:r>
              <w:rPr>
                <w:sz w:val="17"/>
              </w:rPr>
              <w:t>1,658</w:t>
            </w:r>
          </w:p>
        </w:tc>
        <w:tc>
          <w:tcPr>
            <w:tcW w:type="dxa" w:w="1440"/>
            <w:shd w:fill="C6EFCE" w:val="clear"/>
          </w:tcPr>
          <w:p>
            <w:r>
              <w:rPr>
                <w:b/>
                <w:color w:val="008000"/>
                <w:sz w:val="17"/>
              </w:rPr>
              <w:t>+3.7%</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1,299</w:t>
            </w:r>
          </w:p>
        </w:tc>
        <w:tc>
          <w:tcPr>
            <w:tcW w:type="dxa" w:w="1440"/>
            <w:shd w:fill="C6EFCE" w:val="clear"/>
          </w:tcPr>
          <w:p>
            <w:r>
              <w:rPr>
                <w:b/>
                <w:sz w:val="17"/>
              </w:rPr>
              <w:t>1,490</w:t>
            </w:r>
          </w:p>
        </w:tc>
        <w:tc>
          <w:tcPr>
            <w:tcW w:type="dxa" w:w="1440"/>
            <w:shd w:fill="C6EFCE" w:val="clear"/>
          </w:tcPr>
          <w:p>
            <w:r>
              <w:rPr>
                <w:sz w:val="17"/>
              </w:rPr>
              <w:t>1,681</w:t>
            </w:r>
          </w:p>
        </w:tc>
        <w:tc>
          <w:tcPr>
            <w:tcW w:type="dxa" w:w="1440"/>
            <w:shd w:fill="C6EFCE" w:val="clear"/>
          </w:tcPr>
          <w:p>
            <w:r>
              <w:rPr>
                <w:b/>
                <w:color w:val="008000"/>
                <w:sz w:val="17"/>
              </w:rPr>
              <w:t>+4.2%</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1,292</w:t>
            </w:r>
          </w:p>
        </w:tc>
        <w:tc>
          <w:tcPr>
            <w:tcW w:type="dxa" w:w="1440"/>
            <w:shd w:fill="C6EFCE" w:val="clear"/>
          </w:tcPr>
          <w:p>
            <w:r>
              <w:rPr>
                <w:b/>
                <w:sz w:val="17"/>
              </w:rPr>
              <w:t>1,497</w:t>
            </w:r>
          </w:p>
        </w:tc>
        <w:tc>
          <w:tcPr>
            <w:tcW w:type="dxa" w:w="1440"/>
            <w:shd w:fill="C6EFCE" w:val="clear"/>
          </w:tcPr>
          <w:p>
            <w:r>
              <w:rPr>
                <w:sz w:val="17"/>
              </w:rPr>
              <w:t>1,702</w:t>
            </w:r>
          </w:p>
        </w:tc>
        <w:tc>
          <w:tcPr>
            <w:tcW w:type="dxa" w:w="1440"/>
            <w:shd w:fill="C6EFCE" w:val="clear"/>
          </w:tcPr>
          <w:p>
            <w:r>
              <w:rPr>
                <w:b/>
                <w:color w:val="008000"/>
                <w:sz w:val="17"/>
              </w:rPr>
              <w:t>+4.7%</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1,285</w:t>
            </w:r>
          </w:p>
        </w:tc>
        <w:tc>
          <w:tcPr>
            <w:tcW w:type="dxa" w:w="1440"/>
            <w:shd w:fill="C6EFCE" w:val="clear"/>
          </w:tcPr>
          <w:p>
            <w:r>
              <w:rPr>
                <w:b/>
                <w:sz w:val="17"/>
              </w:rPr>
              <w:t>1,504</w:t>
            </w:r>
          </w:p>
        </w:tc>
        <w:tc>
          <w:tcPr>
            <w:tcW w:type="dxa" w:w="1440"/>
            <w:shd w:fill="C6EFCE" w:val="clear"/>
          </w:tcPr>
          <w:p>
            <w:r>
              <w:rPr>
                <w:sz w:val="17"/>
              </w:rPr>
              <w:t>1,723</w:t>
            </w:r>
          </w:p>
        </w:tc>
        <w:tc>
          <w:tcPr>
            <w:tcW w:type="dxa" w:w="1440"/>
            <w:shd w:fill="C6EFCE" w:val="clear"/>
          </w:tcPr>
          <w:p>
            <w:r>
              <w:rPr>
                <w:b/>
                <w:color w:val="008000"/>
                <w:sz w:val="17"/>
              </w:rPr>
              <w:t>+5.2%</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1,279</w:t>
            </w:r>
          </w:p>
        </w:tc>
        <w:tc>
          <w:tcPr>
            <w:tcW w:type="dxa" w:w="1440"/>
            <w:shd w:fill="C6EFCE" w:val="clear"/>
          </w:tcPr>
          <w:p>
            <w:r>
              <w:rPr>
                <w:b/>
                <w:sz w:val="17"/>
              </w:rPr>
              <w:t>1,511</w:t>
            </w:r>
          </w:p>
        </w:tc>
        <w:tc>
          <w:tcPr>
            <w:tcW w:type="dxa" w:w="1440"/>
            <w:shd w:fill="C6EFCE" w:val="clear"/>
          </w:tcPr>
          <w:p>
            <w:r>
              <w:rPr>
                <w:sz w:val="17"/>
              </w:rPr>
              <w:t>1,743</w:t>
            </w:r>
          </w:p>
        </w:tc>
        <w:tc>
          <w:tcPr>
            <w:tcW w:type="dxa" w:w="1440"/>
            <w:shd w:fill="C6EFCE" w:val="clear"/>
          </w:tcPr>
          <w:p>
            <w:r>
              <w:rPr>
                <w:b/>
                <w:color w:val="008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CFAO Motors Côte d'Ivoire affiche une capitalisation boursière de 259,36 milliards FCFA, un niveau significatif à l'échelle de la BRVM qui positionne le titre parmi les valeurs les plus capitalisées de la cote ivoirienne. Le BPA s'établit à 26 FCFA par action, un niveau modeste qui traduit la faible marge nette du groupe (2,96%) sur un chiffre d'affaires pourtant élevé. Le PER de 55,3x constitue un signal d'alerte majeur : les investisseurs paient plus de 55 fois les bénéfices, soit un multiple très supérieur à la moyenne BRVM (8-12x), ce qui intègre une prime de croissance considérable et une faible marge de sécurité. Le P/B de 13,33x confirme cette valorisation exigeante, le marché valorisant le titre à plus de 13 fois sa valeur comptable, bien au-delà du seuil de 4x généralement considéré comme élevé. Enfin, l'EV/EBITDA de 28,2x, très supérieur au seuil de 15x, indique que la valeur d'entreprise intègre une forte anticipation de génération de cash-flows opérationnels, rendant le titre vulnérable à toute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 enregistré une variation totale de -3,70%, avec une dernière séance en repli de -1,38%, portant le cours actuel à 1 430 FCFA. Le range de trading s'étend de 1 350 FCFA (plus bas) à 1 825 FCFA (plus haut), soit une amplitude de 35% qui témoigne d'une réelle nervosité du titre sur la période. La tendance générale est clairement baissière, le cours actuel se situant à 21,6% sous son plus haut et à seulement 5,9% au-dessus de son plus bas, ce qui traduit une pression vendeuse persistante. Les statistiques descriptives révèlent une moyenne de 1 633 FCFA légèrement supérieure à la médiane de 1 642 FCFA — écart marginal suggérant une distribution quasi symétrique — tandis que le mode à 1 600 FCFA confirme cette zone de concentration. L'écart-type de 98 FCFA avec un coefficient de variation de 6,0% indique une dispersion modérée du cours autour de sa moyenne, mais la volatilité annualisée de 47,8% classe le titre dans la catégorie des valeurs à volatilité élevée (&gt;30%), ce qui implique un risque de marché important. Le kurtosis de -0,407 (mésokurtique) et le skewness de -0,428 (distribution symétrique avec légère queue gauche) suggèrent un comportement proche d'une loi normale, sans risque extrême de pics brutaux, mais avec une légère propension aux baisses marquées.</w:t>
      </w:r>
    </w:p>
    <w:p>
      <w:pPr>
        <w:spacing w:after="120" w:line="276" w:lineRule="auto"/>
      </w:pPr>
      <w:r>
        <w:t>---</w:t>
      </w:r>
    </w:p>
    <w:p>
      <w:pPr>
        <w:spacing w:after="120" w:line="276" w:lineRule="auto"/>
      </w:pPr>
      <w:r>
        <w:t>## PARTIE 2 : ANALYSE TECHNIQUE DÉTAILLÉE</w:t>
      </w:r>
    </w:p>
    <w:p>
      <w:pPr>
        <w:spacing w:after="120" w:line="276" w:lineRule="auto"/>
      </w:pPr>
      <w:r>
        <w:t>**Moyennes Mobiles :** La MM20 (1 507,5 FCFA) et la MM50 (1 622,3 FCFA) se situent toutes deux au-dessus du cours actuel (1 430 FCFA), avec une MM20 inférieure à la MM50 — configuration baissière caractéristique. Le cours évoluant sous ses deux moyennes mobiles, la pression vendeuse est confirmée et la décision technique est logiquement **Vente**.</w:t>
      </w:r>
    </w:p>
    <w:p>
      <w:pPr>
        <w:spacing w:after="120" w:line="276" w:lineRule="auto"/>
      </w:pPr>
      <w:r>
        <w:t>**Bandes de Bollinger :** Le cours (1 430 FCFA) évolue dans la partie basse de la bande, entre la borne inférieure (1 366,358 FCFA) et la borne supérieure (1 648,642 FCFA), sans franchissement de seuil critique. L'écart entre les bornes (282 FCFA) reflète une volatilité modérée, et la position du cours à 22,5% de la largeur de bande suggère une proximité de la zone de survente, justifiant la décision **Neutre**.</w:t>
      </w:r>
    </w:p>
    <w:p>
      <w:pPr>
        <w:spacing w:after="120" w:line="276" w:lineRule="auto"/>
      </w:pPr>
      <w:r>
        <w:t>**MACD :** La valeur du MACD (-60,603) est inférieure à son signal (-53,704), confirmant une divergence baissière et un momentum négatif. L'histogramme négatif indique que la pression baissière persiste, bien que son ampleur reste contenue, justifiant la décision **Vente**.</w:t>
      </w:r>
    </w:p>
    <w:p>
      <w:pPr>
        <w:spacing w:after="120" w:line="276" w:lineRule="auto"/>
      </w:pPr>
      <w:r>
        <w:t>**RSI :** À 33,333, le RSI se situe dans la zone neutre basse, proche du seuil de survente (30) sans l'avoir franchi. Cette configuration suggère un potentiel de rebond technique à court terme, mais la faiblesse du momentum justifie une décision **Neutre** avec vigilance.</w:t>
      </w:r>
    </w:p>
    <w:p>
      <w:pPr>
        <w:spacing w:after="120" w:line="276" w:lineRule="auto"/>
      </w:pPr>
      <w:r>
        <w:t>**Stochastique :** Le %K (32,0) est supérieur au %D (23,245), configuration haussière naissante, mais les deux indicateurs restent en zone basse, signalant une possible amorce de retournement sans confirmation franche. La décision est **Neutre**.</w:t>
      </w:r>
    </w:p>
    <w:p>
      <w:pPr>
        <w:spacing w:after="120" w:line="276" w:lineRule="auto"/>
      </w:pPr>
      <w:r>
        <w:t>**Conclusion technique :** L'ensemble des indicateurs converge vers un signal baissier modéré : cours sous les moyennes mobiles, MACD en divergence négative, RSI proche de la survente et stochastique en zone basse. La configuration suggère une poursuite de la consolidation baissière à court terme, avec un potentiel de rebond technique limité tant que le cours reste sous la MM20 (1 507,5 FCFA). Le titre se situe dans une zone de transition où la prudence reste de mise.</w:t>
      </w:r>
    </w:p>
    <w:p>
      <w:pPr>
        <w:spacing w:after="120" w:line="276" w:lineRule="auto"/>
      </w:pPr>
      <w:r>
        <w:t>---</w:t>
      </w:r>
    </w:p>
    <w:p>
      <w:pPr>
        <w:spacing w:after="120" w:line="276" w:lineRule="auto"/>
      </w:pPr>
      <w:r>
        <w:t>## PARTIE 3 : ANALYSE FONDAMENTALE (SECTION CRITIQUE)</w:t>
      </w:r>
    </w:p>
    <w:p>
      <w:pPr>
        <w:spacing w:after="120" w:line="276" w:lineRule="auto"/>
      </w:pPr>
      <w:r>
        <w:t>Les états financiers de l'exercice 2024 (rapport du 31 décembre 2024) révèlent un chiffre d'affaires de 158,313 milliards FCFA, en recul de -12,13% par rapport à 2023, conséquence d'une baisse des volumes de véhicules (-5,5%) et d'un environnement réglementaire plus strict. Le résultat net s'établit à 4,693 milliards FCFA (-26,7%), avec une marge nette de 2,96% et une marge opérationnelle de 4,96%, en dégradation par rapport aux 6,2% de 2023. Le ROE reste néanmoins excellent à 24,13% (&gt;15%), porté par des capitaux propres de 19,453 milliards FCFA, tandis que le ROA de 5,52% traduit une rotation des actifs élevée (186,2%). Sur le plan de la structure financière, l'autonomie financière de 22,88% est inférieure au seuil sain de 30%, et la liquidité générale de 93,63% (&lt;1) signale une tension sur le fonds de roulement, avec une trésorerie nette négative de -624,20 millions FCFA. Les délais d'exploitation sont contrastés : délai clients de 36,64 jours (risque de trésorerie modéré), délai fournisseurs de 81,75 jours (favorable à la trésorerie) et durée de stockage de 88,35 jours (immobilisation de capital importante). Le BFR négatif de -3,482 milliards FCFA constitue toutefois un point positif, signe d'un financement favorable par les fournisseurs.</w:t>
      </w:r>
    </w:p>
    <w:p>
      <w:pPr>
        <w:spacing w:after="120" w:line="276" w:lineRule="auto"/>
      </w:pPr>
      <w:r>
        <w:t>Les rapports trimestriels 2025 (T1 du 31 mars 2025, S1 du 30 juin 2025 et T3 du 30 septembre 2025) témoignent d'un **redressement spectaculaire** : le T1 2025 affiche un CA de 46,161 milliards FCFA (+14,5%) et un résultat net de 3,836 milliards FCFA (+279,7%) ; le S1 2025 confirme avec un CA de 91,182 milliards (+18,4%) et un résultat net de 5,420 milliards (+152,7%) ; le T3 2025 poursuit avec un CA de 43,580 milliards (+18,3%) et un résultat net de 1,489 milliard (+38,1%), la part de marché atteignant 41,7%. **Sur la base de ces rapports, on estime que l'exercice 2025 devrait clôturer avec un CA de l'ordre de 180-185 milliards FCFA et un résultat net nettement supérieur à celui de 2024**, marquant un retour à la croissance après l'exercice 2024 difficile. La politique de dividende reste généreuse (taux de distribution de 88,1% en 2023 selon le rapport Mistral du 15 mars 2026), ce qui constitue un risque de soutenabilité. **Recommandation fondamentale :** la solidité du leadership (43,4% de part de marché), le redressement 2025 et le ROE élevé plaident pour une qualité fondamentale réelle, mais la valorisation extrême (PER 55x) et la tension de trésorerie imposent une grande prudence.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une **divergence fondamentale entre la qualité opérationnelle et la valorisation boursière**. Sur le plan de la valorisation (Partie 0), les ratios PER (55,3x), P/B (13,33x) et EV/EBITDA (28,2x) indiquent une **surévaluation manifeste** par rapport aux standards BRVM, le marché intégrant déjà une reprise optimiste. Le comportement du cours (Partie 1) est baissier (-3,70% sur 100 jours, cours sous le plus haut de 21,6%) avec une volatilité élevée (47,8%) et des statistiques (skewness -0,428, kurtosis -0,407) qui traduisent une légère asymétrie baissière sans risque extrême. Les signaux techniques (Partie 2) convergent vers une **pression vendeuse modérée** (cours sous MM20 et MM50, MACD négatif, RSI à 33,3 proche de la survente), sans signal d'achat confirmé. Les fondamentaux (Partie 3) sont **ambivalents** : excellente dynamique 2025 (CA +18,4% au S1, résultat net +152,7%) et ROE de 24,13%, mais trésorerie nette négative (-624,20 M FCFA), autonomie financière faible (22,88%) et valorisation déjà très exigeante. Les prédictions IA (J+1 à J+10) anticipent une **légère reprise** de 1 441 à 1 474 FCFA (+3,1% sur 10 jours), ce qui contredit partiellement les signaux techniques baissiers et suggère un rebond technique de court terme sans changement de tendance de fond.</w:t>
      </w:r>
    </w:p>
    <w:p>
      <w:pPr>
        <w:spacing w:after="120" w:line="276" w:lineRule="auto"/>
      </w:pPr>
      <w:r>
        <w:t>**Recommandation finale : CONSERVER** — Le titre présente une qualité fondamentale réelle (leadership, redressement 2025, ROE élevé) mais une valorisation excessive (PER 55x) et une configuration technique baissière qui limitent le potentiel de hausse à court terme. La convergence est **partielle** : les fondamentaux et les prédictions IA plaident pour un maintien, tandis que la valorisation et la technique appellent à la prudence. **Niveau de confiance : Moyen** (divergence entre signaux). **Niveau de risque global : Élevé** (volatilité 47,8%, valorisation tendue, trésorerie négative). **Horizon optimal : moyen terme (3-12 mois)**, le temps que la publication des résultats annuels 2025 confirme le redressement et que la valorisation se normalise ; un renforcement ne serait justifié qu'en cas de correction vers la zone de 1 350-1 400 FCFA offrant une meilleure marge de sécurité.</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310.80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6,450 titres</w:t>
            </w:r>
          </w:p>
        </w:tc>
        <w:tc>
          <w:tcPr>
            <w:tcW w:type="dxa" w:w="2268"/>
            <w:shd w:fill="FFF2CC" w:val="clear"/>
          </w:tcPr>
          <w:p>
            <w:r>
              <w:rPr>
                <w:b/>
                <w:color w:val="503200"/>
                <w:sz w:val="16"/>
              </w:rPr>
              <w:t xml:space="preserve">Cours actuel : </w:t>
            </w:r>
            <w:r>
              <w:rPr>
                <w:color w:val="000000"/>
                <w:sz w:val="17"/>
              </w:rPr>
              <w:t>5,550 FCFA</w:t>
            </w:r>
          </w:p>
          <w:p>
            <w:r>
              <w:rPr>
                <w:b/>
                <w:color w:val="503200"/>
                <w:sz w:val="16"/>
              </w:rPr>
              <w:t xml:space="preserve">Var. 100 jours : </w:t>
            </w:r>
            <w:r>
              <w:rPr>
                <w:b/>
                <w:color w:val="007800"/>
                <w:sz w:val="17"/>
              </w:rPr>
              <w:t>+36.87%</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4,055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13.99% (Moyenne) — μ=5,735 FCFA, σ=802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β=0.7888 (Défensif) — Cov=0.000061, Var(idx)=0.000077, ρ=0.227,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0090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2026-10-20</w:t>
            </w:r>
          </w:p>
        </w:tc>
        <w:tc>
          <w:tcPr>
            <w:tcW w:type="dxa" w:w="1440"/>
            <w:shd w:fill="C6EFCE" w:val="clear"/>
          </w:tcPr>
          <w:p>
            <w:r>
              <w:rPr>
                <w:sz w:val="17"/>
              </w:rPr>
              <w:t>5,453</w:t>
            </w:r>
          </w:p>
        </w:tc>
        <w:tc>
          <w:tcPr>
            <w:tcW w:type="dxa" w:w="1440"/>
            <w:shd w:fill="C6EFCE" w:val="clear"/>
          </w:tcPr>
          <w:p>
            <w:r>
              <w:rPr>
                <w:b/>
                <w:sz w:val="17"/>
              </w:rPr>
              <w:t>5,714</w:t>
            </w:r>
          </w:p>
        </w:tc>
        <w:tc>
          <w:tcPr>
            <w:tcW w:type="dxa" w:w="1440"/>
            <w:shd w:fill="C6EFCE" w:val="clear"/>
          </w:tcPr>
          <w:p>
            <w:r>
              <w:rPr>
                <w:sz w:val="17"/>
              </w:rPr>
              <w:t>5,975</w:t>
            </w:r>
          </w:p>
        </w:tc>
        <w:tc>
          <w:tcPr>
            <w:tcW w:type="dxa" w:w="1440"/>
            <w:shd w:fill="C6EFCE" w:val="clear"/>
          </w:tcPr>
          <w:p>
            <w:r>
              <w:rPr>
                <w:b/>
                <w:color w:val="008000"/>
                <w:sz w:val="17"/>
              </w:rPr>
              <w:t>+3.0%</w:t>
            </w:r>
          </w:p>
        </w:tc>
      </w:tr>
      <w:tr>
        <w:tc>
          <w:tcPr>
            <w:tcW w:type="dxa" w:w="1440"/>
            <w:shd w:fill="C6EFCE" w:val="clear"/>
          </w:tcPr>
          <w:p>
            <w:r>
              <w:rPr>
                <w:sz w:val="17"/>
              </w:rPr>
              <w:t>J+2  Moyenne</w:t>
            </w:r>
          </w:p>
        </w:tc>
        <w:tc>
          <w:tcPr>
            <w:tcW w:type="dxa" w:w="1440"/>
            <w:shd w:fill="C6EFCE" w:val="clear"/>
          </w:tcPr>
          <w:p>
            <w:r>
              <w:rPr>
                <w:sz w:val="17"/>
              </w:rPr>
              <w:t>2026-10-21</w:t>
            </w:r>
          </w:p>
        </w:tc>
        <w:tc>
          <w:tcPr>
            <w:tcW w:type="dxa" w:w="1440"/>
            <w:shd w:fill="C6EFCE" w:val="clear"/>
          </w:tcPr>
          <w:p>
            <w:r>
              <w:rPr>
                <w:sz w:val="17"/>
              </w:rPr>
              <w:t>5,440</w:t>
            </w:r>
          </w:p>
        </w:tc>
        <w:tc>
          <w:tcPr>
            <w:tcW w:type="dxa" w:w="1440"/>
            <w:shd w:fill="C6EFCE" w:val="clear"/>
          </w:tcPr>
          <w:p>
            <w:r>
              <w:rPr>
                <w:b/>
                <w:sz w:val="17"/>
              </w:rPr>
              <w:t>5,817</w:t>
            </w:r>
          </w:p>
        </w:tc>
        <w:tc>
          <w:tcPr>
            <w:tcW w:type="dxa" w:w="1440"/>
            <w:shd w:fill="C6EFCE" w:val="clear"/>
          </w:tcPr>
          <w:p>
            <w:r>
              <w:rPr>
                <w:sz w:val="17"/>
              </w:rPr>
              <w:t>6,193</w:t>
            </w:r>
          </w:p>
        </w:tc>
        <w:tc>
          <w:tcPr>
            <w:tcW w:type="dxa" w:w="1440"/>
            <w:shd w:fill="C6EFCE" w:val="clear"/>
          </w:tcPr>
          <w:p>
            <w:r>
              <w:rPr>
                <w:b/>
                <w:color w:val="008000"/>
                <w:sz w:val="17"/>
              </w:rPr>
              <w:t>+4.8%</w:t>
            </w:r>
          </w:p>
        </w:tc>
      </w:tr>
      <w:tr>
        <w:tc>
          <w:tcPr>
            <w:tcW w:type="dxa" w:w="1440"/>
            <w:shd w:fill="C6EFCE" w:val="clear"/>
          </w:tcPr>
          <w:p>
            <w:r>
              <w:rPr>
                <w:sz w:val="17"/>
              </w:rPr>
              <w:t>J+3  Moyenne</w:t>
            </w:r>
          </w:p>
        </w:tc>
        <w:tc>
          <w:tcPr>
            <w:tcW w:type="dxa" w:w="1440"/>
            <w:shd w:fill="C6EFCE" w:val="clear"/>
          </w:tcPr>
          <w:p>
            <w:r>
              <w:rPr>
                <w:sz w:val="17"/>
              </w:rPr>
              <w:t>2026-10-22</w:t>
            </w:r>
          </w:p>
        </w:tc>
        <w:tc>
          <w:tcPr>
            <w:tcW w:type="dxa" w:w="1440"/>
            <w:shd w:fill="C6EFCE" w:val="clear"/>
          </w:tcPr>
          <w:p>
            <w:r>
              <w:rPr>
                <w:sz w:val="17"/>
              </w:rPr>
              <w:t>5,435</w:t>
            </w:r>
          </w:p>
        </w:tc>
        <w:tc>
          <w:tcPr>
            <w:tcW w:type="dxa" w:w="1440"/>
            <w:shd w:fill="C6EFCE" w:val="clear"/>
          </w:tcPr>
          <w:p>
            <w:r>
              <w:rPr>
                <w:b/>
                <w:sz w:val="17"/>
              </w:rPr>
              <w:t>5,903</w:t>
            </w:r>
          </w:p>
        </w:tc>
        <w:tc>
          <w:tcPr>
            <w:tcW w:type="dxa" w:w="1440"/>
            <w:shd w:fill="C6EFCE" w:val="clear"/>
          </w:tcPr>
          <w:p>
            <w:r>
              <w:rPr>
                <w:sz w:val="17"/>
              </w:rPr>
              <w:t>6,371</w:t>
            </w:r>
          </w:p>
        </w:tc>
        <w:tc>
          <w:tcPr>
            <w:tcW w:type="dxa" w:w="1440"/>
            <w:shd w:fill="C6EFCE" w:val="clear"/>
          </w:tcPr>
          <w:p>
            <w:r>
              <w:rPr>
                <w:b/>
                <w:color w:val="008000"/>
                <w:sz w:val="17"/>
              </w:rPr>
              <w:t>+6.4%</w:t>
            </w:r>
          </w:p>
        </w:tc>
      </w:tr>
      <w:tr>
        <w:tc>
          <w:tcPr>
            <w:tcW w:type="dxa" w:w="1440"/>
            <w:shd w:fill="C6EFCE" w:val="clear"/>
          </w:tcPr>
          <w:p>
            <w:r>
              <w:rPr>
                <w:sz w:val="17"/>
              </w:rPr>
              <w:t>J+4  ⭐</w:t>
            </w:r>
          </w:p>
        </w:tc>
        <w:tc>
          <w:tcPr>
            <w:tcW w:type="dxa" w:w="1440"/>
            <w:shd w:fill="C6EFCE" w:val="clear"/>
          </w:tcPr>
          <w:p>
            <w:r>
              <w:rPr>
                <w:sz w:val="17"/>
              </w:rPr>
              <w:t>2026-10-23</w:t>
            </w:r>
          </w:p>
        </w:tc>
        <w:tc>
          <w:tcPr>
            <w:tcW w:type="dxa" w:w="1440"/>
            <w:shd w:fill="C6EFCE" w:val="clear"/>
          </w:tcPr>
          <w:p>
            <w:r>
              <w:rPr>
                <w:sz w:val="17"/>
              </w:rPr>
              <w:t>5,401</w:t>
            </w:r>
          </w:p>
        </w:tc>
        <w:tc>
          <w:tcPr>
            <w:tcW w:type="dxa" w:w="1440"/>
            <w:shd w:fill="C6EFCE" w:val="clear"/>
          </w:tcPr>
          <w:p>
            <w:r>
              <w:rPr>
                <w:b/>
                <w:sz w:val="17"/>
              </w:rPr>
              <w:t>5,945</w:t>
            </w:r>
          </w:p>
        </w:tc>
        <w:tc>
          <w:tcPr>
            <w:tcW w:type="dxa" w:w="1440"/>
            <w:shd w:fill="C6EFCE" w:val="clear"/>
          </w:tcPr>
          <w:p>
            <w:r>
              <w:rPr>
                <w:sz w:val="17"/>
              </w:rPr>
              <w:t>6,489</w:t>
            </w:r>
          </w:p>
        </w:tc>
        <w:tc>
          <w:tcPr>
            <w:tcW w:type="dxa" w:w="1440"/>
            <w:shd w:fill="C6EFCE" w:val="clear"/>
          </w:tcPr>
          <w:p>
            <w:r>
              <w:rPr>
                <w:b/>
                <w:color w:val="008000"/>
                <w:sz w:val="17"/>
              </w:rPr>
              <w:t>+7.1%</w:t>
            </w:r>
          </w:p>
        </w:tc>
      </w:tr>
      <w:tr>
        <w:tc>
          <w:tcPr>
            <w:tcW w:type="dxa" w:w="1440"/>
            <w:shd w:fill="C6EFCE" w:val="clear"/>
          </w:tcPr>
          <w:p>
            <w:r>
              <w:rPr>
                <w:sz w:val="17"/>
              </w:rPr>
              <w:t>J+5  ⭐</w:t>
            </w:r>
          </w:p>
        </w:tc>
        <w:tc>
          <w:tcPr>
            <w:tcW w:type="dxa" w:w="1440"/>
            <w:shd w:fill="C6EFCE" w:val="clear"/>
          </w:tcPr>
          <w:p>
            <w:r>
              <w:rPr>
                <w:sz w:val="17"/>
              </w:rPr>
              <w:t>2026-10-26</w:t>
            </w:r>
          </w:p>
        </w:tc>
        <w:tc>
          <w:tcPr>
            <w:tcW w:type="dxa" w:w="1440"/>
            <w:shd w:fill="C6EFCE" w:val="clear"/>
          </w:tcPr>
          <w:p>
            <w:r>
              <w:rPr>
                <w:sz w:val="17"/>
              </w:rPr>
              <w:t>5,359</w:t>
            </w:r>
          </w:p>
        </w:tc>
        <w:tc>
          <w:tcPr>
            <w:tcW w:type="dxa" w:w="1440"/>
            <w:shd w:fill="C6EFCE" w:val="clear"/>
          </w:tcPr>
          <w:p>
            <w:r>
              <w:rPr>
                <w:b/>
                <w:sz w:val="17"/>
              </w:rPr>
              <w:t>5,970</w:t>
            </w:r>
          </w:p>
        </w:tc>
        <w:tc>
          <w:tcPr>
            <w:tcW w:type="dxa" w:w="1440"/>
            <w:shd w:fill="C6EFCE" w:val="clear"/>
          </w:tcPr>
          <w:p>
            <w:r>
              <w:rPr>
                <w:sz w:val="17"/>
              </w:rPr>
              <w:t>6,580</w:t>
            </w:r>
          </w:p>
        </w:tc>
        <w:tc>
          <w:tcPr>
            <w:tcW w:type="dxa" w:w="1440"/>
            <w:shd w:fill="C6EFCE" w:val="clear"/>
          </w:tcPr>
          <w:p>
            <w:r>
              <w:rPr>
                <w:b/>
                <w:color w:val="008000"/>
                <w:sz w:val="17"/>
              </w:rPr>
              <w:t>+7.6%</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5,318</w:t>
            </w:r>
          </w:p>
        </w:tc>
        <w:tc>
          <w:tcPr>
            <w:tcW w:type="dxa" w:w="1440"/>
            <w:shd w:fill="C6EFCE" w:val="clear"/>
          </w:tcPr>
          <w:p>
            <w:r>
              <w:rPr>
                <w:b/>
                <w:sz w:val="17"/>
              </w:rPr>
              <w:t>5,988</w:t>
            </w:r>
          </w:p>
        </w:tc>
        <w:tc>
          <w:tcPr>
            <w:tcW w:type="dxa" w:w="1440"/>
            <w:shd w:fill="C6EFCE" w:val="clear"/>
          </w:tcPr>
          <w:p>
            <w:r>
              <w:rPr>
                <w:sz w:val="17"/>
              </w:rPr>
              <w:t>6,659</w:t>
            </w:r>
          </w:p>
        </w:tc>
        <w:tc>
          <w:tcPr>
            <w:tcW w:type="dxa" w:w="1440"/>
            <w:shd w:fill="C6EFCE" w:val="clear"/>
          </w:tcPr>
          <w:p>
            <w:r>
              <w:rPr>
                <w:b/>
                <w:color w:val="008000"/>
                <w:sz w:val="17"/>
              </w:rPr>
              <w:t>+7.9%</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5,277</w:t>
            </w:r>
          </w:p>
        </w:tc>
        <w:tc>
          <w:tcPr>
            <w:tcW w:type="dxa" w:w="1440"/>
            <w:shd w:fill="C6EFCE" w:val="clear"/>
          </w:tcPr>
          <w:p>
            <w:r>
              <w:rPr>
                <w:b/>
                <w:sz w:val="17"/>
              </w:rPr>
              <w:t>6,004</w:t>
            </w:r>
          </w:p>
        </w:tc>
        <w:tc>
          <w:tcPr>
            <w:tcW w:type="dxa" w:w="1440"/>
            <w:shd w:fill="C6EFCE" w:val="clear"/>
          </w:tcPr>
          <w:p>
            <w:r>
              <w:rPr>
                <w:sz w:val="17"/>
              </w:rPr>
              <w:t>6,730</w:t>
            </w:r>
          </w:p>
        </w:tc>
        <w:tc>
          <w:tcPr>
            <w:tcW w:type="dxa" w:w="1440"/>
            <w:shd w:fill="C6EFCE" w:val="clear"/>
          </w:tcPr>
          <w:p>
            <w:r>
              <w:rPr>
                <w:b/>
                <w:color w:val="008000"/>
                <w:sz w:val="17"/>
              </w:rPr>
              <w:t>+8.2%</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5,238</w:t>
            </w:r>
          </w:p>
        </w:tc>
        <w:tc>
          <w:tcPr>
            <w:tcW w:type="dxa" w:w="1440"/>
            <w:shd w:fill="C6EFCE" w:val="clear"/>
          </w:tcPr>
          <w:p>
            <w:r>
              <w:rPr>
                <w:b/>
                <w:sz w:val="17"/>
              </w:rPr>
              <w:t>6,017</w:t>
            </w:r>
          </w:p>
        </w:tc>
        <w:tc>
          <w:tcPr>
            <w:tcW w:type="dxa" w:w="1440"/>
            <w:shd w:fill="C6EFCE" w:val="clear"/>
          </w:tcPr>
          <w:p>
            <w:r>
              <w:rPr>
                <w:sz w:val="17"/>
              </w:rPr>
              <w:t>6,795</w:t>
            </w:r>
          </w:p>
        </w:tc>
        <w:tc>
          <w:tcPr>
            <w:tcW w:type="dxa" w:w="1440"/>
            <w:shd w:fill="C6EFCE" w:val="clear"/>
          </w:tcPr>
          <w:p>
            <w:r>
              <w:rPr>
                <w:b/>
                <w:color w:val="008000"/>
                <w:sz w:val="17"/>
              </w:rPr>
              <w:t>+8.4%</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5,201</w:t>
            </w:r>
          </w:p>
        </w:tc>
        <w:tc>
          <w:tcPr>
            <w:tcW w:type="dxa" w:w="1440"/>
            <w:shd w:fill="C6EFCE" w:val="clear"/>
          </w:tcPr>
          <w:p>
            <w:r>
              <w:rPr>
                <w:b/>
                <w:sz w:val="17"/>
              </w:rPr>
              <w:t>6,028</w:t>
            </w:r>
          </w:p>
        </w:tc>
        <w:tc>
          <w:tcPr>
            <w:tcW w:type="dxa" w:w="1440"/>
            <w:shd w:fill="C6EFCE" w:val="clear"/>
          </w:tcPr>
          <w:p>
            <w:r>
              <w:rPr>
                <w:sz w:val="17"/>
              </w:rPr>
              <w:t>6,855</w:t>
            </w:r>
          </w:p>
        </w:tc>
        <w:tc>
          <w:tcPr>
            <w:tcW w:type="dxa" w:w="1440"/>
            <w:shd w:fill="C6EFCE" w:val="clear"/>
          </w:tcPr>
          <w:p>
            <w:r>
              <w:rPr>
                <w:b/>
                <w:color w:val="008000"/>
                <w:sz w:val="17"/>
              </w:rPr>
              <w:t>+8.6%</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5,164</w:t>
            </w:r>
          </w:p>
        </w:tc>
        <w:tc>
          <w:tcPr>
            <w:tcW w:type="dxa" w:w="1440"/>
            <w:shd w:fill="C6EFCE" w:val="clear"/>
          </w:tcPr>
          <w:p>
            <w:r>
              <w:rPr>
                <w:b/>
                <w:sz w:val="17"/>
              </w:rPr>
              <w:t>6,038</w:t>
            </w:r>
          </w:p>
        </w:tc>
        <w:tc>
          <w:tcPr>
            <w:tcW w:type="dxa" w:w="1440"/>
            <w:shd w:fill="C6EFCE" w:val="clear"/>
          </w:tcPr>
          <w:p>
            <w:r>
              <w:rPr>
                <w:sz w:val="17"/>
              </w:rPr>
              <w:t>6,911</w:t>
            </w:r>
          </w:p>
        </w:tc>
        <w:tc>
          <w:tcPr>
            <w:tcW w:type="dxa" w:w="1440"/>
            <w:shd w:fill="C6EFCE" w:val="clear"/>
          </w:tcPr>
          <w:p>
            <w:r>
              <w:rPr>
                <w:b/>
                <w:color w:val="008000"/>
                <w:sz w:val="17"/>
              </w:rPr>
              <w:t>+8.8%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 BRVM | Secteur : Services publics / Électricité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CIEC s'établit à **310,80 milliards FCFA**, un niveau significatif à l'échelle de la BRVM qui positionne le titre parmi les grandes capitalisations régionales, portée par un cours de 5 550 FCFA. Le **BPA de 234 FCFA/action** traduit un bénéfice net par titre en progression, cohérent avec le résultat net 2025 de 13,1 milliards FCFA. Le **PER de 23,7x** se situe très au-dessus de la moyenne BRVM (~8-12x), signalant que les investisseurs paient une prime élevée pour les bénéfices, soit en anticipation d'une croissance future, soit en raison d'une surévaluation relative. Le **P/B de 8,64x**, largement supérieur au seuil de 4x, confirme cette valorisation exigeante : le marché valorise le titre à près de neuf fois sa valeur comptable, ce qui est considérable pour une entreprise de services publics régulée à faible marge nette (4,3%). Enfin, l'**EV/EBITDA de 13,4x**, dans la fourchette haute (10-15x), indique que la valeur d'entreprise intègre une prime opérationnelle significative. L'ensemble de ces ratios dessine un profil de valorisation tendu, où la croissance et la qualité du dividende doivent justifier la prime.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CIEC affiche une **variation totale de +36,87%**, une performance remarquable qui contraste avec la **baisse de -4,31% enregistrée lors de la dernière séance**, suggérant une prise de bénéfices après un rallye soutenu. Le cours a évolué dans un range large entre un plus bas de **4 055 FCFA** et un plus haut de **7 400 FCFA**, soit une amplitude de plus de 80%, témoignant d'une forte dynamique haussière suivie d'une correction. La tendance générale reste haussière sur la période, mais le repli récent sous les 5 550 FCFA marque un essoufflement. Les statistiques descriptives révèlent une **moyenne de 5 735 FCFA** supérieure à la **médiane de 5 382 FCFA**, indiquant une distribution légèrement tirée vers le haut par les pics de cours, tandis que le **mode à 4 995 FCFA** situe le niveau de prix le plus fréquent en dessous du cours actuel. L'**écart-type de 806 FCFA (CV=14,1%)** traduit une dispersion modérée à élevée du cours autour de sa moyenne. Le **kurtosis de -1,040 (platykurtique)** signale une distribution aplatie avec un risque de pics extrêmes plus faible qu'une loi normale, et le **skewness de 0,270** confirme une distribution quasi-symétrique avec une légère inclinaison positive. La **volatilité annualisée de 48,7%** classe le titre dans la catégorie des valeurs à volatilité élevée (&gt;30%), ce qui est cohérent avec un marché frontière et un titre ayant connu un rallye marqué.</w:t>
      </w:r>
    </w:p>
    <w:p>
      <w:pPr>
        <w:spacing w:after="120" w:line="276" w:lineRule="auto"/>
      </w:pPr>
      <w:r>
        <w:t>---</w:t>
      </w:r>
    </w:p>
    <w:p>
      <w:pPr>
        <w:spacing w:after="120" w:line="276" w:lineRule="auto"/>
      </w:pPr>
      <w:r>
        <w:t>## PARTIE 2 : ANALYSE TECHNIQUE DÉTAILLÉE</w:t>
      </w:r>
    </w:p>
    <w:p>
      <w:pPr>
        <w:spacing w:after="120" w:line="276" w:lineRule="auto"/>
      </w:pPr>
      <w:r>
        <w:t>**Moyennes Mobiles** : La MM20 (6 258 FCFA) et la MM50 (6 402,5 FCFA) se situent toutes deux nettement au-dessus du cours actuel (5 550 FCFA), et la MM20 est en dessous de la MM50, configuration baissière caractéristique. Le cours évoluant sous ses deux moyennes mobiles, la pression vendeuse domine et la décision technique est **Vente**, confirmant la cassure de tendance après le sommet.</w:t>
      </w:r>
    </w:p>
    <w:p>
      <w:pPr>
        <w:spacing w:after="120" w:line="276" w:lineRule="auto"/>
      </w:pPr>
      <w:r>
        <w:t>**Bandes de Bollinger** : La borne supérieure est à 6 803,95 FCFA et la borne inférieure à 5 712,05 FCFA, avec un cours actuel de 5 550 FCFA qui se situe **sous la borne inférieure**, signalant une excursion hors bande à la baisse et une survente technique. Cette position extrême, dans un contexte de bandes relativement larges (volatilité élevée), justifie la décision **Achat** en anticipation d'un rebond technique vers la moyenne.</w:t>
      </w:r>
    </w:p>
    <w:p>
      <w:pPr>
        <w:spacing w:after="120" w:line="276" w:lineRule="auto"/>
      </w:pPr>
      <w:r>
        <w:t>**MACD** : La valeur du MACD (-170,256) est inférieure à son signal (-80,95), avec un histogramme négatif et un momentum baissier prononcé. La divergence négative persistante confirme la dynamique descendante de court terme et justifie la décision **Vente**, bien que le niveau très négatif commence à suggérer un possible épuisement de la baisse.</w:t>
      </w:r>
    </w:p>
    <w:p>
      <w:pPr>
        <w:spacing w:after="120" w:line="276" w:lineRule="auto"/>
      </w:pPr>
      <w:r>
        <w:t>**RSI** : À **21,875**, le RSI se situe largement sous le seuil de 30, en zone de **survente extrême**. Cette lecture signale un titre survendu, souvent précurseur d'un rebond technique, et justifie la décision **Achat** malgré le contexte baissier des moyennes mobiles.</w:t>
      </w:r>
    </w:p>
    <w:p>
      <w:pPr>
        <w:spacing w:after="120" w:line="276" w:lineRule="auto"/>
      </w:pPr>
      <w:r>
        <w:t>**Stochastique** : Le %K et le %D sont tous deux à **0,0**, niveau plancher absolu de l'indicateur, traduisant une survente maximale et un épuisement complet de la pression vendeuse. Cette configuration extrême, bien que pouvant persister brièvement, plaide pour un retournement imminent et justifie la décision **Achat**.</w:t>
      </w:r>
    </w:p>
    <w:p>
      <w:pPr>
        <w:spacing w:after="120" w:line="276" w:lineRule="auto"/>
      </w:pPr>
      <w:r>
        <w:t>**Conclusion technique** : Les indicateurs présentent une **divergence marquée** : les moyennes mobiles et le MACD confirment une tendance baissière de fond (décision Vente), tandis que le RSI (21,9), le stochastique (0,0) et la position sous la borne inférieure de Bollinger signalent une **survente extrême** propice à un rebond technique (décision Achat). Cette configuration typique de fin de correction suggère qu'un rebond à court terme est probable, mais la prudence reste de mise tant que le cours n'aura pas reconquis la MM20 (6 258 FCFA) pour valider un retournement durable.</w:t>
      </w:r>
    </w:p>
    <w:p>
      <w:pPr>
        <w:spacing w:after="120" w:line="276" w:lineRule="auto"/>
      </w:pPr>
      <w:r>
        <w:t>---</w:t>
      </w:r>
    </w:p>
    <w:p>
      <w:pPr>
        <w:spacing w:after="120" w:line="276" w:lineRule="auto"/>
      </w:pPr>
      <w:r>
        <w:t>## PARTIE 3 : ANALYSE FONDAMENTALE</w:t>
      </w:r>
    </w:p>
    <w:p>
      <w:pPr>
        <w:spacing w:after="120" w:line="276" w:lineRule="auto"/>
      </w:pPr>
      <w:r>
        <w:t>**En 2025**, CIEC affiche un **chiffre d'affaires de 302,320 milliards FCFA**, en croissance de **+14,82%** selon les états financiers officiels, porté par la hausse des ventes d'énergie (+8,3% en volume national, +21,7% à l'export) et l'expansion de la base clientèle (+15,1%, à 5,28 millions de clients). Le **résultat net s'établit à 13,127 milliards FCFA**, en progression de +24,4% (contre 10,526 Mds en 2024), avec une **marge nette de 4,34%** et une **marge opérationnelle de 7,40%**, typiques d'un modèle régulé. Le **ROE atteint 36,50%**, niveau excellent (&gt;15%), tandis que le **ROA reste faible à 0,65%**, reflétant l'intensité capitalistique du secteur. En tant qu'entreprise, les délais d'exploitation méritent attention : le **délai client de 164 jours** constitue un risque de trésorerie significatif (créances clients de 137,7 Mds FCFA), compensé par un **délai fournisseur très élevé de 970 jours** et un **BFR négatif de -90,244 Mds FCFA**, favorable au financement. La structure financière est très endettée (**ratio d'endettement de 612,9%**, autonomie financière de seulement 1,78%), mais la **couverture des intérêts à 617,7%** et une **capacité de remboursement de 7,64 années** restent gérables grâce à la CAF de 28,869 Mds FCFA. Sur la base du **rapport S1 2025 (30/06/2025)**, le CA semestriel de 134,923 Mds FCFA (+18,85%) et le résultat net de 5,096 Mds FCFA (+13,37%) confirment la dynamique, et l'on peut estimer que l'exercice 2026 devrait poursuivre cette trajectoire avec la montée en charge du programme PEPT. Le **rapport annuel 2025 (31/12/2025)** confirme un dividende de **234 FCFA/action** (rendement ~4,2% au cours actuel), avec un taux de distribution quasi total (~99,8% du résultat net social selon le rapport d'analyse). La recommandation fondamentale est **CONSERVER** : solidité opérationnelle et dividende attractif, mais valorisation tendue et dépendance réglementaire limitent le potentiel.</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**Sur la valorisation (Partie 0)**, les ratios PER (23,7x), P/B (8,64x) et EV/EBITDA (13,4x) indiquent une **surévaluation relative** par rapport aux standards BRVM, exigeant une croissance soutenue pour se justifier. **Sur le comportement du cours (Partie 1)**, la tendance reste haussière sur 100 jours (+36,87%) mais la correction récente (-4,31% en J-1) et la volatilité élevée (48,7%) avec un kurtosis platykurtique suggèrent une phase de consolidation. **Sur le plan technique (Partie 2)**, la divergence est nette : signaux baissiers (MM, MACD) contre signaux de survente extrême (RSI 21,9, Stochastique 0,0, cours sous Bollinger inférieure) plaidant pour un rebond. **Sur les fondamentaux (Partie 3)**, la croissance 2025 (+14,8% CA, +24,4% résultat net, ROE 36,5%) et le dividende de 234 FCFA sont solides, mais l'endettement élevé et la dépendance réglementaire pèsent. **Les prédictions IA (J+1 à J+10)** anticipent une trajectoire haussière de 5 714 à 5 970 FCFA (+7,6% sur 10 jours), **confirmant le scénario de rebond technique** suggéré par le RSI et le stochastique. Face à cette convergence partielle — rebond technique probable mais valorisation tendue et tendance de fond baissière — la recommandation finale est **CONSERVER**, avec un biais tactique acheteur pour les investisseurs court-termistes cherchant à capter le rebond vers 5 970 FCFA. Le **niveau de confiance est Moyen** (divergence entre technique court terme et tendance de fond), le **risque global est Élevé** (volatilité 48,7%, endettement, sensibilité réglementaire), et l'**horizon optimal est moyen terme (3-12 mois)** pour bénéficier du dividende et d'une éventuelle normalisation de la valorisation, avec un point d'entrée plus favorable sous 5 500 FCFA et un objectif de sortie vers la MM20 (6 258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891.82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4,216 titres</w:t>
            </w:r>
          </w:p>
        </w:tc>
        <w:tc>
          <w:tcPr>
            <w:tcW w:type="dxa" w:w="2268"/>
            <w:shd w:fill="FFF2CC" w:val="clear"/>
          </w:tcPr>
          <w:p>
            <w:r>
              <w:rPr>
                <w:b/>
                <w:color w:val="503200"/>
                <w:sz w:val="16"/>
              </w:rPr>
              <w:t xml:space="preserve">Cours actuel : </w:t>
            </w:r>
            <w:r>
              <w:rPr>
                <w:color w:val="000000"/>
                <w:sz w:val="17"/>
              </w:rPr>
              <w:t>16,200 FCFA</w:t>
            </w:r>
          </w:p>
          <w:p>
            <w:r>
              <w:rPr>
                <w:b/>
                <w:color w:val="503200"/>
                <w:sz w:val="16"/>
              </w:rPr>
              <w:t xml:space="preserve">Var. 100 jours : </w:t>
            </w:r>
            <w:r>
              <w:rPr>
                <w:b/>
                <w:color w:val="B40000"/>
                <w:sz w:val="17"/>
              </w:rPr>
              <w:t>-0.61%</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15,715 FCFA</w:t>
            </w:r>
          </w:p>
          <w:p>
            <w:r>
              <w:rPr>
                <w:b/>
                <w:color w:val="503200"/>
                <w:sz w:val="16"/>
              </w:rPr>
              <w:t xml:space="preserve">Volatilité ann. : </w:t>
            </w:r>
            <w:r>
              <w:rPr>
                <w:color w:val="000000"/>
                <w:sz w:val="17"/>
              </w:rPr>
              <w:t>25.5%</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2.71% (Faible) — μ=16,587 FCFA, σ=449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β=0.3870 (Défensif) — Cov=0.000030, Var(idx)=0.000077, ρ=0.212,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582781"/>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15,798</w:t>
            </w:r>
          </w:p>
        </w:tc>
        <w:tc>
          <w:tcPr>
            <w:tcW w:type="dxa" w:w="1440"/>
            <w:shd w:fill="FAFAFA" w:val="clear"/>
          </w:tcPr>
          <w:p>
            <w:r>
              <w:rPr>
                <w:b/>
                <w:sz w:val="17"/>
              </w:rPr>
              <w:t>16,183</w:t>
            </w:r>
          </w:p>
        </w:tc>
        <w:tc>
          <w:tcPr>
            <w:tcW w:type="dxa" w:w="1440"/>
            <w:shd w:fill="FAFAFA" w:val="clear"/>
          </w:tcPr>
          <w:p>
            <w:r>
              <w:rPr>
                <w:sz w:val="17"/>
              </w:rPr>
              <w:t>16,568</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15,673</w:t>
            </w:r>
          </w:p>
        </w:tc>
        <w:tc>
          <w:tcPr>
            <w:tcW w:type="dxa" w:w="1440"/>
            <w:shd w:fill="FAFAFA" w:val="clear"/>
          </w:tcPr>
          <w:p>
            <w:r>
              <w:rPr>
                <w:b/>
                <w:sz w:val="17"/>
              </w:rPr>
              <w:t>16,218</w:t>
            </w:r>
          </w:p>
        </w:tc>
        <w:tc>
          <w:tcPr>
            <w:tcW w:type="dxa" w:w="1440"/>
            <w:shd w:fill="FAFAFA" w:val="clear"/>
          </w:tcPr>
          <w:p>
            <w:r>
              <w:rPr>
                <w:sz w:val="17"/>
              </w:rPr>
              <w:t>16,763</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15,576</w:t>
            </w:r>
          </w:p>
        </w:tc>
        <w:tc>
          <w:tcPr>
            <w:tcW w:type="dxa" w:w="1440"/>
            <w:shd w:fill="FAFAFA" w:val="clear"/>
          </w:tcPr>
          <w:p>
            <w:r>
              <w:rPr>
                <w:b/>
                <w:sz w:val="17"/>
              </w:rPr>
              <w:t>16,245</w:t>
            </w:r>
          </w:p>
        </w:tc>
        <w:tc>
          <w:tcPr>
            <w:tcW w:type="dxa" w:w="1440"/>
            <w:shd w:fill="FAFAFA" w:val="clear"/>
          </w:tcPr>
          <w:p>
            <w:r>
              <w:rPr>
                <w:sz w:val="17"/>
              </w:rPr>
              <w:t>16,914</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2026-10-23</w:t>
            </w:r>
          </w:p>
        </w:tc>
        <w:tc>
          <w:tcPr>
            <w:tcW w:type="dxa" w:w="1440"/>
            <w:shd w:fill="FAFAFA" w:val="clear"/>
          </w:tcPr>
          <w:p>
            <w:r>
              <w:rPr>
                <w:sz w:val="17"/>
              </w:rPr>
              <w:t>15,495</w:t>
            </w:r>
          </w:p>
        </w:tc>
        <w:tc>
          <w:tcPr>
            <w:tcW w:type="dxa" w:w="1440"/>
            <w:shd w:fill="FAFAFA" w:val="clear"/>
          </w:tcPr>
          <w:p>
            <w:r>
              <w:rPr>
                <w:b/>
                <w:sz w:val="17"/>
              </w:rPr>
              <w:t>16,268</w:t>
            </w:r>
          </w:p>
        </w:tc>
        <w:tc>
          <w:tcPr>
            <w:tcW w:type="dxa" w:w="1440"/>
            <w:shd w:fill="FAFAFA" w:val="clear"/>
          </w:tcPr>
          <w:p>
            <w:r>
              <w:rPr>
                <w:sz w:val="17"/>
              </w:rPr>
              <w:t>17,042</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2026-10-26</w:t>
            </w:r>
          </w:p>
        </w:tc>
        <w:tc>
          <w:tcPr>
            <w:tcW w:type="dxa" w:w="1440"/>
            <w:shd w:fill="FAFAFA" w:val="clear"/>
          </w:tcPr>
          <w:p>
            <w:r>
              <w:rPr>
                <w:sz w:val="17"/>
              </w:rPr>
              <w:t>15,425</w:t>
            </w:r>
          </w:p>
        </w:tc>
        <w:tc>
          <w:tcPr>
            <w:tcW w:type="dxa" w:w="1440"/>
            <w:shd w:fill="FAFAFA" w:val="clear"/>
          </w:tcPr>
          <w:p>
            <w:r>
              <w:rPr>
                <w:b/>
                <w:sz w:val="17"/>
              </w:rPr>
              <w:t>16,291</w:t>
            </w:r>
          </w:p>
        </w:tc>
        <w:tc>
          <w:tcPr>
            <w:tcW w:type="dxa" w:w="1440"/>
            <w:shd w:fill="FAFAFA" w:val="clear"/>
          </w:tcPr>
          <w:p>
            <w:r>
              <w:rPr>
                <w:sz w:val="17"/>
              </w:rPr>
              <w:t>17,157</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2026-10-27</w:t>
            </w:r>
          </w:p>
        </w:tc>
        <w:tc>
          <w:tcPr>
            <w:tcW w:type="dxa" w:w="1440"/>
            <w:shd w:fill="FAFAFA" w:val="clear"/>
          </w:tcPr>
          <w:p>
            <w:r>
              <w:rPr>
                <w:sz w:val="17"/>
              </w:rPr>
              <w:t>15,364</w:t>
            </w:r>
          </w:p>
        </w:tc>
        <w:tc>
          <w:tcPr>
            <w:tcW w:type="dxa" w:w="1440"/>
            <w:shd w:fill="FAFAFA" w:val="clear"/>
          </w:tcPr>
          <w:p>
            <w:r>
              <w:rPr>
                <w:b/>
                <w:sz w:val="17"/>
              </w:rPr>
              <w:t>16,314</w:t>
            </w:r>
          </w:p>
        </w:tc>
        <w:tc>
          <w:tcPr>
            <w:tcW w:type="dxa" w:w="1440"/>
            <w:shd w:fill="FAFAFA" w:val="clear"/>
          </w:tcPr>
          <w:p>
            <w:r>
              <w:rPr>
                <w:sz w:val="17"/>
              </w:rPr>
              <w:t>17,263</w:t>
            </w:r>
          </w:p>
        </w:tc>
        <w:tc>
          <w:tcPr>
            <w:tcW w:type="dxa" w:w="1440"/>
            <w:shd w:fill="FAFAFA" w:val="clear"/>
          </w:tcPr>
          <w:p>
            <w:r>
              <w:rPr>
                <w:b/>
                <w:color w:val="008000"/>
                <w:sz w:val="17"/>
              </w:rPr>
              <w:t>+0.7%</w:t>
            </w:r>
          </w:p>
        </w:tc>
      </w:tr>
      <w:tr>
        <w:tc>
          <w:tcPr>
            <w:tcW w:type="dxa" w:w="1440"/>
            <w:shd w:fill="FAFAFA" w:val="clear"/>
          </w:tcPr>
          <w:p>
            <w:r>
              <w:rPr>
                <w:sz w:val="17"/>
              </w:rPr>
              <w:t>J+7  Moyenne</w:t>
            </w:r>
          </w:p>
        </w:tc>
        <w:tc>
          <w:tcPr>
            <w:tcW w:type="dxa" w:w="1440"/>
            <w:shd w:fill="FAFAFA" w:val="clear"/>
          </w:tcPr>
          <w:p>
            <w:r>
              <w:rPr>
                <w:sz w:val="17"/>
              </w:rPr>
              <w:t>2026-10-28</w:t>
            </w:r>
          </w:p>
        </w:tc>
        <w:tc>
          <w:tcPr>
            <w:tcW w:type="dxa" w:w="1440"/>
            <w:shd w:fill="FAFAFA" w:val="clear"/>
          </w:tcPr>
          <w:p>
            <w:r>
              <w:rPr>
                <w:sz w:val="17"/>
              </w:rPr>
              <w:t>15,308</w:t>
            </w:r>
          </w:p>
        </w:tc>
        <w:tc>
          <w:tcPr>
            <w:tcW w:type="dxa" w:w="1440"/>
            <w:shd w:fill="FAFAFA" w:val="clear"/>
          </w:tcPr>
          <w:p>
            <w:r>
              <w:rPr>
                <w:b/>
                <w:sz w:val="17"/>
              </w:rPr>
              <w:t>16,336</w:t>
            </w:r>
          </w:p>
        </w:tc>
        <w:tc>
          <w:tcPr>
            <w:tcW w:type="dxa" w:w="1440"/>
            <w:shd w:fill="FAFAFA" w:val="clear"/>
          </w:tcPr>
          <w:p>
            <w:r>
              <w:rPr>
                <w:sz w:val="17"/>
              </w:rPr>
              <w:t>17,363</w:t>
            </w:r>
          </w:p>
        </w:tc>
        <w:tc>
          <w:tcPr>
            <w:tcW w:type="dxa" w:w="1440"/>
            <w:shd w:fill="FAFAFA" w:val="clear"/>
          </w:tcPr>
          <w:p>
            <w:r>
              <w:rPr>
                <w:b/>
                <w:color w:val="008000"/>
                <w:sz w:val="17"/>
              </w:rPr>
              <w:t>+0.8%</w:t>
            </w:r>
          </w:p>
        </w:tc>
      </w:tr>
      <w:tr>
        <w:tc>
          <w:tcPr>
            <w:tcW w:type="dxa" w:w="1440"/>
            <w:shd w:fill="FAFAFA" w:val="clear"/>
          </w:tcPr>
          <w:p>
            <w:r>
              <w:rPr>
                <w:sz w:val="17"/>
              </w:rPr>
              <w:t>J+8  Moyenne</w:t>
            </w:r>
          </w:p>
        </w:tc>
        <w:tc>
          <w:tcPr>
            <w:tcW w:type="dxa" w:w="1440"/>
            <w:shd w:fill="FAFAFA" w:val="clear"/>
          </w:tcPr>
          <w:p>
            <w:r>
              <w:rPr>
                <w:sz w:val="17"/>
              </w:rPr>
              <w:t>2026-10-29</w:t>
            </w:r>
          </w:p>
        </w:tc>
        <w:tc>
          <w:tcPr>
            <w:tcW w:type="dxa" w:w="1440"/>
            <w:shd w:fill="FAFAFA" w:val="clear"/>
          </w:tcPr>
          <w:p>
            <w:r>
              <w:rPr>
                <w:sz w:val="17"/>
              </w:rPr>
              <w:t>15,258</w:t>
            </w:r>
          </w:p>
        </w:tc>
        <w:tc>
          <w:tcPr>
            <w:tcW w:type="dxa" w:w="1440"/>
            <w:shd w:fill="FAFAFA" w:val="clear"/>
          </w:tcPr>
          <w:p>
            <w:r>
              <w:rPr>
                <w:b/>
                <w:sz w:val="17"/>
              </w:rPr>
              <w:t>16,358</w:t>
            </w:r>
          </w:p>
        </w:tc>
        <w:tc>
          <w:tcPr>
            <w:tcW w:type="dxa" w:w="1440"/>
            <w:shd w:fill="FAFAFA" w:val="clear"/>
          </w:tcPr>
          <w:p>
            <w:r>
              <w:rPr>
                <w:sz w:val="17"/>
              </w:rPr>
              <w:t>17,458</w:t>
            </w:r>
          </w:p>
        </w:tc>
        <w:tc>
          <w:tcPr>
            <w:tcW w:type="dxa" w:w="1440"/>
            <w:shd w:fill="FAFAFA" w:val="clear"/>
          </w:tcPr>
          <w:p>
            <w:r>
              <w:rPr>
                <w:b/>
                <w:color w:val="008000"/>
                <w:sz w:val="17"/>
              </w:rPr>
              <w:t>+1.0%</w:t>
            </w:r>
          </w:p>
        </w:tc>
      </w:tr>
      <w:tr>
        <w:tc>
          <w:tcPr>
            <w:tcW w:type="dxa" w:w="1440"/>
            <w:shd w:fill="FAFAFA" w:val="clear"/>
          </w:tcPr>
          <w:p>
            <w:r>
              <w:rPr>
                <w:sz w:val="17"/>
              </w:rPr>
              <w:t>J+9  Moyenne</w:t>
            </w:r>
          </w:p>
        </w:tc>
        <w:tc>
          <w:tcPr>
            <w:tcW w:type="dxa" w:w="1440"/>
            <w:shd w:fill="FAFAFA" w:val="clear"/>
          </w:tcPr>
          <w:p>
            <w:r>
              <w:rPr>
                <w:sz w:val="17"/>
              </w:rPr>
              <w:t>2026-10-30</w:t>
            </w:r>
          </w:p>
        </w:tc>
        <w:tc>
          <w:tcPr>
            <w:tcW w:type="dxa" w:w="1440"/>
            <w:shd w:fill="FAFAFA" w:val="clear"/>
          </w:tcPr>
          <w:p>
            <w:r>
              <w:rPr>
                <w:sz w:val="17"/>
              </w:rPr>
              <w:t>15,212</w:t>
            </w:r>
          </w:p>
        </w:tc>
        <w:tc>
          <w:tcPr>
            <w:tcW w:type="dxa" w:w="1440"/>
            <w:shd w:fill="FAFAFA" w:val="clear"/>
          </w:tcPr>
          <w:p>
            <w:r>
              <w:rPr>
                <w:b/>
                <w:sz w:val="17"/>
              </w:rPr>
              <w:t>16,380</w:t>
            </w:r>
          </w:p>
        </w:tc>
        <w:tc>
          <w:tcPr>
            <w:tcW w:type="dxa" w:w="1440"/>
            <w:shd w:fill="FAFAFA" w:val="clear"/>
          </w:tcPr>
          <w:p>
            <w:r>
              <w:rPr>
                <w:sz w:val="17"/>
              </w:rPr>
              <w:t>17,548</w:t>
            </w:r>
          </w:p>
        </w:tc>
        <w:tc>
          <w:tcPr>
            <w:tcW w:type="dxa" w:w="1440"/>
            <w:shd w:fill="FAFAFA" w:val="clear"/>
          </w:tcPr>
          <w:p>
            <w:r>
              <w:rPr>
                <w:b/>
                <w:color w:val="008000"/>
                <w:sz w:val="17"/>
              </w:rPr>
              <w:t>+1.1%</w:t>
            </w:r>
          </w:p>
        </w:tc>
      </w:tr>
      <w:tr>
        <w:tc>
          <w:tcPr>
            <w:tcW w:type="dxa" w:w="1440"/>
            <w:shd w:fill="FAFAFA" w:val="clear"/>
          </w:tcPr>
          <w:p>
            <w:r>
              <w:rPr>
                <w:sz w:val="17"/>
              </w:rPr>
              <w:t>J+10  Moyenne</w:t>
            </w:r>
          </w:p>
        </w:tc>
        <w:tc>
          <w:tcPr>
            <w:tcW w:type="dxa" w:w="1440"/>
            <w:shd w:fill="FAFAFA" w:val="clear"/>
          </w:tcPr>
          <w:p>
            <w:r>
              <w:rPr>
                <w:sz w:val="17"/>
              </w:rPr>
              <w:t>2026-11-02</w:t>
            </w:r>
          </w:p>
        </w:tc>
        <w:tc>
          <w:tcPr>
            <w:tcW w:type="dxa" w:w="1440"/>
            <w:shd w:fill="FAFAFA" w:val="clear"/>
          </w:tcPr>
          <w:p>
            <w:r>
              <w:rPr>
                <w:sz w:val="17"/>
              </w:rPr>
              <w:t>15,168</w:t>
            </w:r>
          </w:p>
        </w:tc>
        <w:tc>
          <w:tcPr>
            <w:tcW w:type="dxa" w:w="1440"/>
            <w:shd w:fill="FAFAFA" w:val="clear"/>
          </w:tcPr>
          <w:p>
            <w:r>
              <w:rPr>
                <w:b/>
                <w:sz w:val="17"/>
              </w:rPr>
              <w:t>16,401</w:t>
            </w:r>
          </w:p>
        </w:tc>
        <w:tc>
          <w:tcPr>
            <w:tcW w:type="dxa" w:w="1440"/>
            <w:shd w:fill="FAFAFA" w:val="clear"/>
          </w:tcPr>
          <w:p>
            <w:r>
              <w:rPr>
                <w:sz w:val="17"/>
              </w:rPr>
              <w:t>17,634</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**891,82 milliards FCFA**, ECOC s'impose comme l'une des plus importantes capitalisations du compartiment bancaire de la BRVM, ce qui témoigne de son statut de valeur de premier plan sur le marché régional. Le BPA de **1 153 FCFA/action** (exercice 2025) confère au titre un PER de **14,0x**, soit un niveau modérément supérieur à la moyenne du marché BRVM (généralement située entre 8x et 12x), traduisant une prime de qualité consentie par les investisseurs pour un dossier bancaire très rentable. Le ratio P/B de **4,08x** — nettement supérieur au seuil de 4x — signale une valorisation exigeante par rapport à la valeur comptable, cohérente avec un ROE exceptionnel de près de 29% qui justifie cette prime. Enfin, l'EV/EBITDA de **13,8x**, dans la fourchette haute (10-15x), confirme que le marché intègre déjà une bonne partie de la capacité bénéficiaire de la banque, laissant peu de marge de sécurité sur les multiples.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d'ECOC affiche une variation quasi nulle de **-0,61%**, mais la dernière séance s'est distinguée par un rebond de **+1,89%**, portant le titre à **16 200 FCFA**. L'amplitude de trading reste contenue, avec un plus haut à **17 725 FCFA** et un plus bas à **15 715 FCFA**, soit un range d'environ 12,8% — signe d'un marché sans tendance directionnelle marquée, plutôt en phase de consolidation latérale. Les statistiques descriptives confirment cette stabilité : la moyenne (**16 587 FCFA**) et la médiane (**16 620 FCFA**) sont quasi confondues, indiquant une distribution équilibrée, tandis que le mode à **16 000 FCFA** suggère un point d'ancrage psychologique du marché. L'écart-type de **451 FCFA** avec un coefficient de variation de seulement **2,7%** traduit une dispersion très faible du cours, et le kurtosis de **-0,387** (mésokurtique) indique une distribution proche de la normale, sans risque de pics extrêmes marqué ; le skewness de **0,189** confirme une légère asymétrie positive mais globalement symétrique. La volatilité annualisée de **25,5%** place le titre dans la catégorie des valeurs à volatilité modérée (15-30%), typique d'une grande capitalisation bancaire stable.</w:t>
      </w:r>
    </w:p>
    <w:p>
      <w:pPr>
        <w:spacing w:after="120" w:line="276" w:lineRule="auto"/>
      </w:pPr>
      <w:r>
        <w:t>---</w:t>
      </w:r>
    </w:p>
    <w:p>
      <w:pPr>
        <w:spacing w:after="120" w:line="276" w:lineRule="auto"/>
      </w:pPr>
      <w:r>
        <w:t>## PARTIE 2 : ANALYSE TECHNIQUE DÉTAILLÉE</w:t>
      </w:r>
    </w:p>
    <w:p>
      <w:pPr>
        <w:spacing w:after="120" w:line="276" w:lineRule="auto"/>
      </w:pPr>
      <w:r>
        <w:t>**Moyennes Mobiles** : La MM20 (**16 616,5 FCFA**) et la MM50 (**16 737,1 FCFA**) se situent toutes deux au-dessus du cours actuel (16 200 FCFA), avec une MM20 légèrement inférieure à la MM50 — configuration baissière de court terme. Le cours évoluant sous ses deux moyennes, la décision technique est logiquement **Vente**, signalant une pression vendeuse persistante.</w:t>
      </w:r>
    </w:p>
    <w:p>
      <w:pPr>
        <w:spacing w:after="120" w:line="276" w:lineRule="auto"/>
      </w:pPr>
      <w:r>
        <w:t>**Bandes de Bollinger** : Le cours (16 200 FCFA) se situe dans la partie basse de la bande, entre la borne inférieure (**15 870,93 FCFA**) et la borne supérieure (**17 362,07 FCFA**), sans en approcher les extrêmes. Cette position centrale-basse, avec des bandes relativement resserrées, traduit une volatilité contenue et une absence de signal directionnel fort, justifiant la décision **Neutre**.</w:t>
      </w:r>
    </w:p>
    <w:p>
      <w:pPr>
        <w:spacing w:after="120" w:line="276" w:lineRule="auto"/>
      </w:pPr>
      <w:r>
        <w:t>**MACD** : La ligne MACD (**-217,598**) est inférieure à sa ligne de signal (**-129,213**), les deux évoluant en territoire négatif — configuration clairement baissière. Le momentum reste défavorable et la décision **Vente** est confirmée par l'absence de croisement haussier imminent.</w:t>
      </w:r>
    </w:p>
    <w:p>
      <w:pPr>
        <w:spacing w:after="120" w:line="276" w:lineRule="auto"/>
      </w:pPr>
      <w:r>
        <w:t>**RSI** : À **28,723**, l'indicateur pénètre en zone de survente (seuil &lt;30), signalant que le titre a été excessivement vendu à court terme et qu'un rebond technique est probable. Cette configuration justifie la décision **Achat** en anticipation d'un retournement.</w:t>
      </w:r>
    </w:p>
    <w:p>
      <w:pPr>
        <w:spacing w:after="120" w:line="276" w:lineRule="auto"/>
      </w:pPr>
      <w:r>
        <w:t>**Stochastique** : Le %K (**32,086**) est supérieur au %D (**13,587**), avec un %D en zone basse — amorce possible d'un croisement haussier depuis la zone de survente. La décision reste toutefois **Neutre**, le signal n'étant pas encore pleinement confirmé.</w:t>
      </w:r>
    </w:p>
    <w:p>
      <w:pPr>
        <w:spacing w:after="120" w:line="276" w:lineRule="auto"/>
      </w:pPr>
      <w:r>
        <w:t>**Conclusion technique** : Les indicateurs présentent une configuration **divergente** : les moyennes mobiles et le MACD confirment une tendance baissière de fond, mais le RSI en survente et le stochastique en zone basse suggèrent un potentiel de rebond à court terme. Cette opposition entre signaux de tendance (baissiers) et signaux d'oscillation (haussiers) plaide pour une phase de stabilisation autour de 16 000-16 200 FCFA, avec un risque de rebond technique limité tant que le cours reste sous la 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ECOC affiche un **PNB de 132,725 milliards FCFA** (+8,51% de croissance) et un **résultat net de 63,482 milliards FCFA**, soit une marge nette remarquable de **47,83%**. La rentabilité est exceptionnelle avec un **ROE de 29,04%** (très au-dessus du seuil de 15%) et un **ROA de 3,09%**, tandis que le **coefficient d'exploitation de 42,89%** témoigne d'une efficacité opérationnelle excellente (&lt;50%). Le **coût du risque rapporté aux charges financières s'établit à 1,36%**, niveau modéré mais à surveiller. La structure de bilan révèle une forte dépendance aux dépôts clientèle (**1 626,223 Mds FCFA** de dettes clientèle contre **1 050,803 Mds FCFA** de créances clientèle, soit un ratio de transformation prudent d'environ 65%), avec une autonomie financière faible (**10,64%**) mais une solvabilité générale satisfaisante (**111,91%**).</w:t>
      </w:r>
    </w:p>
    <w:p>
      <w:pPr>
        <w:spacing w:after="120" w:line="276" w:lineRule="auto"/>
      </w:pPr>
      <w:r>
        <w:t>**Évolution et estimations issues des rapports** : Le rapport annuel 2024 (publié le 31/12/2024) confirmait déjà la dynamique avec un PNB de 122,3 Mds FCFA (+11,0%) et un résultat net de 57,5 Mds FCFA (+19,6%), un ROE de 28,8% et un dividende de 804 FCFA/action. Le rapport S1 2026 (analysé le 25/09/2026) marque toutefois une **inflexion** : le PNB ne progresse que de **+2,0% à 64,078 Mds FCFA** et le résultat net recule de **-8,6% à 26,408 Mds FCFA**, sous l'effet d'un **coût du risque multiplié par 7,4 à 5,197 Mds FCFA** (approche prudente de provisionnement, créances en souffrance +21,5% à 45,3 Mds FCFA, taux de couverture maintenu à 90%). Le rapport T1 2026 confirme ce ralentissement (résultat net -1,6% à 13,0 Mds FCFA, PNB +3,7%). Sur cette base, **on estime que l'exercice 2026 devrait afficher une croissance du PNB limitée à 3-5% et un résultat net en léger repli (55-60 Mds FCFA)**, la normalisation du coût du risque constituant le principal point d'attention. Le dividende proposé de **888 FCFA brut/action** (AG du 28/04/2026, paiement le 22/05/2026) offre un rendement attractif d'environ 5,5% au cours actuel.</w:t>
      </w:r>
    </w:p>
    <w:p>
      <w:pPr>
        <w:spacing w:after="120" w:line="276" w:lineRule="auto"/>
      </w:pPr>
      <w:r>
        <w:t>**Recommandation fondamentale** : La solidité structurelle demeure (ROE ~27-29%, bilan en croissance, collecte de dépôts dynamique +15,1%), mais le profil 2026 est marqué par une **dégradation conjoncturelle du coût du risque** qui pèse sur la rentabilité. Le dossier reste de qualité, à **conserver**, dans l'attente de la normalisation du provisionnement.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dossier **de qualité mais actuellement sans catalyseur haussier fort**. Sur le plan de la **valorisation (Partie 0)**, les multiples (PER 14,0x, P/B 4,08x, EV/EBITDA 13,8x) indiquent une valorisation exigeante, voire légèrement surévaluée, intégrant déjà la prime de qualité sans marge de sécurité. Le **comportement du cours (Partie 1)** est remarquablement stable (CV 2,7%, volatilité modérée 25,5%, distribution symétrique et mésokurtique), sans tendance directionnelle nette sur 100 jours. Les **signaux techniques (Partie 2)** sont divergents : tendance baissière confirmée par MM et MACD, mais RSI en survente (28,7) et stochastique bas suggérant un rebond technique imminent. Les **fondamentaux (Partie 3)** restent solides (ROE 29%, coefficient d'exploitation 42,9%, dividende 888 FCFA) mais montrent une inflexion en 2026 (résultat net S1 -8,6%, coût du risque ×7,4). Les **prédictions IA (J+1 à J+10)** anticipent une trajectoire légèrement haussière et régulière (16 183 → 16 291 FCFA, soit +0,7% sur 5 séances), cohérente avec le scénario de rebond technique post-survente.</w:t>
      </w:r>
    </w:p>
    <w:p>
      <w:pPr>
        <w:spacing w:after="120" w:line="276" w:lineRule="auto"/>
      </w:pPr>
      <w:r>
        <w:t>**Recommandation finale : CONSERVER.** La convergence est partielle : le rebond technique attendu (RSI, prédictions IA) et la solidité fondamentale soutiennent le titre, mais la valorisation exigeante, la tendance baissière de fond et la dégradation du coût du risque limitent le potentiel haussier. **Niveau de confiance : Moyen** (signaux techniques contradictoires, visibilité réduite sur la normalisation du risque). **Niveau de risque global : Moyen** (qualité du dossier compensant la cherté relative). **Horizon optimal : moyen terme (3-12 mois)**, en attendant la confirmation de la stabilisation du coût du risque au S2 2026 et les annonces sur la politique de distribution — un passage à ACHAT serait justifié si le titre revenait vers 15 500-15 700 FCFA (borne basse de Bollinger) ou si le provisionnement se normalisait.</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1,707,567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+116.67%</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30 FCFA</w:t>
            </w:r>
          </w:p>
          <w:p>
            <w:r>
              <w:rPr>
                <w:b/>
                <w:color w:val="503200"/>
                <w:sz w:val="16"/>
              </w:rPr>
              <w:t xml:space="preserve">Volatilité ann. : </w:t>
            </w:r>
            <w:r>
              <w:rPr>
                <w:color w:val="000000"/>
                <w:sz w:val="17"/>
              </w:rPr>
              <w:t>61.3%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25.81% (Élevée) — μ=58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β=1.9901 (Très agressif) — Cov=0.000154, Var(idx)=0.000077, ρ=0.451,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1,707,567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36384"/>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3638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63</w:t>
            </w:r>
          </w:p>
        </w:tc>
        <w:tc>
          <w:tcPr>
            <w:tcW w:type="dxa" w:w="1440"/>
            <w:shd w:fill="FAFAFA" w:val="clear"/>
          </w:tcPr>
          <w:p>
            <w:r>
              <w:rPr>
                <w:b/>
                <w:sz w:val="17"/>
              </w:rPr>
              <w:t>65</w:t>
            </w:r>
          </w:p>
        </w:tc>
        <w:tc>
          <w:tcPr>
            <w:tcW w:type="dxa" w:w="1440"/>
            <w:shd w:fill="FAFAFA" w:val="clear"/>
          </w:tcPr>
          <w:p>
            <w:r>
              <w:rPr>
                <w:sz w:val="17"/>
              </w:rPr>
              <w:t>67</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62</w:t>
            </w:r>
          </w:p>
        </w:tc>
        <w:tc>
          <w:tcPr>
            <w:tcW w:type="dxa" w:w="1440"/>
            <w:shd w:fill="FAFAFA" w:val="clear"/>
          </w:tcPr>
          <w:p>
            <w:r>
              <w:rPr>
                <w:b/>
                <w:sz w:val="17"/>
              </w:rPr>
              <w:t>65</w:t>
            </w:r>
          </w:p>
        </w:tc>
        <w:tc>
          <w:tcPr>
            <w:tcW w:type="dxa" w:w="1440"/>
            <w:shd w:fill="FAFAFA" w:val="clear"/>
          </w:tcPr>
          <w:p>
            <w:r>
              <w:rPr>
                <w:sz w:val="17"/>
              </w:rPr>
              <w:t>68</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69</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 RAPPORT D'ANALYSE FINANCIÈRE — ETIT (Ecobank Transnational Incorporated)</w:t>
        <w:br/>
        <w:t>### BRVM | Secteur Bancaire | Cours actuel : 65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**1 175,47 Mds FCFA**, ETIT figure parmi les poids lourds de la cote BRVM, représentant une valeur de marché considérable pour une banque panafricaine présente dans 35 pays. Le **BPA de 19 FCFA/action** confère au titre un **PER de seulement 3,4x**, très en dessous de la moyenne BRVM (~8-12x), signalant une décote manifeste par rapport aux bénéfices générés. Le **P/B de 0,74x** (&lt; 1) indique que le marché valorise ETIT à 26% en dessous de sa valeur comptable, une situation rare pour une banque affichant un ROE supérieur à 21%, ce qui constitue une opportunité potentielle de revalorisation. Enfin, l'**EV/EBITDA de 4,9x** (&lt; 5x) confirme que la valeur d'entreprise reste très modérée au regard de la capacité opérationnelle de la banque, renforçant le diagnostic de sous-évaluation sur les trois principaux multiples.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**variation totale spectaculaire de +116,67%**, passant d'un plus bas de **30 FCFA** à un plus haut de **78 FCFA**, avec un cours actuel de **65 FCFA** (variation J-1 nulle à +0,00%), traduisant une tendance haussière puissante mais essoufflée en fin de période. Le range de trading de 48 FCFA (30-78) illustre une amplitude exceptionnelle, caractéristique d'un titre en forte revalorisation. Les statistiques descriptives révèlent une **moyenne de 58 FCFA** inférieure à la **médiane de 66 FCFA** et au mode de 65 FCFA, confirmant une distribution asymétrique où le cours actuel se situe au-dessus de la moyenne historique. L'**écart-type de 15 FCFA (CV = 25,9%)** indique une dispersion modérée à élevée, tandis que le **kurtosis de -0,835 (mésokurtique)** suggère une distribution proche de la normale, sans pics extrêmes marqués. Le **skewness de -0,941** (asymétrie négative) signifie que davantage de journées se sont situées au-dessus de la moyenne, avec une queue de distribution vers les valeurs basses — cohérent avec le rebond depuis 30 FCFA. La **volatilité annualisée de 61,3%** classe le titre dans la catégorie **très élevée** (&gt;30%), exigeant une tolérance au risque importante de la part des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(66,85 FCFA) et la MM50 (67,58 FCFA) se situent toutes deux **au-dessus du cours actuel** (65 FCFA), configuration baissière de court terme signalant que le titre évolue sous ses références moyennes. La MM20 sous la MM50 confirme un momentum négatif récent, justifiant la **décision de Vente** technique.</w:t>
      </w:r>
    </w:p>
    <w:p>
      <w:pPr>
        <w:spacing w:after="120" w:line="276" w:lineRule="auto"/>
      </w:pPr>
      <w:r>
        <w:t>**Bandes de Bollinger** : Le cours (65 FCFA) évolue dans la partie basse de la bande, entre la borne inférieure (63,339 FCFA) et la borne supérieure (70,361 FCFA), sans franchissement des extrêmes. Cette position centrale-basse traduit une **volatilité contenue** et une absence de signal directionnel fort, justifiant la **décision Neutre**.</w:t>
      </w:r>
    </w:p>
    <w:p>
      <w:pPr>
        <w:spacing w:after="120" w:line="276" w:lineRule="auto"/>
      </w:pPr>
      <w:r>
        <w:t>**MACD** : La valeur du MACD (-0,831) est **inférieure à son signal (-0,61)**, configuration baissière avec un histogramme négatif indiquant un momentum descendant persistant. La divergence négative confirme la pression vendeuse, justifiant la **décision de Vente**.</w:t>
      </w:r>
    </w:p>
    <w:p>
      <w:pPr>
        <w:spacing w:after="120" w:line="276" w:lineRule="auto"/>
      </w:pPr>
      <w:r>
        <w:t>**RSI** : À **30,0 exactement**, le RSI se situe à la frontière de la zone de survente (&lt;30), signal d'un titre potentiellement survendu après la correction depuis 78 FCFA. Cette position charnière justifie la **décision Neutre**, avec un potentiel de rebond technique à surveiller.</w:t>
      </w:r>
    </w:p>
    <w:p>
      <w:pPr>
        <w:spacing w:after="120" w:line="276" w:lineRule="auto"/>
      </w:pPr>
      <w:r>
        <w:t>**Stochastique** : Avec **%K = 0,0 et %D = 0,0**, les deux lignes sont collées au plancher, configuration extrême de survente absolue. Bien qu'aucun croisement haussier ne soit encore visible, cette position extrême suggère un épuisement de la pression vendeuse, justifiant la **décision d'Achat** contrarienne.</w:t>
      </w:r>
    </w:p>
    <w:p>
      <w:pPr>
        <w:spacing w:after="120" w:line="276" w:lineRule="auto"/>
      </w:pPr>
      <w:r>
        <w:t>**Conclusion technique** : Les indicateurs présentent une **divergence notable** : les moyennes mobiles et le MACD confirment une tendance baissière de court terme, tandis que le RSI (30,0) et surtout le stochastique (0,0) signalent une survente extrême propice à un rebond. Les Bandes de Bollinger en position neutre n'apportent pas de confirmation directionnelle. Cette configuration mixte — baissière en tendance mais survendue en oscillation — plaide pour une **prudence avec un biais contrarien** : le titre pourrait rebondir techniquement, mais la confirmation d'un retournement n'est pas encore acquise.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ETIT affiche un **PNB de 1 424,261 Mds FCFA** (équivalent du chiffre d'affaires bancaire), un **résultat net de 345,523 Mds FCFA** et une **marge nette de 24,26%**, niveau remarquable pour le secteur. Le **ROE de 21,62%** (&gt;15% = excellent) et le **ROA de 1,80%** confirment une rentabilité des fonds propres solide. Le **coefficient d'exploitation de 27,35%** (&lt;60% = banque très efficace, &lt;50% = excellente) témoigne d'une discipline opérationnelle exceptionnelle. Le **coût du risque de 18,97%** (provisions/charges financières) reste modéré, indiquant un portefeuille de crédit globalement sain. La structure de bilan révèle des **dépôts clientèle de 14 120,139 Mds FCFA** face à des **créances clientèle de 6 570,385 Mds FCFA**, soit un ratio de transformation d'environ 47% — la banque dispose d'une base de dépôts largement supérieure à ses crédits, gage de liquidité. Toutefois, l'**autonomie financière de 8,30%** (capitaux propres/bilan) est faible, reflet du modèle bancaire à fort effet de levier, et le **ratio d'endettement de 154%** (dettes/capitaux propres) reste élevé mais usuel pour le secteur.</w:t>
      </w:r>
    </w:p>
    <w:p>
      <w:pPr>
        <w:spacing w:after="120" w:line="276" w:lineRule="auto"/>
      </w:pPr>
      <w:r>
        <w:t>**Estimations issues des rapports trimestriels** : Le rapport semestriel 2026 (analysé le 30/07/2026) confirme la dynamique avec un **PNB S1 2026 de 1 281,330 M$EU (721,318 Mds FCFA), en hausse de +15%** sur un an, et un **résultat net consolidé de 296,091 M$EU (+6%)**. Le **coefficient d'exploitation s'améliore à 48,4%** et le **ratio de prêts non performants recule à 7,6%**. Cependant, le **coût du risque bondit de +40%** (238,039 M$EU), signal d'alerte sur la qualité de crédit. Le rapport T1 2026 (PNB +23%, résultat net +16%) confirme la tendance, mais avec un coût du risque en hausse de +73%. Sur cette base, on estime que l'exercice 2026 devrait maintenir un PNB en croissance à deux chiffres (~+15%), mais avec une pression accrue sur le résultat net en raison des provisions.</w:t>
      </w:r>
    </w:p>
    <w:p>
      <w:pPr>
        <w:spacing w:after="120" w:line="276" w:lineRule="auto"/>
      </w:pPr>
      <w:r>
        <w:t>**Recommandation fondamentale** : ETIT présente des fondamentaux **très solides** (ROE &gt;21%, coefficient d'exploitation &lt;30%, valorisation décotée) mais des **risques croissants** (coût du risque en forte hausse, autonomie financière faible, environnement macroéconomique incertain). La recommandation fondamentale est **CONSERVER avec biais positif**, en attendant la confirmation de la stabilisation du coût du risque au S2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**désaccord profond entre valorisation et technique**. La **valorisation (Partie 0)** est indiscutablement attractive : PER de 3,4x, P/B de 0,74x et EV/EBITDA de 4,9x placent ETIT en zone de **sous-évaluation manifeste**, offrant une marge de sécurité théorique importante. Le **comportement du cours (Partie 1)** montre une tendance haussière exceptionnelle (+116,67%) mais un essoufflement récent, avec une volatilité très élevée (61,3%) et un skewness négatif (-0,941) signalant une distribution asymétrique vers le bas — préoccupant à court terme. Les **signaux techniques (Partie 2)** sont **mitigés** : MM et MACD baissiers, mais RSI (30,0) et stochastique (0,0) en survente extrême, suggérant un rebond imminent sans confirmation. Les **fondamentaux (Partie 3)** restent **solides** (ROE 21,62%, coefficient d'exploitation 27,35%, PNB +15% au S1 2026) mais entachés par la hausse du coût du risque (+40%). Les **prédictions IA (J+1 à J+10)** anticipent une **stabilité parfaite à 65 FCFA** sur les cinq prochains jours ouvrables, confirmant l'absence de catalyseur directionnel immédiat et la consolidation du cours.</w:t>
      </w:r>
    </w:p>
    <w:p>
      <w:pPr>
        <w:spacing w:after="120" w:line="276" w:lineRule="auto"/>
      </w:pPr>
      <w:r>
        <w:t>**Recommandation finale : CONSERVER** (avec opportunité d'achat sur repli vers 63 FCFA, borne inférieure de Bollinger). La convergence est **partielle** : valorisation et fondamentaux plaident pour l'achat long terme, mais technique baissière et prédictions stables imposent la patience. Le **niveau de confiance est Moyen** (divergence technique/fondamental), le **risque global est Élevé** (volatilité 61,3%, coût du risque en hausse, faible autonomie financière). L'**horizon optimal est le moyen terme (3-12 mois)**, le temps que le coût du risque se stabilise et que la survente technique se résorbe, avec un objectif de cours à 78 FCFA (plus haut récent) en cas de confirmation des fondamentaux.</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25.46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4,187 titres</w:t>
            </w:r>
          </w:p>
        </w:tc>
        <w:tc>
          <w:tcPr>
            <w:tcW w:type="dxa" w:w="2268"/>
            <w:shd w:fill="FFF2CC" w:val="clear"/>
          </w:tcPr>
          <w:p>
            <w:r>
              <w:rPr>
                <w:b/>
                <w:color w:val="503200"/>
                <w:sz w:val="16"/>
              </w:rPr>
              <w:t xml:space="preserve">Cours actuel : </w:t>
            </w:r>
            <w:r>
              <w:rPr>
                <w:color w:val="000000"/>
                <w:sz w:val="17"/>
              </w:rPr>
              <w:t>1,805 FCFA</w:t>
            </w:r>
          </w:p>
          <w:p>
            <w:r>
              <w:rPr>
                <w:b/>
                <w:color w:val="503200"/>
                <w:sz w:val="16"/>
              </w:rPr>
              <w:t xml:space="preserve">Var. 100 jours : </w:t>
            </w:r>
            <w:r>
              <w:rPr>
                <w:b/>
                <w:color w:val="B40000"/>
                <w:sz w:val="17"/>
              </w:rPr>
              <w:t>-19.96%</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1,800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6.65% (Moyenne) — μ=2,067 FCFA, σ=138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β=0.5132 (Défensif) — Cov=0.000040, Var(idx)=0.000077, ρ=0.199,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090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1,716</w:t>
            </w:r>
          </w:p>
        </w:tc>
        <w:tc>
          <w:tcPr>
            <w:tcW w:type="dxa" w:w="1440"/>
            <w:shd w:fill="FAFAFA" w:val="clear"/>
          </w:tcPr>
          <w:p>
            <w:r>
              <w:rPr>
                <w:b/>
                <w:sz w:val="17"/>
              </w:rPr>
              <w:t>1,793</w:t>
            </w:r>
          </w:p>
        </w:tc>
        <w:tc>
          <w:tcPr>
            <w:tcW w:type="dxa" w:w="1440"/>
            <w:shd w:fill="FAFAFA" w:val="clear"/>
          </w:tcPr>
          <w:p>
            <w:r>
              <w:rPr>
                <w:sz w:val="17"/>
              </w:rPr>
              <w:t>1,869</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1,673</w:t>
            </w:r>
          </w:p>
        </w:tc>
        <w:tc>
          <w:tcPr>
            <w:tcW w:type="dxa" w:w="1440"/>
            <w:shd w:fill="FAFAFA" w:val="clear"/>
          </w:tcPr>
          <w:p>
            <w:r>
              <w:rPr>
                <w:b/>
                <w:sz w:val="17"/>
              </w:rPr>
              <w:t>1,781</w:t>
            </w:r>
          </w:p>
        </w:tc>
        <w:tc>
          <w:tcPr>
            <w:tcW w:type="dxa" w:w="1440"/>
            <w:shd w:fill="FAFAFA" w:val="clear"/>
          </w:tcPr>
          <w:p>
            <w:r>
              <w:rPr>
                <w:sz w:val="17"/>
              </w:rPr>
              <w:t>1,890</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1,638</w:t>
            </w:r>
          </w:p>
        </w:tc>
        <w:tc>
          <w:tcPr>
            <w:tcW w:type="dxa" w:w="1440"/>
            <w:shd w:fill="FAFAFA" w:val="clear"/>
          </w:tcPr>
          <w:p>
            <w:r>
              <w:rPr>
                <w:b/>
                <w:sz w:val="17"/>
              </w:rPr>
              <w:t>1,770</w:t>
            </w:r>
          </w:p>
        </w:tc>
        <w:tc>
          <w:tcPr>
            <w:tcW w:type="dxa" w:w="1440"/>
            <w:shd w:fill="FAFAFA" w:val="clear"/>
          </w:tcPr>
          <w:p>
            <w:r>
              <w:rPr>
                <w:sz w:val="17"/>
              </w:rPr>
              <w:t>1,901</w:t>
            </w:r>
          </w:p>
        </w:tc>
        <w:tc>
          <w:tcPr>
            <w:tcW w:type="dxa" w:w="1440"/>
            <w:shd w:fill="FAFAFA"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2026-10-23</w:t>
            </w:r>
          </w:p>
        </w:tc>
        <w:tc>
          <w:tcPr>
            <w:tcW w:type="dxa" w:w="1440"/>
            <w:shd w:fill="FFDCE0" w:val="clear"/>
          </w:tcPr>
          <w:p>
            <w:r>
              <w:rPr>
                <w:sz w:val="17"/>
              </w:rPr>
              <w:t>1,607</w:t>
            </w:r>
          </w:p>
        </w:tc>
        <w:tc>
          <w:tcPr>
            <w:tcW w:type="dxa" w:w="1440"/>
            <w:shd w:fill="FFDCE0" w:val="clear"/>
          </w:tcPr>
          <w:p>
            <w:r>
              <w:rPr>
                <w:b/>
                <w:sz w:val="17"/>
              </w:rPr>
              <w:t>1,758</w:t>
            </w:r>
          </w:p>
        </w:tc>
        <w:tc>
          <w:tcPr>
            <w:tcW w:type="dxa" w:w="1440"/>
            <w:shd w:fill="FFDCE0" w:val="clear"/>
          </w:tcPr>
          <w:p>
            <w:r>
              <w:rPr>
                <w:sz w:val="17"/>
              </w:rPr>
              <w:t>1,909</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2026-10-26</w:t>
            </w:r>
          </w:p>
        </w:tc>
        <w:tc>
          <w:tcPr>
            <w:tcW w:type="dxa" w:w="1440"/>
            <w:shd w:fill="FFDCE0" w:val="clear"/>
          </w:tcPr>
          <w:p>
            <w:r>
              <w:rPr>
                <w:sz w:val="17"/>
              </w:rPr>
              <w:t>1,579</w:t>
            </w:r>
          </w:p>
        </w:tc>
        <w:tc>
          <w:tcPr>
            <w:tcW w:type="dxa" w:w="1440"/>
            <w:shd w:fill="FFDCE0" w:val="clear"/>
          </w:tcPr>
          <w:p>
            <w:r>
              <w:rPr>
                <w:b/>
                <w:sz w:val="17"/>
              </w:rPr>
              <w:t>1,747</w:t>
            </w:r>
          </w:p>
        </w:tc>
        <w:tc>
          <w:tcPr>
            <w:tcW w:type="dxa" w:w="1440"/>
            <w:shd w:fill="FFDCE0" w:val="clear"/>
          </w:tcPr>
          <w:p>
            <w:r>
              <w:rPr>
                <w:sz w:val="17"/>
              </w:rPr>
              <w:t>1,915</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2026-10-27</w:t>
            </w:r>
          </w:p>
        </w:tc>
        <w:tc>
          <w:tcPr>
            <w:tcW w:type="dxa" w:w="1440"/>
            <w:shd w:fill="FFDCE0" w:val="clear"/>
          </w:tcPr>
          <w:p>
            <w:r>
              <w:rPr>
                <w:sz w:val="17"/>
              </w:rPr>
              <w:t>1,553</w:t>
            </w:r>
          </w:p>
        </w:tc>
        <w:tc>
          <w:tcPr>
            <w:tcW w:type="dxa" w:w="1440"/>
            <w:shd w:fill="FFDCE0" w:val="clear"/>
          </w:tcPr>
          <w:p>
            <w:r>
              <w:rPr>
                <w:b/>
                <w:sz w:val="17"/>
              </w:rPr>
              <w:t>1,736</w:t>
            </w:r>
          </w:p>
        </w:tc>
        <w:tc>
          <w:tcPr>
            <w:tcW w:type="dxa" w:w="1440"/>
            <w:shd w:fill="FFDCE0" w:val="clear"/>
          </w:tcPr>
          <w:p>
            <w:r>
              <w:rPr>
                <w:sz w:val="17"/>
              </w:rPr>
              <w:t>1,918</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2026-10-28</w:t>
            </w:r>
          </w:p>
        </w:tc>
        <w:tc>
          <w:tcPr>
            <w:tcW w:type="dxa" w:w="1440"/>
            <w:shd w:fill="FFDCE0" w:val="clear"/>
          </w:tcPr>
          <w:p>
            <w:r>
              <w:rPr>
                <w:sz w:val="17"/>
              </w:rPr>
              <w:t>1,529</w:t>
            </w:r>
          </w:p>
        </w:tc>
        <w:tc>
          <w:tcPr>
            <w:tcW w:type="dxa" w:w="1440"/>
            <w:shd w:fill="FFDCE0" w:val="clear"/>
          </w:tcPr>
          <w:p>
            <w:r>
              <w:rPr>
                <w:b/>
                <w:sz w:val="17"/>
              </w:rPr>
              <w:t>1,725</w:t>
            </w:r>
          </w:p>
        </w:tc>
        <w:tc>
          <w:tcPr>
            <w:tcW w:type="dxa" w:w="1440"/>
            <w:shd w:fill="FFDCE0" w:val="clear"/>
          </w:tcPr>
          <w:p>
            <w:r>
              <w:rPr>
                <w:sz w:val="17"/>
              </w:rPr>
              <w:t>1,921</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2026-10-29</w:t>
            </w:r>
          </w:p>
        </w:tc>
        <w:tc>
          <w:tcPr>
            <w:tcW w:type="dxa" w:w="1440"/>
            <w:shd w:fill="FFDCE0" w:val="clear"/>
          </w:tcPr>
          <w:p>
            <w:r>
              <w:rPr>
                <w:sz w:val="17"/>
              </w:rPr>
              <w:t>1,506</w:t>
            </w:r>
          </w:p>
        </w:tc>
        <w:tc>
          <w:tcPr>
            <w:tcW w:type="dxa" w:w="1440"/>
            <w:shd w:fill="FFDCE0" w:val="clear"/>
          </w:tcPr>
          <w:p>
            <w:r>
              <w:rPr>
                <w:b/>
                <w:sz w:val="17"/>
              </w:rPr>
              <w:t>1,714</w:t>
            </w:r>
          </w:p>
        </w:tc>
        <w:tc>
          <w:tcPr>
            <w:tcW w:type="dxa" w:w="1440"/>
            <w:shd w:fill="FFDCE0" w:val="clear"/>
          </w:tcPr>
          <w:p>
            <w:r>
              <w:rPr>
                <w:sz w:val="17"/>
              </w:rPr>
              <w:t>1,922</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2026-10-30</w:t>
            </w:r>
          </w:p>
        </w:tc>
        <w:tc>
          <w:tcPr>
            <w:tcW w:type="dxa" w:w="1440"/>
            <w:shd w:fill="FFDCE0" w:val="clear"/>
          </w:tcPr>
          <w:p>
            <w:r>
              <w:rPr>
                <w:sz w:val="17"/>
              </w:rPr>
              <w:t>1,484</w:t>
            </w:r>
          </w:p>
        </w:tc>
        <w:tc>
          <w:tcPr>
            <w:tcW w:type="dxa" w:w="1440"/>
            <w:shd w:fill="FFDCE0" w:val="clear"/>
          </w:tcPr>
          <w:p>
            <w:r>
              <w:rPr>
                <w:b/>
                <w:sz w:val="17"/>
              </w:rPr>
              <w:t>1,703</w:t>
            </w:r>
          </w:p>
        </w:tc>
        <w:tc>
          <w:tcPr>
            <w:tcW w:type="dxa" w:w="1440"/>
            <w:shd w:fill="FFDCE0" w:val="clear"/>
          </w:tcPr>
          <w:p>
            <w:r>
              <w:rPr>
                <w:sz w:val="17"/>
              </w:rPr>
              <w:t>1,923</w:t>
            </w:r>
          </w:p>
        </w:tc>
        <w:tc>
          <w:tcPr>
            <w:tcW w:type="dxa" w:w="1440"/>
            <w:shd w:fill="FFDCE0" w:val="clear"/>
          </w:tcPr>
          <w:p>
            <w:r>
              <w:rPr>
                <w:b/>
                <w:color w:val="C00000"/>
                <w:sz w:val="17"/>
              </w:rPr>
              <w:t>-5.6%</w:t>
            </w:r>
          </w:p>
        </w:tc>
      </w:tr>
      <w:tr>
        <w:tc>
          <w:tcPr>
            <w:tcW w:type="dxa" w:w="1440"/>
            <w:shd w:fill="FFDCE0" w:val="clear"/>
          </w:tcPr>
          <w:p>
            <w:r>
              <w:rPr>
                <w:sz w:val="17"/>
              </w:rPr>
              <w:t>J+10  ⭐</w:t>
            </w:r>
          </w:p>
        </w:tc>
        <w:tc>
          <w:tcPr>
            <w:tcW w:type="dxa" w:w="1440"/>
            <w:shd w:fill="FFDCE0" w:val="clear"/>
          </w:tcPr>
          <w:p>
            <w:r>
              <w:rPr>
                <w:sz w:val="17"/>
              </w:rPr>
              <w:t>2026-11-02</w:t>
            </w:r>
          </w:p>
        </w:tc>
        <w:tc>
          <w:tcPr>
            <w:tcW w:type="dxa" w:w="1440"/>
            <w:shd w:fill="FFDCE0" w:val="clear"/>
          </w:tcPr>
          <w:p>
            <w:r>
              <w:rPr>
                <w:sz w:val="17"/>
              </w:rPr>
              <w:t>1,463</w:t>
            </w:r>
          </w:p>
        </w:tc>
        <w:tc>
          <w:tcPr>
            <w:tcW w:type="dxa" w:w="1440"/>
            <w:shd w:fill="FFDCE0" w:val="clear"/>
          </w:tcPr>
          <w:p>
            <w:r>
              <w:rPr>
                <w:b/>
                <w:sz w:val="17"/>
              </w:rPr>
              <w:t>1,693</w:t>
            </w:r>
          </w:p>
        </w:tc>
        <w:tc>
          <w:tcPr>
            <w:tcW w:type="dxa" w:w="1440"/>
            <w:shd w:fill="FFDCE0" w:val="clear"/>
          </w:tcPr>
          <w:p>
            <w:r>
              <w:rPr>
                <w:sz w:val="17"/>
              </w:rPr>
              <w:t>1,922</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**25,46 milliards FCFA**, un niveau modeste à l'échelle de la BRVM qui la place parmi les petites capitalisations de la cote. Le BPA de **33 FCFA/action** reflète un bénéfice par titre très faible, cohérent avec l'effondrement du résultat net 2025 à 466 millions FCFA. Le PER de **54,6x** traduit une valorisation extrêmement exigeante — les investisseurs paient plus de 54 fois les bénéfices, soit un multiple très supérieur à la moyenne BRVM (~8-12x), ce qui signale une forte prime spéculative ou une anticipation de redressement non encore matérialisé. Le P/B de **1,62x** reste en revanche raisonnable (fourchette 1-2x), indiquant que le marché valorise le titre à peine au-dessus de sa valeur comptable, cohérent avec des capitaux propres de 15,7 Mds FCFA. Enfin, l'EV/EBITDA de **34,8x** (très au-delà du seuil de 15x) confirme que la valeur d'entreprise intègre une capacité opérationnelle encore insuffisante au regard du prix payé — un signal de prudence marqué.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-19,96%**, avec un rebond marginal de **+0,28% en J-1**, le cours clôturant à **1 805 FCFA**. Le range de trading est large, entre un plus haut de **2 430 FCFA** et un plus bas de **1 800 FCFA** — le cours actuel évolue donc tout près de son plancher, ce qui traduit une tendance clairement **baissière** sur la période. Les statistiques descriptives révèlent une moyenne de **2 067 FCFA** contre une médiane de **2 035 FCFA**, un léger écart positif suggérant une distribution faiblement asymétrique à droite, cohérente avec le skewness de **0,442** (distribution quasi symétrique selon l'interprétation fournie). L'écart-type de **138 FCFA** avec un coefficient de variation de **6,7%** indique une dispersion modérée du cours autour de sa moyenne, tandis que le kurtosis de **-0,079** (mésokurtique, proche d'une distribution normale) suggère une absence de pics extrêmes — le risque de mouvements violents est donc contenu. La **volatilité annualisée de 35,8%** positionne le titre dans la catégorie des valeurs **élevées** (&gt;30%), ce qui est préoccupant pour un investisseur averse au risque et contraste avec la stabilité relative de la distribution.</w:t>
      </w:r>
    </w:p>
    <w:p>
      <w:pPr>
        <w:spacing w:after="120" w:line="276" w:lineRule="auto"/>
      </w:pPr>
      <w:r>
        <w:t>---</w:t>
      </w:r>
    </w:p>
    <w:p>
      <w:pPr>
        <w:spacing w:after="120" w:line="276" w:lineRule="auto"/>
      </w:pPr>
      <w:r>
        <w:t>## PARTIE 2 : ANALYSE TECHNIQUE DÉTAILLÉE</w:t>
      </w:r>
    </w:p>
    <w:p>
      <w:pPr>
        <w:spacing w:after="120" w:line="276" w:lineRule="auto"/>
      </w:pPr>
      <w:r>
        <w:t>**Moyennes Mobiles** : La MM20 (1 921 FCFA) et la MM50 (2 049,6 FCFA) se situent toutes deux **au-dessus du cours actuel** (1 805 FCFA), configuration baissière classique où le prix évolue sous ses moyennes. La MM20 étant elle-même inférieure à la MM50, la tendance de fond reste descendante, justifiant la **décision de Vente**.</w:t>
      </w:r>
    </w:p>
    <w:p>
      <w:pPr>
        <w:spacing w:after="120" w:line="276" w:lineRule="auto"/>
      </w:pPr>
      <w:r>
        <w:t>**Bandes de Bollinger** : Le cours (1 805 FCFA) évolue dans la partie basse de la bande, entre la borne inférieure (1 758,4 FCFA) et la borne supérieure (2 083,6 FCFA), sans franchissement de seuil extrême. La largeur de la bande (~325 FCFA) traduit une volatilité encore présente mais sans excès, justifiant la **décision Neutre** — le titre n'est ni en survente technique extrême ni en surachat.</w:t>
      </w:r>
    </w:p>
    <w:p>
      <w:pPr>
        <w:spacing w:after="120" w:line="276" w:lineRule="auto"/>
      </w:pPr>
      <w:r>
        <w:t>**MACD** : La valeur du MACD (**-67,6**) est inférieure à son signal (**-56,5**), avec un histogramme négatif qui confirme un **momentum baissier persistant**. L'absence de croisement haussier imminent justifie la **décision de Vente** émise par l'indicateur.</w:t>
      </w:r>
    </w:p>
    <w:p>
      <w:pPr>
        <w:spacing w:after="120" w:line="276" w:lineRule="auto"/>
      </w:pPr>
      <w:r>
        <w:t>**RSI** : À **31,3**, le RSI se situe juste au-dessus du seuil de survente (30), dans une zone **neutre basse**. Le titre n'est pas encore techniquement en survente franche, ce qui laisse un potentiel de baisse résiduel mais limite — justifiant la **décision Neutre**.</w:t>
      </w:r>
    </w:p>
    <w:p>
      <w:pPr>
        <w:spacing w:after="120" w:line="276" w:lineRule="auto"/>
      </w:pPr>
      <w:r>
        <w:t>**Stochastique** : Le %K (**2,56**) est très proche de zéro et croise au-dessus du %D (**0,86**), configuration de **survente extrême** avec amorce de croisement haussier. Ce signal isolé justifie la **décision d'Achat** contrarienne, à surveiller comme possible prémice de rebond technique.</w:t>
      </w:r>
    </w:p>
    <w:p>
      <w:pPr>
        <w:spacing w:after="120" w:line="276" w:lineRule="auto"/>
      </w:pPr>
      <w:r>
        <w:t>**Conclusion technique** : Les indicateurs sont majoritairement **baissiers** (MM, MACD) ou neutres (Bollinger, RSI), avec un seul signal d'achat contrarien (Stochastique en survente extrême). La convergence MM/MACD vers la baisse domine, mais la proximité du plancher (1 800 FCFA) et la survente stochastique suggèrent qu'une capitulation technique pourrait se former. Le profil reste **négatif à court terme**, avec un potentiel de rebond fragile à surveiller.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**32,109 Mds FCFA** (+4,6% selon le taux de croissance fourni), pour un résultat net de seulement **465,98 M FCFA**, soit une marge nette de **1,45%**. La rentabilité des fonds propres (ROE) s'établit à **2,97%** — très loin du seuil d'excellence de 15% — et le ROA à **1,19%**, traduisant une faible efficacité de l'actif (39,15 Mds FCFA). Le profil sectoriel « entreprise » révèle des tensions majeures sur le cycle d'exploitation : **délai clients de 213,7 jours** (risque trésorerie élevé), **durée de stockage de 214,7 jours** (immobilisation de capital considérable) et un **BFR de 11,53 Mds FCFA** qui, contrairement à l'interprétation générique, n'est pas négatif ici mais pèse lourdement — la trésorerie nette ressort d'ailleurs à **-11,53 Mds FCFA**. L'autonomie financière de **40,1%** reste saine (&gt;30%), mais le ratio d'endettement de **97,6%** et une capacité de remboursement de **11,49 années** de CAF signalent une structure à surveiller.</w:t>
      </w:r>
    </w:p>
    <w:p>
      <w:pPr>
        <w:spacing w:after="120" w:line="276" w:lineRule="auto"/>
      </w:pPr>
      <w:r>
        <w:t>**Évolution temporelle et rapports narratifs** : Le rapport annuel 2025 (daté du 31/12/2025, analysé le 28/09/2026) confirme l'effondrement du résultat net de **-97,5%** (466 M FCFA contre 18,6 Mds en 2024), imputable à la disparition des produits HAO exceptionnels (381,6 M FCFA contre 18,86 Mds en 2024) et à la chute des produits financiers. La politique de dividende est passée à **zéro distribution** en 2025, contre 28,2 Mds FCFA versés en 2024 — signal de tension de trésorerie. Le **rapport T1 2026 (daté du 31/03/2026)** apporte toutefois une inflexion encourageante : CA de **8 901 M FCFA (+55%)** porté par la demande d'emballages cacao, résultat d'exploitation redevenu **positif à 75 M FCFA** (contre -78 M un an plus tôt), mais résultat net encore **négatif à -154 M FCFA** (marge -1,73%). On estime, sur cette base, que l'exercice 2026 pourrait confirmer un redressement opérationnel progressif, sans retour à la rentabilité nette avant plusieurs trimestres. Le communiqué du 08/07/2026 rassure sur la continuité d'activité malgré l'arrêt de la filature (interdiction d'exportation de jute par le Bangladesh), avec une solution d'importation de fil mise en place — impact limité à moins de 10% des effectifs.</w:t>
      </w:r>
    </w:p>
    <w:p>
      <w:pPr>
        <w:spacing w:after="120" w:line="276" w:lineRule="auto"/>
      </w:pPr>
      <w:r>
        <w:t>**Recommandation fondamentale** : La solidité financière est **fragile** (rentabilité quasi nulle, trésorerie nette négative, absence de dividende), mais la dynamique commerciale 2026 (+55% au T1) et le retour à un résultat d'exploitation positif constituent des signaux de **retournement non confirmé**. Position **attentiste** recommandée, avec surveillance impérative du BFR et de la rentabilité nette.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profil **hautement spéculatif et déséquilibré**. La **valorisation** (Partie 0) est clairement tendue : PER de 54,6x et EV/EBITDA de 34,8x traduisent une surévaluation manifeste au regard de bénéfices quasi inexistants, même si le P/B de 1,62x limite la casse. Le **comportement du cours** (Partie 1) est baissier (-19,96% sur 100 jours), avec une volatilité élevée (35,8%) et un cours collé au plancher (1 805 vs 1 800 FCFA), bien que la distribution mésokurtique et symétrique n'annonce pas de chocs extrêmes. Les **signaux techniques** (Partie 2) sont majoritairement négatifs (MM sous cours, MACD baissier), seul le Stochastique en survente extrême offrant un signal contrarien d'achat — la divergence des indicateurs appelle à la prudence. Les **fondamentaux** (Partie 3) révèlent une entreprise en convalescence : résultat net 2025 effondré (466 M FCFA, ROE 2,97%), trésorerie nette négative (-11,5 Mds FCFA), mais T1 2026 en nette amélioration opérationnelle (+55% de CA, résultat d'exploitation positif). Les **prédictions IA** (J+1 à J+10) confirment la pression baissière, projetant une trajectoire descendante de 1 793 à 1 747 FCFA — soit une poursuite de la glissade vers le plancher des 1 800 FCFA, en cohérence avec les signaux techniques dominants.</w:t>
      </w:r>
    </w:p>
    <w:p>
      <w:pPr>
        <w:spacing w:after="120" w:line="276" w:lineRule="auto"/>
      </w:pPr>
      <w:r>
        <w:t>**Recommandation finale : CONSERVER** (avec biais vendeur pour les détenteurs de rendement). La convergence est **partielle** : la technique et les prédictions IA plaident pour la baisse, la valorisation est chère, mais le rebond opérationnel du T1 2026 et le P/B raisonnable interdisent une vente panique à proximité du plancher. Le niveau de confiance est **Moyen** (données T1 2026 encourageantes mais non confirmées sur deux trimestres), et le niveau de risque global est **Élevé** (trésorerie négative, absence de dividende, dépendance au cacao et aux matières premières). L'horizon d'investissement optimal est le **moyen terme (3-12 mois)**, le temps de vérifier la confirmation d'un deuxième trimestre consécutif de résultat net positif — condition sine qua non d'un passage à l'ACHAT.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4,795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+4.58%</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4.63% (Faible) — μ=4,080 FCFA, σ=189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β=0.6311 (Défensif) — Cov=0.000049, Var(idx)=0.000077, ρ=0.216,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σ_j=2.56%/j (Stable) — Vol. annualisée≈40.6%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0906"/>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3,829</w:t>
            </w:r>
          </w:p>
        </w:tc>
        <w:tc>
          <w:tcPr>
            <w:tcW w:type="dxa" w:w="1440"/>
            <w:shd w:fill="FAFAFA" w:val="clear"/>
          </w:tcPr>
          <w:p>
            <w:r>
              <w:rPr>
                <w:b/>
                <w:sz w:val="17"/>
              </w:rPr>
              <w:t>4,005</w:t>
            </w:r>
          </w:p>
        </w:tc>
        <w:tc>
          <w:tcPr>
            <w:tcW w:type="dxa" w:w="1440"/>
            <w:shd w:fill="FAFAFA" w:val="clear"/>
          </w:tcPr>
          <w:p>
            <w:r>
              <w:rPr>
                <w:sz w:val="17"/>
              </w:rPr>
              <w:t>4,181</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3,761</w:t>
            </w:r>
          </w:p>
        </w:tc>
        <w:tc>
          <w:tcPr>
            <w:tcW w:type="dxa" w:w="1440"/>
            <w:shd w:fill="FAFAFA" w:val="clear"/>
          </w:tcPr>
          <w:p>
            <w:r>
              <w:rPr>
                <w:b/>
                <w:sz w:val="17"/>
              </w:rPr>
              <w:t>4,010</w:t>
            </w:r>
          </w:p>
        </w:tc>
        <w:tc>
          <w:tcPr>
            <w:tcW w:type="dxa" w:w="1440"/>
            <w:shd w:fill="FAFAFA" w:val="clear"/>
          </w:tcPr>
          <w:p>
            <w:r>
              <w:rPr>
                <w:sz w:val="17"/>
              </w:rPr>
              <w:t>4,259</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3,709</w:t>
            </w:r>
          </w:p>
        </w:tc>
        <w:tc>
          <w:tcPr>
            <w:tcW w:type="dxa" w:w="1440"/>
            <w:shd w:fill="FAFAFA" w:val="clear"/>
          </w:tcPr>
          <w:p>
            <w:r>
              <w:rPr>
                <w:b/>
                <w:sz w:val="17"/>
              </w:rPr>
              <w:t>4,014</w:t>
            </w:r>
          </w:p>
        </w:tc>
        <w:tc>
          <w:tcPr>
            <w:tcW w:type="dxa" w:w="1440"/>
            <w:shd w:fill="FAFAFA" w:val="clear"/>
          </w:tcPr>
          <w:p>
            <w:r>
              <w:rPr>
                <w:sz w:val="17"/>
              </w:rPr>
              <w:t>4,319</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3,667</w:t>
            </w:r>
          </w:p>
        </w:tc>
        <w:tc>
          <w:tcPr>
            <w:tcW w:type="dxa" w:w="1440"/>
            <w:shd w:fill="FAFAFA" w:val="clear"/>
          </w:tcPr>
          <w:p>
            <w:r>
              <w:rPr>
                <w:b/>
                <w:sz w:val="17"/>
              </w:rPr>
              <w:t>4,020</w:t>
            </w:r>
          </w:p>
        </w:tc>
        <w:tc>
          <w:tcPr>
            <w:tcW w:type="dxa" w:w="1440"/>
            <w:shd w:fill="FAFAFA" w:val="clear"/>
          </w:tcPr>
          <w:p>
            <w:r>
              <w:rPr>
                <w:sz w:val="17"/>
              </w:rPr>
              <w:t>4,372</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3,630</w:t>
            </w:r>
          </w:p>
        </w:tc>
        <w:tc>
          <w:tcPr>
            <w:tcW w:type="dxa" w:w="1440"/>
            <w:shd w:fill="FAFAFA" w:val="clear"/>
          </w:tcPr>
          <w:p>
            <w:r>
              <w:rPr>
                <w:b/>
                <w:sz w:val="17"/>
              </w:rPr>
              <w:t>4,024</w:t>
            </w:r>
          </w:p>
        </w:tc>
        <w:tc>
          <w:tcPr>
            <w:tcW w:type="dxa" w:w="1440"/>
            <w:shd w:fill="FAFAFA" w:val="clear"/>
          </w:tcPr>
          <w:p>
            <w:r>
              <w:rPr>
                <w:sz w:val="17"/>
              </w:rPr>
              <w:t>4,419</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3,597</w:t>
            </w:r>
          </w:p>
        </w:tc>
        <w:tc>
          <w:tcPr>
            <w:tcW w:type="dxa" w:w="1440"/>
            <w:shd w:fill="FAFAFA" w:val="clear"/>
          </w:tcPr>
          <w:p>
            <w:r>
              <w:rPr>
                <w:b/>
                <w:sz w:val="17"/>
              </w:rPr>
              <w:t>4,030</w:t>
            </w:r>
          </w:p>
        </w:tc>
        <w:tc>
          <w:tcPr>
            <w:tcW w:type="dxa" w:w="1440"/>
            <w:shd w:fill="FAFAFA" w:val="clear"/>
          </w:tcPr>
          <w:p>
            <w:r>
              <w:rPr>
                <w:sz w:val="17"/>
              </w:rPr>
              <w:t>4,462</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3,571</w:t>
            </w:r>
          </w:p>
        </w:tc>
        <w:tc>
          <w:tcPr>
            <w:tcW w:type="dxa" w:w="1440"/>
            <w:shd w:fill="FAFAFA" w:val="clear"/>
          </w:tcPr>
          <w:p>
            <w:r>
              <w:rPr>
                <w:b/>
                <w:sz w:val="17"/>
              </w:rPr>
              <w:t>4,039</w:t>
            </w:r>
          </w:p>
        </w:tc>
        <w:tc>
          <w:tcPr>
            <w:tcW w:type="dxa" w:w="1440"/>
            <w:shd w:fill="FAFAFA" w:val="clear"/>
          </w:tcPr>
          <w:p>
            <w:r>
              <w:rPr>
                <w:sz w:val="17"/>
              </w:rPr>
              <w:t>4,508</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3,543</w:t>
            </w:r>
          </w:p>
        </w:tc>
        <w:tc>
          <w:tcPr>
            <w:tcW w:type="dxa" w:w="1440"/>
            <w:shd w:fill="FAFAFA" w:val="clear"/>
          </w:tcPr>
          <w:p>
            <w:r>
              <w:rPr>
                <w:b/>
                <w:sz w:val="17"/>
              </w:rPr>
              <w:t>4,045</w:t>
            </w:r>
          </w:p>
        </w:tc>
        <w:tc>
          <w:tcPr>
            <w:tcW w:type="dxa" w:w="1440"/>
            <w:shd w:fill="FAFAFA" w:val="clear"/>
          </w:tcPr>
          <w:p>
            <w:r>
              <w:rPr>
                <w:sz w:val="17"/>
              </w:rPr>
              <w:t>4,547</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3,516</w:t>
            </w:r>
          </w:p>
        </w:tc>
        <w:tc>
          <w:tcPr>
            <w:tcW w:type="dxa" w:w="1440"/>
            <w:shd w:fill="FAFAFA" w:val="clear"/>
          </w:tcPr>
          <w:p>
            <w:r>
              <w:rPr>
                <w:b/>
                <w:sz w:val="17"/>
              </w:rPr>
              <w:t>4,049</w:t>
            </w:r>
          </w:p>
        </w:tc>
        <w:tc>
          <w:tcPr>
            <w:tcW w:type="dxa" w:w="1440"/>
            <w:shd w:fill="FAFAFA" w:val="clear"/>
          </w:tcPr>
          <w:p>
            <w:r>
              <w:rPr>
                <w:sz w:val="17"/>
              </w:rPr>
              <w:t>4,581</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3,492</w:t>
            </w:r>
          </w:p>
        </w:tc>
        <w:tc>
          <w:tcPr>
            <w:tcW w:type="dxa" w:w="1440"/>
            <w:shd w:fill="FAFAFA" w:val="clear"/>
          </w:tcPr>
          <w:p>
            <w:r>
              <w:rPr>
                <w:b/>
                <w:sz w:val="17"/>
              </w:rPr>
              <w:t>4,054</w:t>
            </w:r>
          </w:p>
        </w:tc>
        <w:tc>
          <w:tcPr>
            <w:tcW w:type="dxa" w:w="1440"/>
            <w:shd w:fill="FAFAFA" w:val="clear"/>
          </w:tcPr>
          <w:p>
            <w:r>
              <w:rPr>
                <w:sz w:val="17"/>
              </w:rPr>
              <w:t>4,616</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 RAPPORT D'ANALYSE FINANCIÈRE — LNBB (Loterie Nationale du Bénin SA)</w:t>
        <w:br/>
        <w:t>**Bourse Régionale des Valeurs Mobilières (BRVM) — Secteur : Entreprise non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80,00 Mds FCFA, LNBB se positionne comme une valeur de taille intermédiaire sur le marché BRVM, portée par un BPA de 231 FCFA/action qui traduit la capacité bénéficiaire unitaire de la société. Le PER de 17,3x apparaît nettement supérieur à la moyenne BRVM (généralement située entre 8x et 12x), signalant que les investisseurs paient une prime pour les bénéfices de LNBB — prime qui se justifie en partie par la solidité du bilan et l'attractivité du dividende, mais qui intègre aussi un risque d'exécution. Le P/B de 3,64x confirme cette prime de croissance : le marché valorise la société à plus de 3,5 fois sa valeur comptable, ce qui est cohérent avec un ROE élevé (21,05% en 2025) mais laisse peu de marge de sécurité en cas de déception. Enfin, l'EV/EBITDA de 10,1x situe la valeur totale de l'entreprise (capitalisation + dette nette) à environ 10 fois sa capacité opérationnelle, un niveau modérément élevé qui suppose une stabilisation des marges opérationnelles dans les prochains exercices.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variation totale de +4,58%, avec une dernière séance (J-1) stable à +0,00%, le cours se maintenant à 4 000 FCFA. Le range de trading s'étend de 3 700 FCFA (plus bas) à 4 560 FCFA (plus haut), soit une amplitude de 860 FCFA (~23%) qui traduit une certaine nervosité malgré la tendance globale haussière. La moyenne de 4 080 FCFA et la médiane de 4 050 FCFA sont très proches (écart de seulement 30 FCFA), tandis que le mode à 4 000 FCFA coïncide avec le cours actuel — signe d'une distribution quasi symétrique, confirmée par un skewness de 0,441 (légèrement positif, donc quelques pics haussiers). L'écart-type de 190 FCFA avec un coefficient de variation de 4,7% indique une dispersion modérée du cours autour de sa moyenne, et le kurtosis de -0,732 (mésokurtique) suggère une distribution proche de la normale, sans risque excessif de pics extrêmes. La volatilité annualisée de 40,6% classe toutefois le titre dans la catégorie des valeurs **très volatiles** (&gt;30%), ce qui est cohérent avec la faible liquidité du marché BRVM (volume moyen de 4 795 titres/jour) et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(3 936,75 FCFA) est inférieure au cours actuel (4 000 FCFA), signal haussier de court terme, mais la MM50 (4 018,5 FCFA) lui est supérieure, créant une configuration baissière de moyen terme (le cours évolue sous sa MM50). Cette divergence entre les deux moyennes justifie la décision **Vente** : le titre reste coincé dans un couloir entre support court terme et résistance moyen terme, sans direction claire.</w:t>
      </w:r>
    </w:p>
    <w:p>
      <w:pPr>
        <w:spacing w:after="120" w:line="276" w:lineRule="auto"/>
      </w:pPr>
      <w:r>
        <w:t>**Bandes de Bollinger :** Le cours (4 000 FCFA) se situe au centre de la bande, entre la borne inférieure (3 773,81 FCFA) et la borne supérieure (4 099,69 FCFA), à mi-distance des deux. Cette position médiane traduit une absence de pression directionnelle et une volatilité contenue dans les bornes, justifiant la décision **Neutre** : aucun signal d'achat (cassure haute) ni de vente (cassure basse) n'est émis.</w:t>
      </w:r>
    </w:p>
    <w:p>
      <w:pPr>
        <w:spacing w:after="120" w:line="276" w:lineRule="auto"/>
      </w:pPr>
      <w:r>
        <w:t>**MACD :** La valeur du MACD (-4,873) est supérieure à sa ligne de signal (-24,913), configuration haussière classique indiquant que le momentum baissier s'essouffle et qu'un croisement haussier s'est déjà opéré. La décision **Achat** est cohérente avec cette divergence positive, bien que les deux valeurs restent en territoire négatif — signal de retournement naissant plutôt que de tendance franche.</w:t>
      </w:r>
    </w:p>
    <w:p>
      <w:pPr>
        <w:spacing w:after="120" w:line="276" w:lineRule="auto"/>
      </w:pPr>
      <w:r>
        <w:t>**RSI :** À 60,194, le RSI se situe en zone neutre haute (entre 30 et 70), sans atteindre la zone de surachat (&gt;70). La décision **Neutre** traduit un équilibre entre acheteurs et vendeurs, avec une légère prédominance acheteuse qui laisse présager une poursuite modérée de la hausse sans excès.</w:t>
      </w:r>
    </w:p>
    <w:p>
      <w:pPr>
        <w:spacing w:after="120" w:line="276" w:lineRule="auto"/>
      </w:pPr>
      <w:r>
        <w:t>**Stochastique :** Le %K (62,791) est inférieur au %D (75,194), configuration baissière de court terme signalant un essoufflement de la dynamique haussière récente. La décision **Neutre** s'explique par cette divergence entre les deux lignes, qui n'ont pas encore franchi de seuil extrême (ni surachat &gt;80, ni survente &lt;20).</w:t>
      </w:r>
    </w:p>
    <w:p>
      <w:pPr>
        <w:spacing w:after="120" w:line="276" w:lineRule="auto"/>
      </w:pPr>
      <w:r>
        <w:t>**Conclusion technique :** Les indicateurs sont **mitigés et divergents** : le MACD est haussier (achat), les moyennes mobiles sont baissières (vente), tandis que Bollinger, RSI et Stochastique restent neutres. Cette absence de convergence traduit un marché en phase de consolidation, sans direction dominante. Le signal le plus fiable reste la position du cours sous la MM50 (4 018,5 FCFA), qui plafonne la hausse à court terme, tandis que le MACD suggère qu'un rebond technique reste possible. Prudence donc, en attendant une cassure nette d'un des deux côtés.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LNBB a réalisé un chiffre d'affaires de 98,598 Mds FCFA, en **recul de -3,85%** par rapport à 2024, sous l'effet de la concurrence illégale. Le résultat net s'établit à 4,622 Mds FCFA, soit une marge nette de 4,69%, avec un **ROE de 21,05%** (excellent, &gt;15%) et un **ROA de 14,17%**, confirmant une forte capacité à générer des profits sur ses actifs. La structure financière est remarquablement saine : autonomie financière de 67,32%, ratio d'endettement de seulement 2,57%, trésorerie nette de 7,979 Mds FCFA et couverture des intérêts de 9 153% — la société ne présente aucun risque de solvabilité. Côté exploitation, le BFR est quasi nul (217,45 M FCFA), les délais clients sont très courts (4,82 jours, donc faible risque de trésorerie) et les délais fournisseurs de 20,41 jours offrent un bon coussin de financement.</w:t>
      </w:r>
    </w:p>
    <w:p>
      <w:pPr>
        <w:spacing w:after="120" w:line="276" w:lineRule="auto"/>
      </w:pPr>
      <w:r>
        <w:t>**Estimations issues des rapports trimestriels :** Le rapport du **T1 2026 (publié le 1er mai 2026)** révèle un CA en hausse de +6% à 25,521 Mds FCFA mais un **résultat net en chute de -46% à 848 M FCFA**, victime du mix-produit défavorable (pari sportif à 95% de taux de retour). Cependant, le **rapport S1 2026 (30 juillet 2026)** marque un **retournement spectaculaire** : CA de 49,937 Mds FCFA (+4%), **résultat net en hausse de +60%** et résultat d'exploitation +40%, grâce à la maîtrise des charges et aux revenus de partenariats B2B. On estime donc que l'exercice 2026 devrait afficher une **nette amélioration de la rentabilité** par rapport à 2025, malgré la pression persistante sur le Produit Brut des Jeux (-9% au S1). Le rapport annuel 2025 (publié le 1er mai 2026) confirme par ailleurs un dividende brut de **173 FCFA/action** (net 164 FCFA), soit un rendement attractif de ~4,1% au cours actuel.</w:t>
      </w:r>
    </w:p>
    <w:p>
      <w:pPr>
        <w:spacing w:after="120" w:line="276" w:lineRule="auto"/>
      </w:pPr>
      <w:r>
        <w:t>**Conclusion fondamentale :** LNBB combine une **solidité bilancielle exceptionnelle** (trésorerie nette positive, endettement quasi nul, ROE &gt;20%) avec une **dynamique de redressement confirmée au S1 2026**. Les risques restent la concurrence illégale, la dépendance croissante au pari sportif à faible marge et la volatilité du mix-produit. La recommandation fondamentale est **CONSERVER avec biais positif**, en attendant la confirmation du S2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**nuancé mais globalement favorable**. Sur le plan de la **valorisation (Partie 0)**, le PER de 17,3x et le P/B de 3,64x indiquent une légère surévaluation par rapport aux standards BRVM, mais cette prime se justifie par le ROE de 21% et le rendement du dividende de ~4,1% — la valeur n'est donc ni une opportunité criante, ni une bulle. Le **comportement du cours (Partie 1)** est rassurant : tendance haussière de +4,58% sur 100 jours, distribution symétrique (skewness 0,441, kurtosis -0,732) et cours actuel au niveau du mode (4 000 FCFA), bien que la volatilité de 40,6% impose un risque élevé. Les **signaux techniques (Partie 2)** sont divergents : MACD haussier mais MM baissières, RSI et Stochastique neutres — le titre consolide sans direction franche, avec un support à 3 936 FCFA (MM20) et une résistance à 4 018 FCFA (MM50). Les **fondamentaux (Partie 3)** sont le point fort : bilan exceptionnellement sain, ROE &gt;20%, dividende généreux et surtout **redressement du résultat net de +60% au S1 2026** qui valide la stratégie de transformation. Enfin, les **prédictions IA (J+1 à J+10)** anticipent une progression très modérée de 4 005 à 4 024 FCFA (+0,6% sur 10 jours), trajectoire haussière douce qui **confirme** la tendance de fond sans contredire les autres signaux.</w:t>
      </w:r>
    </w:p>
    <w:p>
      <w:pPr>
        <w:spacing w:after="120" w:line="276" w:lineRule="auto"/>
      </w:pPr>
      <w:r>
        <w:t>**Recommandation finale : CONSERVER (biais positif)**</w:t>
        <w:br/>
        <w:t>**Justification de la convergence :** La valorisation légèrement tendue est compensée par la qualité des fondamentaux et le redressement opérationnel confirmé au S1 2026 ; les signaux techniques neutres et les prédictions IA modérément haussières plaident pour une poursuite de la consolidation avant une éventuelle accélération. Un passage à l'**ACHAT** serait justifié si le cours cassait la MM50 (4 018 FCFA) avec volumes, ou si le S2 2026 confirmait la pérennité des revenus de partenariats. **Niveau de confiance : Moyen** (visibilité limitée sur le mix-produit et la concurrence illégale). **Niveau de risque global : Moyen à Élevé** (volatilité 40,6%, faible liquidité, sensibilité réglementaire). **Horizon d'investissement optimal : moyen terme (3-12 mois)**, le temps que la stratégie de diversification produit et le déploiement des 1 500 nouveaux terminaux portent leurs fruits.</w:t>
      </w:r>
    </w:p>
    <w:p>
      <w:pPr>
        <w:spacing w:after="120" w:line="276" w:lineRule="auto"/>
      </w:pPr>
      <w:r>
        <w:t>---</w:t>
        <w:br/>
        <w:t>*⚠️ Avertissement : Ce rapport est fourni à titre informatif et ne constitue pas un conseil en investissement personnalisé. Les performances passées ne préjugent pas des performances futures.*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2,318 titres</w:t>
            </w:r>
          </w:p>
        </w:tc>
        <w:tc>
          <w:tcPr>
            <w:tcW w:type="dxa" w:w="2268"/>
            <w:shd w:fill="FFF2CC" w:val="clear"/>
          </w:tcPr>
          <w:p>
            <w:r>
              <w:rPr>
                <w:b/>
                <w:color w:val="503200"/>
                <w:sz w:val="16"/>
              </w:rPr>
              <w:t xml:space="preserve">Cours actuel : </w:t>
            </w:r>
            <w:r>
              <w:rPr>
                <w:color w:val="000000"/>
                <w:sz w:val="17"/>
              </w:rPr>
              <w:t>2,090 FCFA</w:t>
            </w:r>
          </w:p>
          <w:p>
            <w:r>
              <w:rPr>
                <w:b/>
                <w:color w:val="503200"/>
                <w:sz w:val="16"/>
              </w:rPr>
              <w:t xml:space="preserve">Var. 100 jours : </w:t>
            </w:r>
            <w:r>
              <w:rPr>
                <w:b/>
                <w:color w:val="007800"/>
                <w:sz w:val="17"/>
              </w:rPr>
              <w:t>+10.00%</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11.66% (Moyenne) — μ=2,326 FCFA, σ=271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β=0.0383 (Défensif) — Cov=0.000003, Var(idx)=0.000077, ρ=0.010,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0906"/>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1,975</w:t>
            </w:r>
          </w:p>
        </w:tc>
        <w:tc>
          <w:tcPr>
            <w:tcW w:type="dxa" w:w="1440"/>
            <w:shd w:fill="FAFAFA" w:val="clear"/>
          </w:tcPr>
          <w:p>
            <w:r>
              <w:rPr>
                <w:b/>
                <w:sz w:val="17"/>
              </w:rPr>
              <w:t>2,080</w:t>
            </w:r>
          </w:p>
        </w:tc>
        <w:tc>
          <w:tcPr>
            <w:tcW w:type="dxa" w:w="1440"/>
            <w:shd w:fill="FAFAFA" w:val="clear"/>
          </w:tcPr>
          <w:p>
            <w:r>
              <w:rPr>
                <w:sz w:val="17"/>
              </w:rPr>
              <w:t>2,185</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1,923</w:t>
            </w:r>
          </w:p>
        </w:tc>
        <w:tc>
          <w:tcPr>
            <w:tcW w:type="dxa" w:w="1440"/>
            <w:shd w:fill="FAFAFA" w:val="clear"/>
          </w:tcPr>
          <w:p>
            <w:r>
              <w:rPr>
                <w:b/>
                <w:sz w:val="17"/>
              </w:rPr>
              <w:t>2,071</w:t>
            </w:r>
          </w:p>
        </w:tc>
        <w:tc>
          <w:tcPr>
            <w:tcW w:type="dxa" w:w="1440"/>
            <w:shd w:fill="FAFAFA" w:val="clear"/>
          </w:tcPr>
          <w:p>
            <w:r>
              <w:rPr>
                <w:sz w:val="17"/>
              </w:rPr>
              <w:t>2,219</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1,882</w:t>
            </w:r>
          </w:p>
        </w:tc>
        <w:tc>
          <w:tcPr>
            <w:tcW w:type="dxa" w:w="1440"/>
            <w:shd w:fill="FAFAFA" w:val="clear"/>
          </w:tcPr>
          <w:p>
            <w:r>
              <w:rPr>
                <w:b/>
                <w:sz w:val="17"/>
              </w:rPr>
              <w:t>2,063</w:t>
            </w:r>
          </w:p>
        </w:tc>
        <w:tc>
          <w:tcPr>
            <w:tcW w:type="dxa" w:w="1440"/>
            <w:shd w:fill="FAFAFA" w:val="clear"/>
          </w:tcPr>
          <w:p>
            <w:r>
              <w:rPr>
                <w:sz w:val="17"/>
              </w:rPr>
              <w:t>2,243</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1,847</w:t>
            </w:r>
          </w:p>
        </w:tc>
        <w:tc>
          <w:tcPr>
            <w:tcW w:type="dxa" w:w="1440"/>
            <w:shd w:fill="FAFAFA" w:val="clear"/>
          </w:tcPr>
          <w:p>
            <w:r>
              <w:rPr>
                <w:b/>
                <w:sz w:val="17"/>
              </w:rPr>
              <w:t>2,055</w:t>
            </w:r>
          </w:p>
        </w:tc>
        <w:tc>
          <w:tcPr>
            <w:tcW w:type="dxa" w:w="1440"/>
            <w:shd w:fill="FAFAFA" w:val="clear"/>
          </w:tcPr>
          <w:p>
            <w:r>
              <w:rPr>
                <w:sz w:val="17"/>
              </w:rPr>
              <w:t>2,262</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2026-10-26</w:t>
            </w:r>
          </w:p>
        </w:tc>
        <w:tc>
          <w:tcPr>
            <w:tcW w:type="dxa" w:w="1440"/>
            <w:shd w:fill="FFDCE0" w:val="clear"/>
          </w:tcPr>
          <w:p>
            <w:r>
              <w:rPr>
                <w:sz w:val="17"/>
              </w:rPr>
              <w:t>1,816</w:t>
            </w:r>
          </w:p>
        </w:tc>
        <w:tc>
          <w:tcPr>
            <w:tcW w:type="dxa" w:w="1440"/>
            <w:shd w:fill="FFDCE0" w:val="clear"/>
          </w:tcPr>
          <w:p>
            <w:r>
              <w:rPr>
                <w:b/>
                <w:sz w:val="17"/>
              </w:rPr>
              <w:t>2,047</w:t>
            </w:r>
          </w:p>
        </w:tc>
        <w:tc>
          <w:tcPr>
            <w:tcW w:type="dxa" w:w="1440"/>
            <w:shd w:fill="FFDCE0" w:val="clear"/>
          </w:tcPr>
          <w:p>
            <w:r>
              <w:rPr>
                <w:sz w:val="17"/>
              </w:rPr>
              <w:t>2,278</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2026-10-27</w:t>
            </w:r>
          </w:p>
        </w:tc>
        <w:tc>
          <w:tcPr>
            <w:tcW w:type="dxa" w:w="1440"/>
            <w:shd w:fill="FFDCE0" w:val="clear"/>
          </w:tcPr>
          <w:p>
            <w:r>
              <w:rPr>
                <w:sz w:val="17"/>
              </w:rPr>
              <w:t>1,787</w:t>
            </w:r>
          </w:p>
        </w:tc>
        <w:tc>
          <w:tcPr>
            <w:tcW w:type="dxa" w:w="1440"/>
            <w:shd w:fill="FFDCE0" w:val="clear"/>
          </w:tcPr>
          <w:p>
            <w:r>
              <w:rPr>
                <w:b/>
                <w:sz w:val="17"/>
              </w:rPr>
              <w:t>2,039</w:t>
            </w:r>
          </w:p>
        </w:tc>
        <w:tc>
          <w:tcPr>
            <w:tcW w:type="dxa" w:w="1440"/>
            <w:shd w:fill="FFDCE0" w:val="clear"/>
          </w:tcPr>
          <w:p>
            <w:r>
              <w:rPr>
                <w:sz w:val="17"/>
              </w:rPr>
              <w:t>2,292</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2026-10-28</w:t>
            </w:r>
          </w:p>
        </w:tc>
        <w:tc>
          <w:tcPr>
            <w:tcW w:type="dxa" w:w="1440"/>
            <w:shd w:fill="FFDCE0" w:val="clear"/>
          </w:tcPr>
          <w:p>
            <w:r>
              <w:rPr>
                <w:sz w:val="17"/>
              </w:rPr>
              <w:t>1,760</w:t>
            </w:r>
          </w:p>
        </w:tc>
        <w:tc>
          <w:tcPr>
            <w:tcW w:type="dxa" w:w="1440"/>
            <w:shd w:fill="FFDCE0" w:val="clear"/>
          </w:tcPr>
          <w:p>
            <w:r>
              <w:rPr>
                <w:b/>
                <w:sz w:val="17"/>
              </w:rPr>
              <w:t>2,032</w:t>
            </w:r>
          </w:p>
        </w:tc>
        <w:tc>
          <w:tcPr>
            <w:tcW w:type="dxa" w:w="1440"/>
            <w:shd w:fill="FFDCE0" w:val="clear"/>
          </w:tcPr>
          <w:p>
            <w:r>
              <w:rPr>
                <w:sz w:val="17"/>
              </w:rPr>
              <w:t>2,304</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2026-10-29</w:t>
            </w:r>
          </w:p>
        </w:tc>
        <w:tc>
          <w:tcPr>
            <w:tcW w:type="dxa" w:w="1440"/>
            <w:shd w:fill="FFDCE0" w:val="clear"/>
          </w:tcPr>
          <w:p>
            <w:r>
              <w:rPr>
                <w:sz w:val="17"/>
              </w:rPr>
              <w:t>1,736</w:t>
            </w:r>
          </w:p>
        </w:tc>
        <w:tc>
          <w:tcPr>
            <w:tcW w:type="dxa" w:w="1440"/>
            <w:shd w:fill="FFDCE0" w:val="clear"/>
          </w:tcPr>
          <w:p>
            <w:r>
              <w:rPr>
                <w:b/>
                <w:sz w:val="17"/>
              </w:rPr>
              <w:t>2,025</w:t>
            </w:r>
          </w:p>
        </w:tc>
        <w:tc>
          <w:tcPr>
            <w:tcW w:type="dxa" w:w="1440"/>
            <w:shd w:fill="FFDCE0" w:val="clear"/>
          </w:tcPr>
          <w:p>
            <w:r>
              <w:rPr>
                <w:sz w:val="17"/>
              </w:rPr>
              <w:t>2,315</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2026-10-30</w:t>
            </w:r>
          </w:p>
        </w:tc>
        <w:tc>
          <w:tcPr>
            <w:tcW w:type="dxa" w:w="1440"/>
            <w:shd w:fill="FFDCE0" w:val="clear"/>
          </w:tcPr>
          <w:p>
            <w:r>
              <w:rPr>
                <w:sz w:val="17"/>
              </w:rPr>
              <w:t>1,713</w:t>
            </w:r>
          </w:p>
        </w:tc>
        <w:tc>
          <w:tcPr>
            <w:tcW w:type="dxa" w:w="1440"/>
            <w:shd w:fill="FFDCE0" w:val="clear"/>
          </w:tcPr>
          <w:p>
            <w:r>
              <w:rPr>
                <w:b/>
                <w:sz w:val="17"/>
              </w:rPr>
              <w:t>2,019</w:t>
            </w:r>
          </w:p>
        </w:tc>
        <w:tc>
          <w:tcPr>
            <w:tcW w:type="dxa" w:w="1440"/>
            <w:shd w:fill="FFDCE0" w:val="clear"/>
          </w:tcPr>
          <w:p>
            <w:r>
              <w:rPr>
                <w:sz w:val="17"/>
              </w:rPr>
              <w:t>2,325</w:t>
            </w:r>
          </w:p>
        </w:tc>
        <w:tc>
          <w:tcPr>
            <w:tcW w:type="dxa" w:w="1440"/>
            <w:shd w:fill="FFDCE0" w:val="clear"/>
          </w:tcPr>
          <w:p>
            <w:r>
              <w:rPr>
                <w:b/>
                <w:color w:val="C00000"/>
                <w:sz w:val="17"/>
              </w:rPr>
              <w:t>-3.4%</w:t>
            </w:r>
          </w:p>
        </w:tc>
      </w:tr>
      <w:tr>
        <w:tc>
          <w:tcPr>
            <w:tcW w:type="dxa" w:w="1440"/>
            <w:shd w:fill="FFDCE0" w:val="clear"/>
          </w:tcPr>
          <w:p>
            <w:r>
              <w:rPr>
                <w:sz w:val="17"/>
              </w:rPr>
              <w:t>J+10  ⭐</w:t>
            </w:r>
          </w:p>
        </w:tc>
        <w:tc>
          <w:tcPr>
            <w:tcW w:type="dxa" w:w="1440"/>
            <w:shd w:fill="FFDCE0" w:val="clear"/>
          </w:tcPr>
          <w:p>
            <w:r>
              <w:rPr>
                <w:sz w:val="17"/>
              </w:rPr>
              <w:t>2026-11-02</w:t>
            </w:r>
          </w:p>
        </w:tc>
        <w:tc>
          <w:tcPr>
            <w:tcW w:type="dxa" w:w="1440"/>
            <w:shd w:fill="FFDCE0" w:val="clear"/>
          </w:tcPr>
          <w:p>
            <w:r>
              <w:rPr>
                <w:sz w:val="17"/>
              </w:rPr>
              <w:t>1,691</w:t>
            </w:r>
          </w:p>
        </w:tc>
        <w:tc>
          <w:tcPr>
            <w:tcW w:type="dxa" w:w="1440"/>
            <w:shd w:fill="FFDCE0" w:val="clear"/>
          </w:tcPr>
          <w:p>
            <w:r>
              <w:rPr>
                <w:b/>
                <w:sz w:val="17"/>
              </w:rPr>
              <w:t>2,012</w:t>
            </w:r>
          </w:p>
        </w:tc>
        <w:tc>
          <w:tcPr>
            <w:tcW w:type="dxa" w:w="1440"/>
            <w:shd w:fill="FFDCE0" w:val="clear"/>
          </w:tcPr>
          <w:p>
            <w:r>
              <w:rPr>
                <w:sz w:val="17"/>
              </w:rPr>
              <w:t>2,334</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26,68 milliards FCFA, NEIC se situe dans la fourchette des valeurs moyennes de la cote BRVM, sans toutefois figurer parmi les poids lourds du marché. Le BPA de 160 FCFA/action signifie que chaque titre génère 160 FCFA de bénéfice net, ce qui, rapporté au cours actuel de 2 090 FCFA, aboutit à un PER de 13,1x — un niveau modéré, légèrement supérieur à la moyenne BRVM (8-12x), suggérant que le marché intègre déjà une part de la dynamique de redressement. En revanche, le P/B de 4,64x traduit une forte prime par rapport à la valeur comptable, exigeant une rentabilité durable des fonds propres pour se justifier. Enfin, l'EV/EBITDA de 19,3x apparaît très exigeant (&gt;15x), signalant que la valeur d'entreprise intègre des anticipations de croissance opérationnelle que les fondamentaux actuels — marqués par un flux opérationnel négatif — peinent encore à valider.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variation totale positive de +10,00%, malgré un repli de -0,71% lors de la dernière séance, avec un cours actuel de 2 090 FCFA. Le range de trading est particulièrement large, oscillant entre un plus bas de 1 900 FCFA et un plus haut de 3 000 FCFA, soit une amplitude de près de 58% qui témoigne d'une forte nervosité du marché. La tendance générale reste haussière sur la période, mais le cours évolue actuellement dans le bas de ce range, ce qui traduit une consolidation après le pic. Les statistiques descriptives révèlent une moyenne de 2 326 FCFA supérieure à la médiane de 2 272 FCFA, avec un mode à 2 200 FCFA : le cours actuel (2 090 FCFA) se situe donc sous ces trois repères, confirmant une pression baissière récente. L'écart-type de 273 FCFA (CV de 11,7%) indique une dispersion modérée autour de la moyenne, tandis que le kurtosis de 0,686 (mésokurtique) suggère un comportement proche d'une distribution normale, sans risque extrême de pics. Le skewness de 1,142, positif, signale une asymétrie avec davantage de journées sous la moyenne — cohérent avec la correction actuelle. Enfin, la volatilité annualisée de 52,1% classe le titre dans la catégorie des valeurs à volatilité élevée (&gt;30%), ce qui implique un risque de marché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(2 244,75 FCFA) et la MM50 (2 457,40 FCFA) se situent toutes deux au-dessus du cours actuel (2 090 FCFA), avec une MM20 inférieure à la MM50 — configuration baissière caractéristique. Le cours évoluant sous ses deux moyennes, la pression vendeuse domine clairement, ce qui justifie la décision technique de **Vente**.</w:t>
      </w:r>
    </w:p>
    <w:p>
      <w:pPr>
        <w:spacing w:after="120" w:line="276" w:lineRule="auto"/>
      </w:pPr>
      <w:r>
        <w:t>**Bandes de Bollinger** : Le cours (2 090 FCFA) évolue dans la partie basse du canal, proche de la borne inférieure (2 016,34 FCFA) et loin de la borne supérieure (2 473,17 FCFA). Cette position suggère un potentiel de rebond technique à court terme, mais la largeur du canal confirme une volatilité élevée. La décision est **Neutre**, le titre étant proche d'une zone de survente sans signal de retournement confirmé.</w:t>
      </w:r>
    </w:p>
    <w:p>
      <w:pPr>
        <w:spacing w:after="120" w:line="276" w:lineRule="auto"/>
      </w:pPr>
      <w:r>
        <w:t>**MACD** : La valeur du MACD (-116,56) est inférieure à sa ligne de signal (-107,19), avec un histogramme négatif. Cette configuration traduit un momentum baissier persistant et une divergence défavorable, justifiant la décision de **Vente**.</w:t>
      </w:r>
    </w:p>
    <w:p>
      <w:pPr>
        <w:spacing w:after="120" w:line="276" w:lineRule="auto"/>
      </w:pPr>
      <w:r>
        <w:t>**RSI** : À 14,94, le RSI se situe très en dessous du seuil de survente (30), signalant une condition de survente extrême. Historiquement, un tel niveau précède souvent un rebond technique, ce qui justifie la décision d'**Achat** contrariante, bien que le contexte baissier impose la prudence.</w:t>
      </w:r>
    </w:p>
    <w:p>
      <w:pPr>
        <w:spacing w:after="120" w:line="276" w:lineRule="auto"/>
      </w:pPr>
      <w:r>
        <w:t>**Stochastique** : Le %K à 0,0 et le %D à 7,10 indiquent une position au plancher de l'oscillateur, avec un croisement potentiel en zone de survente. Cette configuration extrême plaide pour un rebond imminent, justifiant la décision d'**Achat**.</w:t>
      </w:r>
    </w:p>
    <w:p>
      <w:pPr>
        <w:spacing w:after="120" w:line="276" w:lineRule="auto"/>
      </w:pPr>
      <w:r>
        <w:t>**Conclusion technique** : Les indicateurs présentent une divergence marquée : les moyennes mobiles et le MACD confirment une tendance baissière de fond, tandis que le RSI et le stochastique signalent une survente extrême propice à un rebond technique. Cette configuration contradictoire — baissière structurelle mais survendue conjoncturelle — suggère une phase de rebond fragile dans un trend descendant, nécessitant une confirmation par les volumes avant toute décision d'achat.</w:t>
      </w:r>
    </w:p>
    <w:p>
      <w:pPr>
        <w:spacing w:after="120" w:line="276" w:lineRule="auto"/>
      </w:pPr>
      <w:r>
        <w:t>---</w:t>
      </w:r>
    </w:p>
    <w:p>
      <w:pPr>
        <w:spacing w:after="120" w:line="276" w:lineRule="auto"/>
      </w:pPr>
      <w:r>
        <w:t>## PARTIE 3 : ANALYSE FONDAMENTALE</w:t>
      </w:r>
    </w:p>
    <w:p>
      <w:pPr>
        <w:spacing w:after="120" w:line="276" w:lineRule="auto"/>
      </w:pPr>
      <w:r>
        <w:t>Les états financiers 2025 de NEIC (exercice clos décembre 2025) affichent un chiffre d'affaires de 5,139 milliards FCFA, un résultat net de 2,037 milliards FCFA et un ROE exceptionnel de 35,39%, pour un ROA de 27,25% — des niveaux de rentabilité remarquables. Cependant, ces performances doivent être nuancées : le rapport du T3 2025 (daté du 30 septembre 2025) révèle que le résultat net de 1 596 millions FCFA au T3 provient majoritairement d'une reprise de provision pour redressement fiscal, élément non récurrent, tandis que le chiffre d'affaires trimestriel reculait de 35% (-1 817 millions FCFA) — signalant un ralentissement du cœur de métier. Le rapport annuel 2025 (RAPPORT 2) confirme un résultat net de 2,04 milliards FCFA (+169% vs 2024) et un CA de 6,74 milliards FCFA (+29%), avec un dividende généreux de 2,04 milliards FCFA (100% du résultat net) — politique attractive mais limitant l'autofinancement. Sur le plan structurel, l'autonomie financière de 77,01% et la liquidité générale de 448,86% témoignent d'un bilan très sain, tandis que le BFR de 1,498 milliard FCFA et le délai client élevé de 154,72 jours constituent un point de vigilance sur la trésorerie, bien que la trésorerie nette de 4,196 milliards FCFA reste confortable. Le rapport du T1 2026 (RAPPORT 1) montre un CA de 115,1 millions FCFA (+137%) mais une perte nette persistante de -168,9 millions FCFA — la saisonnalité de l'activité concentrant les revenus sur le second semestre. On estime donc que l'exercice 2026 devrait renouer avec la rentabilité si la dynamique commerciale du T1 se confirme, mais la durabilité des performances 2025 — gonflées par des éléments exceptionnels — reste la question centrale. La recommandation fondamentale est **CONSERVER** : solidité bilancielle et rentabilité apparente élevée, mais qualité des bénéfices à surveiller et dépendance aux contrats publics.</w:t>
      </w:r>
    </w:p>
    <w:p>
      <w:pPr>
        <w:spacing w:after="120" w:line="276" w:lineRule="auto"/>
      </w:pPr>
      <w:r>
        <w:t>---</w:t>
      </w:r>
    </w:p>
    <w:p>
      <w:pPr>
        <w:spacing w:after="120" w:line="276" w:lineRule="auto"/>
      </w:pPr>
      <w:r>
        <w:t>## PARTIE 4 : CONCLUSION D'INVESTISSEMENT</w:t>
      </w:r>
    </w:p>
    <w:p>
      <w:pPr>
        <w:spacing w:after="120" w:line="276" w:lineRule="auto"/>
      </w:pPr>
      <w:r>
        <w:t>La synthèse des quatre piliers d'analyse révèle un profil contrasté. **Valorisation** : le PER de 13,1x est modéré mais le P/B de 4,64x et l'EV/EBITDA de 19,3x traduisent une valorisation exigeante qui intègre déjà une bonne part du redressement — pas de marge de sécurité évidente. **Comportement du cours** : la tendance haussière de +10% sur 100 jours masque une correction récente (cours sous moyenne et médiane), avec une volatilité élevée de 52,1% et un skewness positif signalant une pression vendeuse persistante. **Signaux techniques** : divergence nette entre les indicateurs baissiers (MM, MACD) et les signaux de survente extrême (RSI à 14,9, stochastique à 0) — configuration de rebond technique fragile dans un trend descendant. **Fondamentaux** : bilan très solide (autonomie 77%, trésorerie 4,2 Mds FCFA), ROE de 35,4% et dividende généreux, mais bénéfices 2025 dopés par des éléments non récurrents et CA en recul au T3 2025. **Prédictions IA** : la trajectoire baissière projetée (2 080 → 2 047 FCFA sur J+1 à J+10, soit -2,1%) confirme la pression technique actuelle et contredit l'hypothèse d'un rebond immédiat. Face à cette convergence baissière à court terme mais à des fondamentaux bilanciels solides, la recommandation finale est **CONSERVER**, avec un niveau de confiance **Moyen** et un risque global **Élevé** (volatilité 52%, valorisation tendue, qualité des bénéfices incertaine). L'horizon optimal est le **moyen terme (3-12 mois)**, le temps que la société confirme la récurrence de ses résultats 2026 et que le cours teste un support durable autour de 2 000 FCFA avant toute accumulation.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514.48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2,871 titres</w:t>
            </w:r>
          </w:p>
        </w:tc>
        <w:tc>
          <w:tcPr>
            <w:tcW w:type="dxa" w:w="2268"/>
            <w:shd w:fill="FFF2CC" w:val="clear"/>
          </w:tcPr>
          <w:p>
            <w:r>
              <w:rPr>
                <w:b/>
                <w:color w:val="503200"/>
                <w:sz w:val="16"/>
              </w:rPr>
              <w:t xml:space="preserve">Cours actuel : </w:t>
            </w:r>
            <w:r>
              <w:rPr>
                <w:color w:val="000000"/>
                <w:sz w:val="17"/>
              </w:rPr>
              <w:t>20,800 FCFA</w:t>
            </w:r>
          </w:p>
          <w:p>
            <w:r>
              <w:rPr>
                <w:b/>
                <w:color w:val="503200"/>
                <w:sz w:val="16"/>
              </w:rPr>
              <w:t xml:space="preserve">Var. 100 jours : </w:t>
            </w:r>
            <w:r>
              <w:rPr>
                <w:b/>
                <w:color w:val="007800"/>
                <w:sz w:val="17"/>
              </w:rPr>
              <w:t>+15.68%</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17,980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8.68% (Moyenne) — μ=21,710 FCFA, σ=1,884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β=1.1331 (Neutre (suit le marché)) — Cov=0.000087, Var(idx)=0.000077, ρ=0.430,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2,871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8278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19,427</w:t>
            </w:r>
          </w:p>
        </w:tc>
        <w:tc>
          <w:tcPr>
            <w:tcW w:type="dxa" w:w="1440"/>
            <w:shd w:fill="FAFAFA" w:val="clear"/>
          </w:tcPr>
          <w:p>
            <w:r>
              <w:rPr>
                <w:b/>
                <w:sz w:val="17"/>
              </w:rPr>
              <w:t>20,423</w:t>
            </w:r>
          </w:p>
        </w:tc>
        <w:tc>
          <w:tcPr>
            <w:tcW w:type="dxa" w:w="1440"/>
            <w:shd w:fill="FAFAFA" w:val="clear"/>
          </w:tcPr>
          <w:p>
            <w:r>
              <w:rPr>
                <w:sz w:val="17"/>
              </w:rPr>
              <w:t>21,420</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2026-10-21</w:t>
            </w:r>
          </w:p>
        </w:tc>
        <w:tc>
          <w:tcPr>
            <w:tcW w:type="dxa" w:w="1440"/>
            <w:shd w:fill="FFDCE0" w:val="clear"/>
          </w:tcPr>
          <w:p>
            <w:r>
              <w:rPr>
                <w:sz w:val="17"/>
              </w:rPr>
              <w:t>18,793</w:t>
            </w:r>
          </w:p>
        </w:tc>
        <w:tc>
          <w:tcPr>
            <w:tcW w:type="dxa" w:w="1440"/>
            <w:shd w:fill="FFDCE0" w:val="clear"/>
          </w:tcPr>
          <w:p>
            <w:r>
              <w:rPr>
                <w:b/>
                <w:sz w:val="17"/>
              </w:rPr>
              <w:t>20,186</w:t>
            </w:r>
          </w:p>
        </w:tc>
        <w:tc>
          <w:tcPr>
            <w:tcW w:type="dxa" w:w="1440"/>
            <w:shd w:fill="FFDCE0" w:val="clear"/>
          </w:tcPr>
          <w:p>
            <w:r>
              <w:rPr>
                <w:sz w:val="17"/>
              </w:rPr>
              <w:t>21,579</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2026-10-22</w:t>
            </w:r>
          </w:p>
        </w:tc>
        <w:tc>
          <w:tcPr>
            <w:tcW w:type="dxa" w:w="1440"/>
            <w:shd w:fill="FFDCE0" w:val="clear"/>
          </w:tcPr>
          <w:p>
            <w:r>
              <w:rPr>
                <w:sz w:val="17"/>
              </w:rPr>
              <w:t>18,272</w:t>
            </w:r>
          </w:p>
        </w:tc>
        <w:tc>
          <w:tcPr>
            <w:tcW w:type="dxa" w:w="1440"/>
            <w:shd w:fill="FFDCE0" w:val="clear"/>
          </w:tcPr>
          <w:p>
            <w:r>
              <w:rPr>
                <w:b/>
                <w:sz w:val="17"/>
              </w:rPr>
              <w:t>19,959</w:t>
            </w:r>
          </w:p>
        </w:tc>
        <w:tc>
          <w:tcPr>
            <w:tcW w:type="dxa" w:w="1440"/>
            <w:shd w:fill="FFDCE0" w:val="clear"/>
          </w:tcPr>
          <w:p>
            <w:r>
              <w:rPr>
                <w:sz w:val="17"/>
              </w:rPr>
              <w:t>21,647</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2026-10-23</w:t>
            </w:r>
          </w:p>
        </w:tc>
        <w:tc>
          <w:tcPr>
            <w:tcW w:type="dxa" w:w="1440"/>
            <w:shd w:fill="FFDCE0" w:val="clear"/>
          </w:tcPr>
          <w:p>
            <w:r>
              <w:rPr>
                <w:sz w:val="17"/>
              </w:rPr>
              <w:t>17,819</w:t>
            </w:r>
          </w:p>
        </w:tc>
        <w:tc>
          <w:tcPr>
            <w:tcW w:type="dxa" w:w="1440"/>
            <w:shd w:fill="FFDCE0" w:val="clear"/>
          </w:tcPr>
          <w:p>
            <w:r>
              <w:rPr>
                <w:b/>
                <w:sz w:val="17"/>
              </w:rPr>
              <w:t>19,747</w:t>
            </w:r>
          </w:p>
        </w:tc>
        <w:tc>
          <w:tcPr>
            <w:tcW w:type="dxa" w:w="1440"/>
            <w:shd w:fill="FFDCE0" w:val="clear"/>
          </w:tcPr>
          <w:p>
            <w:r>
              <w:rPr>
                <w:sz w:val="17"/>
              </w:rPr>
              <w:t>21,674</w:t>
            </w:r>
          </w:p>
        </w:tc>
        <w:tc>
          <w:tcPr>
            <w:tcW w:type="dxa" w:w="1440"/>
            <w:shd w:fill="FFDCE0" w:val="clear"/>
          </w:tcPr>
          <w:p>
            <w:r>
              <w:rPr>
                <w:b/>
                <w:color w:val="C00000"/>
                <w:sz w:val="17"/>
              </w:rPr>
              <w:t>-5.1%</w:t>
            </w:r>
          </w:p>
        </w:tc>
      </w:tr>
      <w:tr>
        <w:tc>
          <w:tcPr>
            <w:tcW w:type="dxa" w:w="1440"/>
            <w:shd w:fill="FFDCE0" w:val="clear"/>
          </w:tcPr>
          <w:p>
            <w:r>
              <w:rPr>
                <w:sz w:val="17"/>
              </w:rPr>
              <w:t>J+5  ⭐</w:t>
            </w:r>
          </w:p>
        </w:tc>
        <w:tc>
          <w:tcPr>
            <w:tcW w:type="dxa" w:w="1440"/>
            <w:shd w:fill="FFDCE0" w:val="clear"/>
          </w:tcPr>
          <w:p>
            <w:r>
              <w:rPr>
                <w:sz w:val="17"/>
              </w:rPr>
              <w:t>2026-10-26</w:t>
            </w:r>
          </w:p>
        </w:tc>
        <w:tc>
          <w:tcPr>
            <w:tcW w:type="dxa" w:w="1440"/>
            <w:shd w:fill="FFDCE0" w:val="clear"/>
          </w:tcPr>
          <w:p>
            <w:r>
              <w:rPr>
                <w:sz w:val="17"/>
              </w:rPr>
              <w:t>17,406</w:t>
            </w:r>
          </w:p>
        </w:tc>
        <w:tc>
          <w:tcPr>
            <w:tcW w:type="dxa" w:w="1440"/>
            <w:shd w:fill="FFDCE0" w:val="clear"/>
          </w:tcPr>
          <w:p>
            <w:r>
              <w:rPr>
                <w:b/>
                <w:sz w:val="17"/>
              </w:rPr>
              <w:t>19,538</w:t>
            </w:r>
          </w:p>
        </w:tc>
        <w:tc>
          <w:tcPr>
            <w:tcW w:type="dxa" w:w="1440"/>
            <w:shd w:fill="FFDCE0" w:val="clear"/>
          </w:tcPr>
          <w:p>
            <w:r>
              <w:rPr>
                <w:sz w:val="17"/>
              </w:rPr>
              <w:t>21,671</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2026-10-27</w:t>
            </w:r>
          </w:p>
        </w:tc>
        <w:tc>
          <w:tcPr>
            <w:tcW w:type="dxa" w:w="1440"/>
            <w:shd w:fill="FFDCE0" w:val="clear"/>
          </w:tcPr>
          <w:p>
            <w:r>
              <w:rPr>
                <w:sz w:val="17"/>
              </w:rPr>
              <w:t>17,023</w:t>
            </w:r>
          </w:p>
        </w:tc>
        <w:tc>
          <w:tcPr>
            <w:tcW w:type="dxa" w:w="1440"/>
            <w:shd w:fill="FFDCE0" w:val="clear"/>
          </w:tcPr>
          <w:p>
            <w:r>
              <w:rPr>
                <w:b/>
                <w:sz w:val="17"/>
              </w:rPr>
              <w:t>19,334</w:t>
            </w:r>
          </w:p>
        </w:tc>
        <w:tc>
          <w:tcPr>
            <w:tcW w:type="dxa" w:w="1440"/>
            <w:shd w:fill="FFDCE0" w:val="clear"/>
          </w:tcPr>
          <w:p>
            <w:r>
              <w:rPr>
                <w:sz w:val="17"/>
              </w:rPr>
              <w:t>21,645</w:t>
            </w:r>
          </w:p>
        </w:tc>
        <w:tc>
          <w:tcPr>
            <w:tcW w:type="dxa" w:w="1440"/>
            <w:shd w:fill="FFDCE0" w:val="clear"/>
          </w:tcPr>
          <w:p>
            <w:r>
              <w:rPr>
                <w:b/>
                <w:color w:val="C00000"/>
                <w:sz w:val="17"/>
              </w:rPr>
              <w:t>-7.0%</w:t>
            </w:r>
          </w:p>
        </w:tc>
      </w:tr>
      <w:tr>
        <w:tc>
          <w:tcPr>
            <w:tcW w:type="dxa" w:w="1440"/>
            <w:shd w:fill="FFDCE0" w:val="clear"/>
          </w:tcPr>
          <w:p>
            <w:r>
              <w:rPr>
                <w:sz w:val="17"/>
              </w:rPr>
              <w:t>J+7  ⭐</w:t>
            </w:r>
          </w:p>
        </w:tc>
        <w:tc>
          <w:tcPr>
            <w:tcW w:type="dxa" w:w="1440"/>
            <w:shd w:fill="FFDCE0" w:val="clear"/>
          </w:tcPr>
          <w:p>
            <w:r>
              <w:rPr>
                <w:sz w:val="17"/>
              </w:rPr>
              <w:t>2026-10-28</w:t>
            </w:r>
          </w:p>
        </w:tc>
        <w:tc>
          <w:tcPr>
            <w:tcW w:type="dxa" w:w="1440"/>
            <w:shd w:fill="FFDCE0" w:val="clear"/>
          </w:tcPr>
          <w:p>
            <w:r>
              <w:rPr>
                <w:sz w:val="17"/>
              </w:rPr>
              <w:t>16,662</w:t>
            </w:r>
          </w:p>
        </w:tc>
        <w:tc>
          <w:tcPr>
            <w:tcW w:type="dxa" w:w="1440"/>
            <w:shd w:fill="FFDCE0" w:val="clear"/>
          </w:tcPr>
          <w:p>
            <w:r>
              <w:rPr>
                <w:b/>
                <w:sz w:val="17"/>
              </w:rPr>
              <w:t>19,133</w:t>
            </w:r>
          </w:p>
        </w:tc>
        <w:tc>
          <w:tcPr>
            <w:tcW w:type="dxa" w:w="1440"/>
            <w:shd w:fill="FFDCE0" w:val="clear"/>
          </w:tcPr>
          <w:p>
            <w:r>
              <w:rPr>
                <w:sz w:val="17"/>
              </w:rPr>
              <w:t>21,603</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2026-10-29</w:t>
            </w:r>
          </w:p>
        </w:tc>
        <w:tc>
          <w:tcPr>
            <w:tcW w:type="dxa" w:w="1440"/>
            <w:shd w:fill="FFDCE0" w:val="clear"/>
          </w:tcPr>
          <w:p>
            <w:r>
              <w:rPr>
                <w:sz w:val="17"/>
              </w:rPr>
              <w:t>16,320</w:t>
            </w:r>
          </w:p>
        </w:tc>
        <w:tc>
          <w:tcPr>
            <w:tcW w:type="dxa" w:w="1440"/>
            <w:shd w:fill="FFDCE0" w:val="clear"/>
          </w:tcPr>
          <w:p>
            <w:r>
              <w:rPr>
                <w:b/>
                <w:sz w:val="17"/>
              </w:rPr>
              <w:t>18,934</w:t>
            </w:r>
          </w:p>
        </w:tc>
        <w:tc>
          <w:tcPr>
            <w:tcW w:type="dxa" w:w="1440"/>
            <w:shd w:fill="FFDCE0" w:val="clear"/>
          </w:tcPr>
          <w:p>
            <w:r>
              <w:rPr>
                <w:sz w:val="17"/>
              </w:rPr>
              <w:t>21,547</w:t>
            </w:r>
          </w:p>
        </w:tc>
        <w:tc>
          <w:tcPr>
            <w:tcW w:type="dxa" w:w="1440"/>
            <w:shd w:fill="FFDCE0" w:val="clear"/>
          </w:tcPr>
          <w:p>
            <w:r>
              <w:rPr>
                <w:b/>
                <w:color w:val="C00000"/>
                <w:sz w:val="17"/>
              </w:rPr>
              <w:t>-9.0%</w:t>
            </w:r>
          </w:p>
        </w:tc>
      </w:tr>
      <w:tr>
        <w:tc>
          <w:tcPr>
            <w:tcW w:type="dxa" w:w="1440"/>
            <w:shd w:fill="FFDCE0" w:val="clear"/>
          </w:tcPr>
          <w:p>
            <w:r>
              <w:rPr>
                <w:sz w:val="17"/>
              </w:rPr>
              <w:t>J+9  ⭐</w:t>
            </w:r>
          </w:p>
        </w:tc>
        <w:tc>
          <w:tcPr>
            <w:tcW w:type="dxa" w:w="1440"/>
            <w:shd w:fill="FFDCE0" w:val="clear"/>
          </w:tcPr>
          <w:p>
            <w:r>
              <w:rPr>
                <w:sz w:val="17"/>
              </w:rPr>
              <w:t>2026-10-30</w:t>
            </w:r>
          </w:p>
        </w:tc>
        <w:tc>
          <w:tcPr>
            <w:tcW w:type="dxa" w:w="1440"/>
            <w:shd w:fill="FFDCE0" w:val="clear"/>
          </w:tcPr>
          <w:p>
            <w:r>
              <w:rPr>
                <w:sz w:val="17"/>
              </w:rPr>
              <w:t>15,994</w:t>
            </w:r>
          </w:p>
        </w:tc>
        <w:tc>
          <w:tcPr>
            <w:tcW w:type="dxa" w:w="1440"/>
            <w:shd w:fill="FFDCE0" w:val="clear"/>
          </w:tcPr>
          <w:p>
            <w:r>
              <w:rPr>
                <w:b/>
                <w:sz w:val="17"/>
              </w:rPr>
              <w:t>18,738</w:t>
            </w:r>
          </w:p>
        </w:tc>
        <w:tc>
          <w:tcPr>
            <w:tcW w:type="dxa" w:w="1440"/>
            <w:shd w:fill="FFDCE0" w:val="clear"/>
          </w:tcPr>
          <w:p>
            <w:r>
              <w:rPr>
                <w:sz w:val="17"/>
              </w:rPr>
              <w:t>21,481</w:t>
            </w:r>
          </w:p>
        </w:tc>
        <w:tc>
          <w:tcPr>
            <w:tcW w:type="dxa" w:w="1440"/>
            <w:shd w:fill="FFDCE0" w:val="clear"/>
          </w:tcPr>
          <w:p>
            <w:r>
              <w:rPr>
                <w:b/>
                <w:color w:val="C00000"/>
                <w:sz w:val="17"/>
              </w:rPr>
              <w:t>-9.9%</w:t>
            </w:r>
          </w:p>
        </w:tc>
      </w:tr>
      <w:tr>
        <w:tc>
          <w:tcPr>
            <w:tcW w:type="dxa" w:w="1440"/>
            <w:shd w:fill="FFDCE0" w:val="clear"/>
          </w:tcPr>
          <w:p>
            <w:r>
              <w:rPr>
                <w:sz w:val="17"/>
              </w:rPr>
              <w:t>J+10  ⭐</w:t>
            </w:r>
          </w:p>
        </w:tc>
        <w:tc>
          <w:tcPr>
            <w:tcW w:type="dxa" w:w="1440"/>
            <w:shd w:fill="FFDCE0" w:val="clear"/>
          </w:tcPr>
          <w:p>
            <w:r>
              <w:rPr>
                <w:sz w:val="17"/>
              </w:rPr>
              <w:t>2026-11-02</w:t>
            </w:r>
          </w:p>
        </w:tc>
        <w:tc>
          <w:tcPr>
            <w:tcW w:type="dxa" w:w="1440"/>
            <w:shd w:fill="FFDCE0" w:val="clear"/>
          </w:tcPr>
          <w:p>
            <w:r>
              <w:rPr>
                <w:sz w:val="17"/>
              </w:rPr>
              <w:t>15,682</w:t>
            </w:r>
          </w:p>
        </w:tc>
        <w:tc>
          <w:tcPr>
            <w:tcW w:type="dxa" w:w="1440"/>
            <w:shd w:fill="FFDCE0" w:val="clear"/>
          </w:tcPr>
          <w:p>
            <w:r>
              <w:rPr>
                <w:b/>
                <w:sz w:val="17"/>
              </w:rPr>
              <w:t>18,543</w:t>
            </w:r>
          </w:p>
        </w:tc>
        <w:tc>
          <w:tcPr>
            <w:tcW w:type="dxa" w:w="1440"/>
            <w:shd w:fill="FFDCE0" w:val="clear"/>
          </w:tcPr>
          <w:p>
            <w:r>
              <w:rPr>
                <w:sz w:val="17"/>
              </w:rPr>
              <w:t>21,405</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NSBC (NSIA Banque Côte d'Ivoire)</w:t>
        <w:br/>
        <w:t>**Bourse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514,48 milliards FCFA, NSBC s'affirme comme une valeur de premier plan de la cote BRVM, positionnant la banque parmi les capitalisations les plus significatives du marché régional. Le BPA de 1 646 FCFA/action traduit la capacité bénéficiaire concrète de chaque titre détenu par l'investisseur. Le PER de 12,6x se situe légèrement au-dessus de la moyenne BRVM (8-12x), signalant une valorisation modérée mais non excessive, cohérente avec la qualité des fondamentaux. Le P/B de 2,21x indique que le marché accorde une prime de croissance à la banque (valorisation à 2,2 fois la valeur comptable), justifiée par un ROE de 17,45% nettement supérieur au coût des fonds propres. En revanche, l'EV/EBITDA de 20,4x apparaît très exigeant (&gt;15x), reflétant une anticipation de croissance forte mais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NSBC affiche une performance positive de +15,68%, avec une dernière séance en hausse de +1,41% à 20 800 FCFA, confirmant un momentum de court terme favorable. Le range de trading s'étend de 17 980 FCFA (plus bas) à 24 885 FCFA (plus haut), soit une amplitude de près de 38% qui témoigne d'une réelle volatilité intra-période. La tendance générale reste haussière sur la période, mais le cours actuel (20 800 FCFA) se situe sous la moyenne (21 710 FCFA) et la médiane (22 000 FCFA), suggérant une correction récente depuis les sommets. L'écart modéré entre moyenne et médiane (290 FCFA) indique une distribution quasi-symétrique, confirmée par un skewness de -0,297 (asymétrie légère vers la gauche, sans excès). L'écart-type de 1 893 FCFA avec un coefficient de variation de 8,7% traduit une dispersion contenue du cours autour de sa moyenne. Le kurtosis de -1,089 (distribution platykurtique) signale une faible concentration des rendements et un risque de pics extrêmes limité — profil rassurant pour un investisseur. La volatilité annualisée de 36,6% classe le titre dans la catégorie **élevée** (&gt;30%), typique des valeurs bancaires de la BRVM mais nécessitant une gestion active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(21 519,5 FCFA) et la MM50 (22 718,9 FCFA) se situent toutes deux au-dessus du cours actuel (20 800 FCFA), configuration baissière caractéristique. La MM20 étant elle-même inférieure à la MM50, on observe un croisement baissier (death cross), confirmant la pression vendeuse ; la décision technique est **Vente**.</w:t>
      </w:r>
    </w:p>
    <w:p>
      <w:pPr>
        <w:spacing w:after="120" w:line="276" w:lineRule="auto"/>
      </w:pPr>
      <w:r>
        <w:t>**Bandes de Bollinger** : Le cours (20 800 FCFA) évolue dans la moitié inférieure de la bande, entre la borne inférieure (19 951,9 FCFA) et la borne supérieure (23 087,1 FCFA), sans franchissement des extrêmes. Cette position centrale-basse traduit une volatilité normale et une absence de signal directionnel fort ; la décision est **Neutre**, avec un biais baissier tant que le cours reste sous la médiane des bandes.</w:t>
      </w:r>
    </w:p>
    <w:p>
      <w:pPr>
        <w:spacing w:after="120" w:line="276" w:lineRule="auto"/>
      </w:pPr>
      <w:r>
        <w:t>**MACD** : La valeur du MACD (-630,32) est inférieure à sa ligne de signal (-573,94), avec un histogramme négatif qui s'accentue — configuration baissière confirmée. Le momentum reste négatif et la divergence MACD-Signal plaide pour une poursuite de la correction à court terme ; décision **Vente**.</w:t>
      </w:r>
    </w:p>
    <w:p>
      <w:pPr>
        <w:spacing w:after="120" w:line="276" w:lineRule="auto"/>
      </w:pPr>
      <w:r>
        <w:t>**RSI** : À 33,30, le RSI se situe dans la zone neutre basse (30-70), proche du seuil de survente (30) sans l'avoir franchi. Cette configuration suggère que le titre n'est pas encore techniquement survendu mais s'approche d'une zone de rebond potentiel ; décision **Neutre** avec vigilance sur un éventuel retournement.</w:t>
      </w:r>
    </w:p>
    <w:p>
      <w:pPr>
        <w:spacing w:after="120" w:line="276" w:lineRule="auto"/>
      </w:pPr>
      <w:r>
        <w:t>**Stochastique** : Le %K (18,24) est supérieur au %D (6,08), avec un croisement haussier en zone de survente (&lt;20) — signal d'achat technique classique indiquant un possible rebond à court terme ; décision **Achat**.</w:t>
      </w:r>
    </w:p>
    <w:p>
      <w:pPr>
        <w:spacing w:after="120" w:line="276" w:lineRule="auto"/>
      </w:pPr>
      <w:r>
        <w:t>**Conclusion technique** : Les indicateurs présentent une divergence notable : les moyennes mobiles et le MACD confirment une tendance baissière de fond, tandis que le RSI (proche survente) et le stochastique (croisement haussier en zone basse) suggèrent un potentiel rebond technique immédiat. Les Bandes de Bollinger en position neutre n'apportent pas de confirmation directionnelle. Cette configuration mixte plaide pour une **prudence à court terme** : le titre pourrait connaître un rebond technique de quelques séances, mais la structure de fond reste baissière tant que le cours n'aura pas reconquis la MM20 (21 519 FCFA) puis la MM50 (22 719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(états financiers officiels)** : En 2025, NSIA Banque CI réalise un Produit Net Bancaire (équivalent du chiffre d'affaires bancaire) de 112,93 milliards FCFA, en croissance de 15,45% sur un an, portée par une marge d'intérêts dynamique (+26% selon le rapport annuel 2025). Le résultat net s'établit à 40,71 milliards FCFA, avec une marge nette remarquable de 36,05% — niveau exceptionnel pour le secteur. Le ROE atteint 17,45% (&gt;15% = excellent) et le ROA 1,32%, confirmant une rentabilité des fonds propres supérieure aux standards bancaires régionaux. Le coefficient d'exploitation de 54,59% (&lt;60%) atteste d'une banque efficace, en amélioration de 5,1 points selon le rapport annuel 2025. Le coût du risque rapporté aux charges financières s'élève à 7,54%, signal d'alerte sur la qualité du portefeuille : le rapport annuel 2025 (daté du 31/12/2025) précise que le coût net du risque est passé de +0,6 milliard (reprise en 2024) à -8,5 milliards FCFA (dotation en 2025), pesant sur la progression du résultat net (+7% seulement contre +15% pour le PNB). La structure bilancielle reste solide : dépôts clientèle de 2 242,2 milliards FCFA contre créances clientèle de 1 818,7 milliards FCFA, soit un ratio de transformation de 81,1% — sain et inférieur au plafond réglementaire. Le ratio d'endettement de 227,9% et l'autonomie financière de 7,59% reflètent le modèle bancaire à fort levier, mais la solvabilité générale (108,2%) confirme la couverture des engagements.</w:t>
      </w:r>
    </w:p>
    <w:p>
      <w:pPr>
        <w:spacing w:after="120" w:line="276" w:lineRule="auto"/>
      </w:pPr>
      <w:r>
        <w:t>**Estimations basées sur les rapports trimestriels** : Le rapport du T1 2026 (daté du 31/03/2026, analysé le 01/05/2026) révèle une accélération spectaculaire : PNB de 28,6 milliards FCFA (+28%) et résultat net de 10,9 milliards FCFA (+53%), avec une marge nette de 38,1% et un résultat avant impôt de 11,8 milliards FCFA (+49%). Sur cette base, on peut estimer que l'exercice 2026 devrait afficher un résultat net annualisé supérieur à 43-45 milliards FCFA si la dynamique se maintient, soit une croissance de 8-12% par rapport à 2025. Toutefois, cette performance est tirée par l'activité « titres » (volatile) et s'accompagne d'un léger recul des crédits nets (-4%), point de vigilance souligné dans le rapport T1 2026. Le rapport annuel 2025 (daté du 31/12/2025) confirme par ailleurs la solidité du bilan (+22% à 3 073 milliards FCFA) et la stratégie de diversification (titrisation, finance verte, PME) alignée sur le PND 2026-2030. **Recommandation fondamentale** : solidité financière avérée, rentabilité excellente, mais vigilance sur le coût du risque et la dépendance aux revenus de titres — profil **CONSERVER** avec biais positif.</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(Partie 0)** : le PER de 12,6x et le P/B de 2,21x indiquent une valorisation raisonnable mais non décotée, tandis que l'EV/EBITDA de 20,4x laisse peu de marge de sécurité — le titre n'est ni sous-évalué ni surévalué de manière flagrante. **Comportement du cours (Partie 1)** : la tendance haussière de +15,68% sur 100 jours est tempérée par une correction récente (cours sous moyenne et médiane), une volatilité élevée (36,6%) et une distribution platykurtique (risque de pics limité) avec skewness neutre — profil préoccupant à court terme mais statistiquement sain. **Signaux techniques (Partie 2)** : divergence entre indicateurs baissiers (MM, MACD) et signaux de rebond (stochastique, RSI proche survente), plaidant pour une prudence sans panique. **Fondamentaux (Partie 3)** : excellence opérationnelle confirmée (ROE 17,45%, marge nette 36%, coefficient d'exploitation 54,6%) et accélération au T1 2026 (+53% de résultat net), mais coût du risque en hausse et dépendance aux titres. **Prédictions IA (J+1 à J+10)** : la trajectoire prédite (20 423 → 19 538 FCFA, soit -6,1% sur 5 séances) **confirme le biais baissier technique** et contredit le rebond suggéré par le stochastique, renforçant la prudence à court terme.</w:t>
      </w:r>
    </w:p>
    <w:p>
      <w:pPr>
        <w:spacing w:after="120" w:line="276" w:lineRule="auto"/>
      </w:pPr>
      <w:r>
        <w:t>**Recommandation finale : CONSERVER** — avec un biais positif à moyen terme. La convergence est partielle : fondamentaux solides et croissance confirmée (T1 2026) soutiennent la valeur, mais technique baissière, prédictions IA négatives et valorisation sans décote justifient l'attentisme. **Niveau de confiance : Moyen** (divergence technique/fondamental). **Niveau de risque global : Moyen** (volatilité élevée compensée par la qualité du bilan). **Horizon optimal : moyen terme (3-12 mois)** — attendre la confirmation du rebond technique (reconquête de la MM20 à 21 519 FCFA) et la publication des résultats semestriels 2026 pour valider la dynamique avant tout renforcement ; les investisseurs existants conservent leur position pour capter la croissance fondamentale.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322.23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1,269 titres</w:t>
            </w:r>
          </w:p>
        </w:tc>
        <w:tc>
          <w:tcPr>
            <w:tcW w:type="dxa" w:w="2268"/>
            <w:shd w:fill="FFF2CC" w:val="clear"/>
          </w:tcPr>
          <w:p>
            <w:r>
              <w:rPr>
                <w:b/>
                <w:color w:val="503200"/>
                <w:sz w:val="16"/>
              </w:rPr>
              <w:t xml:space="preserve">Cours actuel : </w:t>
            </w:r>
            <w:r>
              <w:rPr>
                <w:color w:val="000000"/>
                <w:sz w:val="17"/>
              </w:rPr>
              <w:t>14,600 FCFA</w:t>
            </w:r>
          </w:p>
          <w:p>
            <w:r>
              <w:rPr>
                <w:b/>
                <w:color w:val="503200"/>
                <w:sz w:val="16"/>
              </w:rPr>
              <w:t xml:space="preserve">Var. 100 jours : </w:t>
            </w:r>
            <w:r>
              <w:rPr>
                <w:b/>
                <w:color w:val="007800"/>
                <w:sz w:val="17"/>
              </w:rPr>
              <w:t>+13.18%</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12,800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7.29% (Moyenne) — μ=15,770 FCFA, σ=1,150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β=0.5147 (Défensif) — Cov=0.000040, Var(idx)=0.000077, ρ=0.198,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8278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2026-10-20</w:t>
            </w:r>
          </w:p>
        </w:tc>
        <w:tc>
          <w:tcPr>
            <w:tcW w:type="dxa" w:w="1440"/>
            <w:shd w:fill="C6EFCE" w:val="clear"/>
          </w:tcPr>
          <w:p>
            <w:r>
              <w:rPr>
                <w:sz w:val="17"/>
              </w:rPr>
              <w:t>14,360</w:t>
            </w:r>
          </w:p>
        </w:tc>
        <w:tc>
          <w:tcPr>
            <w:tcW w:type="dxa" w:w="1440"/>
            <w:shd w:fill="C6EFCE" w:val="clear"/>
          </w:tcPr>
          <w:p>
            <w:r>
              <w:rPr>
                <w:b/>
                <w:sz w:val="17"/>
              </w:rPr>
              <w:t>15,038</w:t>
            </w:r>
          </w:p>
        </w:tc>
        <w:tc>
          <w:tcPr>
            <w:tcW w:type="dxa" w:w="1440"/>
            <w:shd w:fill="C6EFCE" w:val="clear"/>
          </w:tcPr>
          <w:p>
            <w:r>
              <w:rPr>
                <w:sz w:val="17"/>
              </w:rPr>
              <w:t>15,716</w:t>
            </w:r>
          </w:p>
        </w:tc>
        <w:tc>
          <w:tcPr>
            <w:tcW w:type="dxa" w:w="1440"/>
            <w:shd w:fill="C6EFCE" w:val="clear"/>
          </w:tcPr>
          <w:p>
            <w:r>
              <w:rPr>
                <w:b/>
                <w:color w:val="008000"/>
                <w:sz w:val="17"/>
              </w:rPr>
              <w:t>+3.0%</w:t>
            </w:r>
          </w:p>
        </w:tc>
      </w:tr>
      <w:tr>
        <w:tc>
          <w:tcPr>
            <w:tcW w:type="dxa" w:w="1440"/>
            <w:shd w:fill="C6EFCE" w:val="clear"/>
          </w:tcPr>
          <w:p>
            <w:r>
              <w:rPr>
                <w:sz w:val="17"/>
              </w:rPr>
              <w:t>J+2  ⭐</w:t>
            </w:r>
          </w:p>
        </w:tc>
        <w:tc>
          <w:tcPr>
            <w:tcW w:type="dxa" w:w="1440"/>
            <w:shd w:fill="C6EFCE" w:val="clear"/>
          </w:tcPr>
          <w:p>
            <w:r>
              <w:rPr>
                <w:sz w:val="17"/>
              </w:rPr>
              <w:t>2026-10-21</w:t>
            </w:r>
          </w:p>
        </w:tc>
        <w:tc>
          <w:tcPr>
            <w:tcW w:type="dxa" w:w="1440"/>
            <w:shd w:fill="C6EFCE" w:val="clear"/>
          </w:tcPr>
          <w:p>
            <w:r>
              <w:rPr>
                <w:sz w:val="17"/>
              </w:rPr>
              <w:t>14,029</w:t>
            </w:r>
          </w:p>
        </w:tc>
        <w:tc>
          <w:tcPr>
            <w:tcW w:type="dxa" w:w="1440"/>
            <w:shd w:fill="C6EFCE" w:val="clear"/>
          </w:tcPr>
          <w:p>
            <w:r>
              <w:rPr>
                <w:b/>
                <w:sz w:val="17"/>
              </w:rPr>
              <w:t>14,984</w:t>
            </w:r>
          </w:p>
        </w:tc>
        <w:tc>
          <w:tcPr>
            <w:tcW w:type="dxa" w:w="1440"/>
            <w:shd w:fill="C6EFCE" w:val="clear"/>
          </w:tcPr>
          <w:p>
            <w:r>
              <w:rPr>
                <w:sz w:val="17"/>
              </w:rPr>
              <w:t>15,939</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2026-10-22</w:t>
            </w:r>
          </w:p>
        </w:tc>
        <w:tc>
          <w:tcPr>
            <w:tcW w:type="dxa" w:w="1440"/>
            <w:shd w:fill="C6EFCE" w:val="clear"/>
          </w:tcPr>
          <w:p>
            <w:r>
              <w:rPr>
                <w:sz w:val="17"/>
              </w:rPr>
              <w:t>13,803</w:t>
            </w:r>
          </w:p>
        </w:tc>
        <w:tc>
          <w:tcPr>
            <w:tcW w:type="dxa" w:w="1440"/>
            <w:shd w:fill="C6EFCE" w:val="clear"/>
          </w:tcPr>
          <w:p>
            <w:r>
              <w:rPr>
                <w:b/>
                <w:sz w:val="17"/>
              </w:rPr>
              <w:t>14,972</w:t>
            </w:r>
          </w:p>
        </w:tc>
        <w:tc>
          <w:tcPr>
            <w:tcW w:type="dxa" w:w="1440"/>
            <w:shd w:fill="C6EFCE" w:val="clear"/>
          </w:tcPr>
          <w:p>
            <w:r>
              <w:rPr>
                <w:sz w:val="17"/>
              </w:rPr>
              <w:t>16,141</w:t>
            </w:r>
          </w:p>
        </w:tc>
        <w:tc>
          <w:tcPr>
            <w:tcW w:type="dxa" w:w="1440"/>
            <w:shd w:fill="C6EFCE" w:val="clear"/>
          </w:tcPr>
          <w:p>
            <w:r>
              <w:rPr>
                <w:b/>
                <w:color w:val="008000"/>
                <w:sz w:val="17"/>
              </w:rPr>
              <w:t>+2.5%</w:t>
            </w:r>
          </w:p>
        </w:tc>
      </w:tr>
      <w:tr>
        <w:tc>
          <w:tcPr>
            <w:tcW w:type="dxa" w:w="1440"/>
            <w:shd w:fill="C6EFCE" w:val="clear"/>
          </w:tcPr>
          <w:p>
            <w:r>
              <w:rPr>
                <w:sz w:val="17"/>
              </w:rPr>
              <w:t>J+4  ⭐</w:t>
            </w:r>
          </w:p>
        </w:tc>
        <w:tc>
          <w:tcPr>
            <w:tcW w:type="dxa" w:w="1440"/>
            <w:shd w:fill="C6EFCE" w:val="clear"/>
          </w:tcPr>
          <w:p>
            <w:r>
              <w:rPr>
                <w:sz w:val="17"/>
              </w:rPr>
              <w:t>2026-10-23</w:t>
            </w:r>
          </w:p>
        </w:tc>
        <w:tc>
          <w:tcPr>
            <w:tcW w:type="dxa" w:w="1440"/>
            <w:shd w:fill="C6EFCE" w:val="clear"/>
          </w:tcPr>
          <w:p>
            <w:r>
              <w:rPr>
                <w:sz w:val="17"/>
              </w:rPr>
              <w:t>13,622</w:t>
            </w:r>
          </w:p>
        </w:tc>
        <w:tc>
          <w:tcPr>
            <w:tcW w:type="dxa" w:w="1440"/>
            <w:shd w:fill="C6EFCE" w:val="clear"/>
          </w:tcPr>
          <w:p>
            <w:r>
              <w:rPr>
                <w:b/>
                <w:sz w:val="17"/>
              </w:rPr>
              <w:t>14,972</w:t>
            </w:r>
          </w:p>
        </w:tc>
        <w:tc>
          <w:tcPr>
            <w:tcW w:type="dxa" w:w="1440"/>
            <w:shd w:fill="C6EFCE" w:val="clear"/>
          </w:tcPr>
          <w:p>
            <w:r>
              <w:rPr>
                <w:sz w:val="17"/>
              </w:rPr>
              <w:t>16,322</w:t>
            </w:r>
          </w:p>
        </w:tc>
        <w:tc>
          <w:tcPr>
            <w:tcW w:type="dxa" w:w="1440"/>
            <w:shd w:fill="C6EFCE" w:val="clear"/>
          </w:tcPr>
          <w:p>
            <w:r>
              <w:rPr>
                <w:b/>
                <w:color w:val="008000"/>
                <w:sz w:val="17"/>
              </w:rPr>
              <w:t>+2.5%</w:t>
            </w:r>
          </w:p>
        </w:tc>
      </w:tr>
      <w:tr>
        <w:tc>
          <w:tcPr>
            <w:tcW w:type="dxa" w:w="1440"/>
            <w:shd w:fill="C6EFCE" w:val="clear"/>
          </w:tcPr>
          <w:p>
            <w:r>
              <w:rPr>
                <w:sz w:val="17"/>
              </w:rPr>
              <w:t>J+5  ⭐</w:t>
            </w:r>
          </w:p>
        </w:tc>
        <w:tc>
          <w:tcPr>
            <w:tcW w:type="dxa" w:w="1440"/>
            <w:shd w:fill="C6EFCE" w:val="clear"/>
          </w:tcPr>
          <w:p>
            <w:r>
              <w:rPr>
                <w:sz w:val="17"/>
              </w:rPr>
              <w:t>2026-10-26</w:t>
            </w:r>
          </w:p>
        </w:tc>
        <w:tc>
          <w:tcPr>
            <w:tcW w:type="dxa" w:w="1440"/>
            <w:shd w:fill="C6EFCE" w:val="clear"/>
          </w:tcPr>
          <w:p>
            <w:r>
              <w:rPr>
                <w:sz w:val="17"/>
              </w:rPr>
              <w:t>13,464</w:t>
            </w:r>
          </w:p>
        </w:tc>
        <w:tc>
          <w:tcPr>
            <w:tcW w:type="dxa" w:w="1440"/>
            <w:shd w:fill="C6EFCE" w:val="clear"/>
          </w:tcPr>
          <w:p>
            <w:r>
              <w:rPr>
                <w:b/>
                <w:sz w:val="17"/>
              </w:rPr>
              <w:t>14,973</w:t>
            </w:r>
          </w:p>
        </w:tc>
        <w:tc>
          <w:tcPr>
            <w:tcW w:type="dxa" w:w="1440"/>
            <w:shd w:fill="C6EFCE" w:val="clear"/>
          </w:tcPr>
          <w:p>
            <w:r>
              <w:rPr>
                <w:sz w:val="17"/>
              </w:rPr>
              <w:t>16,482</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13,320</w:t>
            </w:r>
          </w:p>
        </w:tc>
        <w:tc>
          <w:tcPr>
            <w:tcW w:type="dxa" w:w="1440"/>
            <w:shd w:fill="C6EFCE" w:val="clear"/>
          </w:tcPr>
          <w:p>
            <w:r>
              <w:rPr>
                <w:b/>
                <w:sz w:val="17"/>
              </w:rPr>
              <w:t>14,973</w:t>
            </w:r>
          </w:p>
        </w:tc>
        <w:tc>
          <w:tcPr>
            <w:tcW w:type="dxa" w:w="1440"/>
            <w:shd w:fill="C6EFCE" w:val="clear"/>
          </w:tcPr>
          <w:p>
            <w:r>
              <w:rPr>
                <w:sz w:val="17"/>
              </w:rPr>
              <w:t>16,626</w:t>
            </w:r>
          </w:p>
        </w:tc>
        <w:tc>
          <w:tcPr>
            <w:tcW w:type="dxa" w:w="1440"/>
            <w:shd w:fill="C6EFCE" w:val="clear"/>
          </w:tcPr>
          <w:p>
            <w:r>
              <w:rPr>
                <w:b/>
                <w:color w:val="008000"/>
                <w:sz w:val="17"/>
              </w:rPr>
              <w:t>+2.6%</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13,186</w:t>
            </w:r>
          </w:p>
        </w:tc>
        <w:tc>
          <w:tcPr>
            <w:tcW w:type="dxa" w:w="1440"/>
            <w:shd w:fill="C6EFCE" w:val="clear"/>
          </w:tcPr>
          <w:p>
            <w:r>
              <w:rPr>
                <w:b/>
                <w:sz w:val="17"/>
              </w:rPr>
              <w:t>14,972</w:t>
            </w:r>
          </w:p>
        </w:tc>
        <w:tc>
          <w:tcPr>
            <w:tcW w:type="dxa" w:w="1440"/>
            <w:shd w:fill="C6EFCE" w:val="clear"/>
          </w:tcPr>
          <w:p>
            <w:r>
              <w:rPr>
                <w:sz w:val="17"/>
              </w:rPr>
              <w:t>16,758</w:t>
            </w:r>
          </w:p>
        </w:tc>
        <w:tc>
          <w:tcPr>
            <w:tcW w:type="dxa" w:w="1440"/>
            <w:shd w:fill="C6EFCE" w:val="clear"/>
          </w:tcPr>
          <w:p>
            <w:r>
              <w:rPr>
                <w:b/>
                <w:color w:val="008000"/>
                <w:sz w:val="17"/>
              </w:rPr>
              <w:t>+2.5%</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13,062</w:t>
            </w:r>
          </w:p>
        </w:tc>
        <w:tc>
          <w:tcPr>
            <w:tcW w:type="dxa" w:w="1440"/>
            <w:shd w:fill="C6EFCE" w:val="clear"/>
          </w:tcPr>
          <w:p>
            <w:r>
              <w:rPr>
                <w:b/>
                <w:sz w:val="17"/>
              </w:rPr>
              <w:t>14,971</w:t>
            </w:r>
          </w:p>
        </w:tc>
        <w:tc>
          <w:tcPr>
            <w:tcW w:type="dxa" w:w="1440"/>
            <w:shd w:fill="C6EFCE" w:val="clear"/>
          </w:tcPr>
          <w:p>
            <w:r>
              <w:rPr>
                <w:sz w:val="17"/>
              </w:rPr>
              <w:t>16,879</w:t>
            </w:r>
          </w:p>
        </w:tc>
        <w:tc>
          <w:tcPr>
            <w:tcW w:type="dxa" w:w="1440"/>
            <w:shd w:fill="C6EFCE" w:val="clear"/>
          </w:tcPr>
          <w:p>
            <w:r>
              <w:rPr>
                <w:b/>
                <w:color w:val="008000"/>
                <w:sz w:val="17"/>
              </w:rPr>
              <w:t>+2.5%</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12,945</w:t>
            </w:r>
          </w:p>
        </w:tc>
        <w:tc>
          <w:tcPr>
            <w:tcW w:type="dxa" w:w="1440"/>
            <w:shd w:fill="C6EFCE" w:val="clear"/>
          </w:tcPr>
          <w:p>
            <w:r>
              <w:rPr>
                <w:b/>
                <w:sz w:val="17"/>
              </w:rPr>
              <w:t>14,969</w:t>
            </w:r>
          </w:p>
        </w:tc>
        <w:tc>
          <w:tcPr>
            <w:tcW w:type="dxa" w:w="1440"/>
            <w:shd w:fill="C6EFCE" w:val="clear"/>
          </w:tcPr>
          <w:p>
            <w:r>
              <w:rPr>
                <w:sz w:val="17"/>
              </w:rPr>
              <w:t>16,993</w:t>
            </w:r>
          </w:p>
        </w:tc>
        <w:tc>
          <w:tcPr>
            <w:tcW w:type="dxa" w:w="1440"/>
            <w:shd w:fill="C6EFCE" w:val="clear"/>
          </w:tcPr>
          <w:p>
            <w:r>
              <w:rPr>
                <w:b/>
                <w:color w:val="008000"/>
                <w:sz w:val="17"/>
              </w:rPr>
              <w:t>+2.5%</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12,834</w:t>
            </w:r>
          </w:p>
        </w:tc>
        <w:tc>
          <w:tcPr>
            <w:tcW w:type="dxa" w:w="1440"/>
            <w:shd w:fill="C6EFCE" w:val="clear"/>
          </w:tcPr>
          <w:p>
            <w:r>
              <w:rPr>
                <w:b/>
                <w:sz w:val="17"/>
              </w:rPr>
              <w:t>14,968</w:t>
            </w:r>
          </w:p>
        </w:tc>
        <w:tc>
          <w:tcPr>
            <w:tcW w:type="dxa" w:w="1440"/>
            <w:shd w:fill="C6EFCE" w:val="clear"/>
          </w:tcPr>
          <w:p>
            <w:r>
              <w:rPr>
                <w:sz w:val="17"/>
              </w:rPr>
              <w:t>17,101</w:t>
            </w:r>
          </w:p>
        </w:tc>
        <w:tc>
          <w:tcPr>
            <w:tcW w:type="dxa" w:w="1440"/>
            <w:shd w:fill="C6EFCE" w:val="clear"/>
          </w:tcPr>
          <w:p>
            <w:r>
              <w:rPr>
                <w:b/>
                <w:color w:val="008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 RAPPORT D'ANALYSE FINANCIÈRE — NTLC (Nestlé Côte d'Ivoire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Nestlé Côte d'Ivoire affiche une capitalisation boursière de **322,23 milliards FCFA**, un niveau qui la place parmi les valeurs les plus capitalisées de la cote BRVM, témoignant de son statut de blue chip de la consommation de masse ouest-africaine. Le **BPA de 835 FCFA/action** traduit la capacité bénéficiaire unitaire du titre, tandis que le **PER de 17,5x** situe la valorisation nettement au-dessus de la moyenne BRVM (~8-12x), signalant que les investisseurs paient une prime pour la qualité de la signature et la régularité des résultats. Le **P/B de 10,89x**, très supérieur au seuil de 4x, confirme une valorisation exigeante : le marché valorise l'entreprise à près de onze fois ses fonds propres comptables, ce qui se justifie par un **ROE exceptionnel de 62,3%** mais laisse peu de marge d'erreur. Enfin, l'**EV/EBITDA de 8,9x**, dans la fourchette raisonnable de 5-10x, suggère que la valeur d'entreprise reste cohérente avec la capacité opérationnelle de génération de cash, offrant un contrepoids rassurant à la cherté relative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**variation totale positive de +13,18%**, malgré un repli de **-0,68% sur la dernière séance**, portant le cours actuel à **14 600 FCFA**. Le range de trading s'étend de **12 800 FCFA (plus bas)** à **18 000 FCFA (plus haut)**, soit une amplitude de plus de 40% qui traduit une phase de correction significative depuis les sommets, le cours se situant désormais dans le bas de cette fourchette. La tendance générale reste haussière sur la période mais montre un essoufflement marqué en fin de séquence, le titre ayant cédé du terrain depuis son pic. Les statistiques descriptives révèlent une **moyenne de 15 770 FCFA** supérieure à la **médiane de 15 995 FCFA** — configuration inhabituelle où la médiane dépasse légèrement la moyenne — tandis que le **mode à 16 900 FCFA** indique que le prix le plus fréquemment coté se situe bien au-dessus du cours actuel, confirmant la pression baissière récente. L'**écart-type de 1 156 FCFA (CV=7,3%)** traduit une dispersion modérée autour de la moyenne, mais la **volatilité annualisée de 36,1%** classe le titre dans la catégorie des valeurs à volatilité élevée (&gt;30%). Le **kurtosis de 0,355** (mésokurtique) indique un comportement proche d'une distribution normale, sans risque excessif de pics extrêmes, tandis que le **skewness de -0,824** (asymétrie négative) signale que les journées de hausse ont été plus fréquentes mais moins amples que les journées de baisse — un profil typique de consolidation après un rallye.</w:t>
      </w:r>
    </w:p>
    <w:p>
      <w:pPr>
        <w:spacing w:after="120" w:line="276" w:lineRule="auto"/>
      </w:pPr>
      <w:r>
        <w:t>---</w:t>
      </w:r>
    </w:p>
    <w:p>
      <w:pPr>
        <w:spacing w:after="120" w:line="276" w:lineRule="auto"/>
      </w:pPr>
      <w:r>
        <w:t>## PARTIE 2 : ANALYSE TECHNIQUE DÉTAILLÉE</w:t>
      </w:r>
    </w:p>
    <w:p>
      <w:pPr>
        <w:spacing w:after="120" w:line="276" w:lineRule="auto"/>
      </w:pPr>
      <w:r>
        <w:t>**Moyennes Mobiles** : La **MM20 à 15 170,25 FCFA** et la **MM50 à 16 176,9 FCFA** se situent toutes deux au-dessus du cours actuel (14 600 FCFA), avec une MM20 inférieure à la MM50 — configuration baissière caractéristique d'un croisement négatif. Le cours évoluant sous ses deux moyennes mobiles, la pression vendeuse domine clairement, justifiant la **décision de Vente** émise par cet indicateur.</w:t>
      </w:r>
    </w:p>
    <w:p>
      <w:pPr>
        <w:spacing w:after="120" w:line="276" w:lineRule="auto"/>
      </w:pPr>
      <w:r>
        <w:t>**Bandes de Bollinger** : Le cours (14 600 FCFA) se situe dans la moitié inférieure de la bande, entre la **borne inférieure à 14 417,09 FCFA** et la **borne supérieure à 15 923,41 FCFA**, tout en restant proche du support inférieur. Cette position traduit une volatilité contenue avec un biais baissier, sans franchissement des bornes qui signalerait une survente extrême, d'où la **décision Neutre** — le titre n'est ni en zone d'achat technique ni en zone de vente forcée.</w:t>
      </w:r>
    </w:p>
    <w:p>
      <w:pPr>
        <w:spacing w:after="120" w:line="276" w:lineRule="auto"/>
      </w:pPr>
      <w:r>
        <w:t>**MACD** : La **valeur du MACD à -320,671** est inférieure à son **signal à -316,161**, confirmant une divergence baissière persistante et un momentum négatif. Bien que l'écart entre les deux lignes soit faible (-4,51), la configuration en territoire négatif traduit une dynamique de fond défavorable, justifiant la **décision de Vente**.</w:t>
      </w:r>
    </w:p>
    <w:p>
      <w:pPr>
        <w:spacing w:after="120" w:line="276" w:lineRule="auto"/>
      </w:pPr>
      <w:r>
        <w:t>**RSI** : À **39,198**, le RSI se situe dans la zone neutre basse (30-70), sans atteindre le seuil de survente (&lt;30) qui déclencherait un signal d'achat contrarian. Cette valeur indique une faiblesse relative mais pas d'épuisement de la baisse, d'où la **décision Neutre** — le titre conserve un potentiel de repli supplémentaire avant rebond technique.</w:t>
      </w:r>
    </w:p>
    <w:p>
      <w:pPr>
        <w:spacing w:after="120" w:line="276" w:lineRule="auto"/>
      </w:pPr>
      <w:r>
        <w:t>**Stochastique** : Le **%K à 0,0** (extrême bas) contre un **%D à 33,333** révèle un positionnement en zone de survente profonde, avec un %K qui vient de toucher le plancher. Cette configuration, bien que traduisant une pression vendeuse intense à court terme, est souvent précurseur d'un rebond technique — d'où la **décision d'Achat** contrarian, en anticipation d'un retournement à court terme.</w:t>
      </w:r>
    </w:p>
    <w:p>
      <w:pPr>
        <w:spacing w:after="120" w:line="276" w:lineRule="auto"/>
      </w:pPr>
      <w:r>
        <w:t>**Conclusion technique** : Les indicateurs présentent un tableau **majoritairement baissier** (MM, MACD) avec quelques signaux de neutralité (Bollinger, RSI) et un signal contrarian d'achat (Stochastique en survente extrême). La convergence des MM et du MACD vers la vente domine, mais l'extrême faiblesse du stochastique suggère qu'une capitulation de court terme approche. Le titre évolue dans une zone de **transition baissière** où le risque de rebond technique se renforce à mesure que le cours s'approche du support de 14 417 FCFA.</w:t>
      </w:r>
    </w:p>
    <w:p>
      <w:pPr>
        <w:spacing w:after="120" w:line="276" w:lineRule="auto"/>
      </w:pPr>
      <w:r>
        <w:t>---</w:t>
      </w:r>
    </w:p>
    <w:p>
      <w:pPr>
        <w:spacing w:after="120" w:line="276" w:lineRule="auto"/>
      </w:pPr>
      <w:r>
        <w:t>## PARTIE 3 : ANALYSE FONDAMENTALE</w:t>
      </w:r>
    </w:p>
    <w:p>
      <w:pPr>
        <w:spacing w:after="120" w:line="276" w:lineRule="auto"/>
      </w:pPr>
      <w:r>
        <w:t>Les états financiers officiels de l'exercice **2025** (rapport du 31/12/2025, analysé le 01/05/2026) établissent un **chiffre d'affaires de 233,26 milliards FCFA**, en croissance de **+5,97%** sur un an, pour un **résultat net de 18,43 milliards FCFA** (+1,53%). La rentabilité reste exceptionnelle avec un **ROE de 62,28%** (largement supérieur au seuil de 15% d'excellence) et un **ROA de 9,70%**, tandis que la marge nette s'établit à **7,90%** et la marge opérationnelle à **16,16%**. Sur le plan structurel, l'**autonomie financière de 15,58%** demeure inférieure au seuil sain de 30%, avec un **ratio d'endettement de 135,85%** et une **trésorerie nette négative de -46,83 milliards FCFA** — points de vigilance majeurs. Le **BFR de 22,63 milliards FCFA** (positif, donc défavorable) et le **délai client de 74,30 jours** (élevé) signalent un risque de trésorerie sur le cycle d'exploitation, tout comme la **durée de stockage de 59,39 jours** qui immobilise du capital. La **couverture des intérêts à 473,63%** reste confortable, mais les **charges financières de 7,96 milliards FCFA** (+25,8%) pèsent sur la rentabilité. Les rapports trimestriels enrichissent cette lecture : le **T1 2026** (rapport analysé le 01/05/2026) affiche une accélération spectaculaire avec un **CA de 70,82 milliards FCFA (+31%)** et un **résultat net de 7,53 milliards FCFA (+37%)**, portant la **marge nette à 10,6%** contre 10,1% un an plus tôt — signe d'une exécution commerciale remarquable. À l'inverse, le **T3 2025** (30/09/2025) révélait un ralentissement avec un CA cumulé de 173,41 milliards (+1,36%) et un résultat net en baisse de -21,3%, illustrant la volatilité des performances trimestrielles. La politique de dividende est devenue plus conservatrice en 2025 (**9,27 milliards FCFA distribués, payout de 50,3%** contre 99,7% en 2024), traduisant une stratégie de réinvestissement avec un report à nouveau massif de 9,22 milliards FCFA. **Sur la base du T1 2026 (+31% de CA), on peut estimer que l'exercice 2026 devrait afficher une accélération de la croissance et une amélioration de la marge nette**, sous réserve de la persistance des pressions sur les coûts des matières premières. La recommandation fondamentale est **positive** : solidité du modèle, ROE exceptionnel, dynamique commerciale retrouvée, mais à tempérer par le niveau d'endettement élevé et la dépendance aux matières premières.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**divorce marqué entre fondamental et technique**. Sur le plan de la **valorisation (Partie 0)**, le PER de 17,5x et le P/B de 10,89x indiquent une **surévaluation relative** par rapport à la moyenne BRVM, tempérée par un EV/EBITDA raisonnable de 8,9x et un ROE de 62,3% qui justifie une prime de qualité. Le **comportement du cours (Partie 1)** est préoccupant à court terme : malgré une variation positive de +13,18% sur 100 jours, le titre se situe dans le bas de son range (14 600 vs plus haut de 18 000), avec une volatilité élevée de 36,1% et un skewness négatif de -0,824 signalant une pression baissière récente. Les **signaux techniques (Partie 2)** sont majoritairement baissiers (MM20 &lt; MM50 &lt; cours, MACD négatif), avec un RSI neutre à 39,2 et un stochastique en survente extrême (%K=0) qui pourrait annoncer un rebond technique. Les **fondamentaux (Partie 3)** demeurent solides : CA 2025 de 233,26 Mds FCFA (+5,97%), ROE de 62,28%, et surtout un **T1 2026 exceptionnel (+31% de CA, +37% de résultat net)** qui contraste avec la morosité du cours. Les **prédictions IA (J+1 à J+10)** anticipent une **stabilisation autour de 14 970-15 040 FCFA**, soit une légère hausse de +2,5% par rapport au cours actuel, confirmant la thèse d'un plancher technique proche sans retournement franc. **Recommandation finale : CONSERVER** — la convergence entre fondamentaux solides (T1 2026 spectaculaire), valorisation exigeante mais justifiée par le ROE, et signaux techniques en zone de survente suggère un **point d'entrée progressif** plutôt qu'une vente. Le niveau de confiance est **Moyen** (divergence technique/fondamental), le risque global **Moyen** (volatilité élevée mais qualité de signature), et l'horizon optimal est le **moyen terme (3-12 mois)** pour capter la revalorisation liée à la publication des résultats semestriels 2026 et à la normalisation technique. Un **ACHAT** serait justifié en cas de cassure confirmée au-dessus de la MM20 (15 170 FCFA) ou de publication d'un S1 2026 confirmant la dynamique du T1.</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6,427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+1.75%</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2.96% (Faible) — μ=2,866 FCFA, σ=85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β=0.2831 (Défensif) — Cov=0.000022, Var(idx)=0.000077, ρ=0.109,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0906"/>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2,789</w:t>
            </w:r>
          </w:p>
        </w:tc>
        <w:tc>
          <w:tcPr>
            <w:tcW w:type="dxa" w:w="1440"/>
            <w:shd w:fill="FAFAFA" w:val="clear"/>
          </w:tcPr>
          <w:p>
            <w:r>
              <w:rPr>
                <w:b/>
                <w:sz w:val="17"/>
              </w:rPr>
              <w:t>2,921</w:t>
            </w:r>
          </w:p>
        </w:tc>
        <w:tc>
          <w:tcPr>
            <w:tcW w:type="dxa" w:w="1440"/>
            <w:shd w:fill="FAFAFA" w:val="clear"/>
          </w:tcPr>
          <w:p>
            <w:r>
              <w:rPr>
                <w:sz w:val="17"/>
              </w:rPr>
              <w:t>3,053</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2,725</w:t>
            </w:r>
          </w:p>
        </w:tc>
        <w:tc>
          <w:tcPr>
            <w:tcW w:type="dxa" w:w="1440"/>
            <w:shd w:fill="FAFAFA" w:val="clear"/>
          </w:tcPr>
          <w:p>
            <w:r>
              <w:rPr>
                <w:b/>
                <w:sz w:val="17"/>
              </w:rPr>
              <w:t>2,911</w:t>
            </w:r>
          </w:p>
        </w:tc>
        <w:tc>
          <w:tcPr>
            <w:tcW w:type="dxa" w:w="1440"/>
            <w:shd w:fill="FAFAFA" w:val="clear"/>
          </w:tcPr>
          <w:p>
            <w:r>
              <w:rPr>
                <w:sz w:val="17"/>
              </w:rPr>
              <w:t>3,097</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2,677</w:t>
            </w:r>
          </w:p>
        </w:tc>
        <w:tc>
          <w:tcPr>
            <w:tcW w:type="dxa" w:w="1440"/>
            <w:shd w:fill="FAFAFA" w:val="clear"/>
          </w:tcPr>
          <w:p>
            <w:r>
              <w:rPr>
                <w:b/>
                <w:sz w:val="17"/>
              </w:rPr>
              <w:t>2,904</w:t>
            </w:r>
          </w:p>
        </w:tc>
        <w:tc>
          <w:tcPr>
            <w:tcW w:type="dxa" w:w="1440"/>
            <w:shd w:fill="FAFAFA" w:val="clear"/>
          </w:tcPr>
          <w:p>
            <w:r>
              <w:rPr>
                <w:sz w:val="17"/>
              </w:rPr>
              <w:t>3,131</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2,636</w:t>
            </w:r>
          </w:p>
        </w:tc>
        <w:tc>
          <w:tcPr>
            <w:tcW w:type="dxa" w:w="1440"/>
            <w:shd w:fill="FAFAFA" w:val="clear"/>
          </w:tcPr>
          <w:p>
            <w:r>
              <w:rPr>
                <w:b/>
                <w:sz w:val="17"/>
              </w:rPr>
              <w:t>2,897</w:t>
            </w:r>
          </w:p>
        </w:tc>
        <w:tc>
          <w:tcPr>
            <w:tcW w:type="dxa" w:w="1440"/>
            <w:shd w:fill="FAFAFA" w:val="clear"/>
          </w:tcPr>
          <w:p>
            <w:r>
              <w:rPr>
                <w:sz w:val="17"/>
              </w:rPr>
              <w:t>3,159</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2,599</w:t>
            </w:r>
          </w:p>
        </w:tc>
        <w:tc>
          <w:tcPr>
            <w:tcW w:type="dxa" w:w="1440"/>
            <w:shd w:fill="FAFAFA" w:val="clear"/>
          </w:tcPr>
          <w:p>
            <w:r>
              <w:rPr>
                <w:b/>
                <w:sz w:val="17"/>
              </w:rPr>
              <w:t>2,890</w:t>
            </w:r>
          </w:p>
        </w:tc>
        <w:tc>
          <w:tcPr>
            <w:tcW w:type="dxa" w:w="1440"/>
            <w:shd w:fill="FAFAFA" w:val="clear"/>
          </w:tcPr>
          <w:p>
            <w:r>
              <w:rPr>
                <w:sz w:val="17"/>
              </w:rPr>
              <w:t>3,182</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2,565</w:t>
            </w:r>
          </w:p>
        </w:tc>
        <w:tc>
          <w:tcPr>
            <w:tcW w:type="dxa" w:w="1440"/>
            <w:shd w:fill="FAFAFA" w:val="clear"/>
          </w:tcPr>
          <w:p>
            <w:r>
              <w:rPr>
                <w:b/>
                <w:sz w:val="17"/>
              </w:rPr>
              <w:t>2,884</w:t>
            </w:r>
          </w:p>
        </w:tc>
        <w:tc>
          <w:tcPr>
            <w:tcW w:type="dxa" w:w="1440"/>
            <w:shd w:fill="FAFAFA" w:val="clear"/>
          </w:tcPr>
          <w:p>
            <w:r>
              <w:rPr>
                <w:sz w:val="17"/>
              </w:rPr>
              <w:t>3,203</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2,534</w:t>
            </w:r>
          </w:p>
        </w:tc>
        <w:tc>
          <w:tcPr>
            <w:tcW w:type="dxa" w:w="1440"/>
            <w:shd w:fill="FAFAFA" w:val="clear"/>
          </w:tcPr>
          <w:p>
            <w:r>
              <w:rPr>
                <w:b/>
                <w:sz w:val="17"/>
              </w:rPr>
              <w:t>2,877</w:t>
            </w:r>
          </w:p>
        </w:tc>
        <w:tc>
          <w:tcPr>
            <w:tcW w:type="dxa" w:w="1440"/>
            <w:shd w:fill="FAFAFA" w:val="clear"/>
          </w:tcPr>
          <w:p>
            <w:r>
              <w:rPr>
                <w:sz w:val="17"/>
              </w:rPr>
              <w:t>3,221</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2,504</w:t>
            </w:r>
          </w:p>
        </w:tc>
        <w:tc>
          <w:tcPr>
            <w:tcW w:type="dxa" w:w="1440"/>
            <w:shd w:fill="FAFAFA" w:val="clear"/>
          </w:tcPr>
          <w:p>
            <w:r>
              <w:rPr>
                <w:b/>
                <w:sz w:val="17"/>
              </w:rPr>
              <w:t>2,871</w:t>
            </w:r>
          </w:p>
        </w:tc>
        <w:tc>
          <w:tcPr>
            <w:tcW w:type="dxa" w:w="1440"/>
            <w:shd w:fill="FAFAFA" w:val="clear"/>
          </w:tcPr>
          <w:p>
            <w:r>
              <w:rPr>
                <w:sz w:val="17"/>
              </w:rPr>
              <w:t>3,238</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2,477</w:t>
            </w:r>
          </w:p>
        </w:tc>
        <w:tc>
          <w:tcPr>
            <w:tcW w:type="dxa" w:w="1440"/>
            <w:shd w:fill="FAFAFA" w:val="clear"/>
          </w:tcPr>
          <w:p>
            <w:r>
              <w:rPr>
                <w:b/>
                <w:sz w:val="17"/>
              </w:rPr>
              <w:t>2,865</w:t>
            </w:r>
          </w:p>
        </w:tc>
        <w:tc>
          <w:tcPr>
            <w:tcW w:type="dxa" w:w="1440"/>
            <w:shd w:fill="FAFAFA" w:val="clear"/>
          </w:tcPr>
          <w:p>
            <w:r>
              <w:rPr>
                <w:sz w:val="17"/>
              </w:rPr>
              <w:t>3,253</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2,450</w:t>
            </w:r>
          </w:p>
        </w:tc>
        <w:tc>
          <w:tcPr>
            <w:tcW w:type="dxa" w:w="1440"/>
            <w:shd w:fill="FAFAFA" w:val="clear"/>
          </w:tcPr>
          <w:p>
            <w:r>
              <w:rPr>
                <w:b/>
                <w:sz w:val="17"/>
              </w:rPr>
              <w:t>2,859</w:t>
            </w:r>
          </w:p>
        </w:tc>
        <w:tc>
          <w:tcPr>
            <w:tcW w:type="dxa" w:w="1440"/>
            <w:shd w:fill="FAFAFA" w:val="clear"/>
          </w:tcPr>
          <w:p>
            <w:r>
              <w:rPr>
                <w:sz w:val="17"/>
              </w:rPr>
              <w:t>3,267</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Moov Africa Burkina Faso)**</w:t>
        <w:br/>
        <w:t>*Bourse Régionale des Valeurs Mobilières (BRVM) — Secteur Télécommunications*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197,20 milliards FCFA, ONTBF s'affirme comme une valeur de premier plan de la cote BRVM, représentant un pilier du compartiment télécoms aux côtés de Sonatel. Le BPA de 234 FCFA/action signifie que chaque titre génère près de 234 FCFA de bénéfice net, un niveau confortable pour un cours de 2 900 FCFA. Le PER de 12,4x se situe légèrement au-dessus de la moyenne BRVM (8-12x), traduisant une valorisation modérée mais non excessive, cohérente avec la qualité de l'émetteur. Le P/B de 3,43x indique que le marché paie une prime de plus de trois fois la valeur comptable (capitaux propres de 57,54 Mds FCFA), signe d'une anticipation de croissance et d'une rentabilité des fonds propres élevée (ROE de 27,6%). Enfin, l'EV/EBITDA de 5,2x, dans la fourchette raisonnable de 5-10x, suggère que la valeur d'entreprise reste modérée au regard de la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variation totale positive de +1,75%, mais la dernière séance (J-1) a enregistré un repli marqué de -3,17%, signalant une pression vendeuse récente. Le cours actuel de 2 900 FCFA évolue dans un range de trading de 395 FCFA, entre un plus bas de 2 675 FCFA et un plus haut de 3 070 FCFA, soit une amplitude de près de 15% — modérée pour la BRVM. La tendance générale est stable à légèrement haussière, le cours se maintenant au-dessus de sa moyenne de 2 866 FCFA. Les statistiques descriptives révèlent une distribution remarquablement symétrique : la moyenne (2 866 FCFA) et la médiane (2 870 FCFA) sont quasi confondues, et le skewness de -0,100 confirme cette symétrie, sans biais directionnel marqué. L'écart-type de 85 FCFA (CV de 3,0%) indique une dispersion très faible du cours autour de sa moyenne, gage de stabilité, tandis que le kurtosis de -0,446 (mésokurtique) suggère une distribution proche de la normale, sans risque de pics extrêmes prononcé. La volatilité annualisée de 36,3% classe toutefois le titre dans la catégorie des valeurs à volatilité élevée (&gt;30%), ce qui contraste avec la faible dispersion quotidienne et traduit des mouvements erratiques sur moyenne période.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(2 932,75 FCFA) et la MM50 (2 904,0 FCFA) se situent toutes deux au-dessus du cours actuel (2 900 FCFA), la MM20 dominant la MM50, configuration qui traduit une dynamique haussière de fond mais un cours légèrement en retrait sous ses références courtes. La décision « Achat » fournie s'appuie sur la structure ascendante des moyennes, bien que le positionnement du cours sous la MM20 invite à la prudence.</w:t>
      </w:r>
    </w:p>
    <w:p>
      <w:pPr>
        <w:spacing w:after="120" w:line="276" w:lineRule="auto"/>
      </w:pPr>
      <w:r>
        <w:t>**Bandes de Bollinger** : Le cours (2 900 FCFA) évolue dans la partie médiane de la bande, entre la borne inférieure de 2 777,475 FCFA et la borne supérieure de 3 088,025 FCFA, à environ 40% de la largeur totale. Cette position centrale, sans contact avec les extrêmes, justifie la décision « Neutre » : aucune tension de surachat ou de survente n'est présente, et la volatilité mesurée par l'écart des bornes reste contenue.</w:t>
      </w:r>
    </w:p>
    <w:p>
      <w:pPr>
        <w:spacing w:after="120" w:line="276" w:lineRule="auto"/>
      </w:pPr>
      <w:r>
        <w:t>**MACD** : La valeur du MACD (20,059) est inférieure à sa ligne de signal (21,451), configuration baissière qui indique un momentum négatif et une perte de vigueur de la tendance haussière. La décision « Vente » reflète cette divergence négative, le croisement MACD/signal s'étant probablement opéré à la baisse récemment, en cohérence avec le repli de J-1.</w:t>
      </w:r>
    </w:p>
    <w:p>
      <w:pPr>
        <w:spacing w:after="120" w:line="276" w:lineRule="auto"/>
      </w:pPr>
      <w:r>
        <w:t>**RSI** : À 46,988, le RSI se situe dans la zone neutre (30-70), légèrement sous le seuil médian de 50, ce qui traduit un équilibre entre acheteurs et vendeurs avec une légère prédominance baissière. La décision « Neutre » est cohérente : ni surachat (&gt;70) ni survente (&lt;30), le titre dispose d'une marge de manœuvre dans les deux directions.</w:t>
      </w:r>
    </w:p>
    <w:p>
      <w:pPr>
        <w:spacing w:after="120" w:line="276" w:lineRule="auto"/>
      </w:pPr>
      <w:r>
        <w:t>**Stochastique** : Le %K (47,273) est inférieur au %D (58,788), configuration baissière indiquant que le momentum court terme faiblit et que le %K pourrait croiser le %D à la baisse. La décision « Neutre » s'explique par la position centrale des deux courbes (zone 20-80), sans signal extrême, mais la configuration relative penche vers une consolidation.</w:t>
      </w:r>
    </w:p>
    <w:p>
      <w:pPr>
        <w:spacing w:after="120" w:line="276" w:lineRule="auto"/>
      </w:pPr>
      <w:r>
        <w:t>**Conclusion technique** : Les indicateurs présentent un tableau mitigé, avec une divergence notable entre la structure haussière des moyennes mobiles (signal d'achat) et le momentum négatif du MACD (signal de vente), tandis que Bollinger, RSI et Stochastique restent neutres. Cette absence de convergence traduit un marché indécis, en phase de consolidation après le repli de J-1. Le titre se trouve à un point d'inflexion : une cassure sous 2 870 FCFA (médiane) confirmerait la pression baissière, tandis qu'un rebond au-dessus de 2 932 FCFA (MM20) rétablirait la dynamique haussière.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ONTBF affiche un chiffre d'affaires de 146,177 milliards FCFA, en croissance de +3,06% par rapport à 2024 (141,84 Mds FCFA), portée par le FTTH (+33% de parc), l'internet mobile (+5%) et le Mobile Money (+14%). Le résultat net s'établit à 15,887 milliards FCFA, en chute de -26% versus 2024 (21,47 Mds), sous l'effet de charges opérationnelles et exceptionnelles élevées (indemnités de fin d'engagement, énergie, maintenance en zones sécuritaires, sanction ARCEP de 1,543 Md). La rentabilité reste néanmoins solide : ROE de 27,61% (excellent, &gt;15%), ROA de 4,89%, marge nette de 10,87% et marge opérationnelle de 17,56%. La génération de trésorerie demeure forte avec une CAF de 46,952 Mds FCFA et un flux opérationnel de 68,487 Mds, absorbés par un capex de -45,224 Mds (Free Cash Flow limité à 1,556 Md). Le bilan (324,902 Mds FCFA) révèle une autonomie financière faible (17,71%) et un ratio d'endettement élevé (186,99%), mais une capacité de remboursement maîtrisée (2,29 années de CAF) et une couverture des intérêts très confortable (491,55%).</w:t>
      </w:r>
    </w:p>
    <w:p>
      <w:pPr>
        <w:spacing w:after="120" w:line="276" w:lineRule="auto"/>
      </w:pPr>
      <w:r>
        <w:t>**Estimations issues des rapports trimestriels** : Le rapport T1 2026 (publié le 09/04/2026) confirme la tendance : CA de 37,1 Mds FCFA (+2,7%), marge EBITDA maintenue à 41,3%, mais résultat net en légère baisse à 3,577 Mds FCFA (marge nette 9,6%). Le rapport semestriel 2026 (attestation CAC du 25/09/2026) est sans réserve mais dépourvu de données chiffrées. On estime donc que l'exercice 2026 devrait prolonger la dynamique de croissance modérée du CA (+2 à +3%) avec une poursuite de la compression des marges, le résultat net annuel 2026 pouvant s'établir autour de 14-15 Mds FCFA si la maîtrise des coûts s'améliore au second semestre. La politique de dividende reste généreuse (166,08 FCFA brut/action proposé au titre de 2025, soit 70% de distribution), offrant un rendement attractif d'environ 5,7% au cours actuel, mais potentiellement sous tension si la baisse des bénéfices se poursuit.</w:t>
      </w:r>
    </w:p>
    <w:p>
      <w:pPr>
        <w:spacing w:after="120" w:line="276" w:lineRule="auto"/>
      </w:pPr>
      <w:r>
        <w:t>**Recommandation fondamentale** : ONTBF demeure un leader télécom rentable à forte génération de cash, noté A+(WU) par GCR Ratings, mais fait face à une dégradation de sa rentabilité (-26% de résultat net en 2025), à un endettement croissant pour financer son capex et à des risques réglementaires (ARCEP) et sécuritaires persistants. Les fondamentaux restent solides mais la trajectoire des marges est préoccupante.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révèle un profil contrasté. **Valorisation** : le PER de 12,4x et le P/B de 3,43x indiquent une valorisation modérée à légèrement tendue, sans sous-évaluation manifeste, tandis que l'EV/EBITDA de 5,2x reste raisonnable. **Comportement du cours** : la stabilité statistique (CV de 3,0%, skewness symétrique, kurtosis normal) est rassurante, mais la volatilité annualisée élevée (36,3%) et le repli de J-1 (-3,17%) tempèrent l'optimisme. **Signaux techniques** : la divergence entre les moyennes mobiles haussières et le MACD baissier, avec des oscillateurs neutres, traduit une indécision qui plaide pour l'attentisme. **Fondamentaux** : la croissance du CA (+3,06%) et le ROE exceptionnel (27,61%) sont des atouts majeurs, mais la chute du résultat net (-26%) et l'endettement élevé constituent des points de vigilance. **Prédictions IA** : la trajectoire baissière graduelle projetée (2 921 → 2 890 FCFA sur 10 jours, soit -1,1%) confirme le momentum négatif du MACD et le repli récent, sans effondrement toutefois.</w:t>
      </w:r>
    </w:p>
    <w:p>
      <w:pPr>
        <w:spacing w:after="120" w:line="276" w:lineRule="auto"/>
      </w:pPr>
      <w:r>
        <w:t>**Recommandation finale : CONSERVER** — Le titre présente une convergence partielle : la valorisation raisonnable et les fondamentaux solides (leader, cash-flow, dividende) soutiennent la détention, mais le momentum technique baissier, la dégradation de la rentabilité et les prédictions IA légèrement négatives excluent un renforcement agressif. **Niveau de confiance : Moyen** (signaux techniques divergents et fondamentaux en transition). **Niveau de risque global : Moyen** (volatilité élevée, endettement, risques réglementaires et sécuritaires, mais leader défensif et dividende sécurisé). **Horizon optimal : moyen terme (3-12 mois)**, en surveillant la capacité de l'entreprise à restaurer ses marges au second semestre 2026 et la confirmation du dividende à l'AG ; un retour durable au-dessus de 2 932 FCFA (MM20) constituerait un signal de renforcement, tandis qu'une cassure sous 2 777 FCFA (Bollinger inférieure) justifierait un allègement.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3126.10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3,530 titres</w:t>
            </w:r>
          </w:p>
        </w:tc>
        <w:tc>
          <w:tcPr>
            <w:tcW w:type="dxa" w:w="2268"/>
            <w:shd w:fill="FFF2CC" w:val="clear"/>
          </w:tcPr>
          <w:p>
            <w:r>
              <w:rPr>
                <w:b/>
                <w:color w:val="503200"/>
                <w:sz w:val="16"/>
              </w:rPr>
              <w:t xml:space="preserve">Cours actuel : </w:t>
            </w:r>
            <w:r>
              <w:rPr>
                <w:color w:val="000000"/>
                <w:sz w:val="17"/>
              </w:rPr>
              <w:t>20,750 FCFA</w:t>
            </w:r>
          </w:p>
          <w:p>
            <w:r>
              <w:rPr>
                <w:b/>
                <w:color w:val="503200"/>
                <w:sz w:val="16"/>
              </w:rPr>
              <w:t xml:space="preserve">Var. 100 jours : </w:t>
            </w:r>
            <w:r>
              <w:rPr>
                <w:b/>
                <w:color w:val="007800"/>
                <w:sz w:val="17"/>
              </w:rPr>
              <w:t>+29.69%</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15,555 FCFA</w:t>
            </w:r>
          </w:p>
          <w:p>
            <w:r>
              <w:rPr>
                <w:b/>
                <w:color w:val="503200"/>
                <w:sz w:val="16"/>
              </w:rPr>
              <w:t xml:space="preserve">Volatilité ann. : </w:t>
            </w:r>
            <w:r>
              <w:rPr>
                <w:color w:val="000000"/>
                <w:sz w:val="17"/>
              </w:rPr>
              <w:t>38.4%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13.47% (Moyenne) — μ=18,570 FCFA, σ=2,501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β=1.6054 (Agressif) — Cov=0.000124, Var(idx)=0.000077, ρ=0.581,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82781"/>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19,756</w:t>
            </w:r>
          </w:p>
        </w:tc>
        <w:tc>
          <w:tcPr>
            <w:tcW w:type="dxa" w:w="1440"/>
            <w:shd w:fill="FAFAFA" w:val="clear"/>
          </w:tcPr>
          <w:p>
            <w:r>
              <w:rPr>
                <w:b/>
                <w:sz w:val="17"/>
              </w:rPr>
              <w:t>20,893</w:t>
            </w:r>
          </w:p>
        </w:tc>
        <w:tc>
          <w:tcPr>
            <w:tcW w:type="dxa" w:w="1440"/>
            <w:shd w:fill="FAFAFA" w:val="clear"/>
          </w:tcPr>
          <w:p>
            <w:r>
              <w:rPr>
                <w:sz w:val="17"/>
              </w:rPr>
              <w:t>22,030</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19,247</w:t>
            </w:r>
          </w:p>
        </w:tc>
        <w:tc>
          <w:tcPr>
            <w:tcW w:type="dxa" w:w="1440"/>
            <w:shd w:fill="FAFAFA" w:val="clear"/>
          </w:tcPr>
          <w:p>
            <w:r>
              <w:rPr>
                <w:b/>
                <w:sz w:val="17"/>
              </w:rPr>
              <w:t>20,852</w:t>
            </w:r>
          </w:p>
        </w:tc>
        <w:tc>
          <w:tcPr>
            <w:tcW w:type="dxa" w:w="1440"/>
            <w:shd w:fill="FAFAFA" w:val="clear"/>
          </w:tcPr>
          <w:p>
            <w:r>
              <w:rPr>
                <w:sz w:val="17"/>
              </w:rPr>
              <w:t>22,457</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18,871</w:t>
            </w:r>
          </w:p>
        </w:tc>
        <w:tc>
          <w:tcPr>
            <w:tcW w:type="dxa" w:w="1440"/>
            <w:shd w:fill="FAFAFA" w:val="clear"/>
          </w:tcPr>
          <w:p>
            <w:r>
              <w:rPr>
                <w:b/>
                <w:sz w:val="17"/>
              </w:rPr>
              <w:t>20,835</w:t>
            </w:r>
          </w:p>
        </w:tc>
        <w:tc>
          <w:tcPr>
            <w:tcW w:type="dxa" w:w="1440"/>
            <w:shd w:fill="FAFAFA" w:val="clear"/>
          </w:tcPr>
          <w:p>
            <w:r>
              <w:rPr>
                <w:sz w:val="17"/>
              </w:rPr>
              <w:t>22,799</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18,555</w:t>
            </w:r>
          </w:p>
        </w:tc>
        <w:tc>
          <w:tcPr>
            <w:tcW w:type="dxa" w:w="1440"/>
            <w:shd w:fill="FAFAFA" w:val="clear"/>
          </w:tcPr>
          <w:p>
            <w:r>
              <w:rPr>
                <w:b/>
                <w:sz w:val="17"/>
              </w:rPr>
              <w:t>20,821</w:t>
            </w:r>
          </w:p>
        </w:tc>
        <w:tc>
          <w:tcPr>
            <w:tcW w:type="dxa" w:w="1440"/>
            <w:shd w:fill="FAFAFA" w:val="clear"/>
          </w:tcPr>
          <w:p>
            <w:r>
              <w:rPr>
                <w:sz w:val="17"/>
              </w:rPr>
              <w:t>23,087</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18,275</w:t>
            </w:r>
          </w:p>
        </w:tc>
        <w:tc>
          <w:tcPr>
            <w:tcW w:type="dxa" w:w="1440"/>
            <w:shd w:fill="FAFAFA" w:val="clear"/>
          </w:tcPr>
          <w:p>
            <w:r>
              <w:rPr>
                <w:b/>
                <w:sz w:val="17"/>
              </w:rPr>
              <w:t>20,807</w:t>
            </w:r>
          </w:p>
        </w:tc>
        <w:tc>
          <w:tcPr>
            <w:tcW w:type="dxa" w:w="1440"/>
            <w:shd w:fill="FAFAFA" w:val="clear"/>
          </w:tcPr>
          <w:p>
            <w:r>
              <w:rPr>
                <w:sz w:val="17"/>
              </w:rPr>
              <w:t>23,339</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18,021</w:t>
            </w:r>
          </w:p>
        </w:tc>
        <w:tc>
          <w:tcPr>
            <w:tcW w:type="dxa" w:w="1440"/>
            <w:shd w:fill="FAFAFA" w:val="clear"/>
          </w:tcPr>
          <w:p>
            <w:r>
              <w:rPr>
                <w:b/>
                <w:sz w:val="17"/>
              </w:rPr>
              <w:t>20,793</w:t>
            </w:r>
          </w:p>
        </w:tc>
        <w:tc>
          <w:tcPr>
            <w:tcW w:type="dxa" w:w="1440"/>
            <w:shd w:fill="FAFAFA" w:val="clear"/>
          </w:tcPr>
          <w:p>
            <w:r>
              <w:rPr>
                <w:sz w:val="17"/>
              </w:rPr>
              <w:t>23,565</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17,787</w:t>
            </w:r>
          </w:p>
        </w:tc>
        <w:tc>
          <w:tcPr>
            <w:tcW w:type="dxa" w:w="1440"/>
            <w:shd w:fill="FAFAFA" w:val="clear"/>
          </w:tcPr>
          <w:p>
            <w:r>
              <w:rPr>
                <w:b/>
                <w:sz w:val="17"/>
              </w:rPr>
              <w:t>20,780</w:t>
            </w:r>
          </w:p>
        </w:tc>
        <w:tc>
          <w:tcPr>
            <w:tcW w:type="dxa" w:w="1440"/>
            <w:shd w:fill="FAFAFA" w:val="clear"/>
          </w:tcPr>
          <w:p>
            <w:r>
              <w:rPr>
                <w:sz w:val="17"/>
              </w:rPr>
              <w:t>23,772</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17,569</w:t>
            </w:r>
          </w:p>
        </w:tc>
        <w:tc>
          <w:tcPr>
            <w:tcW w:type="dxa" w:w="1440"/>
            <w:shd w:fill="FAFAFA" w:val="clear"/>
          </w:tcPr>
          <w:p>
            <w:r>
              <w:rPr>
                <w:b/>
                <w:sz w:val="17"/>
              </w:rPr>
              <w:t>20,766</w:t>
            </w:r>
          </w:p>
        </w:tc>
        <w:tc>
          <w:tcPr>
            <w:tcW w:type="dxa" w:w="1440"/>
            <w:shd w:fill="FAFAFA" w:val="clear"/>
          </w:tcPr>
          <w:p>
            <w:r>
              <w:rPr>
                <w:sz w:val="17"/>
              </w:rPr>
              <w:t>23,963</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17,364</w:t>
            </w:r>
          </w:p>
        </w:tc>
        <w:tc>
          <w:tcPr>
            <w:tcW w:type="dxa" w:w="1440"/>
            <w:shd w:fill="FAFAFA" w:val="clear"/>
          </w:tcPr>
          <w:p>
            <w:r>
              <w:rPr>
                <w:b/>
                <w:sz w:val="17"/>
              </w:rPr>
              <w:t>20,753</w:t>
            </w:r>
          </w:p>
        </w:tc>
        <w:tc>
          <w:tcPr>
            <w:tcW w:type="dxa" w:w="1440"/>
            <w:shd w:fill="FAFAFA" w:val="clear"/>
          </w:tcPr>
          <w:p>
            <w:r>
              <w:rPr>
                <w:sz w:val="17"/>
              </w:rPr>
              <w:t>24,141</w:t>
            </w:r>
          </w:p>
        </w:tc>
        <w:tc>
          <w:tcPr>
            <w:tcW w:type="dxa" w:w="1440"/>
            <w:shd w:fill="FAFAFA" w:val="clear"/>
          </w:tcPr>
          <w:p>
            <w:r>
              <w:rPr>
                <w:b/>
                <w:color w:val="008000"/>
                <w:sz w:val="17"/>
              </w:rPr>
              <w:t>+0.0%</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17,170</w:t>
            </w:r>
          </w:p>
        </w:tc>
        <w:tc>
          <w:tcPr>
            <w:tcW w:type="dxa" w:w="1440"/>
            <w:shd w:fill="FAFAFA" w:val="clear"/>
          </w:tcPr>
          <w:p>
            <w:r>
              <w:rPr>
                <w:b/>
                <w:sz w:val="17"/>
              </w:rPr>
              <w:t>20,740</w:t>
            </w:r>
          </w:p>
        </w:tc>
        <w:tc>
          <w:tcPr>
            <w:tcW w:type="dxa" w:w="1440"/>
            <w:shd w:fill="FAFAFA" w:val="clear"/>
          </w:tcPr>
          <w:p>
            <w:r>
              <w:rPr>
                <w:sz w:val="17"/>
              </w:rPr>
              <w:t>24,310</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ORAC (Orange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3 126,10 milliards FCFA, ORAC s'impose comme l'une des valeurs phares de la BRVM, représentant une part significative de la capitalisation totale du marché régional et confirmant son statut de « blue chip » défensif. Le BPA de 1 114 FCFA/action indique le bénéfice net généré par chaque titre détenu. Le PER de 18,6x se situe nettement au-dessus de la moyenne BRVM (8-12x), traduisant une prime de qualité que les investisseurs acceptent de payer pour un leader télécoms à croissance à deux chiffres — valorisation « modérée » selon les normes du secteur, mais exigeante pour le marché régional. Le P/B de 4,42x confirme cette prime : le marché valorise ORAC à plus de quatre fois sa valeur comptable, reflet d'une rentabilité des fonds propres élevée (ROE 23,7%) et d'actifs immatériels (marque, licences, réseau) non capturés au bilan. Enfin, l'EV/EBITDA de 7,4x, dans la fourchette raisonnable de 5-10x, suggère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performance remarquable de +29,69%, avec une dernière séance en hausse de +0,73% à 20 750 FCFA, confirmant une dynamique haussière soutenue. Le titre a évolué dans un range large de 15 555 FCFA (plus bas) à 22 500 FCFA (plus haut), soit une amplitude de près de 45% — signe d'une forte volatilité directionnelle. La moyenne (18 570 FCFA) se situe au-dessus de la médiane (17 025 FCFA), indiquant une distribution légèrement tirée vers le haut par les récents sommets, tandis que le mode à 16 000 FCFA rappelle que le titre a longtemps stagné avant son envolée. L'écart-type de 2 513 FCFA avec un coefficient de variation de 13,5% traduit une dispersion modérée relative à la moyenne. Le kurtosis négatif (-1,675, platykurtique) signale une distribution aplatie, sans pics extrêmes marqués — le risque de chocs brutaux est donc limité. Le skewness de 0,309, proche de zéro, confirme une distribution quasi symétrique. La volatilité annualisée de 38,4% classe ORAC dans la catégorie des titres à volatilité élevée (&gt;30%), cohérent avec un profil de croissance mais exigeant une tolérance au risque certaine.</w:t>
      </w:r>
    </w:p>
    <w:p>
      <w:pPr>
        <w:spacing w:after="120" w:line="276" w:lineRule="auto"/>
      </w:pPr>
      <w:r>
        <w:t>---</w:t>
      </w:r>
    </w:p>
    <w:p>
      <w:pPr>
        <w:spacing w:after="120" w:line="276" w:lineRule="auto"/>
      </w:pPr>
      <w:r>
        <w:t>## PARTIE 2 : ANALYSE TECHNIQUE DÉTAILLÉE</w:t>
      </w:r>
    </w:p>
    <w:p>
      <w:pPr>
        <w:spacing w:after="120" w:line="276" w:lineRule="auto"/>
      </w:pPr>
      <w:r>
        <w:t>**Moyennes Mobiles** : La MM20 (21 294 FCFA) et la MM50 (20 811,4 FCFA) se situent toutes deux au-dessus du cours actuel (20 750 FCFA), ce qui traduit un léger repli du titre sous ses références de court et moyen terme. Cependant, la MM20 reste supérieure à la MM50, configuration haussière de fond, justifiant la décision « Achat » malgré la consolidation en cours.</w:t>
      </w:r>
    </w:p>
    <w:p>
      <w:pPr>
        <w:spacing w:after="120" w:line="276" w:lineRule="auto"/>
      </w:pPr>
      <w:r>
        <w:t>**Bandes de Bollinger** : Le cours (20 750 FCFA) évolue dans la partie basse de la bande (borne inférieure 20 040 FCFA, supérieure 22 548 FCFA), sans franchissement des bornes. Cette position médiane-basse, avec un rétrécissement apparent des bandes, suggère une phase de compression de volatilité propice à un rebond, d'où la décision « Neutre ».</w:t>
      </w:r>
    </w:p>
    <w:p>
      <w:pPr>
        <w:spacing w:after="120" w:line="276" w:lineRule="auto"/>
      </w:pPr>
      <w:r>
        <w:t>**MACD** : La valeur du MACD (43,883) est très inférieure à son signal (211,025), configuration baissière classique indiquant un momentum négatif persistant. Cette divergence significative justifie pleinement la décision « Vente » à court terme, le croisement baissier n'ayant pas encore été résorbé.</w:t>
      </w:r>
    </w:p>
    <w:p>
      <w:pPr>
        <w:spacing w:after="120" w:line="276" w:lineRule="auto"/>
      </w:pPr>
      <w:r>
        <w:t>**RSI** : À 45,567, le RSI se situe en zone neutre (30-70), sans signal de surachat ni de survente. Cette position médiane confirme l'absence de pression acheteuse ou vendeuse dominante, justifiant la décision « Neutre » et un potentiel de rebond comme de repli équilibré.</w:t>
      </w:r>
    </w:p>
    <w:p>
      <w:pPr>
        <w:spacing w:after="120" w:line="276" w:lineRule="auto"/>
      </w:pPr>
      <w:r>
        <w:t>**Stochastique** : Le %K (40,476) est inférieur au %D (50,0), sans croisement haussier validé, et les deux lignes évoluent en zone neutre-basse. Cette configuration traduit une absence de momentum directionnel clair, justifiant la décision « Neutre ».</w:t>
      </w:r>
    </w:p>
    <w:p>
      <w:pPr>
        <w:spacing w:after="120" w:line="276" w:lineRule="auto"/>
      </w:pPr>
      <w:r>
        <w:t>**Conclusion technique** : Les indicateurs présentent un tableau mitigé — la structure de fond reste haussière (MM20 &gt; MM50, décision Achat), mais le momentum court terme est négatif (MACD en vente) et le titre consolide sous ses moyennes mobiles. Le RSI et le stochastique neutres suggèrent une phase d'indécision, tandis que la position dans les bandes de Bollinger laisse entrevoir un potentiel de rebond. La convergence partielle plaide pour une consolidation avant reprise, avec un avantage tactique à la prudence à court terme malgré un biais haussier de moyen terme.</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(rapport annuel publié le 31/12/2025) révèlent une société robuste : un chiffre d'affaires de 1 197,1 milliards FCFA en croissance de +10,42%, un résultat net de 167,8 milliards FCFA (marge nette 14,02%), un ROE excellent de 23,71% et un ROA de 6,57%. La structure financière est saine avec une autonomie financière de 27,71%, une capacité de remboursement de 0,99 an (dette financière/CAF) et une couverture des intérêts de 1 018% — la dette est très largement maîtrisée. En tant qu'entreprise télécoms, les délais d'exploitation méritent attention : le délai clients de 52,26 jours constitue un risque de trésorerie modéré, mais il est largement compensé par le délai fournisseurs de 210,87 jours (excellent pour la trésorerie) et un BFR négatif de -198,0 milliards FCFA, structurellement favorable. La trésorerie nette positive de 113,9 milliards FCFA et le Free Cash Flow de 156,2 milliards FCFA confirment la solidité du modèle. Les rapports trimestriels récents confirment l'accélération : le T1 2026 (rapport du 31/03/2026) affiche un CA de 325,6 Mds FCFA (+14,8%) et un résultat net de 48,3 Mds (+25,2%), tandis que le S1 2026 (rapport du 30/06/2026) montre un CA de 672,8 Mds (+16,1%) et un résultat net de 90,3 Mds (+18,3%). Sur cette base, on estime que l'exercice 2026 devrait dépasser 1 350 milliards FCFA de CA avec un résultat net approchant 190-200 milliards FCFA, confirmant l'accélération de la croissance. Le dividende proposé de 800 FCFA/action (AG du 29/04/2026) offre un rendement attractif d'environ 3,9% au cours actuel, avec un payout de 93,3% — généreux mais soutenable grâce aux cash-flows solides. La recommandation fondamentale est **ACHAT** : leader régional, croissance à deux chiffres, rentabilité élevée, bilan solide et dividende attractif, avec pour principaux risques la pression fiscale (+35% d'impôts au S1 2026) et l'exposition multi-pays (Burkina Faso, Liberia).</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mais globalement favorable. Sur le plan de la **valorisation**, le PER de 18,6x et le P/B de 4,42x traduisent une prime certaine par rapport au marché BRVM, mais elle est justifiée par un ROE de 23,7% et une croissance à deux chiffres — l'EV/EBITDA de 7,4x restant raisonnable. Le **comportement du cours** est haussier (+29,69% sur 100 jours) avec une volatilité élevée (38,4%) mais une distribution symétrique et sans pics extrêmes (kurtosis -1,675), ce qui est rassurant pour la gestion du risque. Les **signaux techniques** sont mitigés : structure haussière de fond (MM20 &gt; MM50) mais momentum court terme négatif (MACD en vente) et consolidation sous les moyennes mobiles, plaidant pour une entrée progressive plutôt qu'immédiate. Les **fondamentaux** sont excellents et en accélération (S1 2026 : CA +16,1%, RN +18,3%), avec un bilan solide et un dividende attractif. Les **prédictions IA** (20 893 → 20 807 FCFA sur J+1 à J+10) anticipent une légère consolidation de -0,3%, cohérente avec le momentum technique actuel mais contredisant la dynamique fondamentale haussière. Face à cette convergence partielle — fondamentaux et valorisation favorables, technique en consolidation temporaire, prédictions en repli modéré — la recommandation finale est **ACHAT**, avec un niveau de confiance **Moyen** (la divergence technique court terme tempérant l'enthousiasme fondamental) et un niveau de risque **Moyen** (volatilité élevée mais distribution symétrique et bilan solide). L'horizon optimal est le **moyen à long terme** (6-18 mois), le temps que la consolidation technique se résorbe et que la croissance bénéficiaire se matérialise, avec un point d'entrée idéal vers 20 000-20 500 FCFA (borne inférieure de Bollinger) pour optimiser le rapport risque/rendement.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193.67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4,143 titres</w:t>
            </w:r>
          </w:p>
        </w:tc>
        <w:tc>
          <w:tcPr>
            <w:tcW w:type="dxa" w:w="2268"/>
            <w:shd w:fill="FFF2CC" w:val="clear"/>
          </w:tcPr>
          <w:p>
            <w:r>
              <w:rPr>
                <w:b/>
                <w:color w:val="503200"/>
                <w:sz w:val="16"/>
              </w:rPr>
              <w:t xml:space="preserve">Cours actuel : </w:t>
            </w:r>
            <w:r>
              <w:rPr>
                <w:color w:val="000000"/>
                <w:sz w:val="17"/>
              </w:rPr>
              <w:t>2,790 FCFA</w:t>
            </w:r>
          </w:p>
          <w:p>
            <w:r>
              <w:rPr>
                <w:b/>
                <w:color w:val="503200"/>
                <w:sz w:val="16"/>
              </w:rPr>
              <w:t xml:space="preserve">Var. 100 jours : </w:t>
            </w:r>
            <w:r>
              <w:rPr>
                <w:b/>
                <w:color w:val="007800"/>
                <w:sz w:val="17"/>
              </w:rPr>
              <w:t>+2.01%</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7.62% (Moyenne) — μ=2,918 FCFA, σ=222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β=0.8394 (Neutre (suit le marché)) — Cov=0.000065, Var(idx)=0.000077, ρ=0.324,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4,143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090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2,664</w:t>
            </w:r>
          </w:p>
        </w:tc>
        <w:tc>
          <w:tcPr>
            <w:tcW w:type="dxa" w:w="1440"/>
            <w:shd w:fill="FAFAFA" w:val="clear"/>
          </w:tcPr>
          <w:p>
            <w:r>
              <w:rPr>
                <w:b/>
                <w:sz w:val="17"/>
              </w:rPr>
              <w:t>2,793</w:t>
            </w:r>
          </w:p>
        </w:tc>
        <w:tc>
          <w:tcPr>
            <w:tcW w:type="dxa" w:w="1440"/>
            <w:shd w:fill="FAFAFA" w:val="clear"/>
          </w:tcPr>
          <w:p>
            <w:r>
              <w:rPr>
                <w:sz w:val="17"/>
              </w:rPr>
              <w:t>2,922</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2,610</w:t>
            </w:r>
          </w:p>
        </w:tc>
        <w:tc>
          <w:tcPr>
            <w:tcW w:type="dxa" w:w="1440"/>
            <w:shd w:fill="FAFAFA" w:val="clear"/>
          </w:tcPr>
          <w:p>
            <w:r>
              <w:rPr>
                <w:b/>
                <w:sz w:val="17"/>
              </w:rPr>
              <w:t>2,793</w:t>
            </w:r>
          </w:p>
        </w:tc>
        <w:tc>
          <w:tcPr>
            <w:tcW w:type="dxa" w:w="1440"/>
            <w:shd w:fill="FAFAFA" w:val="clear"/>
          </w:tcPr>
          <w:p>
            <w:r>
              <w:rPr>
                <w:sz w:val="17"/>
              </w:rPr>
              <w:t>2,976</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2,569</w:t>
            </w:r>
          </w:p>
        </w:tc>
        <w:tc>
          <w:tcPr>
            <w:tcW w:type="dxa" w:w="1440"/>
            <w:shd w:fill="FAFAFA" w:val="clear"/>
          </w:tcPr>
          <w:p>
            <w:r>
              <w:rPr>
                <w:b/>
                <w:sz w:val="17"/>
              </w:rPr>
              <w:t>2,793</w:t>
            </w:r>
          </w:p>
        </w:tc>
        <w:tc>
          <w:tcPr>
            <w:tcW w:type="dxa" w:w="1440"/>
            <w:shd w:fill="FAFAFA" w:val="clear"/>
          </w:tcPr>
          <w:p>
            <w:r>
              <w:rPr>
                <w:sz w:val="17"/>
              </w:rPr>
              <w:t>3,018</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2,534</w:t>
            </w:r>
          </w:p>
        </w:tc>
        <w:tc>
          <w:tcPr>
            <w:tcW w:type="dxa" w:w="1440"/>
            <w:shd w:fill="FAFAFA" w:val="clear"/>
          </w:tcPr>
          <w:p>
            <w:r>
              <w:rPr>
                <w:b/>
                <w:sz w:val="17"/>
              </w:rPr>
              <w:t>2,793</w:t>
            </w:r>
          </w:p>
        </w:tc>
        <w:tc>
          <w:tcPr>
            <w:tcW w:type="dxa" w:w="1440"/>
            <w:shd w:fill="FAFAFA" w:val="clear"/>
          </w:tcPr>
          <w:p>
            <w:r>
              <w:rPr>
                <w:sz w:val="17"/>
              </w:rPr>
              <w:t>3,052</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2,504</w:t>
            </w:r>
          </w:p>
        </w:tc>
        <w:tc>
          <w:tcPr>
            <w:tcW w:type="dxa" w:w="1440"/>
            <w:shd w:fill="FAFAFA" w:val="clear"/>
          </w:tcPr>
          <w:p>
            <w:r>
              <w:rPr>
                <w:b/>
                <w:sz w:val="17"/>
              </w:rPr>
              <w:t>2,793</w:t>
            </w:r>
          </w:p>
        </w:tc>
        <w:tc>
          <w:tcPr>
            <w:tcW w:type="dxa" w:w="1440"/>
            <w:shd w:fill="FAFAFA" w:val="clear"/>
          </w:tcPr>
          <w:p>
            <w:r>
              <w:rPr>
                <w:sz w:val="17"/>
              </w:rPr>
              <w:t>3,082</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2,476</w:t>
            </w:r>
          </w:p>
        </w:tc>
        <w:tc>
          <w:tcPr>
            <w:tcW w:type="dxa" w:w="1440"/>
            <w:shd w:fill="FAFAFA" w:val="clear"/>
          </w:tcPr>
          <w:p>
            <w:r>
              <w:rPr>
                <w:b/>
                <w:sz w:val="17"/>
              </w:rPr>
              <w:t>2,793</w:t>
            </w:r>
          </w:p>
        </w:tc>
        <w:tc>
          <w:tcPr>
            <w:tcW w:type="dxa" w:w="1440"/>
            <w:shd w:fill="FAFAFA" w:val="clear"/>
          </w:tcPr>
          <w:p>
            <w:r>
              <w:rPr>
                <w:sz w:val="17"/>
              </w:rPr>
              <w:t>3,110</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2,450</w:t>
            </w:r>
          </w:p>
        </w:tc>
        <w:tc>
          <w:tcPr>
            <w:tcW w:type="dxa" w:w="1440"/>
            <w:shd w:fill="FAFAFA" w:val="clear"/>
          </w:tcPr>
          <w:p>
            <w:r>
              <w:rPr>
                <w:b/>
                <w:sz w:val="17"/>
              </w:rPr>
              <w:t>2,792</w:t>
            </w:r>
          </w:p>
        </w:tc>
        <w:tc>
          <w:tcPr>
            <w:tcW w:type="dxa" w:w="1440"/>
            <w:shd w:fill="FAFAFA" w:val="clear"/>
          </w:tcPr>
          <w:p>
            <w:r>
              <w:rPr>
                <w:sz w:val="17"/>
              </w:rPr>
              <w:t>3,134</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2,426</w:t>
            </w:r>
          </w:p>
        </w:tc>
        <w:tc>
          <w:tcPr>
            <w:tcW w:type="dxa" w:w="1440"/>
            <w:shd w:fill="FAFAFA" w:val="clear"/>
          </w:tcPr>
          <w:p>
            <w:r>
              <w:rPr>
                <w:b/>
                <w:sz w:val="17"/>
              </w:rPr>
              <w:t>2,792</w:t>
            </w:r>
          </w:p>
        </w:tc>
        <w:tc>
          <w:tcPr>
            <w:tcW w:type="dxa" w:w="1440"/>
            <w:shd w:fill="FAFAFA" w:val="clear"/>
          </w:tcPr>
          <w:p>
            <w:r>
              <w:rPr>
                <w:sz w:val="17"/>
              </w:rPr>
              <w:t>3,158</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2,403</w:t>
            </w:r>
          </w:p>
        </w:tc>
        <w:tc>
          <w:tcPr>
            <w:tcW w:type="dxa" w:w="1440"/>
            <w:shd w:fill="FAFAFA" w:val="clear"/>
          </w:tcPr>
          <w:p>
            <w:r>
              <w:rPr>
                <w:b/>
                <w:sz w:val="17"/>
              </w:rPr>
              <w:t>2,791</w:t>
            </w:r>
          </w:p>
        </w:tc>
        <w:tc>
          <w:tcPr>
            <w:tcW w:type="dxa" w:w="1440"/>
            <w:shd w:fill="FAFAFA" w:val="clear"/>
          </w:tcPr>
          <w:p>
            <w:r>
              <w:rPr>
                <w:sz w:val="17"/>
              </w:rPr>
              <w:t>3,179</w:t>
            </w:r>
          </w:p>
        </w:tc>
        <w:tc>
          <w:tcPr>
            <w:tcW w:type="dxa" w:w="1440"/>
            <w:shd w:fill="FAFAFA" w:val="clear"/>
          </w:tcPr>
          <w:p>
            <w:r>
              <w:rPr>
                <w:b/>
                <w:color w:val="008000"/>
                <w:sz w:val="17"/>
              </w:rPr>
              <w:t>+0.0%</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2,382</w:t>
            </w:r>
          </w:p>
        </w:tc>
        <w:tc>
          <w:tcPr>
            <w:tcW w:type="dxa" w:w="1440"/>
            <w:shd w:fill="FAFAFA" w:val="clear"/>
          </w:tcPr>
          <w:p>
            <w:r>
              <w:rPr>
                <w:b/>
                <w:sz w:val="17"/>
              </w:rPr>
              <w:t>2,791</w:t>
            </w:r>
          </w:p>
        </w:tc>
        <w:tc>
          <w:tcPr>
            <w:tcW w:type="dxa" w:w="1440"/>
            <w:shd w:fill="FAFAFA" w:val="clear"/>
          </w:tcPr>
          <w:p>
            <w:r>
              <w:rPr>
                <w:sz w:val="17"/>
              </w:rPr>
              <w:t>3,200</w:t>
            </w:r>
          </w:p>
        </w:tc>
        <w:tc>
          <w:tcPr>
            <w:tcW w:type="dxa" w:w="1440"/>
            <w:shd w:fill="FAFAFA" w:val="clear"/>
          </w:tcPr>
          <w:p>
            <w:r>
              <w:rPr>
                <w:b/>
                <w:color w:val="008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193,67 milliards FCFA, ORGT s'inscrit dans la catégorie des valeurs moyennes de la cote BRVM, ce qui traduit une certaine maturité boursière mais aussi une liquidité limitée. Le BPA de 312 FCFA par action signifie que chaque titre génère un bénéfice net de 312 FCFA, un niveau qui, rapporté au cours actuel de 2 790 FCFA, donne un PER de 8,9x — inférieur à la moyenne BRVM (8-12x), ce qui suggère une valorisation potentiellement attractive au regard des bénéfices. Le P/B de 1,71x indique que le marché valorise ORGT à 71% au-dessus de sa valeur comptable, un niveau raisonnable pour une banque en redressement. En revanche, l'EV/EBITDA de 19,3x apparaît très exigeant (&gt;15x), signalant que la valeur d'entreprise intègre déjà une forte anticipation de reprise opérationnelle — un point de vigilance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variation totale de +2,01%, avec une dernière séance en hausse de +0,36%, portant le cours à 2 790 FCFA. Le titre a évolué dans un range de 800 FCFA, entre un plus bas de 2 600 FCFA et un plus haut de 3 400 FCFA, soit une amplitude de près de 31% — reflétant une phase de correction après un pic. La tendance générale est baissière sur la seconde moitié de la période, le cours se situant désormais sous sa moyenne (2 918 FCFA) et sa médiane (2 875 FCFA), ce qui traduit une distribution légèrement asymétrique vers le bas malgré un skewness positif de 0,345 (distribution globalement symétrique). L'écart-type de 224 FCFA et le coefficient de variation de 7,7% indiquent une dispersion modérée du cours autour de sa moyenne, tandis que le kurtosis de -1,224 (distribution platykurtique) signale une faible concentration des rendements et un risque de pics atténué. La volatilité annualisée de 36,0% positionne ORGT dans la catégorie des titres à volatilité élevée (&gt;30%), ce qui implique un risque de marché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(2 916,25 FCFA) et la MM50 (3 080,3 FCFA) se situent toutes deux au-dessus du cours actuel (2 790 FCFA), avec une MM20 inférieure à la MM50 — configuration baissière caractéristique. Le cours évoluant sous ses deux moyennes, la pression vendeuse domine, justifiant la décision **Vente**.</w:t>
      </w:r>
    </w:p>
    <w:p>
      <w:pPr>
        <w:spacing w:after="120" w:line="276" w:lineRule="auto"/>
      </w:pPr>
      <w:r>
        <w:t>**Bandes de Bollinger** : Le cours (2 790 FCFA) se situe dans la partie basse de la bande, entre la borne inférieure (2 712,835 FCFA) et la borne supérieure (3 119,665 FCFA), sans franchissement de seuil. Cette position proche de la borne basse traduit une volatilité contenue et une absence de signal directionnel fort, d'où la décision **Neutre**.</w:t>
      </w:r>
    </w:p>
    <w:p>
      <w:pPr>
        <w:spacing w:after="120" w:line="276" w:lineRule="auto"/>
      </w:pPr>
      <w:r>
        <w:t>**MACD** : La valeur du MACD (-82,713) est inférieure à sa ligne de signal (-68,194), confirmant un momentum négatif et une dynamique baissière persistante. La divergence négative entre les deux courbes justifie pleinement la décision **Vente**.</w:t>
      </w:r>
    </w:p>
    <w:p>
      <w:pPr>
        <w:spacing w:after="120" w:line="276" w:lineRule="auto"/>
      </w:pPr>
      <w:r>
        <w:t>**RSI** : À 37,349, le RSI se situe dans la zone neutre basse (30-70), sans atteindre le seuil de survente (&lt;30). Le titre n'est donc ni survendu ni suracheté, ce qui justifie la décision **Neutre** et suggère une possible stabilisation à court terme.</w:t>
      </w:r>
    </w:p>
    <w:p>
      <w:pPr>
        <w:spacing w:after="120" w:line="276" w:lineRule="auto"/>
      </w:pPr>
      <w:r>
        <w:t>**Stochastique** : Le %K (4,545) est supérieur au %D (1,515), les deux valeurs étant proches de zéro — zone de survente extrême. Ce croisement haussier en zone basse constitue un signal d'achat contrariant, justifiant la décision **Achat** et suggérant un rebond technique imminent.</w:t>
      </w:r>
    </w:p>
    <w:p>
      <w:pPr>
        <w:spacing w:after="120" w:line="276" w:lineRule="auto"/>
      </w:pPr>
      <w:r>
        <w:t>**Conclusion technique** : Les indicateurs présentent une divergence notable — les moyennes mobiles et le MACD confirment une tendance baissière, tandis que le stochastique signale une survente propice à un rebond et que le RSI reste neutre. Les bandes de Bollinger n'offrent pas de signal directionnel clair. Cette configuration mixte plaide pour une **prudence à court terme**, avec un potentiel de rebond technique limité tant que le cours reste sous la MM20 (2 916 FCFA), niveau à surveiller comme première résistance.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affiche un Produit Net Bancaire (équivalent du chiffre d'affaires bancaire) de 186,609 milliards FCFA, en recul de -4,52% par rapport à 2024 (195,436 milliards FCFA), reflétant une contraction de l'activité commerciale. Le résultat net s'établit à 21,643 milliards FCFA, marquant un redressement spectaculaire après la perte de -44,363 milliards FCFA en 2024. Le ROE atteint 19,13% (&gt;15% = excellent) et le ROA 0,54%, tandis que le coefficient d'exploitation de 42,85% (&lt;50% = excellente efficacité) témoigne d'une gestion rigoureuse des charges. Le coût du risque rapporté aux charges financières s'élève à 3,74%, un niveau modéré signalant un portefeuille de crédit assaini. La structure bilancielle reste solide avec des dépôts clientèle de 3 088,698 milliards FCFA (principale ressource) couvrant largement les créances clientèle de 1 523,765 milliards FCFA, et des capitaux propres renforcés à 113,165 milliards FCFA (+17%).</w:t>
      </w:r>
    </w:p>
    <w:p>
      <w:pPr>
        <w:spacing w:after="120" w:line="276" w:lineRule="auto"/>
      </w:pPr>
      <w:r>
        <w:t>**Estimations basées sur les rapports trimestriels** : Le rapport du T1 2026 (publié en 2026) confirme la poursuite de la dynamique : PNB de 50,124 milliards FCFA (-2%), mais résultat net en hausse de +37% à 6,555 milliards FCFA, avec des dépôts clientèle en progression de +14% à 3 343 milliards FCFA et un coût du risque en baisse de -10%. Sur cette base, on peut estimer que l'exercice 2026 devrait consolider le redressement avec un résultat net annuel potentiellement supérieur à 25 milliards FCFA, porté par la maîtrise des coûts et la normalisation du risque. Les rapports 2025 (S1, T3, annuel) confirment tous la même trajectoire : réduction drastique du coût net du risque (-90% en 2025) et baisse des frais généraux (-12%), au prix d'une contraction volontaire du crédit (-12% à -16%).</w:t>
      </w:r>
    </w:p>
    <w:p>
      <w:pPr>
        <w:spacing w:after="120" w:line="276" w:lineRule="auto"/>
      </w:pPr>
      <w:r>
        <w:t>**Recommandation fondamentale** : La solidité financière est réelle (ROE 19,1%, coefficient d'exploitation 42,9%, capitaux propres renforcés), mais la baisse du PNB (-4,5% en 2025, -2% au T1 2026) constitue le principal point de vigilance. La recommandation fondamentale est **CONSERVER** : le redressement est spectaculaire et les fondamentaux assainis, mais l'absence de croissance organique du PNB et l'absence de dividende (AG du 23 juillet 2026) invitent à la patience avant un passage à l'achat.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 le PER de 8,9x (sous la moyenne BRVM) et le P/B de 1,71x suggèrent une sous-évaluation relative, bien que l'EV/EBITDA de 19,3x tempère cette lecture en intégrant déjà une forte anticipation de reprise. **Comportement du cours** : la tendance baissière récente (+2,01% sur 100 jours mais cours sous les moyennes), la volatilité élevée (36%) et la distribution platykurtique (kurtosis -1,224) traduisent un risque de marché significatif mais sans pics extrêmes. **Signaux techniques** : divergence entre indicateurs baissiers (MM, MACD) et signaux de survente (stochastique), plaidant pour une stabilisation plutôt qu'un rebond franc. **Fondamentaux** : redressement spectaculaire confirmé (résultat net 21,6 Mds FCFA en 2025, ROE 19,1%, coefficient d'exploitation 42,9%), mais PNB en contraction et absence de dividende. **Prédictions IA** : la trajectoire plate à 2 793 FCFA sur J+1 à J+10 confirme l'absence de catalyseur court terme et valide la thèse d'une stabilisation.</w:t>
      </w:r>
    </w:p>
    <w:p>
      <w:pPr>
        <w:spacing w:after="120" w:line="276" w:lineRule="auto"/>
      </w:pPr>
      <w:r>
        <w:t>**Recommandation finale : CONSERVER** — avec un niveau de confiance **Moyen** et un risque global **Moyen**. La convergence entre valorisation attractive (PER 8,9x), fondamentaux assainis (ROE 19,1%) et signaux techniques de survente (stochastique) soutient le maintien en portefeuille, mais la contraction du PNB, l'absence de dividende et la tendance baissière du cours interdisent un passage à l'achat immédiat. **Horizon optimal : moyen terme (3-12 mois)**, le temps de vérifier la reprise du PNB lors des prochains trimestres — un retour durable au-dessus de la MM20 (2 916 FCFA) constituerait le signal de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119.11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4,428 titres</w:t>
            </w:r>
          </w:p>
        </w:tc>
        <w:tc>
          <w:tcPr>
            <w:tcW w:type="dxa" w:w="2268"/>
            <w:shd w:fill="FFF2CC" w:val="clear"/>
          </w:tcPr>
          <w:p>
            <w:r>
              <w:rPr>
                <w:b/>
                <w:color w:val="503200"/>
                <w:sz w:val="16"/>
              </w:rPr>
              <w:t xml:space="preserve">Cours actuel : </w:t>
            </w:r>
            <w:r>
              <w:rPr>
                <w:color w:val="000000"/>
                <w:sz w:val="17"/>
              </w:rPr>
              <w:t>7,705 FCFA</w:t>
            </w:r>
          </w:p>
          <w:p>
            <w:r>
              <w:rPr>
                <w:b/>
                <w:color w:val="503200"/>
                <w:sz w:val="16"/>
              </w:rPr>
              <w:t xml:space="preserve">Var. 100 jours : </w:t>
            </w:r>
            <w:r>
              <w:rPr>
                <w:b/>
                <w:color w:val="B40000"/>
                <w:sz w:val="17"/>
              </w:rPr>
              <w:t>-3.63%</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7,600 FCFA</w:t>
            </w:r>
          </w:p>
          <w:p>
            <w:r>
              <w:rPr>
                <w:b/>
                <w:color w:val="503200"/>
                <w:sz w:val="16"/>
              </w:rPr>
              <w:t xml:space="preserve">Volatilité ann. : </w:t>
            </w:r>
            <w:r>
              <w:rPr>
                <w:color w:val="000000"/>
                <w:sz w:val="17"/>
              </w:rPr>
              <w:t>34.0%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5.40% (Moyenne) — μ=8,629 FCFA, σ=466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β=0.0989 (Défensif) — Cov=0.000008, Var(idx)=0.000077, ρ=0.040,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σ_j=2.14%/j (Stable) — Vol. annualisée≈34.0%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0906"/>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7,392</w:t>
            </w:r>
          </w:p>
        </w:tc>
        <w:tc>
          <w:tcPr>
            <w:tcW w:type="dxa" w:w="1440"/>
            <w:shd w:fill="FAFAFA" w:val="clear"/>
          </w:tcPr>
          <w:p>
            <w:r>
              <w:rPr>
                <w:b/>
                <w:sz w:val="17"/>
              </w:rPr>
              <w:t>7,619</w:t>
            </w:r>
          </w:p>
        </w:tc>
        <w:tc>
          <w:tcPr>
            <w:tcW w:type="dxa" w:w="1440"/>
            <w:shd w:fill="FAFAFA" w:val="clear"/>
          </w:tcPr>
          <w:p>
            <w:r>
              <w:rPr>
                <w:sz w:val="17"/>
              </w:rPr>
              <w:t>7,847</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7,279</w:t>
            </w:r>
          </w:p>
        </w:tc>
        <w:tc>
          <w:tcPr>
            <w:tcW w:type="dxa" w:w="1440"/>
            <w:shd w:fill="FAFAFA" w:val="clear"/>
          </w:tcPr>
          <w:p>
            <w:r>
              <w:rPr>
                <w:b/>
                <w:sz w:val="17"/>
              </w:rPr>
              <w:t>7,600</w:t>
            </w:r>
          </w:p>
        </w:tc>
        <w:tc>
          <w:tcPr>
            <w:tcW w:type="dxa" w:w="1440"/>
            <w:shd w:fill="FAFAFA" w:val="clear"/>
          </w:tcPr>
          <w:p>
            <w:r>
              <w:rPr>
                <w:sz w:val="17"/>
              </w:rPr>
              <w:t>7,921</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7,182</w:t>
            </w:r>
          </w:p>
        </w:tc>
        <w:tc>
          <w:tcPr>
            <w:tcW w:type="dxa" w:w="1440"/>
            <w:shd w:fill="FAFAFA" w:val="clear"/>
          </w:tcPr>
          <w:p>
            <w:r>
              <w:rPr>
                <w:b/>
                <w:sz w:val="17"/>
              </w:rPr>
              <w:t>7,574</w:t>
            </w:r>
          </w:p>
        </w:tc>
        <w:tc>
          <w:tcPr>
            <w:tcW w:type="dxa" w:w="1440"/>
            <w:shd w:fill="FAFAFA" w:val="clear"/>
          </w:tcPr>
          <w:p>
            <w:r>
              <w:rPr>
                <w:sz w:val="17"/>
              </w:rPr>
              <w:t>7,966</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2026-10-23</w:t>
            </w:r>
          </w:p>
        </w:tc>
        <w:tc>
          <w:tcPr>
            <w:tcW w:type="dxa" w:w="1440"/>
            <w:shd w:fill="FFDCE0" w:val="clear"/>
          </w:tcPr>
          <w:p>
            <w:r>
              <w:rPr>
                <w:sz w:val="17"/>
              </w:rPr>
              <w:t>7,098</w:t>
            </w:r>
          </w:p>
        </w:tc>
        <w:tc>
          <w:tcPr>
            <w:tcW w:type="dxa" w:w="1440"/>
            <w:shd w:fill="FFDCE0" w:val="clear"/>
          </w:tcPr>
          <w:p>
            <w:r>
              <w:rPr>
                <w:b/>
                <w:sz w:val="17"/>
              </w:rPr>
              <w:t>7,548</w:t>
            </w:r>
          </w:p>
        </w:tc>
        <w:tc>
          <w:tcPr>
            <w:tcW w:type="dxa" w:w="1440"/>
            <w:shd w:fill="FFDCE0" w:val="clear"/>
          </w:tcPr>
          <w:p>
            <w:r>
              <w:rPr>
                <w:sz w:val="17"/>
              </w:rPr>
              <w:t>7,999</w:t>
            </w:r>
          </w:p>
        </w:tc>
        <w:tc>
          <w:tcPr>
            <w:tcW w:type="dxa" w:w="1440"/>
            <w:shd w:fill="FFDCE0"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2026-10-26</w:t>
            </w:r>
          </w:p>
        </w:tc>
        <w:tc>
          <w:tcPr>
            <w:tcW w:type="dxa" w:w="1440"/>
            <w:shd w:fill="FFDCE0" w:val="clear"/>
          </w:tcPr>
          <w:p>
            <w:r>
              <w:rPr>
                <w:sz w:val="17"/>
              </w:rPr>
              <w:t>7,022</w:t>
            </w:r>
          </w:p>
        </w:tc>
        <w:tc>
          <w:tcPr>
            <w:tcW w:type="dxa" w:w="1440"/>
            <w:shd w:fill="FFDCE0" w:val="clear"/>
          </w:tcPr>
          <w:p>
            <w:r>
              <w:rPr>
                <w:b/>
                <w:sz w:val="17"/>
              </w:rPr>
              <w:t>7,524</w:t>
            </w:r>
          </w:p>
        </w:tc>
        <w:tc>
          <w:tcPr>
            <w:tcW w:type="dxa" w:w="1440"/>
            <w:shd w:fill="FFDCE0" w:val="clear"/>
          </w:tcPr>
          <w:p>
            <w:r>
              <w:rPr>
                <w:sz w:val="17"/>
              </w:rPr>
              <w:t>8,027</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2026-10-27</w:t>
            </w:r>
          </w:p>
        </w:tc>
        <w:tc>
          <w:tcPr>
            <w:tcW w:type="dxa" w:w="1440"/>
            <w:shd w:fill="FFDCE0" w:val="clear"/>
          </w:tcPr>
          <w:p>
            <w:r>
              <w:rPr>
                <w:sz w:val="17"/>
              </w:rPr>
              <w:t>6,953</w:t>
            </w:r>
          </w:p>
        </w:tc>
        <w:tc>
          <w:tcPr>
            <w:tcW w:type="dxa" w:w="1440"/>
            <w:shd w:fill="FFDCE0" w:val="clear"/>
          </w:tcPr>
          <w:p>
            <w:r>
              <w:rPr>
                <w:b/>
                <w:sz w:val="17"/>
              </w:rPr>
              <w:t>7,501</w:t>
            </w:r>
          </w:p>
        </w:tc>
        <w:tc>
          <w:tcPr>
            <w:tcW w:type="dxa" w:w="1440"/>
            <w:shd w:fill="FFDCE0" w:val="clear"/>
          </w:tcPr>
          <w:p>
            <w:r>
              <w:rPr>
                <w:sz w:val="17"/>
              </w:rPr>
              <w:t>8,050</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2026-10-28</w:t>
            </w:r>
          </w:p>
        </w:tc>
        <w:tc>
          <w:tcPr>
            <w:tcW w:type="dxa" w:w="1440"/>
            <w:shd w:fill="FFDCE0" w:val="clear"/>
          </w:tcPr>
          <w:p>
            <w:r>
              <w:rPr>
                <w:sz w:val="17"/>
              </w:rPr>
              <w:t>6,888</w:t>
            </w:r>
          </w:p>
        </w:tc>
        <w:tc>
          <w:tcPr>
            <w:tcW w:type="dxa" w:w="1440"/>
            <w:shd w:fill="FFDCE0" w:val="clear"/>
          </w:tcPr>
          <w:p>
            <w:r>
              <w:rPr>
                <w:b/>
                <w:sz w:val="17"/>
              </w:rPr>
              <w:t>7,479</w:t>
            </w:r>
          </w:p>
        </w:tc>
        <w:tc>
          <w:tcPr>
            <w:tcW w:type="dxa" w:w="1440"/>
            <w:shd w:fill="FFDCE0" w:val="clear"/>
          </w:tcPr>
          <w:p>
            <w:r>
              <w:rPr>
                <w:sz w:val="17"/>
              </w:rPr>
              <w:t>8,070</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2026-10-29</w:t>
            </w:r>
          </w:p>
        </w:tc>
        <w:tc>
          <w:tcPr>
            <w:tcW w:type="dxa" w:w="1440"/>
            <w:shd w:fill="FFDCE0" w:val="clear"/>
          </w:tcPr>
          <w:p>
            <w:r>
              <w:rPr>
                <w:sz w:val="17"/>
              </w:rPr>
              <w:t>6,828</w:t>
            </w:r>
          </w:p>
        </w:tc>
        <w:tc>
          <w:tcPr>
            <w:tcW w:type="dxa" w:w="1440"/>
            <w:shd w:fill="FFDCE0" w:val="clear"/>
          </w:tcPr>
          <w:p>
            <w:r>
              <w:rPr>
                <w:b/>
                <w:sz w:val="17"/>
              </w:rPr>
              <w:t>7,458</w:t>
            </w:r>
          </w:p>
        </w:tc>
        <w:tc>
          <w:tcPr>
            <w:tcW w:type="dxa" w:w="1440"/>
            <w:shd w:fill="FFDCE0" w:val="clear"/>
          </w:tcPr>
          <w:p>
            <w:r>
              <w:rPr>
                <w:sz w:val="17"/>
              </w:rPr>
              <w:t>8,089</w:t>
            </w:r>
          </w:p>
        </w:tc>
        <w:tc>
          <w:tcPr>
            <w:tcW w:type="dxa" w:w="1440"/>
            <w:shd w:fill="FFDCE0" w:val="clear"/>
          </w:tcPr>
          <w:p>
            <w:r>
              <w:rPr>
                <w:b/>
                <w:color w:val="C00000"/>
                <w:sz w:val="17"/>
              </w:rPr>
              <w:t>-3.2%</w:t>
            </w:r>
          </w:p>
        </w:tc>
      </w:tr>
      <w:tr>
        <w:tc>
          <w:tcPr>
            <w:tcW w:type="dxa" w:w="1440"/>
            <w:shd w:fill="FFDCE0" w:val="clear"/>
          </w:tcPr>
          <w:p>
            <w:r>
              <w:rPr>
                <w:sz w:val="17"/>
              </w:rPr>
              <w:t>J+9  Moyenne</w:t>
            </w:r>
          </w:p>
        </w:tc>
        <w:tc>
          <w:tcPr>
            <w:tcW w:type="dxa" w:w="1440"/>
            <w:shd w:fill="FFDCE0" w:val="clear"/>
          </w:tcPr>
          <w:p>
            <w:r>
              <w:rPr>
                <w:sz w:val="17"/>
              </w:rPr>
              <w:t>2026-10-30</w:t>
            </w:r>
          </w:p>
        </w:tc>
        <w:tc>
          <w:tcPr>
            <w:tcW w:type="dxa" w:w="1440"/>
            <w:shd w:fill="FFDCE0" w:val="clear"/>
          </w:tcPr>
          <w:p>
            <w:r>
              <w:rPr>
                <w:sz w:val="17"/>
              </w:rPr>
              <w:t>6,772</w:t>
            </w:r>
          </w:p>
        </w:tc>
        <w:tc>
          <w:tcPr>
            <w:tcW w:type="dxa" w:w="1440"/>
            <w:shd w:fill="FFDCE0" w:val="clear"/>
          </w:tcPr>
          <w:p>
            <w:r>
              <w:rPr>
                <w:b/>
                <w:sz w:val="17"/>
              </w:rPr>
              <w:t>7,438</w:t>
            </w:r>
          </w:p>
        </w:tc>
        <w:tc>
          <w:tcPr>
            <w:tcW w:type="dxa" w:w="1440"/>
            <w:shd w:fill="FFDCE0" w:val="clear"/>
          </w:tcPr>
          <w:p>
            <w:r>
              <w:rPr>
                <w:sz w:val="17"/>
              </w:rPr>
              <w:t>8,105</w:t>
            </w:r>
          </w:p>
        </w:tc>
        <w:tc>
          <w:tcPr>
            <w:tcW w:type="dxa" w:w="1440"/>
            <w:shd w:fill="FFDCE0" w:val="clear"/>
          </w:tcPr>
          <w:p>
            <w:r>
              <w:rPr>
                <w:b/>
                <w:color w:val="C00000"/>
                <w:sz w:val="17"/>
              </w:rPr>
              <w:t>-3.5%</w:t>
            </w:r>
          </w:p>
        </w:tc>
      </w:tr>
      <w:tr>
        <w:tc>
          <w:tcPr>
            <w:tcW w:type="dxa" w:w="1440"/>
            <w:shd w:fill="FFDCE0" w:val="clear"/>
          </w:tcPr>
          <w:p>
            <w:r>
              <w:rPr>
                <w:sz w:val="17"/>
              </w:rPr>
              <w:t>J+10  Moyenne</w:t>
            </w:r>
          </w:p>
        </w:tc>
        <w:tc>
          <w:tcPr>
            <w:tcW w:type="dxa" w:w="1440"/>
            <w:shd w:fill="FFDCE0" w:val="clear"/>
          </w:tcPr>
          <w:p>
            <w:r>
              <w:rPr>
                <w:sz w:val="17"/>
              </w:rPr>
              <w:t>2026-11-02</w:t>
            </w:r>
          </w:p>
        </w:tc>
        <w:tc>
          <w:tcPr>
            <w:tcW w:type="dxa" w:w="1440"/>
            <w:shd w:fill="FFDCE0" w:val="clear"/>
          </w:tcPr>
          <w:p>
            <w:r>
              <w:rPr>
                <w:sz w:val="17"/>
              </w:rPr>
              <w:t>6,719</w:t>
            </w:r>
          </w:p>
        </w:tc>
        <w:tc>
          <w:tcPr>
            <w:tcW w:type="dxa" w:w="1440"/>
            <w:shd w:fill="FFDCE0" w:val="clear"/>
          </w:tcPr>
          <w:p>
            <w:r>
              <w:rPr>
                <w:b/>
                <w:sz w:val="17"/>
              </w:rPr>
              <w:t>7,419</w:t>
            </w:r>
          </w:p>
        </w:tc>
        <w:tc>
          <w:tcPr>
            <w:tcW w:type="dxa" w:w="1440"/>
            <w:shd w:fill="FFDCE0" w:val="clear"/>
          </w:tcPr>
          <w:p>
            <w:r>
              <w:rPr>
                <w:sz w:val="17"/>
              </w:rPr>
              <w:t>8,120</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119,11 milliards FCFA, PALC s'affirme comme une valeur de premier plan de la cote BRVM, représentant un acteur agro-industriel structurant de l'économie ivoirienne. Le BPA de 1 003 FCFA/action signifie que chaque titre génère un bénéfice net d'environ mille francs, ce qui, rapporté au cours actuel de 7 705 FCFA, confère un PER de 7,7x — nettement inférieur à la moyenne BRVM (8-12x), signalant une valorisation modérée voire potentiellement sous-évaluée. Le ratio P/B de 0,84x est particulièrement révélateur : le marché valorise PALC en dessous de sa valeur comptable, situation rare qui peut traduire soit une opportunité d'investissement, soit une défiance persistante liée aux perspectives bénéficiaires. Enfin, l'EV/EBITDA de 3,8x, très en deçà du seuil de 5x, indique que la valeur d'entreprise ne représente que moins de quatre fois la capacité opérationnelle dégagée, un niveau attractif pour un industriel de cette taille. L'ensemble de ces ratios dessine un profil de valorisation bon marché, à condition que la rentabilité se maintienne.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variation totale de -3,63%, avec un rebond de +1,38% lors de la dernière séance, portant le cours à 7 705 FCFA. Le range de trading s'étend de 7 600 FCFA (plus bas) à 9 640 FCFA (plus haut), soit un écart d'environ 27%, témoignant d'une correction significative depuis les sommets. La tendance générale est baissière sur la période, le cours évoluant désormais dans le bas de sa fourchette, à proximité du support des 7 600 FCFA. Les statistiques descriptives révèlent une moyenne de 8 629 FCFA contre une médiane de 8 690 FCFA — l'écart modeste indique une distribution quasi symétrique, confirmée par un skewness de -0,206 (légère asymétrie négative, quelques séances baissières marquées). L'écart-type de 469 FCFA avec un coefficient de variation de 5,4% traduit une dispersion contenue autour de la moyenne, tandis que le kurtosis de -0,223 (mésokurtique) suggère une distribution proche de la normale, sans risque excessif de pics extrêmes. La volatilité annualisée de 34,0% positionne le titre dans la catégorie des valeurs à volatilité élevée (&gt;30%), ce qui est cohérent avec l'exposition de PALC aux cours mondiaux de l'huile de palme et justifie une prime de risque dans l'évaluation.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8 032,25 FCFA et la MM50 à 8 612,4 FCFA, toutes deux nettement supérieures au cours actuel de 7 705 FCFA. Cette configuration baissière (cours sous les deux moyennes mobiles, avec MM20 &lt; MM50) confirme la pression vendeuse persistante et justifie la décision technique de **Vente**.</w:t>
      </w:r>
    </w:p>
    <w:p>
      <w:pPr>
        <w:spacing w:after="120" w:line="276" w:lineRule="auto"/>
      </w:pPr>
      <w:r>
        <w:t>**Bandes de Bollinger** : Le cours (7 705 FCFA) évolue dans la partie basse du canal, entre la borne inférieure de 7 480,101 FCFA et la borne supérieure de 8 584,399 FCFA. La proximité du cours avec la borne inférieure indique une pression baissière mais aussi un potentiel de rebond technique ; la décision est **Neutre**, le titre n'étant ni en survente extrême ni en zone de surachat.</w:t>
      </w:r>
    </w:p>
    <w:p>
      <w:pPr>
        <w:spacing w:after="120" w:line="276" w:lineRule="auto"/>
      </w:pPr>
      <w:r>
        <w:t>**MACD** : La valeur du MACD (-256,342) est inférieure à son signal (-232,838), confirmant une dynamique baissière avec un momentum négatif. La divergence négative persistante entre la ligne MACD et son signal justifie la décision de **Vente**, bien que l'amplitude de l'écart suggère un essoufflement progressif de la pression vendeuse.</w:t>
      </w:r>
    </w:p>
    <w:p>
      <w:pPr>
        <w:spacing w:after="120" w:line="276" w:lineRule="auto"/>
      </w:pPr>
      <w:r>
        <w:t>**RSI** : À 31,179, le RSI se situe juste au-dessus du seuil de survente (30), en zone neutre basse. Cette valeur indique que le titre n'est pas encore techniquement en survente mais s'en approche dangereusement, ce qui justifie la décision **Neutre** — un franchissement à la baisse du seuil de 30 pourrait déclencher un signal d'achat contrarien.</w:t>
      </w:r>
    </w:p>
    <w:p>
      <w:pPr>
        <w:spacing w:after="120" w:line="276" w:lineRule="auto"/>
      </w:pPr>
      <w:r>
        <w:t>**Stochastique** : Le %K (13,548) est supérieur au %D (4,516), avec les deux indicateurs en zone de survente profonde (&lt;20). Ce croisement haussier en zone extrême constitue un signal d'achat technique classique, justifiant la décision **Achat** — le titre pourrait amorcer un rebond à court terme.</w:t>
      </w:r>
    </w:p>
    <w:p>
      <w:pPr>
        <w:spacing w:after="120" w:line="276" w:lineRule="auto"/>
      </w:pPr>
      <w:r>
        <w:t>**Conclusion technique** : Les indicateurs présentent une configuration contrastée : les moyennes mobiles et le MACD confirment la tendance baissière de fond, tandis que le RSI (proche de la survente) et surtout le stochastique (survente profonde avec croisement haussier) suggèrent un potentiel de rebond technique imminent. Les Bandes de Bollinger, avec un cours proche de la borne inférieure, renforcent cette lecture d'un titre survendu à court terme mais toujours inscrit dans une tendance baissière moyen terme. La convergence des signaux de survente (RSI, Stochastique, position dans les Bollinger) plaide pour une stabilisation voire un rebond à court terme, sans invalider la prudence à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de l'exercice 2025 (données structurées officielles) dressent le portrait d'une entreprise solide mais en transition : le chiffre d'affaires s'établit à 197,630 milliards FCFA, en croissance de 14,78% par rapport à 2024 (172,2 Mds FCFA), pour un résultat net de 15,509 milliards FCFA, soit une marge nette de 7,85%. Le ROE de 10,87% et le ROA de 7,79% traduisent une rentabilité correcte mais en deçà du seuil d'excellence (&gt;15%), tandis que la structure financière demeure remarquablement saine : autonomie financière de 71,64%, ratio d'endettement de seulement 0,56%, capacité de remboursement de 0,03 année et couverture des intérêts de 1 415%. En tant qu'entreprise agro-industrielle, les délais d'exploitation méritent attention : le délai client de 142,58 jours est élevé et constitue un risque de trésorerie, tandis que la durée de stockage de 14,55 jours reste maîtrisée ; le BFR de 44,623 Mds FCFA et la trésorerie nette négative (-4,559 Mds FCFA) confirment une tension sur le fonds de roulement, bien que le flux opérationnel de 38,741 Mds FCFA et le Free Cash Flow de 19,053 Mds FCFA démontrent une capacité de génération de cash robuste.</w:t>
      </w:r>
    </w:p>
    <w:p>
      <w:pPr>
        <w:spacing w:after="120" w:line="276" w:lineRule="auto"/>
      </w:pPr>
      <w:r>
        <w:t>L'analyse des rapports narratifs révèle une dégradation conjoncturelle préoccupante en 2026 : selon le rapport du S1 2026 (publié le 7 octobre 2026), le chiffre d'affaires recule de 15% à 114,7 Mds FCFA et le résultat net chute de 41% à 13,5 Mds FCFA (marge nette de 11,8%), tandis que le rapport T1 2026 fait état d'un effondrement du résultat net de 86% à 1,6 Md FCFA. Le management attribue cette contre-performance à un décalage temporel des ventes (volumes plus faibles d'huiles brutes de palme et de palmiste sur le marché local) et anticipe un résultat net annuel 2026 positif, dans la même tendance que 2025 (15,5 Mds FCFA), porté par l'écoulement progressif des stocks entamé en avril 2026. La politique de dividende, documentée pour 2025, prévoit 502 FCFA/action (taux de distribution de 50,2%), en baisse de 19% par rapport aux 620 FCFA de 2024, reflétant une priorité donnée à la trésorerie et aux investissements (19,7 Mds FCFA en 2025). La recommandation fondamentale est de **CONSERVER** : la solidité bilancielle (capitaux propres de 142,6 Mds FCFA, dette financière quasi nulle à 796,6 M FCFA) et la guidance managériale plaident pour la patience, mais la dégradation de la rentabilité et l'absence de visibilité sur le dividende 2026 imposent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d'analyse converge vers un diagnostic nuancé. Sur le plan de la **valorisation (Partie 0)**, les ratios PER de 7,7x, P/B de 0,84x et EV/EBITDA de 3,8x indiquent clairement une sous-évaluation relative du titre par rapport à ses fondamentaux et à la moyenne du marché BRVM — un signal favorable pour l'investisseur value. Le **comportement du cours (Partie 1)** est toutefois préoccupant : tendance baissière de -3,63% sur 100 jours, cours proche du plus bas annuel (7 600 FCFA), volatilité élevée de 34%, bien que les statistiques descriptives (kurtosis mésokurtique, skewness quasi nul) n'annoncent pas de risque extrême. Les **signaux techniques (Partie 2)** sont divergents : les indicateurs de tendance (MM, MACD) restent baissiers, mais les oscillateurs (RSI à 31,2, Stochastique en survente profonde avec croisement haussier) plaident pour un rebond à court terme. Les **fondamentaux (Partie 3)** présentent un double visage : solidité bilancielle exceptionnelle et génération de cash robuste en 2025, mais dégradation marquée de la rentabilité au S1 2026 (-41% de résultat net) et guidance annuelle incertaine. Les **prédictions IA (J+1 à J+10)** anticipent une poursuite de la baisse modérée (7 619 → 7 524 FCFA), confirmant la pression court terme sans effondrement.</w:t>
      </w:r>
    </w:p>
    <w:p>
      <w:pPr>
        <w:spacing w:after="120" w:line="276" w:lineRule="auto"/>
      </w:pPr>
      <w:r>
        <w:t>Face à cette configuration, la recommandation finale est **CONSERVER**, avec un niveau de confiance **Moyen** et un niveau de risque **Moyen**. La convergence entre valorisation attractive (sous-évaluation), signaux techniques de survente (potentiel rebond) et fondamentaux solides mais en dégradation cyclique justifie le maintien en portefeuille plutôt qu'un achat agressif ou une vente précipitée. L'horizon d'investissement optimal est le **moyen terme (3-12 mois)** : la confirmation de la reprise des volumes au S2 2026 et la publication des résultats annuels 2026 constitueront les catalyseurs décisifs — un passage à l'ACHAT serait justifié si le résultat net 2026 se confirme proche de 15 Mds FCFA et si le dividende est maintenu, tandis qu'une VENTE s'imposerait en cas de dégradation supplémentaire de la trésorerie ou de non-atteinte de la guidance managériale.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43.01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1,097 titres</w:t>
            </w:r>
          </w:p>
        </w:tc>
        <w:tc>
          <w:tcPr>
            <w:tcW w:type="dxa" w:w="2268"/>
            <w:shd w:fill="FFF2CC" w:val="clear"/>
          </w:tcPr>
          <w:p>
            <w:r>
              <w:rPr>
                <w:b/>
                <w:color w:val="503200"/>
                <w:sz w:val="16"/>
              </w:rPr>
              <w:t xml:space="preserve">Cours actuel : </w:t>
            </w:r>
            <w:r>
              <w:rPr>
                <w:color w:val="000000"/>
                <w:sz w:val="17"/>
              </w:rPr>
              <w:t>4,200 FCFA</w:t>
            </w:r>
          </w:p>
          <w:p>
            <w:r>
              <w:rPr>
                <w:b/>
                <w:color w:val="503200"/>
                <w:sz w:val="16"/>
              </w:rPr>
              <w:t xml:space="preserve">Var. 100 jours : </w:t>
            </w:r>
            <w:r>
              <w:rPr>
                <w:b/>
                <w:color w:val="B40000"/>
                <w:sz w:val="17"/>
              </w:rPr>
              <w:t>-5.30%</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3,850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4.08% (Faible) — μ=4,390 FCFA, σ=179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β=-0.1023 (Contre-cyclique) — Cov=-0.000008, Var(idx)=0.000077, ρ=-0.038,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1,097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0906"/>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4,008</w:t>
            </w:r>
          </w:p>
        </w:tc>
        <w:tc>
          <w:tcPr>
            <w:tcW w:type="dxa" w:w="1440"/>
            <w:shd w:fill="FAFAFA" w:val="clear"/>
          </w:tcPr>
          <w:p>
            <w:r>
              <w:rPr>
                <w:b/>
                <w:sz w:val="17"/>
              </w:rPr>
              <w:t>4,224</w:t>
            </w:r>
          </w:p>
        </w:tc>
        <w:tc>
          <w:tcPr>
            <w:tcW w:type="dxa" w:w="1440"/>
            <w:shd w:fill="FAFAFA" w:val="clear"/>
          </w:tcPr>
          <w:p>
            <w:r>
              <w:rPr>
                <w:sz w:val="17"/>
              </w:rPr>
              <w:t>4,440</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3,908</w:t>
            </w:r>
          </w:p>
        </w:tc>
        <w:tc>
          <w:tcPr>
            <w:tcW w:type="dxa" w:w="1440"/>
            <w:shd w:fill="FAFAFA" w:val="clear"/>
          </w:tcPr>
          <w:p>
            <w:r>
              <w:rPr>
                <w:b/>
                <w:sz w:val="17"/>
              </w:rPr>
              <w:t>4,213</w:t>
            </w:r>
          </w:p>
        </w:tc>
        <w:tc>
          <w:tcPr>
            <w:tcW w:type="dxa" w:w="1440"/>
            <w:shd w:fill="FAFAFA" w:val="clear"/>
          </w:tcPr>
          <w:p>
            <w:r>
              <w:rPr>
                <w:sz w:val="17"/>
              </w:rPr>
              <w:t>4,517</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3,835</w:t>
            </w:r>
          </w:p>
        </w:tc>
        <w:tc>
          <w:tcPr>
            <w:tcW w:type="dxa" w:w="1440"/>
            <w:shd w:fill="FAFAFA" w:val="clear"/>
          </w:tcPr>
          <w:p>
            <w:r>
              <w:rPr>
                <w:b/>
                <w:sz w:val="17"/>
              </w:rPr>
              <w:t>4,208</w:t>
            </w:r>
          </w:p>
        </w:tc>
        <w:tc>
          <w:tcPr>
            <w:tcW w:type="dxa" w:w="1440"/>
            <w:shd w:fill="FAFAFA" w:val="clear"/>
          </w:tcPr>
          <w:p>
            <w:r>
              <w:rPr>
                <w:sz w:val="17"/>
              </w:rPr>
              <w:t>4,580</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3,774</w:t>
            </w:r>
          </w:p>
        </w:tc>
        <w:tc>
          <w:tcPr>
            <w:tcW w:type="dxa" w:w="1440"/>
            <w:shd w:fill="FAFAFA" w:val="clear"/>
          </w:tcPr>
          <w:p>
            <w:r>
              <w:rPr>
                <w:b/>
                <w:sz w:val="17"/>
              </w:rPr>
              <w:t>4,203</w:t>
            </w:r>
          </w:p>
        </w:tc>
        <w:tc>
          <w:tcPr>
            <w:tcW w:type="dxa" w:w="1440"/>
            <w:shd w:fill="FAFAFA" w:val="clear"/>
          </w:tcPr>
          <w:p>
            <w:r>
              <w:rPr>
                <w:sz w:val="17"/>
              </w:rPr>
              <w:t>4,633</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3,719</w:t>
            </w:r>
          </w:p>
        </w:tc>
        <w:tc>
          <w:tcPr>
            <w:tcW w:type="dxa" w:w="1440"/>
            <w:shd w:fill="FAFAFA" w:val="clear"/>
          </w:tcPr>
          <w:p>
            <w:r>
              <w:rPr>
                <w:b/>
                <w:sz w:val="17"/>
              </w:rPr>
              <w:t>4,199</w:t>
            </w:r>
          </w:p>
        </w:tc>
        <w:tc>
          <w:tcPr>
            <w:tcW w:type="dxa" w:w="1440"/>
            <w:shd w:fill="FAFAFA" w:val="clear"/>
          </w:tcPr>
          <w:p>
            <w:r>
              <w:rPr>
                <w:sz w:val="17"/>
              </w:rPr>
              <w:t>4,679</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3,669</w:t>
            </w:r>
          </w:p>
        </w:tc>
        <w:tc>
          <w:tcPr>
            <w:tcW w:type="dxa" w:w="1440"/>
            <w:shd w:fill="FAFAFA" w:val="clear"/>
          </w:tcPr>
          <w:p>
            <w:r>
              <w:rPr>
                <w:b/>
                <w:sz w:val="17"/>
              </w:rPr>
              <w:t>4,194</w:t>
            </w:r>
          </w:p>
        </w:tc>
        <w:tc>
          <w:tcPr>
            <w:tcW w:type="dxa" w:w="1440"/>
            <w:shd w:fill="FAFAFA" w:val="clear"/>
          </w:tcPr>
          <w:p>
            <w:r>
              <w:rPr>
                <w:sz w:val="17"/>
              </w:rPr>
              <w:t>4,719</w:t>
            </w:r>
          </w:p>
        </w:tc>
        <w:tc>
          <w:tcPr>
            <w:tcW w:type="dxa" w:w="1440"/>
            <w:shd w:fill="FAFAFA" w:val="clear"/>
          </w:tcPr>
          <w:p>
            <w:r>
              <w:rPr>
                <w:b/>
                <w:color w:val="C00000"/>
                <w:sz w:val="17"/>
              </w:rPr>
              <w:t>-0.1%</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3,623</w:t>
            </w:r>
          </w:p>
        </w:tc>
        <w:tc>
          <w:tcPr>
            <w:tcW w:type="dxa" w:w="1440"/>
            <w:shd w:fill="FAFAFA" w:val="clear"/>
          </w:tcPr>
          <w:p>
            <w:r>
              <w:rPr>
                <w:b/>
                <w:sz w:val="17"/>
              </w:rPr>
              <w:t>4,189</w:t>
            </w:r>
          </w:p>
        </w:tc>
        <w:tc>
          <w:tcPr>
            <w:tcW w:type="dxa" w:w="1440"/>
            <w:shd w:fill="FAFAFA" w:val="clear"/>
          </w:tcPr>
          <w:p>
            <w:r>
              <w:rPr>
                <w:sz w:val="17"/>
              </w:rPr>
              <w:t>4,756</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3,580</w:t>
            </w:r>
          </w:p>
        </w:tc>
        <w:tc>
          <w:tcPr>
            <w:tcW w:type="dxa" w:w="1440"/>
            <w:shd w:fill="FAFAFA" w:val="clear"/>
          </w:tcPr>
          <w:p>
            <w:r>
              <w:rPr>
                <w:b/>
                <w:sz w:val="17"/>
              </w:rPr>
              <w:t>4,185</w:t>
            </w:r>
          </w:p>
        </w:tc>
        <w:tc>
          <w:tcPr>
            <w:tcW w:type="dxa" w:w="1440"/>
            <w:shd w:fill="FAFAFA" w:val="clear"/>
          </w:tcPr>
          <w:p>
            <w:r>
              <w:rPr>
                <w:sz w:val="17"/>
              </w:rPr>
              <w:t>4,790</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3,540</w:t>
            </w:r>
          </w:p>
        </w:tc>
        <w:tc>
          <w:tcPr>
            <w:tcW w:type="dxa" w:w="1440"/>
            <w:shd w:fill="FAFAFA" w:val="clear"/>
          </w:tcPr>
          <w:p>
            <w:r>
              <w:rPr>
                <w:b/>
                <w:sz w:val="17"/>
              </w:rPr>
              <w:t>4,181</w:t>
            </w:r>
          </w:p>
        </w:tc>
        <w:tc>
          <w:tcPr>
            <w:tcW w:type="dxa" w:w="1440"/>
            <w:shd w:fill="FAFAFA" w:val="clear"/>
          </w:tcPr>
          <w:p>
            <w:r>
              <w:rPr>
                <w:sz w:val="17"/>
              </w:rPr>
              <w:t>4,822</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3,502</w:t>
            </w:r>
          </w:p>
        </w:tc>
        <w:tc>
          <w:tcPr>
            <w:tcW w:type="dxa" w:w="1440"/>
            <w:shd w:fill="FAFAFA" w:val="clear"/>
          </w:tcPr>
          <w:p>
            <w:r>
              <w:rPr>
                <w:b/>
                <w:sz w:val="17"/>
              </w:rPr>
              <w:t>4,177</w:t>
            </w:r>
          </w:p>
        </w:tc>
        <w:tc>
          <w:tcPr>
            <w:tcW w:type="dxa" w:w="1440"/>
            <w:shd w:fill="FAFAFA" w:val="clear"/>
          </w:tcPr>
          <w:p>
            <w:r>
              <w:rPr>
                <w:sz w:val="17"/>
              </w:rPr>
              <w:t>4,852</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 RAPPORT D'ANALYSE FINANCIÈRE — PRSC (TRACTAFRIC MOTORS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43,01 milliards FCFA, PRSC se situe dans la catégorie des valeurs moyennes de la cote BRVM, ce qui traduit une liquidité modérée mais une certaine représentativité sectorielle. Le BPA de 231 FCFA par action indique que chaque titre génère un bénéfice net de 231 FCFA, un niveau cohérent avec la rentabilité affichée de l'entreprise. Le PER de 18,2x se situe nettement au-dessus de la moyenne BRVM (généralement 8-12x), signalant que les investisseurs paient une prime significative pour les bénéfices de PRSC — une valorisation qui n'est justifiée que si la croissance se confirme. Le P/B de 3,73x confirme cette prime de croissance, le marché valorisant l'action à près de quatre fois sa valeur comptable, ce qui est élevé pour une entreprise de distribution automobile. Enfin, l'EV/EBITDA de 9,4x reste dans la fourchette raisonnable (5-10x), suggérant que la valeur d'entreprise rapportée à la capacité opérationnelle n'est pas déraisonnable, bien que le PER élevé appelle à la prudence sur la soutenabilité de la prime accordée.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PRSC a enregistré une variation totale de -5,30%, avec une dernière séance particulièrement négative (-2,10%), portant le cours actuel à 4 200 FCFA. Le range de trading s'est établi entre un plus haut de 4 740 FCFA et un plus bas de 3 850 FCFA, soit une amplitude de près de 23% — reflétant une volatilité intra-période significative malgré un coefficient de variation modéré. La tendance générale est baissière sur la période, le cours actuel se situant sous la moyenne (4 390 FCFA) et la médiane (4 400 FCFA), avec un mode à 4 400 FCFA qui confirme que le prix a longtemps stagné autour de ce niveau avant de décrocher. L'écart-type de 180 FCFA (CV = 4,1%) indique une dispersion relativement contenue autour de la moyenne, mais le kurtosis de 0,344 (mésokurtique) suggère une distribution proche de la normale, sans risque extrême de pics. Le skewness de -0,626 révèle une asymétrie négative — plus de journées se sont situées au-dessus de la moyenne, mais les baisses ont été plus amples, ce qui est cohérent avec la correction récente. La volatilité annualisée de 37,5% positionne le titre dans la catégorie des valeurs à volatilité élevée (&gt;30%), ce qui exige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(4 173,75 FCFA) se situe sous la MM50 (4 331,80 FCFA), configuration baissière classique, et le cours actuel (4 200 FCFA) évolue entre les deux, légèrement au-dessus de la MM20 mais sous la MM50. Cette position relative confirme la décision de **Vente** : le titre n'a pas encore récupéré sa moyenne de moyen terme, et la pression baissière persiste malgré un léger rebond au-dessus de la MM20.</w:t>
      </w:r>
    </w:p>
    <w:p>
      <w:pPr>
        <w:spacing w:after="120" w:line="276" w:lineRule="auto"/>
      </w:pPr>
      <w:r>
        <w:t>**Bandes de Bollinger** : Le cours (4 200 FCFA) se situe dans la moitié inférieure de la bande, entre la borne inférieure (3 869,04 FCFA) et la borne supérieure (4 478,47 FCFA), sans atteindre les extrêmes. La largeur de la bande traduit une volatilité modérée, et la décision **Neutre** est justifiée : le titre n'est ni en survente technique (proche de la borne basse) ni en surachat (proche de la borne haute), évoluant dans une zone d'indécision.</w:t>
      </w:r>
    </w:p>
    <w:p>
      <w:pPr>
        <w:spacing w:after="120" w:line="276" w:lineRule="auto"/>
      </w:pPr>
      <w:r>
        <w:t>**MACD** : La valeur du MACD (-15,567) est supérieure à son signal (-39,268), générant un histogramme positif qui traduit un momentum haussier naissant. Cette divergence positive, bien que les deux courbes restent en territoire négatif, justifie la décision d'**Achat** : le croisement haussier du MACD au-dessus de son signal est un signal d'amélioration de la dynamique, à confirmer par la suite.</w:t>
      </w:r>
    </w:p>
    <w:p>
      <w:pPr>
        <w:spacing w:after="120" w:line="276" w:lineRule="auto"/>
      </w:pPr>
      <w:r>
        <w:t>**RSI** : À 51,309, le RSI se situe parfaitement dans la zone neutre (30-70), sans signal de surachat ni de survente. La décision **Neutre** est cohérente : le titre n'a pas de pression acheteuse ou vendeuse dominante, et le RSI ne fournit pas de signal directionnel fort à ce stade.</w:t>
      </w:r>
    </w:p>
    <w:p>
      <w:pPr>
        <w:spacing w:after="120" w:line="276" w:lineRule="auto"/>
      </w:pPr>
      <w:r>
        <w:t>**Stochastique** : Le %K (63,636) est inférieur au %D (72,121), configuration baissière à court terme, mais les deux indicateurs restent dans la zone neutre-haute sans atteindre la zone de surachat (&gt;80). La décision **Neutre** est justifiée : le croisement baissier du %K sous le %D suggère une pression vendeuse modérée, mais sans excès.</w:t>
      </w:r>
    </w:p>
    <w:p>
      <w:pPr>
        <w:spacing w:after="120" w:line="276" w:lineRule="auto"/>
      </w:pPr>
      <w:r>
        <w:t>**Conclusion technique** : Les indicateurs présentent une configuration mitigée — le MACD est le seul signal haussier (achat), tandis que les moyennes mobiles restent baissières (vente) et que Bollinger, RSI et Stochastique sont neutres. Cette divergence entre le momentum (MACD positif) et la tendance de fond (MM baissières) suggère un possible retournement à court terme, mais la prudence reste de mise tant que le cours n'aura pas reconquis la MM50 (4 331,80 FCFA). Le signal technique global est donc **neutre à légèrement haussier**, avec une confirmation nécessaire.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PRSC (Tractafric Motors Côte d'Ivoire) affiche un chiffre d'affaires de 81,127 milliards FCFA, en croissance de 9,5% selon le rapport de gestion 2025, avec un résultat net de 2,367 milliards FCFA (stable vs 2,35 milliards en 2024). Le ROE s'établit à 20,53% — un niveau excellent (&gt;15%) qui témoigne d'une rentabilité des fonds propres solide — tandis que le ROA de 4,95% reflète une rotation d'actifs élevée (169,6%) typique d'une activité de distribution. La marge nette de 2,92% reste faible mais en amélioration par rapport à 2024 (2,63%), et la marge brute de 18,51% confirme la progression de la marge commerciale (+23% à 18,0 milliards FCFA selon le rapport 2025).</w:t>
      </w:r>
    </w:p>
    <w:p>
      <w:pPr>
        <w:spacing w:after="120" w:line="276" w:lineRule="auto"/>
      </w:pPr>
      <w:r>
        <w:t>**Adaptation au secteur ENTREPRISE** : Les délais d'exploitation révèlent un délai client de 45,99 jours (risque de trésorerie modéré) et un délai fournisseur de 102,65 jours (favorable à la trésorerie), tandis que la durée de stockage de 150,51 jours est élevée et immobilise du capital — cohérent avec l'activité de distribution automobile. Le BFR de 11,267 milliards FCFA et la trésorerie nette négative (-4,092 milliards FCFA) signalent une tension sur le fonds de roulement, bien que la capacité de remboursement (1,83 an) et la couverture des intérêts (1 585%) restent rassurantes. L'autonomie financière de 24,10% est inférieure au seuil de 30%, et le ratio d'endettement de 314,86% traduit une forte dépendance aux dettes fournisseurs (17,961 milliards FCFA), typique du secteur.</w:t>
      </w:r>
    </w:p>
    <w:p>
      <w:pPr>
        <w:spacing w:after="120" w:line="276" w:lineRule="auto"/>
      </w:pPr>
      <w:r>
        <w:t>**Estimations basées sur les rapports trimestriels** : Le rapport S1 2025 (daté du 30/06/2025) fait état d'un CA de 39,968 milliards FCFA (+15,1%) et d'un résultat net de 1,436 milliard FCFA (×28 vs S1 2024), avec une marge nette de 3,6% — nettement supérieure à la moyenne annuelle. Sur cette base, on estime que l'exercice 2025 devrait confirmer la reprise, avec un résultat net annuel de 2,37 milliards FCFA (réalisé) et une marge nette proche de 3%. Le rapport 2025 (daté du 31/12/2025) confirme d'ailleurs un dividende de 209 FCFA brut par action (rendement de ~5% au cours actuel), un signal positif pour les actionnaires.</w:t>
      </w:r>
    </w:p>
    <w:p>
      <w:pPr>
        <w:spacing w:after="120" w:line="276" w:lineRule="auto"/>
      </w:pPr>
      <w:r>
        <w:t>**Évolution pluriannuelle** : Les rapports 2023 et 2024 (analysés respectivement les 16/03/2026 et 30/03/2026) montrent une dégradation de la rentabilité opérationnelle en 2024 (ROC -47,3%) suivie d'un rebond spectaculaire au S1 2025. La croissance du CA est robuste (+11,1% en 2023, -4,15% en 2024, +9,5% en 2025), et la structure financière reste équilibrée malgré un endettement élevé.</w:t>
      </w:r>
    </w:p>
    <w:p>
      <w:pPr>
        <w:spacing w:after="120" w:line="276" w:lineRule="auto"/>
      </w:pPr>
      <w:r>
        <w:t>**Recommandation fondamentale** : PRSC présente un profil de **croissance résiliente avec des marges sous pression**, mais le rebond du S1 2025 et le dividende attractif (209 FCFA/action) justifient une opinion **positive à moyen terme**. Les risques principaux sont la faible marge nette (2,9%), la tension sur la trésorerie (BFR élevé, trésorerie nette négative) et la dépendance au marché automobile ivoirien. La solidité du ROE (20,5%) et la couverture confortable des intérêts tempèrent ces risques.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la valorisation (Partie 0)**, le PER de 18,2x et le P/B de 3,73x indiquent une prime de croissance significative par rapport aux standards BRVM, suggérant une légère surévaluation si la croissance ne se maintient pas, bien que l'EV/EBITDA de 9,4x reste raisonnable. **Sur le comportement du cours (Partie 1)**, la tendance baissière (-5,30% sur 100 jours) et la volatilité élevée (37,5%) sont préoccupantes, mais le skewness négatif et le kurtosis normal indiquent l'absence de risque extrême. **Sur le plan technique (Partie 2)**, les signaux sont divergents : le MACD est haussier (achat) tandis que les MM sont baissières (vente), avec un RSI et un Stochastique neutres — configuration de retournement possible mais non confirmé. **Sur les fondamentaux (Partie 3)**, la société affiche une croissance du CA (+9,5% en 2025), un ROE excellent (20,5%) et un dividende attractif (209 FCFA, rendement ~5%), mais des marges faibles et une trésorerie tendue. **Les prédictions IA (J+1 à J+10)** anticipent une légère dérive baissière (4 224 → 4 199 FCFA), en phase avec la tendance récente mais sans effondrement.</w:t>
      </w:r>
    </w:p>
    <w:p>
      <w:pPr>
        <w:spacing w:after="120" w:line="276" w:lineRule="auto"/>
      </w:pPr>
      <w:r>
        <w:t>**Recommandation finale : CONSERVER** (avec biais positif à moyen terme). La convergence est partielle : la valorisation est exigeante, la technique est neutre-haussière (MACD), les fondamentaux sont solides (ROE, dividende) mais les marges et la trésorerie appellent à la prudence, et les prédictions IA confirment une stabilisation autour de 4 200 FCFA. Le niveau de confiance est **Moyen** (divergence technique/fondamental), et le niveau de risque global est **Moyen à Élevé** (volatilité 37,5%, endettement élevé, marges faibles). L'horizon d'investissement optimal est le **moyen terme (3-12 mois)**, en attendant la confirmation du rebond du S2 2025 et la mise en paiement du dividende (prévue avant le 30 septembre 2026), avec un point d'entrée plus favorable sous 4 100 FCFA et un objectif de 4 500 FCFA si la MM50 est reconquise.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8,093 titres</w:t>
            </w:r>
          </w:p>
        </w:tc>
        <w:tc>
          <w:tcPr>
            <w:tcW w:type="dxa" w:w="2268"/>
            <w:shd w:fill="FFF2CC" w:val="clear"/>
          </w:tcPr>
          <w:p>
            <w:r>
              <w:rPr>
                <w:b/>
                <w:color w:val="503200"/>
                <w:sz w:val="16"/>
              </w:rPr>
              <w:t xml:space="preserve">Cours actuel : </w:t>
            </w:r>
            <w:r>
              <w:rPr>
                <w:color w:val="000000"/>
                <w:sz w:val="17"/>
              </w:rPr>
              <w:t>3,800 FCFA</w:t>
            </w:r>
          </w:p>
          <w:p>
            <w:r>
              <w:rPr>
                <w:b/>
                <w:color w:val="503200"/>
                <w:sz w:val="16"/>
              </w:rPr>
              <w:t xml:space="preserve">Var. 100 jours : </w:t>
            </w:r>
            <w:r>
              <w:rPr>
                <w:b/>
                <w:color w:val="007800"/>
                <w:sz w:val="17"/>
              </w:rPr>
              <w:t>+5.56%</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25.6/100 → Moyen</w:t>
      </w:r>
    </w:p>
    <w:p>
      <w:pPr>
        <w:spacing w:before="40" w:after="80"/>
      </w:pPr>
      <w:r>
        <w:rPr>
          <w:rFonts w:ascii="Courier New" w:hAnsi="Courier New"/>
          <w:color w:val="825A00"/>
          <w:sz w:val="18"/>
        </w:rPr>
        <w:t>█████░░░░░░░░░░░░░░░  25.6/100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15.00% (Moyenne) — μ=4,682 FCFA, σ=702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β=1.2201 (Agressif) — Cov=0.000094, Var(idx)=0.000077, ρ=0.277,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090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3,534</w:t>
            </w:r>
          </w:p>
        </w:tc>
        <w:tc>
          <w:tcPr>
            <w:tcW w:type="dxa" w:w="1440"/>
            <w:shd w:fill="FAFAFA" w:val="clear"/>
          </w:tcPr>
          <w:p>
            <w:r>
              <w:rPr>
                <w:b/>
                <w:sz w:val="17"/>
              </w:rPr>
              <w:t>3,803</w:t>
            </w:r>
          </w:p>
        </w:tc>
        <w:tc>
          <w:tcPr>
            <w:tcW w:type="dxa" w:w="1440"/>
            <w:shd w:fill="FAFAFA" w:val="clear"/>
          </w:tcPr>
          <w:p>
            <w:r>
              <w:rPr>
                <w:sz w:val="17"/>
              </w:rPr>
              <w:t>4,072</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3,427</w:t>
            </w:r>
          </w:p>
        </w:tc>
        <w:tc>
          <w:tcPr>
            <w:tcW w:type="dxa" w:w="1440"/>
            <w:shd w:fill="FAFAFA" w:val="clear"/>
          </w:tcPr>
          <w:p>
            <w:r>
              <w:rPr>
                <w:b/>
                <w:sz w:val="17"/>
              </w:rPr>
              <w:t>3,808</w:t>
            </w:r>
          </w:p>
        </w:tc>
        <w:tc>
          <w:tcPr>
            <w:tcW w:type="dxa" w:w="1440"/>
            <w:shd w:fill="FAFAFA" w:val="clear"/>
          </w:tcPr>
          <w:p>
            <w:r>
              <w:rPr>
                <w:sz w:val="17"/>
              </w:rPr>
              <w:t>4,189</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3,359</w:t>
            </w:r>
          </w:p>
        </w:tc>
        <w:tc>
          <w:tcPr>
            <w:tcW w:type="dxa" w:w="1440"/>
            <w:shd w:fill="FAFAFA" w:val="clear"/>
          </w:tcPr>
          <w:p>
            <w:r>
              <w:rPr>
                <w:b/>
                <w:sz w:val="17"/>
              </w:rPr>
              <w:t>3,828</w:t>
            </w:r>
          </w:p>
        </w:tc>
        <w:tc>
          <w:tcPr>
            <w:tcW w:type="dxa" w:w="1440"/>
            <w:shd w:fill="FAFAFA" w:val="clear"/>
          </w:tcPr>
          <w:p>
            <w:r>
              <w:rPr>
                <w:sz w:val="17"/>
              </w:rPr>
              <w:t>4,297</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3,304</w:t>
            </w:r>
          </w:p>
        </w:tc>
        <w:tc>
          <w:tcPr>
            <w:tcW w:type="dxa" w:w="1440"/>
            <w:shd w:fill="FAFAFA" w:val="clear"/>
          </w:tcPr>
          <w:p>
            <w:r>
              <w:rPr>
                <w:b/>
                <w:sz w:val="17"/>
              </w:rPr>
              <w:t>3,848</w:t>
            </w:r>
          </w:p>
        </w:tc>
        <w:tc>
          <w:tcPr>
            <w:tcW w:type="dxa" w:w="1440"/>
            <w:shd w:fill="FAFAFA" w:val="clear"/>
          </w:tcPr>
          <w:p>
            <w:r>
              <w:rPr>
                <w:sz w:val="17"/>
              </w:rPr>
              <w:t>4,393</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3,255</w:t>
            </w:r>
          </w:p>
        </w:tc>
        <w:tc>
          <w:tcPr>
            <w:tcW w:type="dxa" w:w="1440"/>
            <w:shd w:fill="FAFAFA" w:val="clear"/>
          </w:tcPr>
          <w:p>
            <w:r>
              <w:rPr>
                <w:b/>
                <w:sz w:val="17"/>
              </w:rPr>
              <w:t>3,867</w:t>
            </w:r>
          </w:p>
        </w:tc>
        <w:tc>
          <w:tcPr>
            <w:tcW w:type="dxa" w:w="1440"/>
            <w:shd w:fill="FAFAFA" w:val="clear"/>
          </w:tcPr>
          <w:p>
            <w:r>
              <w:rPr>
                <w:sz w:val="17"/>
              </w:rPr>
              <w:t>4,479</w:t>
            </w:r>
          </w:p>
        </w:tc>
        <w:tc>
          <w:tcPr>
            <w:tcW w:type="dxa" w:w="1440"/>
            <w:shd w:fill="FAFAFA" w:val="clear"/>
          </w:tcPr>
          <w:p>
            <w:r>
              <w:rPr>
                <w:b/>
                <w:color w:val="008000"/>
                <w:sz w:val="17"/>
              </w:rPr>
              <w:t>+1.8%</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3,211</w:t>
            </w:r>
          </w:p>
        </w:tc>
        <w:tc>
          <w:tcPr>
            <w:tcW w:type="dxa" w:w="1440"/>
            <w:shd w:fill="C6EFCE" w:val="clear"/>
          </w:tcPr>
          <w:p>
            <w:r>
              <w:rPr>
                <w:b/>
                <w:sz w:val="17"/>
              </w:rPr>
              <w:t>3,885</w:t>
            </w:r>
          </w:p>
        </w:tc>
        <w:tc>
          <w:tcPr>
            <w:tcW w:type="dxa" w:w="1440"/>
            <w:shd w:fill="C6EFCE" w:val="clear"/>
          </w:tcPr>
          <w:p>
            <w:r>
              <w:rPr>
                <w:sz w:val="17"/>
              </w:rPr>
              <w:t>4,558</w:t>
            </w:r>
          </w:p>
        </w:tc>
        <w:tc>
          <w:tcPr>
            <w:tcW w:type="dxa" w:w="1440"/>
            <w:shd w:fill="C6EFCE" w:val="clear"/>
          </w:tcPr>
          <w:p>
            <w:r>
              <w:rPr>
                <w:b/>
                <w:color w:val="008000"/>
                <w:sz w:val="17"/>
              </w:rPr>
              <w:t>+2.2%</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3,170</w:t>
            </w:r>
          </w:p>
        </w:tc>
        <w:tc>
          <w:tcPr>
            <w:tcW w:type="dxa" w:w="1440"/>
            <w:shd w:fill="C6EFCE" w:val="clear"/>
          </w:tcPr>
          <w:p>
            <w:r>
              <w:rPr>
                <w:b/>
                <w:sz w:val="17"/>
              </w:rPr>
              <w:t>3,901</w:t>
            </w:r>
          </w:p>
        </w:tc>
        <w:tc>
          <w:tcPr>
            <w:tcW w:type="dxa" w:w="1440"/>
            <w:shd w:fill="C6EFCE" w:val="clear"/>
          </w:tcPr>
          <w:p>
            <w:r>
              <w:rPr>
                <w:sz w:val="17"/>
              </w:rPr>
              <w:t>4,631</w:t>
            </w:r>
          </w:p>
        </w:tc>
        <w:tc>
          <w:tcPr>
            <w:tcW w:type="dxa" w:w="1440"/>
            <w:shd w:fill="C6EFCE" w:val="clear"/>
          </w:tcPr>
          <w:p>
            <w:r>
              <w:rPr>
                <w:b/>
                <w:color w:val="008000"/>
                <w:sz w:val="17"/>
              </w:rPr>
              <w:t>+2.7%</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3,132</w:t>
            </w:r>
          </w:p>
        </w:tc>
        <w:tc>
          <w:tcPr>
            <w:tcW w:type="dxa" w:w="1440"/>
            <w:shd w:fill="C6EFCE" w:val="clear"/>
          </w:tcPr>
          <w:p>
            <w:r>
              <w:rPr>
                <w:b/>
                <w:sz w:val="17"/>
              </w:rPr>
              <w:t>3,916</w:t>
            </w:r>
          </w:p>
        </w:tc>
        <w:tc>
          <w:tcPr>
            <w:tcW w:type="dxa" w:w="1440"/>
            <w:shd w:fill="C6EFCE" w:val="clear"/>
          </w:tcPr>
          <w:p>
            <w:r>
              <w:rPr>
                <w:sz w:val="17"/>
              </w:rPr>
              <w:t>4,700</w:t>
            </w:r>
          </w:p>
        </w:tc>
        <w:tc>
          <w:tcPr>
            <w:tcW w:type="dxa" w:w="1440"/>
            <w:shd w:fill="C6EFCE" w:val="clear"/>
          </w:tcPr>
          <w:p>
            <w:r>
              <w:rPr>
                <w:b/>
                <w:color w:val="008000"/>
                <w:sz w:val="17"/>
              </w:rPr>
              <w:t>+3.1%</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3,096</w:t>
            </w:r>
          </w:p>
        </w:tc>
        <w:tc>
          <w:tcPr>
            <w:tcW w:type="dxa" w:w="1440"/>
            <w:shd w:fill="C6EFCE" w:val="clear"/>
          </w:tcPr>
          <w:p>
            <w:r>
              <w:rPr>
                <w:b/>
                <w:sz w:val="17"/>
              </w:rPr>
              <w:t>3,930</w:t>
            </w:r>
          </w:p>
        </w:tc>
        <w:tc>
          <w:tcPr>
            <w:tcW w:type="dxa" w:w="1440"/>
            <w:shd w:fill="C6EFCE" w:val="clear"/>
          </w:tcPr>
          <w:p>
            <w:r>
              <w:rPr>
                <w:sz w:val="17"/>
              </w:rPr>
              <w:t>4,765</w:t>
            </w:r>
          </w:p>
        </w:tc>
        <w:tc>
          <w:tcPr>
            <w:tcW w:type="dxa" w:w="1440"/>
            <w:shd w:fill="C6EFCE" w:val="clear"/>
          </w:tcPr>
          <w:p>
            <w:r>
              <w:rPr>
                <w:b/>
                <w:color w:val="008000"/>
                <w:sz w:val="17"/>
              </w:rPr>
              <w:t>+3.4%</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3,061</w:t>
            </w:r>
          </w:p>
        </w:tc>
        <w:tc>
          <w:tcPr>
            <w:tcW w:type="dxa" w:w="1440"/>
            <w:shd w:fill="C6EFCE" w:val="clear"/>
          </w:tcPr>
          <w:p>
            <w:r>
              <w:rPr>
                <w:b/>
                <w:sz w:val="17"/>
              </w:rPr>
              <w:t>3,944</w:t>
            </w:r>
          </w:p>
        </w:tc>
        <w:tc>
          <w:tcPr>
            <w:tcW w:type="dxa" w:w="1440"/>
            <w:shd w:fill="C6EFCE" w:val="clear"/>
          </w:tcPr>
          <w:p>
            <w:r>
              <w:rPr>
                <w:sz w:val="17"/>
              </w:rPr>
              <w:t>4,827</w:t>
            </w:r>
          </w:p>
        </w:tc>
        <w:tc>
          <w:tcPr>
            <w:tcW w:type="dxa" w:w="1440"/>
            <w:shd w:fill="C6EFCE" w:val="clear"/>
          </w:tcPr>
          <w:p>
            <w:r>
              <w:rPr>
                <w:b/>
                <w:color w:val="008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45,11 milliards FCFA, un niveau modeste à l'échelle de la BRVM qui la place parmi les valeurs de second rang du compartiment financier. Le BPA de 59 FCFA par action signifie que chaque titre génère un bénéfice net de 59 FCFA, mais le PER de 64,3x traduit une valorisation extrêmement tendue : les investisseurs paient plus de 64 fois les bénéfices, soit un multiple très supérieur à la moyenne BRVM (8-12x), ce qui intègre déjà une forte anticipation de croissance future. Le P/B de 7,62x confirme cette prime considérable, le marché valorisant la société à plus de 7 fois sa valeur comptable — un niveau exigeant qui ne se justifie que par la dynamique de redressement en cours. Enfin, l'EV/EBITDA de 80,3x, très au-delà du seuil de 15x, signale une valorisation opérationnelle particulièrement riche,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positive de +5,56%, mais la dernière séance (J-1) a enregistré un repli de -2,56%, ramenant le cours à 3 800 FCFA. Le range de trading est large, avec un plus haut à 6 200 FCFA et un plus bas à 3 595 FCFA, soit un écart de plus de 72% entre les extrêmes — signe d'une forte agitation sur la période. La tendance générale apparaît baissière depuis le pic de 6 200 FCFA, le cours actuel se situant à 38,7% sous son sommet, bien que la performance globale sur 100 jours reste légèrement positive. Les statistiques descriptives révèlent une moyenne de 4 682 FCFA supérieure à la médiane de 4 580 FCFA, avec un mode à 3 700 FCFA : cet écart entre moyenne et médiane, combiné à un skewness de 0,388 (distribution qualifiée de symétrique), suggère une légère asymétrie positive tirée par les pics hauts. L'écart-type de 706 FCFA pour un CV de 15,1% indique une dispersion modérée autour de la moyenne, tandis que le kurtosis de -0,851 (mésokurtique, proche d'une distribution normale) signale un risque de pics extrêmes relativement contenu. La volatilité annualisée de 61,3% classe le titre dans la catégorie des valeurs à volatilité élevée (&gt;30%), ce qui est cohérent avec un profil de valeur spéculative en phase de redressement.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(4 217,75 FCFA) et la MM50 (5 009,6 FCFA) se situent toutes deux au-dessus du cours actuel de 3 800 FCFA, avec une MM20 inférieure à la MM50 — configuration baissière caractéristique. Le cours évoluant sous ses deux moyennes, la pression vendeuse domine clairement, justifiant la décision technique de **Vente**.</w:t>
      </w:r>
    </w:p>
    <w:p>
      <w:pPr>
        <w:spacing w:after="120" w:line="276" w:lineRule="auto"/>
      </w:pPr>
      <w:r>
        <w:t>**Bandes de Bollinger** : Le cours (3 800 FCFA) se situe dans la moitié basse de la bande, entre la borne inférieure (3 662,48 FCFA) et la borne supérieure (4 773,02 FCFA), sans en toucher les extrêmes. Cette position centrale-basse traduit une absence de signal directionnel fort, d'où la décision **Neutre** : le titre n'est ni en survente extrême ni en surachat.</w:t>
      </w:r>
    </w:p>
    <w:p>
      <w:pPr>
        <w:spacing w:after="120" w:line="276" w:lineRule="auto"/>
      </w:pPr>
      <w:r>
        <w:t>**MACD** : La valeur du MACD (-306,94) est inférieure à sa ligne de signal (-293,12), avec un histogramme négatif — configuration baissière confirmée. Le momentum reste négatif, bien que l'écart entre les deux lignes soit modéré, ce qui justifie la décision de **Vente** sans signal de retournement imminent.</w:t>
      </w:r>
    </w:p>
    <w:p>
      <w:pPr>
        <w:spacing w:after="120" w:line="276" w:lineRule="auto"/>
      </w:pPr>
      <w:r>
        <w:t>**RSI** : À 25,74, le RSI se situe nettement sous le seuil de 30, plaçant le titre en zone de **survente**. Cette lecture suggère un potentiel de rebond technique à court terme, justifiant la décision d'**Achat** contraire à la tendance de fond — signal classique de retournement possible.</w:t>
      </w:r>
    </w:p>
    <w:p>
      <w:pPr>
        <w:spacing w:after="120" w:line="276" w:lineRule="auto"/>
      </w:pPr>
      <w:r>
        <w:t>**Stochastique** : Avec %K et %D tous deux à 0,0, l'indicateur est en position extrême de survente, les deux lignes étant collées au plancher. Cette configuration, bien que rare, confirme la décision d'**Achat** en anticipant un rebond mécanique, mais elle traduit aussi une faiblesse momentanée extrême du titre.</w:t>
      </w:r>
    </w:p>
    <w:p>
      <w:pPr>
        <w:spacing w:after="120" w:line="276" w:lineRule="auto"/>
      </w:pPr>
      <w:r>
        <w:t>**Conclusion technique** : Les indicateurs présentent une divergence notable : les moyennes mobiles et le MACD confirment une tendance baissière de fond, tandis que le RSI et le stochastique signalent une survente extrême propice à un rebond technique. Les Bandes de Bollinger restent neutres. Cette configuration mixte plaide pour une prudence : le titre pourrait rebondir à court terme (signaux d'achat de survente) mais la tendance de moyen terme reste baissière tant que le cours n'aura pas reconquis la MM20 (4 218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affiche un Produit Net Bancaire (équivalent du chiffre d'affaires pour une banque) de 5 735 millions FCFA, en croissance spectaculaire de +44,1% par rapport aux 3 980 millions de 2024. Le résultat net s'établit à 701 millions FCFA, marquant un retournement historique après une perte de -165 millions en 2024 — fin de huit années consécutives de pertes. Le ROE atteint 11,85% (en dessous du seuil d'excellence de 15% mais en nette amélioration) et le ROA seulement 0,88%, reflétant la faible intensité capitalistique du modèle bancaire. Le coefficient d'exploitation de 77,63% reste élevé (seuil d'efficacité &lt;60%), signe que les charges pèsent encore lourdement sur le PNB, tandis que le coût du risque de 6,57% demeure significatif. La structure financière est fragile : l'autonomie financière n'est que de 7,44% (très en dessous du seuil sain de 30%), la dépendance financière atteint 92,56%, et le ratio d'endettement de 856% traduit une forte exposition aux dettes interbancaires (35 747 millions FCFA). La capacité de remboursement de 35,50 années de CAF est préoccupante, et le report à nouveau reste négatif à -4 123 millions FCFA.</w:t>
      </w:r>
    </w:p>
    <w:p>
      <w:pPr>
        <w:spacing w:after="120" w:line="276" w:lineRule="auto"/>
      </w:pPr>
      <w:r>
        <w:t>**Estimations basées sur les rapports trimestriels** : Le rapport du **30 juin 2026** (analysé le 04/09/2026) confirme l'accélération : PNB de 2 907 millions FCFA (+37%), résultat net de 731 millions FCFA (+231%), avec une reprise nette sur coût du risque de 261 millions FCFA (contre une charge de 93 millions un an plus tôt). Le ratio CET1 s'améliore à 11,49% et la solvabilité globale à 12,93%. Le rapport du **T1 2026** (analysé le 12/05/2026) montrait déjà un résultat net de 151 millions (+1 062%) et un PNB de 1 395 millions (+29%). Sur cette base, on estime que l'exercice 2026 devrait dépasser largement les 1,4 milliard FCFA de résultat net, confirmant la trajectoire de redressement. L'augmentation de capital de 1,5 milliard FCFA (avis BRVM du 14/04/2026, 3 750 000 actions nouvelles à 400 FCFA, 6 nouvelles pour 13 anciennes) vise précisément à renforcer les fonds propres et corriger la fragilité structurelle.</w:t>
      </w:r>
    </w:p>
    <w:p>
      <w:pPr>
        <w:spacing w:after="120" w:line="276" w:lineRule="auto"/>
      </w:pPr>
      <w:r>
        <w:t>**Recommandation fondamentale** : La dynamique opérationnelle est excellente (croissance PNB +44%, retour à la rentabilité, amélioration du coût du risque), mais la solidité financière reste précaire (fonds propres modestes, dépendance interbancaire massive, report à nouveau négatif). Le redressement est réel mais la structure de bilan doit encore être assainie — d'où une recommandation fondamentale de **CONSERVER** avec un biais positif, en attendant confirmation de la pérennité de la rentabilité et du renforcement des fonds propres.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(Partie 0)** : les ratios PER (64,3x), P/B (7,62x) et EV/EBITDA (80,3x) indiquent une surévaluation manifeste par rapport aux standards BRVM, le marché ayant déjà intégré une grande partie du redressement attendu. **Comportement du cours (Partie 1)** : la tendance récente est baissière depuis le pic de 6 200 FCFA (-38,7%), avec une volatilité élevée (61,3%) et une distribution quasi normale (kurtosis -0,851, skewness 0,388) — profil spéculatif mais sans risque extrême de pics. **Signaux techniques (Partie 2)** : divergence entre indicateurs de tendance (MM et MACD baissiers) et indicateurs de survente (RSI 25,74 et stochastique à 0), suggérant un rebond technique possible mais une tendance de fond encore fragile. **Fondamentaux (Partie 3)** : redressement spectaculaire confirmé par les rapports 2025 et S1 2026 (PNB +44%, résultat net +231%), mais structure financière encore précaire (autonomie financière 7,44%, dépendance interbancaire 92,56%). **Prédictions IA (J+1 à J+10)** : la trajectoire projetée (3 803 → 3 867 FCFA, soit +1,8% sur 10 jours) est légèrement haussière et cohérente avec le scénario de rebond technique post-survente, sans contredire les autres signaux.</w:t>
      </w:r>
    </w:p>
    <w:p>
      <w:pPr>
        <w:spacing w:after="120" w:line="276" w:lineRule="auto"/>
      </w:pPr>
      <w:r>
        <w:t>**Recommandation finale : CONSERVER** — Le titre présente un profil de valeur spéculative en phase de redressement : la dynamique fondamentale est indéniablement positive (retour à la rentabilité, croissance du PNB, amélioration du coût du risque), mais la valorisation exigeante (PER 64x) et la fragilité du bilan (fonds propres faibles, dépendance interbancaire) limitent le potentiel de revalorisation à court terme. La convergence est partielle : technique baissier de fond mais survente propice au rebond, fondamental positif mais valorisation tendue, prédictions IA légèrement haussières. **Niveau de confiance : Moyen** — la visibilité sur la pérennité du redressement reste limitée. **Niveau de risque global : Élevé** — volatilité de 61,3%, structure financière fragile, valorisation exigeante. **Horizon optimal : Moyen terme (3-12 mois)**, en surveillant les prochains rapports trimestriels (notamment la confirmation du résultat net 2026 et l'impact de l'augmentation de capital sur les ratios prudentiels) avant d'envisager un passage à l'achat.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10,205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-6.32%</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2,150 FCFA</w:t>
            </w:r>
          </w:p>
          <w:p>
            <w:r>
              <w:rPr>
                <w:b/>
                <w:color w:val="503200"/>
                <w:sz w:val="16"/>
              </w:rPr>
              <w:t xml:space="preserve">Volatilité ann. : </w:t>
            </w:r>
            <w:r>
              <w:rPr>
                <w:color w:val="000000"/>
                <w:sz w:val="17"/>
              </w:rPr>
              <w:t>54.1%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13.32% (Moyenne) — μ=3,195 FCFA, σ=425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β=1.2385 (Agressif) — Cov=0.000092, Var(idx)=0.000074, ρ=0.332,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10,205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5477"/>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2026-10-20</w:t>
            </w:r>
          </w:p>
        </w:tc>
        <w:tc>
          <w:tcPr>
            <w:tcW w:type="dxa" w:w="1440"/>
            <w:shd w:fill="C6EFCE" w:val="clear"/>
          </w:tcPr>
          <w:p>
            <w:r>
              <w:rPr>
                <w:sz w:val="17"/>
              </w:rPr>
              <w:t>2,107</w:t>
            </w:r>
          </w:p>
        </w:tc>
        <w:tc>
          <w:tcPr>
            <w:tcW w:type="dxa" w:w="1440"/>
            <w:shd w:fill="C6EFCE" w:val="clear"/>
          </w:tcPr>
          <w:p>
            <w:r>
              <w:rPr>
                <w:b/>
                <w:sz w:val="17"/>
              </w:rPr>
              <w:t>2,227</w:t>
            </w:r>
          </w:p>
        </w:tc>
        <w:tc>
          <w:tcPr>
            <w:tcW w:type="dxa" w:w="1440"/>
            <w:shd w:fill="C6EFCE" w:val="clear"/>
          </w:tcPr>
          <w:p>
            <w:r>
              <w:rPr>
                <w:sz w:val="17"/>
              </w:rPr>
              <w:t>2,347</w:t>
            </w:r>
          </w:p>
        </w:tc>
        <w:tc>
          <w:tcPr>
            <w:tcW w:type="dxa" w:w="1440"/>
            <w:shd w:fill="C6EFCE" w:val="clear"/>
          </w:tcPr>
          <w:p>
            <w:r>
              <w:rPr>
                <w:b/>
                <w:color w:val="008000"/>
                <w:sz w:val="17"/>
              </w:rPr>
              <w:t>+3.6%</w:t>
            </w:r>
          </w:p>
        </w:tc>
      </w:tr>
      <w:tr>
        <w:tc>
          <w:tcPr>
            <w:tcW w:type="dxa" w:w="1440"/>
            <w:shd w:fill="C6EFCE" w:val="clear"/>
          </w:tcPr>
          <w:p>
            <w:r>
              <w:rPr>
                <w:sz w:val="17"/>
              </w:rPr>
              <w:t>J+2  Moyenne</w:t>
            </w:r>
          </w:p>
        </w:tc>
        <w:tc>
          <w:tcPr>
            <w:tcW w:type="dxa" w:w="1440"/>
            <w:shd w:fill="C6EFCE" w:val="clear"/>
          </w:tcPr>
          <w:p>
            <w:r>
              <w:rPr>
                <w:sz w:val="17"/>
              </w:rPr>
              <w:t>2026-10-21</w:t>
            </w:r>
          </w:p>
        </w:tc>
        <w:tc>
          <w:tcPr>
            <w:tcW w:type="dxa" w:w="1440"/>
            <w:shd w:fill="C6EFCE" w:val="clear"/>
          </w:tcPr>
          <w:p>
            <w:r>
              <w:rPr>
                <w:sz w:val="17"/>
              </w:rPr>
              <w:t>2,143</w:t>
            </w:r>
          </w:p>
        </w:tc>
        <w:tc>
          <w:tcPr>
            <w:tcW w:type="dxa" w:w="1440"/>
            <w:shd w:fill="C6EFCE" w:val="clear"/>
          </w:tcPr>
          <w:p>
            <w:r>
              <w:rPr>
                <w:b/>
                <w:sz w:val="17"/>
              </w:rPr>
              <w:t>2,320</w:t>
            </w:r>
          </w:p>
        </w:tc>
        <w:tc>
          <w:tcPr>
            <w:tcW w:type="dxa" w:w="1440"/>
            <w:shd w:fill="C6EFCE" w:val="clear"/>
          </w:tcPr>
          <w:p>
            <w:r>
              <w:rPr>
                <w:sz w:val="17"/>
              </w:rPr>
              <w:t>2,497</w:t>
            </w:r>
          </w:p>
        </w:tc>
        <w:tc>
          <w:tcPr>
            <w:tcW w:type="dxa" w:w="1440"/>
            <w:shd w:fill="C6EFCE" w:val="clear"/>
          </w:tcPr>
          <w:p>
            <w:r>
              <w:rPr>
                <w:b/>
                <w:color w:val="008000"/>
                <w:sz w:val="17"/>
              </w:rPr>
              <w:t>+7.9%</w:t>
            </w:r>
          </w:p>
        </w:tc>
      </w:tr>
      <w:tr>
        <w:tc>
          <w:tcPr>
            <w:tcW w:type="dxa" w:w="1440"/>
            <w:shd w:fill="C6EFCE" w:val="clear"/>
          </w:tcPr>
          <w:p>
            <w:r>
              <w:rPr>
                <w:sz w:val="17"/>
              </w:rPr>
              <w:t>J+3  Moyenne</w:t>
            </w:r>
          </w:p>
        </w:tc>
        <w:tc>
          <w:tcPr>
            <w:tcW w:type="dxa" w:w="1440"/>
            <w:shd w:fill="C6EFCE" w:val="clear"/>
          </w:tcPr>
          <w:p>
            <w:r>
              <w:rPr>
                <w:sz w:val="17"/>
              </w:rPr>
              <w:t>2026-10-22</w:t>
            </w:r>
          </w:p>
        </w:tc>
        <w:tc>
          <w:tcPr>
            <w:tcW w:type="dxa" w:w="1440"/>
            <w:shd w:fill="C6EFCE" w:val="clear"/>
          </w:tcPr>
          <w:p>
            <w:r>
              <w:rPr>
                <w:sz w:val="17"/>
              </w:rPr>
              <w:t>2,207</w:t>
            </w:r>
          </w:p>
        </w:tc>
        <w:tc>
          <w:tcPr>
            <w:tcW w:type="dxa" w:w="1440"/>
            <w:shd w:fill="C6EFCE" w:val="clear"/>
          </w:tcPr>
          <w:p>
            <w:r>
              <w:rPr>
                <w:b/>
                <w:sz w:val="17"/>
              </w:rPr>
              <w:t>2,434</w:t>
            </w:r>
          </w:p>
        </w:tc>
        <w:tc>
          <w:tcPr>
            <w:tcW w:type="dxa" w:w="1440"/>
            <w:shd w:fill="C6EFCE" w:val="clear"/>
          </w:tcPr>
          <w:p>
            <w:r>
              <w:rPr>
                <w:sz w:val="17"/>
              </w:rPr>
              <w:t>2,662</w:t>
            </w:r>
          </w:p>
        </w:tc>
        <w:tc>
          <w:tcPr>
            <w:tcW w:type="dxa" w:w="1440"/>
            <w:shd w:fill="C6EFCE" w:val="clear"/>
          </w:tcPr>
          <w:p>
            <w:r>
              <w:rPr>
                <w:b/>
                <w:color w:val="008000"/>
                <w:sz w:val="17"/>
              </w:rPr>
              <w:t>+13.2%</w:t>
            </w:r>
          </w:p>
        </w:tc>
      </w:tr>
      <w:tr>
        <w:tc>
          <w:tcPr>
            <w:tcW w:type="dxa" w:w="1440"/>
            <w:shd w:fill="C6EFCE" w:val="clear"/>
          </w:tcPr>
          <w:p>
            <w:r>
              <w:rPr>
                <w:sz w:val="17"/>
              </w:rPr>
              <w:t>J+4  ⭐</w:t>
            </w:r>
          </w:p>
        </w:tc>
        <w:tc>
          <w:tcPr>
            <w:tcW w:type="dxa" w:w="1440"/>
            <w:shd w:fill="C6EFCE" w:val="clear"/>
          </w:tcPr>
          <w:p>
            <w:r>
              <w:rPr>
                <w:sz w:val="17"/>
              </w:rPr>
              <w:t>2026-10-23</w:t>
            </w:r>
          </w:p>
        </w:tc>
        <w:tc>
          <w:tcPr>
            <w:tcW w:type="dxa" w:w="1440"/>
            <w:shd w:fill="C6EFCE" w:val="clear"/>
          </w:tcPr>
          <w:p>
            <w:r>
              <w:rPr>
                <w:sz w:val="17"/>
              </w:rPr>
              <w:t>2,265</w:t>
            </w:r>
          </w:p>
        </w:tc>
        <w:tc>
          <w:tcPr>
            <w:tcW w:type="dxa" w:w="1440"/>
            <w:shd w:fill="C6EFCE" w:val="clear"/>
          </w:tcPr>
          <w:p>
            <w:r>
              <w:rPr>
                <w:b/>
                <w:sz w:val="17"/>
              </w:rPr>
              <w:t>2,539</w:t>
            </w:r>
          </w:p>
        </w:tc>
        <w:tc>
          <w:tcPr>
            <w:tcW w:type="dxa" w:w="1440"/>
            <w:shd w:fill="C6EFCE" w:val="clear"/>
          </w:tcPr>
          <w:p>
            <w:r>
              <w:rPr>
                <w:sz w:val="17"/>
              </w:rPr>
              <w:t>2,812</w:t>
            </w:r>
          </w:p>
        </w:tc>
        <w:tc>
          <w:tcPr>
            <w:tcW w:type="dxa" w:w="1440"/>
            <w:shd w:fill="C6EFCE" w:val="clear"/>
          </w:tcPr>
          <w:p>
            <w:r>
              <w:rPr>
                <w:b/>
                <w:color w:val="008000"/>
                <w:sz w:val="17"/>
              </w:rPr>
              <w:t>+18.1%</w:t>
            </w:r>
          </w:p>
        </w:tc>
      </w:tr>
      <w:tr>
        <w:tc>
          <w:tcPr>
            <w:tcW w:type="dxa" w:w="1440"/>
            <w:shd w:fill="C6EFCE" w:val="clear"/>
          </w:tcPr>
          <w:p>
            <w:r>
              <w:rPr>
                <w:sz w:val="17"/>
              </w:rPr>
              <w:t>J+5  ⭐</w:t>
            </w:r>
          </w:p>
        </w:tc>
        <w:tc>
          <w:tcPr>
            <w:tcW w:type="dxa" w:w="1440"/>
            <w:shd w:fill="C6EFCE" w:val="clear"/>
          </w:tcPr>
          <w:p>
            <w:r>
              <w:rPr>
                <w:sz w:val="17"/>
              </w:rPr>
              <w:t>2026-10-26</w:t>
            </w:r>
          </w:p>
        </w:tc>
        <w:tc>
          <w:tcPr>
            <w:tcW w:type="dxa" w:w="1440"/>
            <w:shd w:fill="C6EFCE" w:val="clear"/>
          </w:tcPr>
          <w:p>
            <w:r>
              <w:rPr>
                <w:sz w:val="17"/>
              </w:rPr>
              <w:t>2,315</w:t>
            </w:r>
          </w:p>
        </w:tc>
        <w:tc>
          <w:tcPr>
            <w:tcW w:type="dxa" w:w="1440"/>
            <w:shd w:fill="C6EFCE" w:val="clear"/>
          </w:tcPr>
          <w:p>
            <w:r>
              <w:rPr>
                <w:b/>
                <w:sz w:val="17"/>
              </w:rPr>
              <w:t>2,633</w:t>
            </w:r>
          </w:p>
        </w:tc>
        <w:tc>
          <w:tcPr>
            <w:tcW w:type="dxa" w:w="1440"/>
            <w:shd w:fill="C6EFCE" w:val="clear"/>
          </w:tcPr>
          <w:p>
            <w:r>
              <w:rPr>
                <w:sz w:val="17"/>
              </w:rPr>
              <w:t>2,950</w:t>
            </w:r>
          </w:p>
        </w:tc>
        <w:tc>
          <w:tcPr>
            <w:tcW w:type="dxa" w:w="1440"/>
            <w:shd w:fill="C6EFCE" w:val="clear"/>
          </w:tcPr>
          <w:p>
            <w:r>
              <w:rPr>
                <w:b/>
                <w:color w:val="008000"/>
                <w:sz w:val="17"/>
              </w:rPr>
              <w:t>+22.4%</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2,360</w:t>
            </w:r>
          </w:p>
        </w:tc>
        <w:tc>
          <w:tcPr>
            <w:tcW w:type="dxa" w:w="1440"/>
            <w:shd w:fill="C6EFCE" w:val="clear"/>
          </w:tcPr>
          <w:p>
            <w:r>
              <w:rPr>
                <w:b/>
                <w:sz w:val="17"/>
              </w:rPr>
              <w:t>2,719</w:t>
            </w:r>
          </w:p>
        </w:tc>
        <w:tc>
          <w:tcPr>
            <w:tcW w:type="dxa" w:w="1440"/>
            <w:shd w:fill="C6EFCE" w:val="clear"/>
          </w:tcPr>
          <w:p>
            <w:r>
              <w:rPr>
                <w:sz w:val="17"/>
              </w:rPr>
              <w:t>3,078</w:t>
            </w:r>
          </w:p>
        </w:tc>
        <w:tc>
          <w:tcPr>
            <w:tcW w:type="dxa" w:w="1440"/>
            <w:shd w:fill="C6EFCE" w:val="clear"/>
          </w:tcPr>
          <w:p>
            <w:r>
              <w:rPr>
                <w:b/>
                <w:color w:val="008000"/>
                <w:sz w:val="17"/>
              </w:rPr>
              <w:t>+26.5%</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2,401</w:t>
            </w:r>
          </w:p>
        </w:tc>
        <w:tc>
          <w:tcPr>
            <w:tcW w:type="dxa" w:w="1440"/>
            <w:shd w:fill="C6EFCE" w:val="clear"/>
          </w:tcPr>
          <w:p>
            <w:r>
              <w:rPr>
                <w:b/>
                <w:sz w:val="17"/>
              </w:rPr>
              <w:t>2,800</w:t>
            </w:r>
          </w:p>
        </w:tc>
        <w:tc>
          <w:tcPr>
            <w:tcW w:type="dxa" w:w="1440"/>
            <w:shd w:fill="C6EFCE" w:val="clear"/>
          </w:tcPr>
          <w:p>
            <w:r>
              <w:rPr>
                <w:sz w:val="17"/>
              </w:rPr>
              <w:t>3,199</w:t>
            </w:r>
          </w:p>
        </w:tc>
        <w:tc>
          <w:tcPr>
            <w:tcW w:type="dxa" w:w="1440"/>
            <w:shd w:fill="C6EFCE" w:val="clear"/>
          </w:tcPr>
          <w:p>
            <w:r>
              <w:rPr>
                <w:b/>
                <w:color w:val="008000"/>
                <w:sz w:val="17"/>
              </w:rPr>
              <w:t>+30.2%</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2,437</w:t>
            </w:r>
          </w:p>
        </w:tc>
        <w:tc>
          <w:tcPr>
            <w:tcW w:type="dxa" w:w="1440"/>
            <w:shd w:fill="C6EFCE" w:val="clear"/>
          </w:tcPr>
          <w:p>
            <w:r>
              <w:rPr>
                <w:b/>
                <w:sz w:val="17"/>
              </w:rPr>
              <w:t>2,875</w:t>
            </w:r>
          </w:p>
        </w:tc>
        <w:tc>
          <w:tcPr>
            <w:tcW w:type="dxa" w:w="1440"/>
            <w:shd w:fill="C6EFCE" w:val="clear"/>
          </w:tcPr>
          <w:p>
            <w:r>
              <w:rPr>
                <w:sz w:val="17"/>
              </w:rPr>
              <w:t>3,313</w:t>
            </w:r>
          </w:p>
        </w:tc>
        <w:tc>
          <w:tcPr>
            <w:tcW w:type="dxa" w:w="1440"/>
            <w:shd w:fill="C6EFCE" w:val="clear"/>
          </w:tcPr>
          <w:p>
            <w:r>
              <w:rPr>
                <w:b/>
                <w:color w:val="008000"/>
                <w:sz w:val="17"/>
              </w:rPr>
              <w:t>+33.7%</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2,468</w:t>
            </w:r>
          </w:p>
        </w:tc>
        <w:tc>
          <w:tcPr>
            <w:tcW w:type="dxa" w:w="1440"/>
            <w:shd w:fill="C6EFCE" w:val="clear"/>
          </w:tcPr>
          <w:p>
            <w:r>
              <w:rPr>
                <w:b/>
                <w:sz w:val="17"/>
              </w:rPr>
              <w:t>2,944</w:t>
            </w:r>
          </w:p>
        </w:tc>
        <w:tc>
          <w:tcPr>
            <w:tcW w:type="dxa" w:w="1440"/>
            <w:shd w:fill="C6EFCE" w:val="clear"/>
          </w:tcPr>
          <w:p>
            <w:r>
              <w:rPr>
                <w:sz w:val="17"/>
              </w:rPr>
              <w:t>3,420</w:t>
            </w:r>
          </w:p>
        </w:tc>
        <w:tc>
          <w:tcPr>
            <w:tcW w:type="dxa" w:w="1440"/>
            <w:shd w:fill="C6EFCE" w:val="clear"/>
          </w:tcPr>
          <w:p>
            <w:r>
              <w:rPr>
                <w:b/>
                <w:color w:val="008000"/>
                <w:sz w:val="17"/>
              </w:rPr>
              <w:t>+36.9%</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2,495</w:t>
            </w:r>
          </w:p>
        </w:tc>
        <w:tc>
          <w:tcPr>
            <w:tcW w:type="dxa" w:w="1440"/>
            <w:shd w:fill="C6EFCE" w:val="clear"/>
          </w:tcPr>
          <w:p>
            <w:r>
              <w:rPr>
                <w:b/>
                <w:sz w:val="17"/>
              </w:rPr>
              <w:t>3,007</w:t>
            </w:r>
          </w:p>
        </w:tc>
        <w:tc>
          <w:tcPr>
            <w:tcW w:type="dxa" w:w="1440"/>
            <w:shd w:fill="C6EFCE" w:val="clear"/>
          </w:tcPr>
          <w:p>
            <w:r>
              <w:rPr>
                <w:sz w:val="17"/>
              </w:rPr>
              <w:t>3,520</w:t>
            </w:r>
          </w:p>
        </w:tc>
        <w:tc>
          <w:tcPr>
            <w:tcW w:type="dxa" w:w="1440"/>
            <w:shd w:fill="C6EFCE" w:val="clear"/>
          </w:tcPr>
          <w:p>
            <w:r>
              <w:rPr>
                <w:b/>
                <w:color w:val="008000"/>
                <w:sz w:val="17"/>
              </w:rPr>
              <w:t>+39.9%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RAPPORT D'ANALYSE FINANCIÈRE — SCRC (SUCRIVOIRE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**42,14 milliards FCFA**, un niveau modeste à l'échelle de la BRVM qui la place parmi les valeurs de second rang du compartiment agro-industriel. Le BPA ressort à **-406 FCFA/action**, traduisant une société en perte nette, ce qui rend le PER de **-5,3x** mécaniquement négatif et donc non interprétable en termes de cherté relative (le PER moyen BRVM se situe autour de 8-12x pour les valeurs bénéficiaires). Le ratio P/B de **2,44x** indique que le marché valorise le titre à plus de deux fois sa valeur comptable, soit une prime de croissance accordée malgré les difficultés actuelles — un positionnement paradoxal qui reflète davantage les anticipations de redressement que la réalité bilancielle. Enfin, l'EV/EBITDA de **9,0x** se situe dans la fourchette raisonnable (5-10x), suggérant que la valeur d'entreprise reste cohérente avec la capacité opérationnelle générée (EBE de 14,85 Mds FCFA), mais cette lecture doit être tempérée par le poids de la dette financière (84,87 Mds FCFA) qui gonfle mécaniquement la valeur d'entreprise.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SCRC affiche une **variation totale de -6,32%**, avec une chute brutale de **-5,29% sur la seule séance J-1**, portant le cours actuel à **2 150 FCFA** — soit précisément le plus bas de la période, ce qui constitue un signal baissier préoccupant. Le range de trading est très large, entre un plus haut de **3 920 FCFA** et ce plancher de 2 150 FCFA, soit un amortissement de près de 45% depuis le sommet. La tendance générale est clairement **baissière**, le titre ayant perdu l'essentiel de sa valeur sur la période. Les statistiques descriptives révèlent une distribution asymétrique : la moyenne (**3 195 FCFA**) est inférieure à la médiane (**3 298 FCFA**), confirmant un skewness négatif de **-0,540** — interprété dans les données comme « plus de journées au-dessus de la moyenne », ce qui signifie que la récente chute tire artificiellement la moyenne vers le bas après une longue phase de cours élevés. L'écart-type de **428 FCFA** (CV de **13,4%**) indique une dispersion modérée autour de la moyenne, tandis que le kurtosis de **-0,779** (mésokurtique) suggère une distribution proche de la normale, sans pics extrêmes fréquents — mais la chute actuelle constitue précisément l'événement rare qui sort de ce cadre. La **volatilité annualisée de 54,1%** classe le titre dans la catégorie **très élevée** (&gt;30%), incompatible avec un profil prudent et exigeant une prime de risque substantielle.</w:t>
      </w:r>
    </w:p>
    <w:p>
      <w:pPr>
        <w:spacing w:after="120" w:line="276" w:lineRule="auto"/>
      </w:pPr>
      <w:r>
        <w:t>---</w:t>
      </w:r>
    </w:p>
    <w:p>
      <w:pPr>
        <w:spacing w:after="120" w:line="276" w:lineRule="auto"/>
      </w:pPr>
      <w:r>
        <w:t>## PARTIE 2 : ANALYSE TECHNIQUE DÉTAILLÉE</w:t>
      </w:r>
    </w:p>
    <w:p>
      <w:pPr>
        <w:spacing w:after="120" w:line="276" w:lineRule="auto"/>
      </w:pPr>
      <w:r>
        <w:t>**Moyennes Mobiles** : La MM20 (**2 679,5 FCFA**) et la MM50 (**3 181,6 FCFA**) se situent toutes deux nettement au-dessus du cours actuel (2 150 FCFA), avec une MM20 inférieure à la MM50 — configuration de croisement baissier (death cross) confirmée. Le cours évoluant sous ses deux moyennes, la pression vendeuse domine clairement, justifiant la décision **Vente**.</w:t>
      </w:r>
    </w:p>
    <w:p>
      <w:pPr>
        <w:spacing w:after="120" w:line="276" w:lineRule="auto"/>
      </w:pPr>
      <w:r>
        <w:t>**Bandes de Bollinger** : Le cours (2 150 FCFA) est collé à la borne inférieure (**2 124,48 FCFA**), à seulement 25 FCFA de celle-ci, tandis que la borne supérieure se situe à **3 234,52 FCFA**. Cette position extrême signale une survente technique et une volatilité comprimée vers le bas, mais la décision reste **Neutre** car un rebond depuis la borne inférieure est statistiquement fréquent — le titre est survendu mais pas encore en retournement confirmé.</w:t>
      </w:r>
    </w:p>
    <w:p>
      <w:pPr>
        <w:spacing w:after="120" w:line="276" w:lineRule="auto"/>
      </w:pPr>
      <w:r>
        <w:t>**MACD** : La valeur du MACD (**-270,81**) est inférieure à son signal (**-234,73**), avec un histogramme négatif qui s'accentue — la divergence baissière persiste et le momentum reste clairement négatif. Aucun signe de retournement n'est visible, justifiant la décision **Vente**.</w:t>
      </w:r>
    </w:p>
    <w:p>
      <w:pPr>
        <w:spacing w:after="120" w:line="276" w:lineRule="auto"/>
      </w:pPr>
      <w:r>
        <w:t>**RSI** : À **2,30**, le RSI est en zone de **survente extrême** (seuil &lt;30), un niveau historiquement rare qui traduit une capitulation des vendeurs. Cette lecture justifie la décision **Achat** — non pas sur les fondamentaux, mais sur la probabilité statistique d'un rebond technique à court terme après une chute aussi violente.</w:t>
      </w:r>
    </w:p>
    <w:p>
      <w:pPr>
        <w:spacing w:after="120" w:line="276" w:lineRule="auto"/>
      </w:pPr>
      <w:r>
        <w:t>**Stochastique** : Le %K et le %D sont tous deux à **0,0**, position plancher absolue qui confirme la survente totale. Aucun croisement haussier n'est encore intervenu, mais la décision **Achat** reflète l'anticipation d'un retournement imminent depuis cette zone extrême.</w:t>
      </w:r>
    </w:p>
    <w:p>
      <w:pPr>
        <w:spacing w:after="120" w:line="276" w:lineRule="auto"/>
      </w:pPr>
      <w:r>
        <w:t>**Conclusion technique** : Les indicateurs présentent une **divergence majeure** : les moyennes mobiles et le MACD confirment une tendance baissière structurelle (décision Vente), tandis que le RSI (2,30) et le stochastique (0,0) signalent une survente extrême propice à un rebond technique (décision Achat). Les Bandes de Bollinger en position neutre traduisent cette indécision. La convergence des oscillateurs vers un rebond à court terme est probable, mais elle s'inscrit dans une tendance de fond baissière non invalidée — un rebond technique ne constituerait pas un retournement de tendance.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SCRC a réalisé un chiffre d'affaires de **80,57 Mds FCFA**, en **recul de 7,6%** par rapport aux 87,22 Mds FCFA de 2024, avec un résultat net **négatif de -7,95 Mds FCFA** (contre un bénéfice de +2,47 Mds en 2024, soit une dégradation de 421%). Les ratios de rentabilité sont profondément dégradés : **ROE de -46,13%** (très en dessous du seuil de 15% d'excellence) et **ROA de -5,08%**, tandis que la marge nette s'établit à **-9,87%** et la marge opérationnelle à **-0,68%**. Sur le plan de la structure financière, l'**autonomie financière n'est que de 11,02%** (très loin du seuil sain de 30%), le **ratio d'endettement atteint 88,98%** et la **capacité de remboursement est de 11,21 années** de CAF — un niveau critique. Les délais d'exploitation révèlent un **délai fournisseurs de 366 jours** (très favorable à la trésorerie) mais une **durée de stockage de 360,73 jours** (immobilisation de capital considérable) et un **BFR de 6,53 Mds FCFA** avec un fonds de roulement négatif de -10,67 Mds et une **trésorerie nette de -6,51 Mds FCFA** — signe de tensions de liquidité réelles.</w:t>
      </w:r>
    </w:p>
    <w:p>
      <w:pPr>
        <w:spacing w:after="120" w:line="276" w:lineRule="auto"/>
      </w:pPr>
      <w:r>
        <w:t>**Croisement avec les rapports narratifs** : Le rapport annuel 2025 (analysé le 19/05/2026) confirme cette détérioration, attribuée à l'**explosion du coût de l'endettement financier (+262% à 6,79 Mds FCFA)** et à un endettement long terme bondissant de 168% à 64,5 Mds FCFA. Le rapport du 01/05/2026 souligne que le résultat opérationnel courant est devenu négatif (-210 M FCFA contre +5,8 Mds en 2024), la rentabilité nette n'étant soutenue que par des éléments non récurrents. Le rapport S1 2025 (30/06/2025) avait déjà alerté sur une perte nette de -6,71 Mds FCFA liée à un calendrier de récolte décalé et des coûts exceptionnels, tout en anticipant une production 2025/26 de 90 000 à 95 000 tonnes (+14% à +20%). **Estimation** : sur la base de ces rapports, l'exercice 2026 devrait rester sous pression tant que la restructuration de la dette n'est pas effective, la baisse du CA (-7,6%) et la charge financière (6,79 Mds) constituant les deux vents contraires majeurs. La recommandation fondamentale est donc **négative** : la société présente une structure financière fragile (capitaux propres de seulement 17,24 Mds pour 139,18 Mds de dettes totales), une rentabilité opérationnelle quasi nulle et une dépendance critique à un endettement coûteux — les investissements massifs (25,2 Mds FCFA) constituent le seul espoir de redressement à moyen terme, mais ils aggravent la situation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**divorce profond entre le signal technique de court terme et la réalité fondamentale**. Sur le plan de la **valorisation (Partie 0)**, le PER négatif (-5,3x) et le P/B élevé (2,44x) traduisent une incohérence : le marché paie une prime de 2,44x une valeur comptable pour une société déficitaire, ce qui n'est justifiable que par des anticipations de redressement non encore matérialisées. Le **comportement du cours (Partie 1)** est clairement préoccupant : tendance baissière de -6,32%, cours au plus bas absolu (2 150 FCFA), volatilité extrême de 54,1% et skewness négatif confirmant la pression vendeuse. Les **signaux techniques (Partie 2)** sont contradictoires : MM et MACD en Vente, mais RSI (2,30) et Stochastique (0,0) en survente extrême suggérant un rebond technique imminent — convergence vers un **rebond de court terme dans une tendance baissière de fond**. Les **fondamentaux (Partie 3)** sont sans ambiguïté négatifs : perte nette de -7,95 Mds, ROE de -46%, endettement critique (88,98%) et trésorerie nette négative. Enfin, les **prédictions IA (J+1 à J+10)** anticipent une trajectoire haussière de 2 227 à 2 633 FCFA (+22% en 10 jours), ce qui **confirme le rebond technique** attendu par les oscillateurs mais **contredit la tendance fondamentale** — il s'agit d'un rebond de survente, non d'un retournement.</w:t>
      </w:r>
    </w:p>
    <w:p>
      <w:pPr>
        <w:spacing w:after="120" w:line="276" w:lineRule="auto"/>
      </w:pPr>
      <w:r>
        <w:t>**Recommandation finale : CONSERVER (avec vigilance) / VENTE pour les investisseurs averses au risque**</w:t>
      </w:r>
    </w:p>
    <w:p>
      <w:pPr>
        <w:spacing w:after="120" w:line="276" w:lineRule="auto"/>
      </w:pPr>
      <w:r>
        <w:t>La convergence est **partielle** : technique de court terme (rebond) et prédictions IA s'accordent, mais s'opposent à la valorisation et aux fondamentaux dégradés. Le niveau de confiance est **Moyen** (le rebond technique est probable mais fragile), et le niveau de risque global est **Élevé** (volatilité de 54%, endettement critique, perte nette). L'horizon optimal est **court terme (&lt;3 mois)** pour capter le rebond technique vers 2 600-2 700 FCFA, avec un stop-loss strict sous 2 100 FCFA ; à **moyen et long terme**, la prudence s'impose tant que la restructuration de la dette et le retour à une rentabilité opérationnelle positive ne sont pas confirmés par les prochains rapports semestriels 2026 — un achat fondamental serait prématuré, une vente définitive serait excessive compte tenu du potentiel des investissements en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115.97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1,526 titres</w:t>
            </w:r>
          </w:p>
        </w:tc>
        <w:tc>
          <w:tcPr>
            <w:tcW w:type="dxa" w:w="2268"/>
            <w:shd w:fill="FFF2CC" w:val="clear"/>
          </w:tcPr>
          <w:p>
            <w:r>
              <w:rPr>
                <w:b/>
                <w:color w:val="503200"/>
                <w:sz w:val="16"/>
              </w:rPr>
              <w:t xml:space="preserve">Cours actuel : </w:t>
            </w:r>
            <w:r>
              <w:rPr>
                <w:color w:val="000000"/>
                <w:sz w:val="17"/>
              </w:rPr>
              <w:t>12,885 FCFA</w:t>
            </w:r>
          </w:p>
          <w:p>
            <w:r>
              <w:rPr>
                <w:b/>
                <w:color w:val="503200"/>
                <w:sz w:val="16"/>
              </w:rPr>
              <w:t xml:space="preserve">Var. 100 jours : </w:t>
            </w:r>
            <w:r>
              <w:rPr>
                <w:b/>
                <w:color w:val="007800"/>
                <w:sz w:val="17"/>
              </w:rPr>
              <w:t>+16.61%</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11,000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5.72% (Moyenne) — μ=12,212 FCFA, σ=699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β=0.7407 (Défensif) — Cov=0.000057, Var(idx)=0.000077, ρ=0.276,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82781"/>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12,261</w:t>
            </w:r>
          </w:p>
        </w:tc>
        <w:tc>
          <w:tcPr>
            <w:tcW w:type="dxa" w:w="1440"/>
            <w:shd w:fill="FAFAFA" w:val="clear"/>
          </w:tcPr>
          <w:p>
            <w:r>
              <w:rPr>
                <w:b/>
                <w:sz w:val="17"/>
              </w:rPr>
              <w:t>12,948</w:t>
            </w:r>
          </w:p>
        </w:tc>
        <w:tc>
          <w:tcPr>
            <w:tcW w:type="dxa" w:w="1440"/>
            <w:shd w:fill="FAFAFA" w:val="clear"/>
          </w:tcPr>
          <w:p>
            <w:r>
              <w:rPr>
                <w:sz w:val="17"/>
              </w:rPr>
              <w:t>13,636</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12,000</w:t>
            </w:r>
          </w:p>
        </w:tc>
        <w:tc>
          <w:tcPr>
            <w:tcW w:type="dxa" w:w="1440"/>
            <w:shd w:fill="FAFAFA" w:val="clear"/>
          </w:tcPr>
          <w:p>
            <w:r>
              <w:rPr>
                <w:b/>
                <w:sz w:val="17"/>
              </w:rPr>
              <w:t>12,974</w:t>
            </w:r>
          </w:p>
        </w:tc>
        <w:tc>
          <w:tcPr>
            <w:tcW w:type="dxa" w:w="1440"/>
            <w:shd w:fill="FAFAFA" w:val="clear"/>
          </w:tcPr>
          <w:p>
            <w:r>
              <w:rPr>
                <w:sz w:val="17"/>
              </w:rPr>
              <w:t>13,949</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11,804</w:t>
            </w:r>
          </w:p>
        </w:tc>
        <w:tc>
          <w:tcPr>
            <w:tcW w:type="dxa" w:w="1440"/>
            <w:shd w:fill="FAFAFA" w:val="clear"/>
          </w:tcPr>
          <w:p>
            <w:r>
              <w:rPr>
                <w:b/>
                <w:sz w:val="17"/>
              </w:rPr>
              <w:t>13,000</w:t>
            </w:r>
          </w:p>
        </w:tc>
        <w:tc>
          <w:tcPr>
            <w:tcW w:type="dxa" w:w="1440"/>
            <w:shd w:fill="FAFAFA" w:val="clear"/>
          </w:tcPr>
          <w:p>
            <w:r>
              <w:rPr>
                <w:sz w:val="17"/>
              </w:rPr>
              <w:t>14,195</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11,636</w:t>
            </w:r>
          </w:p>
        </w:tc>
        <w:tc>
          <w:tcPr>
            <w:tcW w:type="dxa" w:w="1440"/>
            <w:shd w:fill="FAFAFA" w:val="clear"/>
          </w:tcPr>
          <w:p>
            <w:r>
              <w:rPr>
                <w:b/>
                <w:sz w:val="17"/>
              </w:rPr>
              <w:t>13,019</w:t>
            </w:r>
          </w:p>
        </w:tc>
        <w:tc>
          <w:tcPr>
            <w:tcW w:type="dxa" w:w="1440"/>
            <w:shd w:fill="FAFAFA" w:val="clear"/>
          </w:tcPr>
          <w:p>
            <w:r>
              <w:rPr>
                <w:sz w:val="17"/>
              </w:rPr>
              <w:t>14,402</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11,486</w:t>
            </w:r>
          </w:p>
        </w:tc>
        <w:tc>
          <w:tcPr>
            <w:tcW w:type="dxa" w:w="1440"/>
            <w:shd w:fill="FAFAFA" w:val="clear"/>
          </w:tcPr>
          <w:p>
            <w:r>
              <w:rPr>
                <w:b/>
                <w:sz w:val="17"/>
              </w:rPr>
              <w:t>13,034</w:t>
            </w:r>
          </w:p>
        </w:tc>
        <w:tc>
          <w:tcPr>
            <w:tcW w:type="dxa" w:w="1440"/>
            <w:shd w:fill="FAFAFA" w:val="clear"/>
          </w:tcPr>
          <w:p>
            <w:r>
              <w:rPr>
                <w:sz w:val="17"/>
              </w:rPr>
              <w:t>14,581</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11,350</w:t>
            </w:r>
          </w:p>
        </w:tc>
        <w:tc>
          <w:tcPr>
            <w:tcW w:type="dxa" w:w="1440"/>
            <w:shd w:fill="FAFAFA" w:val="clear"/>
          </w:tcPr>
          <w:p>
            <w:r>
              <w:rPr>
                <w:b/>
                <w:sz w:val="17"/>
              </w:rPr>
              <w:t>13,047</w:t>
            </w:r>
          </w:p>
        </w:tc>
        <w:tc>
          <w:tcPr>
            <w:tcW w:type="dxa" w:w="1440"/>
            <w:shd w:fill="FAFAFA" w:val="clear"/>
          </w:tcPr>
          <w:p>
            <w:r>
              <w:rPr>
                <w:sz w:val="17"/>
              </w:rPr>
              <w:t>14,745</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11,228</w:t>
            </w:r>
          </w:p>
        </w:tc>
        <w:tc>
          <w:tcPr>
            <w:tcW w:type="dxa" w:w="1440"/>
            <w:shd w:fill="FAFAFA" w:val="clear"/>
          </w:tcPr>
          <w:p>
            <w:r>
              <w:rPr>
                <w:b/>
                <w:sz w:val="17"/>
              </w:rPr>
              <w:t>13,064</w:t>
            </w:r>
          </w:p>
        </w:tc>
        <w:tc>
          <w:tcPr>
            <w:tcW w:type="dxa" w:w="1440"/>
            <w:shd w:fill="FAFAFA" w:val="clear"/>
          </w:tcPr>
          <w:p>
            <w:r>
              <w:rPr>
                <w:sz w:val="17"/>
              </w:rPr>
              <w:t>14,899</w:t>
            </w:r>
          </w:p>
        </w:tc>
        <w:tc>
          <w:tcPr>
            <w:tcW w:type="dxa" w:w="1440"/>
            <w:shd w:fill="FAFAFA" w:val="clear"/>
          </w:tcPr>
          <w:p>
            <w:r>
              <w:rPr>
                <w:b/>
                <w:color w:val="008000"/>
                <w:sz w:val="17"/>
              </w:rPr>
              <w:t>+1.4%</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11,111</w:t>
            </w:r>
          </w:p>
        </w:tc>
        <w:tc>
          <w:tcPr>
            <w:tcW w:type="dxa" w:w="1440"/>
            <w:shd w:fill="FAFAFA" w:val="clear"/>
          </w:tcPr>
          <w:p>
            <w:r>
              <w:rPr>
                <w:b/>
                <w:sz w:val="17"/>
              </w:rPr>
              <w:t>13,074</w:t>
            </w:r>
          </w:p>
        </w:tc>
        <w:tc>
          <w:tcPr>
            <w:tcW w:type="dxa" w:w="1440"/>
            <w:shd w:fill="FAFAFA" w:val="clear"/>
          </w:tcPr>
          <w:p>
            <w:r>
              <w:rPr>
                <w:sz w:val="17"/>
              </w:rPr>
              <w:t>15,038</w:t>
            </w:r>
          </w:p>
        </w:tc>
        <w:tc>
          <w:tcPr>
            <w:tcW w:type="dxa" w:w="1440"/>
            <w:shd w:fill="FAFAFA" w:val="clear"/>
          </w:tcPr>
          <w:p>
            <w:r>
              <w:rPr>
                <w:b/>
                <w:color w:val="008000"/>
                <w:sz w:val="17"/>
              </w:rPr>
              <w:t>+1.5%</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10,998</w:t>
            </w:r>
          </w:p>
        </w:tc>
        <w:tc>
          <w:tcPr>
            <w:tcW w:type="dxa" w:w="1440"/>
            <w:shd w:fill="FAFAFA" w:val="clear"/>
          </w:tcPr>
          <w:p>
            <w:r>
              <w:rPr>
                <w:b/>
                <w:sz w:val="17"/>
              </w:rPr>
              <w:t>13,082</w:t>
            </w:r>
          </w:p>
        </w:tc>
        <w:tc>
          <w:tcPr>
            <w:tcW w:type="dxa" w:w="1440"/>
            <w:shd w:fill="FAFAFA" w:val="clear"/>
          </w:tcPr>
          <w:p>
            <w:r>
              <w:rPr>
                <w:sz w:val="17"/>
              </w:rPr>
              <w:t>15,166</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10,887</w:t>
            </w:r>
          </w:p>
        </w:tc>
        <w:tc>
          <w:tcPr>
            <w:tcW w:type="dxa" w:w="1440"/>
            <w:shd w:fill="FAFAFA" w:val="clear"/>
          </w:tcPr>
          <w:p>
            <w:r>
              <w:rPr>
                <w:b/>
                <w:sz w:val="17"/>
              </w:rPr>
              <w:t>13,084</w:t>
            </w:r>
          </w:p>
        </w:tc>
        <w:tc>
          <w:tcPr>
            <w:tcW w:type="dxa" w:w="1440"/>
            <w:shd w:fill="FAFAFA" w:val="clear"/>
          </w:tcPr>
          <w:p>
            <w:r>
              <w:rPr>
                <w:sz w:val="17"/>
              </w:rPr>
              <w:t>15,282</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 Bourse Régionale des Valeurs Mobilières (BRVM) — Côte d'Ivoire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115,97 milliards FCFA, SDCC figure parmi les valeurs moyennes-capitalisations de la cote BRVM, dans un secteur défensif (distribution d'eau) à forte visibilité. Le BPA de 518 FCFA/action signifie que chaque titre génère un bénéfice net de 518 FCFA, ce qui, rapporté au cours actuel de 12 885 FCFA, donne un PER de 24,9x — nettement supérieur à la moyenne BRVM (~8-12x), signalant que les investisseurs paient une prime importante pour les bénéfices, soit en anticipation de croissance, soit par effet de surévaluation. Le P/B de 5,88x (bien au-delà du seuil de 4x) confirme cette valorisation exigeante : le marché valorise l'entreprise à près de six fois sa valeur comptable, ce qui se justifie difficilement hors contexte de rentabilité exceptionnelle. Enfin, l'EV/EBITDA de 14,9x (fourchette haute 10-15x) traduit une valeur d'entreprise tendue par rapport à la capacité opérationnelle de génération de cash, cohérent avec un profil de valorisation premium mais fragile.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SDCC affiche une progression totale de +16,61%, avec une dernière séance quasi stable (-0,12%), confirmant une dynamique haussière de fond. Le titre a évolué dans un range de trading de 11 000 FCFA (plus bas) à 13 885 FCFA (plus haut), soit un spread de 26%, et se situe actuellement à 12 885 FCFA, à mi-chemin de ce canal. La moyenne (12 212 FCFA) est légèrement supérieure à la médiane (12 002 FCFA), et le mode (11 900 FCFA) se situe en dessous des deux : cet écart indique une distribution légèrement asymétrique à droite, confirmée par un skewness de 0,391 (distribution symétrique mais étirée vers les hauts), tandis que le kurtosis de -0,509 (mésokurtique) traduit un comportement proche d'une loi normale, sans risque marqué de pics extrêmes. L'écart-type de 703 FCFA avec un coefficient de variation de 5,8% révèle une dispersion modérée du cours autour de sa moyenne, mais la volatilité annualisée de 37,3% classe le titre dans la catégorie **élevée** (&gt;30%), ce qui est cohérent avec la faible liquidité du marché (volume moyen de 1 526 titres/jour) et expose l'investisseur à un risque de variation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(12 655 FCFA) et la MM50 (12 664,9 FCFA) sont quasi confondues et se situent toutes deux **au-dessus** du cours actuel (12 885 FCFA... en réalité légèrement en dessous, le cours étant supérieur de ~1,8%), ce qui traduit une configuration de consolidation avec un cours qui vient de repasser au-dessus de ses moyennes. La décision technique fournie est toutefois « Vente », suggérant que le croisement des moyennes reste baissier ou que le cours évolue sans direction claire, justifiant une prudence sur le momentum court terme.</w:t>
      </w:r>
    </w:p>
    <w:p>
      <w:pPr>
        <w:spacing w:after="120" w:line="276" w:lineRule="auto"/>
      </w:pPr>
      <w:r>
        <w:t>**Bandes de Bollinger** : Le cours (12 885 FCFA) se situe dans la moitié supérieure de la bande, entre la borne inférieure (11 612,29 FCFA) et la borne supérieure (13 697,71 FCFA), sans contact avec les extrêmes. Cette position centrale, avec une largeur de bande d'environ 2 085 FCFA, indique une volatilité encore présente mais sans signal de rupture ; la décision « Neutre » confirme l'absence de pression acheteuse ou vendeuse dominante.</w:t>
      </w:r>
    </w:p>
    <w:p>
      <w:pPr>
        <w:spacing w:after="120" w:line="276" w:lineRule="auto"/>
      </w:pPr>
      <w:r>
        <w:t>**MACD** : La valeur du MACD (64,605) est **inférieure** à son signal (67,946), configuration baissière caractéristique d'un essoufflement du momentum haussier, avec un histogramme négatif. La décision « Vente » est cohérente avec cette divergence négative, signalant que la dynamique positive des 100 derniers jours pourrait marquer une pause.</w:t>
      </w:r>
    </w:p>
    <w:p>
      <w:pPr>
        <w:spacing w:after="120" w:line="276" w:lineRule="auto"/>
      </w:pPr>
      <w:r>
        <w:t>**RSI** : À 60,093, le RSI se situe en zone neutre haute (30-70), sans atteindre la zone de surachat (&gt;70). Cela indique que le titre conserve un léger biais haussier sans être excessivement acheté, laissant de la marge à la hausse mais sans signal d'achat franc ; la décision « Neutre » est appropriée.</w:t>
      </w:r>
    </w:p>
    <w:p>
      <w:pPr>
        <w:spacing w:after="120" w:line="276" w:lineRule="auto"/>
      </w:pPr>
      <w:r>
        <w:t>**Stochastique** : Le %K (56,618) est **inférieur** au %D (67,676), configuration baissière avec un croisement potentiellement descendant, bien que les deux lignes restent en zone médiane. La décision « Neutre » traduit l'absence de signal directionnel fort, le stochastique n'étant ni en survente (&lt;20) ni en surachat (&gt;80).</w:t>
      </w:r>
    </w:p>
    <w:p>
      <w:pPr>
        <w:spacing w:after="120" w:line="276" w:lineRule="auto"/>
      </w:pPr>
      <w:r>
        <w:t>**Conclusion technique** : Les cinq indicateurs convergent vers un **signal global neutre à légèrement baissier** : les moyennes mobiles et le MACD plaident pour la prudence (décisions « Vente »), tandis que le RSI, le stochastique et les Bollinger restent neutres. Le titre sort d'une phase haussière de +16,61% mais montre des signes d'essoufflement à court terme, sans configuration de retournement franc. L'investisseur technique attendra une confirmation (cassure de la MM20 à la hausse ou rebond sur la borne inférieure) avant d'agir.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SDCC réalise un chiffre d'affaires de 189,43 milliards FCFA, en croissance de 9,98% (taux de croissance CA), avec un résultat net de 4,663 milliards FCFA, soit une marge nette de 2,46% et une marge opérationnelle de 4,81%. La rentabilité des fonds propres (ROE) atteint 23,65% — un niveau excellent (&gt;15%) — mais le ROA n'est que de 0,99%, reflétant une rotation d'actifs faible (40,08%) et un bilan très lourd. La structure financière est le point d'alerte majeur : l'autonomie financière n'est que de 4,17% (très en dessous du seuil sain de 30%), la dépendance financière atteint 740,21% et le ratio d'endettement 95,83%, avec des dettes totales de 452,96 milliards FCFA pour des capitaux propres de seulement 19,72 milliards FCFA. La liquidité générale (111,32%) reste correcte, mais la trésorerie nette est négative (-61,71 milliards FCFA) et le flux opérationnel ressort à -36,66 milliards FCFA, signe de tensions de financement. Le délai clients de 749 jours constitue un risque de trésorerie majeur (créances de 388,85 milliards FCFA, soit 82% du total actif), tandis que la durée de stockage de 59,86 jours reste maîtrisée.</w:t>
      </w:r>
    </w:p>
    <w:p>
      <w:pPr>
        <w:spacing w:after="120" w:line="276" w:lineRule="auto"/>
      </w:pPr>
      <w:r>
        <w:t>**Rapports narratifs et évolution temporelle** : Le rapport annuel 2025 (publié en 2025) confirme ces chiffres avec un CA de 189,4 milliards FCFA (+10%), un résultat net de 4,663 milliards FCFA (+31%), un EBE de 21,8 milliards FCFA (+21%), 2,27 millions de clients (+6,14%) et un dividende de 525 FCFA/action. Le rapport T1 2026 (publié en 2026) montre un CA en léger repli de -2% à 40 916 millions FCFA, mais un **résultat d'exploitation multiplié par 2,5** (2 730 millions FCFA, +150%) et un **résultat net bondissant de +118% à 1 318 millions FCFA**, avec une marge nette de 3,2% — signe d'une nette amélioration de la maîtrise des charges. On peut donc **estimer** que l'exercice 2026 devrait bénéficier de cette dynamique opérationnelle, avec un résultat net annualisé potentiellement supérieur à 5 milliards FCFA si la tendance se confirme, malgré la pression fiscale (+476% d'impôt au T1). Les rapports antérieurs (S1 2025, T1 2025, exercice 2024) montrent une dégradation de la rentabilité en 2024-2025 (marge nette passée de 2,8% en 2023 à 2,1% en 2024), suivie d'un rebond en 2025 puis d'une accélération au T1 2026. **Recommandation fondamentale** : la solidité opérationnelle et la position de monopole dans l'eau en Côte d'Ivoire sont des atouts, mais la structure financière très endettée, la trésorerie négative et le délai clients extrême constituent des risques structurels à surveiller ; le profil reste celui d'une valeur défensive de rendement (dividende attractif) plutôt que de croissance.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**déséquilibre entre valorisation exigeante et fondamentaux mitigés**. Sur le plan de la valorisation (Partie 0), le PER de 24,9x, le P/B de 5,88x et l'EV/EBITDA de 14,9x indiquent une **surévaluation relative** par rapport aux standards BRVM, le marché intégrant déjà une prime de croissance et de qualité sectorielle. Le comportement du cours (Partie 1) est haussier sur 100 jours (+16,61%) mais la volatilité annualisée de 37,3% et la distribution quasi normale (kurtosis -0,509, skewness 0,391) n'offrent pas de signal de risque extrême, bien que la faible liquidité amplifie les mouvements. Les signaux techniques (Partie 2) sont **mitigés** : MACD et moyennes mobiles en « Vente », RSI et stochastique neutres, sans convergence franche — le titre consolide après sa hausse. Les fondamentaux (Partie 3) présentent un profil contrasté : ROE excellent (23,65%), croissance du CA (+9,98%) et rebond spectaculaire du T1 2026 (+118% de résultat net), mais une structure financière très fragile (autonomie 4,17%, trésorerie nette -61,71 milliards FCFA, délai clients de 749 jours). Les **prédictions IA** (J+1 à J+10) anticipent une trajectoire haussière modérée de 12 948 à 13 034 FCFA (+1,2% sur 10 jours), ce qui **contredit partiellement** les signaux techniques baissiers mais **confirme** la dynamique fondamentale positive du T1 2026. Face à cette divergence entre technique (prudent), valorisation (chère) et fondamental (en amélioration), la recommandation finale est **CONSERVER**, avec un **niveau de confiance moyen** et un **risque global élevé** (lié à l'endettement et à la liquidité du titre). L'horizon optimal est le **moyen terme (3-12 mois)**, le temps que les résultats du S1 2026 confirment la tendance du T1 et que la valorisation se normalise ; un investisseur déjà positionné conservera sa ligne pour son dividende (525 FCFA/action, soit un rendement d'environ 4,1% au cours actuel), tandis qu'un nouvel entrant attendra un repli vers 12 000-12 200 FCFA (médiane/moyenne) pour améliorer son point d'entrée.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155.96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17,485 titres</w:t>
            </w:r>
          </w:p>
        </w:tc>
        <w:tc>
          <w:tcPr>
            <w:tcW w:type="dxa" w:w="2268"/>
            <w:shd w:fill="FFF2CC" w:val="clear"/>
          </w:tcPr>
          <w:p>
            <w:r>
              <w:rPr>
                <w:b/>
                <w:color w:val="503200"/>
                <w:sz w:val="16"/>
              </w:rPr>
              <w:t xml:space="preserve">Cours actuel : </w:t>
            </w:r>
            <w:r>
              <w:rPr>
                <w:color w:val="000000"/>
                <w:sz w:val="17"/>
              </w:rPr>
              <w:t>2,865 FCFA</w:t>
            </w:r>
          </w:p>
          <w:p>
            <w:r>
              <w:rPr>
                <w:b/>
                <w:color w:val="503200"/>
                <w:sz w:val="16"/>
              </w:rPr>
              <w:t xml:space="preserve">Var. 100 jours : </w:t>
            </w:r>
            <w:r>
              <w:rPr>
                <w:b/>
                <w:color w:val="007800"/>
                <w:sz w:val="17"/>
              </w:rPr>
              <w:t>+63.71%</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1,750 FCFA</w:t>
            </w:r>
          </w:p>
          <w:p>
            <w:r>
              <w:rPr>
                <w:b/>
                <w:color w:val="503200"/>
                <w:sz w:val="16"/>
              </w:rPr>
              <w:t xml:space="preserve">Volatilité ann. : </w:t>
            </w:r>
            <w:r>
              <w:rPr>
                <w:color w:val="000000"/>
                <w:sz w:val="17"/>
              </w:rPr>
              <w:t>52.8%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13.46% (Moyenne) — μ=2,631 FCFA, σ=354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β=0.5479 (Défensif) — Cov=0.000042, Var(idx)=0.000077, ρ=0.144,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17,485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σ_j=3.32%/j (Modérée) — Vol. annualisée≈52.8%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090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2,739</w:t>
            </w:r>
          </w:p>
        </w:tc>
        <w:tc>
          <w:tcPr>
            <w:tcW w:type="dxa" w:w="1440"/>
            <w:shd w:fill="FAFAFA" w:val="clear"/>
          </w:tcPr>
          <w:p>
            <w:r>
              <w:rPr>
                <w:b/>
                <w:sz w:val="17"/>
              </w:rPr>
              <w:t>2,879</w:t>
            </w:r>
          </w:p>
        </w:tc>
        <w:tc>
          <w:tcPr>
            <w:tcW w:type="dxa" w:w="1440"/>
            <w:shd w:fill="FAFAFA" w:val="clear"/>
          </w:tcPr>
          <w:p>
            <w:r>
              <w:rPr>
                <w:sz w:val="17"/>
              </w:rPr>
              <w:t>3,019</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2,693</w:t>
            </w:r>
          </w:p>
        </w:tc>
        <w:tc>
          <w:tcPr>
            <w:tcW w:type="dxa" w:w="1440"/>
            <w:shd w:fill="FAFAFA" w:val="clear"/>
          </w:tcPr>
          <w:p>
            <w:r>
              <w:rPr>
                <w:b/>
                <w:sz w:val="17"/>
              </w:rPr>
              <w:t>2,891</w:t>
            </w:r>
          </w:p>
        </w:tc>
        <w:tc>
          <w:tcPr>
            <w:tcW w:type="dxa" w:w="1440"/>
            <w:shd w:fill="FAFAFA" w:val="clear"/>
          </w:tcPr>
          <w:p>
            <w:r>
              <w:rPr>
                <w:sz w:val="17"/>
              </w:rPr>
              <w:t>3,090</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2,653</w:t>
            </w:r>
          </w:p>
        </w:tc>
        <w:tc>
          <w:tcPr>
            <w:tcW w:type="dxa" w:w="1440"/>
            <w:shd w:fill="FAFAFA" w:val="clear"/>
          </w:tcPr>
          <w:p>
            <w:r>
              <w:rPr>
                <w:b/>
                <w:sz w:val="17"/>
              </w:rPr>
              <w:t>2,897</w:t>
            </w:r>
          </w:p>
        </w:tc>
        <w:tc>
          <w:tcPr>
            <w:tcW w:type="dxa" w:w="1440"/>
            <w:shd w:fill="FAFAFA" w:val="clear"/>
          </w:tcPr>
          <w:p>
            <w:r>
              <w:rPr>
                <w:sz w:val="17"/>
              </w:rPr>
              <w:t>3,141</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2,616</w:t>
            </w:r>
          </w:p>
        </w:tc>
        <w:tc>
          <w:tcPr>
            <w:tcW w:type="dxa" w:w="1440"/>
            <w:shd w:fill="FAFAFA" w:val="clear"/>
          </w:tcPr>
          <w:p>
            <w:r>
              <w:rPr>
                <w:b/>
                <w:sz w:val="17"/>
              </w:rPr>
              <w:t>2,898</w:t>
            </w:r>
          </w:p>
        </w:tc>
        <w:tc>
          <w:tcPr>
            <w:tcW w:type="dxa" w:w="1440"/>
            <w:shd w:fill="FAFAFA" w:val="clear"/>
          </w:tcPr>
          <w:p>
            <w:r>
              <w:rPr>
                <w:sz w:val="17"/>
              </w:rPr>
              <w:t>3,180</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2,582</w:t>
            </w:r>
          </w:p>
        </w:tc>
        <w:tc>
          <w:tcPr>
            <w:tcW w:type="dxa" w:w="1440"/>
            <w:shd w:fill="FAFAFA" w:val="clear"/>
          </w:tcPr>
          <w:p>
            <w:r>
              <w:rPr>
                <w:b/>
                <w:sz w:val="17"/>
              </w:rPr>
              <w:t>2,897</w:t>
            </w:r>
          </w:p>
        </w:tc>
        <w:tc>
          <w:tcPr>
            <w:tcW w:type="dxa" w:w="1440"/>
            <w:shd w:fill="FAFAFA" w:val="clear"/>
          </w:tcPr>
          <w:p>
            <w:r>
              <w:rPr>
                <w:sz w:val="17"/>
              </w:rPr>
              <w:t>3,212</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2,551</w:t>
            </w:r>
          </w:p>
        </w:tc>
        <w:tc>
          <w:tcPr>
            <w:tcW w:type="dxa" w:w="1440"/>
            <w:shd w:fill="FAFAFA" w:val="clear"/>
          </w:tcPr>
          <w:p>
            <w:r>
              <w:rPr>
                <w:b/>
                <w:sz w:val="17"/>
              </w:rPr>
              <w:t>2,896</w:t>
            </w:r>
          </w:p>
        </w:tc>
        <w:tc>
          <w:tcPr>
            <w:tcW w:type="dxa" w:w="1440"/>
            <w:shd w:fill="FAFAFA" w:val="clear"/>
          </w:tcPr>
          <w:p>
            <w:r>
              <w:rPr>
                <w:sz w:val="17"/>
              </w:rPr>
              <w:t>3,241</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2,522</w:t>
            </w:r>
          </w:p>
        </w:tc>
        <w:tc>
          <w:tcPr>
            <w:tcW w:type="dxa" w:w="1440"/>
            <w:shd w:fill="FAFAFA" w:val="clear"/>
          </w:tcPr>
          <w:p>
            <w:r>
              <w:rPr>
                <w:b/>
                <w:sz w:val="17"/>
              </w:rPr>
              <w:t>2,894</w:t>
            </w:r>
          </w:p>
        </w:tc>
        <w:tc>
          <w:tcPr>
            <w:tcW w:type="dxa" w:w="1440"/>
            <w:shd w:fill="FAFAFA" w:val="clear"/>
          </w:tcPr>
          <w:p>
            <w:r>
              <w:rPr>
                <w:sz w:val="17"/>
              </w:rPr>
              <w:t>3,266</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2,494</w:t>
            </w:r>
          </w:p>
        </w:tc>
        <w:tc>
          <w:tcPr>
            <w:tcW w:type="dxa" w:w="1440"/>
            <w:shd w:fill="FAFAFA" w:val="clear"/>
          </w:tcPr>
          <w:p>
            <w:r>
              <w:rPr>
                <w:b/>
                <w:sz w:val="17"/>
              </w:rPr>
              <w:t>2,892</w:t>
            </w:r>
          </w:p>
        </w:tc>
        <w:tc>
          <w:tcPr>
            <w:tcW w:type="dxa" w:w="1440"/>
            <w:shd w:fill="FAFAFA" w:val="clear"/>
          </w:tcPr>
          <w:p>
            <w:r>
              <w:rPr>
                <w:sz w:val="17"/>
              </w:rPr>
              <w:t>3,290</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2,468</w:t>
            </w:r>
          </w:p>
        </w:tc>
        <w:tc>
          <w:tcPr>
            <w:tcW w:type="dxa" w:w="1440"/>
            <w:shd w:fill="FAFAFA" w:val="clear"/>
          </w:tcPr>
          <w:p>
            <w:r>
              <w:rPr>
                <w:b/>
                <w:sz w:val="17"/>
              </w:rPr>
              <w:t>2,890</w:t>
            </w:r>
          </w:p>
        </w:tc>
        <w:tc>
          <w:tcPr>
            <w:tcW w:type="dxa" w:w="1440"/>
            <w:shd w:fill="FAFAFA" w:val="clear"/>
          </w:tcPr>
          <w:p>
            <w:r>
              <w:rPr>
                <w:sz w:val="17"/>
              </w:rPr>
              <w:t>3,312</w:t>
            </w:r>
          </w:p>
        </w:tc>
        <w:tc>
          <w:tcPr>
            <w:tcW w:type="dxa" w:w="1440"/>
            <w:shd w:fill="FAFAFA" w:val="clear"/>
          </w:tcPr>
          <w:p>
            <w:r>
              <w:rPr>
                <w:b/>
                <w:color w:val="008000"/>
                <w:sz w:val="17"/>
              </w:rPr>
              <w:t>+0.9%</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2,444</w:t>
            </w:r>
          </w:p>
        </w:tc>
        <w:tc>
          <w:tcPr>
            <w:tcW w:type="dxa" w:w="1440"/>
            <w:shd w:fill="FAFAFA" w:val="clear"/>
          </w:tcPr>
          <w:p>
            <w:r>
              <w:rPr>
                <w:b/>
                <w:sz w:val="17"/>
              </w:rPr>
              <w:t>2,888</w:t>
            </w:r>
          </w:p>
        </w:tc>
        <w:tc>
          <w:tcPr>
            <w:tcW w:type="dxa" w:w="1440"/>
            <w:shd w:fill="FAFAFA" w:val="clear"/>
          </w:tcPr>
          <w:p>
            <w:r>
              <w:rPr>
                <w:sz w:val="17"/>
              </w:rPr>
              <w:t>3,332</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**RAPPORT D'ANALYSE FINANCIÈRE — ACTION SDSC (AGL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155,96 milliards FCFA, SDSC figure parmi les valeurs de taille intermédiaire de la cote BRVM, ce qui lui confère une certaine liquidité relative mais la maintient en dehors du cercle des blue chips les plus échangées. Le BPA de 14 FCFA par action traduit une rentabilité nette par titre extrêmement faible, conséquence directe de l'effondrement du résultat net 2025 à 784,97 millions FCFA. Le PER de 198,7x constitue un signal d'alarme majeur : les investisseurs paient près de 200 fois les bénéfices actuels, soit un niveau très éloigné de la moyenne BRVM (8-12x), ce qui traduit une anticipation de forte reprise bénéficiaire non encore matérialisée. Le P/B de 2,12x indique que le marché valorise le titre à plus du double de sa valeur comptable (capitaux propres de 73,55 milliards FCFA), accordant une prime de croissance qui reste à justifier. Enfin, l'EV/EBITDA de 21,4x, très supérieur au seuil de 15x, confirme que la valeur d'entreprise intègre une capacité opérationnelle dont la rentabilité actuelle ne soutient pas la valorisation — l'ensemble de ces ratios plaide pour une prudence marquée malgré le momentum haussier du cours.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SDSC a enregistré une variation totale spectaculaire de +63,71%, portant le cours à 2 865 FCFA, malgré un léger repli de -0,17% lors de la dernière séance. Le range de trading est particulièrement large, avec un plus haut à 3 205 FCFA et un plus bas à 1 750 FCFA, soit un écart de 83% entre les extrêmes, signe d'une forte volatilité directionnelle. La tendance générale est clairement haussière, le cours actuel se maintenant à 64% au-dessus de son point bas de la période. Les statistiques descriptives révèlent une moyenne de 2 631 FCFA légèrement inférieure à la médiane de 2 700 FCFA, avec un mode à 2 800 FCFA : cet écart confirme une distribution asymétrique où les cours se sont davantage concentrés dans la partie haute de la fourchette. L'écart-type de 356 FCFA (CV de 13,5%) indique une dispersion modérée autour de la moyenne, tandis que le kurtosis de -0,494 (mésokurtique) suggère une distribution proche de la normale, sans pics extrêmes marqués. Le skewness de -0,590, avec son asymétrie négative, signifie que les journées de hausse ont été plus fréquentes que les journées de baisse, mais que les baisses, lorsqu'elles survenaient, étaient plus amples. La volatilité annualisée de 52,8% classe le titre dans la catégorie des valeurs à volatilité élevée (&gt;30%), ce qui impose une gestion du risque rigoureuse et un dimensionnement de position prudent.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2 951 FCFA et la MM50 à 2 893,2 FCFA, toutes deux supérieures au cours actuel de 2 865 FCFA. Cette configuration — cours sous ses moyennes — traduit un essoufflement de la dynamique haussière récente, bien que la décision fournie soit « Achat », probablement en raison de la tendance de fond restée positive sur la période. La proximité du cours avec la MM50 (écart de seulement 1%) suggère que cette zone constitue un support technique critique à surveiller.</w:t>
      </w:r>
    </w:p>
    <w:p>
      <w:pPr>
        <w:spacing w:after="120" w:line="276" w:lineRule="auto"/>
      </w:pPr>
      <w:r>
        <w:t>**Bandes de Bollinger** : La borne supérieure se situe à 3 157,9 FCFA et la borne inférieure à 2 744,1 FCFA, encadrant le cours actuel de 2 865 FCFA. Le titre évolue dans la moitié basse du canal, à environ 29% de la largeur depuis la borne inférieure, ce qui traduit une pression vendeuse modérée. La largeur des bandes (environ 414 FCFA) confirme une volatilité encore élevée. La décision « Neutre » est cohérente avec cette position médiane-basse, sans signal de survente ni de surachat.</w:t>
      </w:r>
    </w:p>
    <w:p>
      <w:pPr>
        <w:spacing w:after="120" w:line="276" w:lineRule="auto"/>
      </w:pPr>
      <w:r>
        <w:t>**MACD** : La valeur du MACD (14,842) est nettement inférieure à son signal (30,941), générant une divergence baissière significative. Cet écartement indique un momentum négatif persistant, avec une accélération de la pression vendeuse. La décision « Vente » est techniquement justifiée par cette configuration baissière du croisement MACD-Signal, qui suggère que la correction en cours n'est pas terminée.</w:t>
      </w:r>
    </w:p>
    <w:p>
      <w:pPr>
        <w:spacing w:after="120" w:line="276" w:lineRule="auto"/>
      </w:pPr>
      <w:r>
        <w:t>**RSI** : À 39,352, le RSI se situe dans la zone neutre basse (30-70), sans atteindre le seuil de survente (&lt;30). Cette valeur traduit un affaiblissement de la dynamique acheteuse sans pour autant signaler un rebond imminent. La décision « Neutre » est appropriée : le titre n'est ni survendu ni suracheté, laissant la porte ouverte à une poursuite de la consolidation.</w:t>
      </w:r>
    </w:p>
    <w:p>
      <w:pPr>
        <w:spacing w:after="120" w:line="276" w:lineRule="auto"/>
      </w:pPr>
      <w:r>
        <w:t>**Stochastique** : Le %K à 2,083 est extrêmement bas, très inférieur au %D à 30,556, ce qui place le titre en zone de survente profonde. Cette configuration suggère qu'un rebond technique pourrait se produire à court terme, justifiant la décision « Achat » fournie. Toutefois, la faiblesse du %K traduit une pression baissière encore intense, et le croisement haussier n'est pas encore confirmé.</w:t>
      </w:r>
    </w:p>
    <w:p>
      <w:pPr>
        <w:spacing w:after="120" w:line="276" w:lineRule="auto"/>
      </w:pPr>
      <w:r>
        <w:t>**Conclusion technique** : Les indicateurs présentent une divergence notable : si le Stochastique signale une survente propice à un rebond et que les Moyennes Mobiles maintiennent une orientation acheteuse de fond, le MACD en configuration baissière et le RSI neutre-bas tempèrent l'optimisme. Le titre se trouve à un point d'inflexion technique, coincé entre un support critique (MM50 à 2 893 FCFA) et une pression vendeuse persistante. La convergence n'est pas acquise, ce qui plaide pour une attitude attentiste avant toute décision d'investissement.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annuels de l'exercice 2025 (rapport des commissaires aux comptes Deloitte/ECR International, signé le 26 août 2026) révèlent une situation paradoxale : le chiffre d'affaires progresse de 7,43% à 92,004 milliards FCFA, mais le résultat net s'effondre de 96% à 784,97 millions FCFA, contre 21,07 milliards FCFA en 2024. Cette dégradation spectaculaire s'explique par un résultat d'exploitation devenu négatif (-2,271 milliards FCFA), pénalisé par une hausse de 41% des dotations aux amortissements (9,043 milliards FCFA) et des charges de personnel élevées (36,205 milliards FCFA). La rentabilité des fonds propres (ROE) chute à 1,07% et celle des actifs (ROA) à 0,30%, des niveaux très éloignés des standards d'excellence (&gt;15% pour le ROE). La marge nette de 0,85% contraste avec les 24,6% de 2024, tandis que la marge opérationnelle négative (-2,47%) confirme que l'exploitation courante ne couvre plus ses coûts. La structure financière reste néanmoins solide : les capitaux propres de 73,55 milliards FCFA assurent une autonomie financière de 28,35%, la trésorerie nette atteint 74,78 milliards FCFA et le BFR négatif (-57,34 milliards FCFA) constitue un avantage de financement. Le ratio d'endettement de 13,91% demeure maîtrisé et la capacité de remboursement de 1,36 an est confortable. Les rapports trimestriels 2025 confirment la tendance : le T1 2025 (rapport du 31 mars 2025) affichait un résultat net de -193 millions FCFA, le S1 2025 (rapport du 30 juin 2025) un résultat net de -427 millions FCFA, et le T3 2025 (rapport du 30 septembre 2025) un résultat net de 4,341 milliards FCFA en chute de 77%, la performance annuelle étant sauvée par le résultat financier de 7,08 milliards FCFA (dividendes de filiales). On estime que l'exercice 2026 restera sous pression tant que les charges opérationnelles ne seront pas stabilisées, la croissance du CA ne suffisant pas à compenser l'inflation des coûts. La recommandation fondamentale est de **CONSERVER avec réserve** : la solidité du bilan et la croissance commerciale plaident contre une vente précipitée, mais l'absence de rentabilité opérationnelle et la réduction drastique du dividende (544,35 millions FCFA proposés contre 5,008 milliards FCFA en 2024, soit -89%) imposent une vigilance extrême.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analysées révèle un profil d'investissement profondément contradictoire. La valorisation (Partie 0) est manifestement tendue : le PER de 198,7x, le P/B de 2,12x et l'EV/EBITDA de 21,4x intègrent des anticipations de reprise que les fondamentaux actuels ne soutiennent pas, plaçant le titre en zone de surévaluation relative. Le comportement du cours (Partie 1) affiche une tendance haussière spectaculaire (+63,71%) mais une volatilité élevée (52,8%) et un skewness négatif qui signalent une fragilité sous-jacente, le cours évoluant désormais sous ses moyennes mobiles. Les signaux techniques (Partie 2) sont divergents : le Stochastique en survente extrême (%K=2,08) suggère un rebond, mais le MACD en configuration baissière et le RSI neutre-bas traduisent une pression vendeuse persistante, sans convergence claire. Les fondamentaux (Partie 3) demeurent préoccupants : malgré un CA de 92 milliards FCFA et une trésorerie de 74,78 milliards FCFA, l'effondrement du résultat net (-96%) et la marge nette de 0,85% traduisent une crise de rentabilité opérationnelle que les dividendes de filiales ne compensent que partiellement. Les prédictions IA (J+1 à J+10) anticipent une légère hausse de 2 865 à 2 898 FCFA (+1,15%), une trajectoire timide qui confirme la thèse d'une stabilisation sans véritable reprise. **Recommandation finale : CONSERVER**, avec un niveau de confiance **Moyen** et un niveau de risque **Élevé**. La convergence partielle entre la surévaluation, la divergence technique et la dégradation fondamentale impose la prudence, mais la solidité du bilan et le potentiel de rebond technique justifient de ne pas liquider la position. L'horizon d'investissement optimal est le **moyen terme (3-12 mois)**, le temps que la direction démontre sa capacité à restaurer les marges opérationnelles et à clarifier sa politique de dividende — un retour à l'achat ne serait envisageable qu'en cas de confirmation d'un redressement du résultat d'exploitation au premier semestre 2026 et d'un retour du cours au-dessus de la MM20 (2 951 FCFA).</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13.8/100 → Faible</w:t>
      </w:r>
    </w:p>
    <w:p>
      <w:pPr>
        <w:spacing w:before="40" w:after="80"/>
      </w:pPr>
      <w:r>
        <w:rPr>
          <w:rFonts w:ascii="Courier New" w:hAnsi="Courier New"/>
          <w:color w:val="006400"/>
          <w:sz w:val="18"/>
        </w:rPr>
        <w:t>██░░░░░░░░░░░░░░░░░░  13.8/100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β=1.0368 (Neutre (suit le marché)) — Cov=0.000042, Var(idx)=0.000040, ρ=0.227, n=77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 RAPPORT D'ANALYSE FINANCIÈRE — ACTION SEMC (BRVM)</w:t>
      </w:r>
    </w:p>
    <w:p>
      <w:pPr>
        <w:spacing w:after="120" w:line="276" w:lineRule="auto"/>
      </w:pPr>
      <w:r>
        <w:t>**Date d'analyse :** Mars 2026 | **Cours de référence :** 1 495 FCFA | **Place :** BRVM (UEMOA)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**37,66 milliards FCFA**, un niveau modeste à l'échelle de la BRVM qui la place parmi les valeurs moyennes de la cote, loin des poids lourds bancaires et télécoms. Les ratios de valorisation boursière (BPA, PER, P/B, EV/EBITDA) ne sont pas calculables en l'état, faute de données financières structurées exploitables dans la base et en raison de la **suspension de la cote** évoquée dans les rapports (flottant insuffisant à 10,42 % contre 15 % requis). À titre indicatif, le rapport 2023 fait état d'un BPA de 512 FCFA et d'un DPA de 250 FCFA, ce qui, rapporté au cours actuel de 1 495 FCFA, suggérerait un PER implicite très bas (~2,9x) et un rendement de 16,7 % — mais ces chiffres doivent être maniés avec prudence car ils reposent sur des états financiers anciens et un cours post-suspension peu représentatif. L'investisseur ne peut donc s'appuyer sur une valorisation fiable et doit privilégier l'analyse fondamentale et technique.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SEMC affiche une **variation totale de -16,94 %**, avec une dernière séance en repli de **-1,64 %**, confirmant une tendance **baissière** claire. Le cours actuel (1 495 FCFA) évolue dans un range de trading de **1 350 à 1 800 FCFA**, soit une amplitude de 33 %, et se situe désormais dans la moitié inférieure de ce canal, non loin du plancher. Les statistiques descriptives révèlent une distribution légèrement asymétrique : la moyenne (1 527 FCFA) dépasse la médiane (1 520 FCFA) et le mode (1 500 FCFA), tandis que le **skewness positif de 0,558** indique, selon l'interprétation fournie, « plus de journées sous la moyenne » — le titre a donc passé davantage de séances en dessous de sa moyenne qu'au-dessus, cohérent avec la pression vendeuse. L'**écart-type de 69 FCFA (CV = 4,5 %)** traduit une dispersion quotidienne modérée, mais le **kurtosis de 1,652 (leptokurtique)** signale des queues épaisses et un **risque de pics** de volatilité, c'est-à-dire des mouvements brusques possibles. La **volatilité annualisée de 47,2 %** classe le titre dans la catégorie **élevée (&gt;30 %)**, ce qui est préoccupant pour un investisseur averse au risque et traduit un profil spéculatif.</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ne sont pas disponibles (valeurs non calculées), ce qui empêche de déterminer la position relative du cours par rapport à ses tendances de court et moyen terme. La décision technique associée est donc neutre par défaut, mais la tendance baissière de -16,94 % sur 100 jours plaide implicitement pour une configuration défavorable.</w:t>
      </w:r>
    </w:p>
    <w:p>
      <w:pPr>
        <w:spacing w:after="120" w:line="276" w:lineRule="auto"/>
      </w:pPr>
      <w:r>
        <w:t>**Bandes de Bollinger :** Les bornes supérieure et inférieure ne sont pas calculées, rendant impossible l'évaluation de la position du cours dans le canal de volatilité. En l'absence de ces repères, on ne peut conclure ni à un rebond technique ni à une poursuite de la baisse, et la décision reste indéterminée.</w:t>
      </w:r>
    </w:p>
    <w:p>
      <w:pPr>
        <w:spacing w:after="120" w:line="276" w:lineRule="auto"/>
      </w:pPr>
      <w:r>
        <w:t>**MACD :** La valeur du MACD et sa ligne de signal ne sont pas disponibles, privant l'analyse du momentum et de toute divergence potentielle. Sans cet indicateur, la confirmation d'un retournement de tendance ne peut être établie, et la décision demeure neutre.</w:t>
      </w:r>
    </w:p>
    <w:p>
      <w:pPr>
        <w:spacing w:after="120" w:line="276" w:lineRule="auto"/>
      </w:pPr>
      <w:r>
        <w:t>**RSI :** Le RSI n'est pas calculé, empêchant de statuer sur une situation de surachat (&gt;70) ou de survente (&lt;30). Compte tenu de la baisse récente, un RSI bas serait plausible, mais sans donnée chiffrée, aucune décision d'achat contrarian ne peut être justifiée.</w:t>
      </w:r>
    </w:p>
    <w:p>
      <w:pPr>
        <w:spacing w:after="120" w:line="276" w:lineRule="auto"/>
      </w:pPr>
      <w:r>
        <w:t>**Stochastique :** Les %K et %D ne sont pas fournis, rendant impossible l'analyse des croisements et de la dynamique de court terme. La décision reste indéterminée.</w:t>
      </w:r>
    </w:p>
    <w:p>
      <w:pPr>
        <w:spacing w:after="120" w:line="276" w:lineRule="auto"/>
      </w:pPr>
      <w:r>
        <w:t>**Conclusion technique :** L'ensemble des indicateurs techniques (MM, Bollinger, MACD, RSI, Stochastique) est **indisponible**, ce qui limite fortement la portée de l'analyse graphique. Seule la lecture du cours — baisse de -16,94 % sur 100 jours, repli de -1,64 % en dernière séance, cours proche du bas du range — dessine une **configuration baissière** sans signal de retournement identifiable. La prudence technique est donc de mise, avec une absence de convergence qui empêche toute recommandation d'achat sur critères graphiques.</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ne sont pas disponibles dans la base, mais les **rapports officiels analysés** fournissent des éléments décisifs, qu'il convient de présenter avec leurs dates. Le rapport au **31/12/2023** (analysé par MISTRAL) fait état d'un **chiffre d'affaires de 27,88 milliards FCFA** contre 29,60 milliards en 2022, soit une **baisse de 6 %**, et d'un **résultat net de 1,01 milliard FCFA** contre 3,86 milliards en 2022, soit un **effondrement de -74 %** ; la **marge nette chute à 3,6 %** (contre 13,0 % en 2022) et la **marge d'exploitation à 6,9 %** (contre 11,0 %). Ce même rapport mentionne un **BPA de 512 FCFA** et un **ROE de 18,5 %** (contre 16,2 % en 2022) — mais ces chiffres de rentabilité, issus d'un second rapport au 31/12/2023, semblent correspondre à un périmètre consolidé distinct (CA de 125,4 milliards FCFA) et doivent être interprétés avec prudence au regard de la divergence entre les deux documents. Le rapport au **31/12/2022** (MISTRAL) indiquait un **CA de 125,4 milliards FCFA** (+13,8 %), un **résultat net de 12,8 milliards FCFA** (+18,5 %), un **ROE de 18,4 %** et un **ROA de 9,2 %**, avec une dette nette/EBITDA de 1,6x. Le rapport **T1 2023** (MISTRAL) montrait un **CA de 7,65 milliards FCFA** (+16,5 %) et un **résultat net de 855,65 millions FCFA** (+37,9 %), avec une **marge nette de 11,2 %** — mais cette dynamique ne s'est pas confirmée sur l'année. Sur le plan sectoriel (emballage métallique), les points de vigilance sont majeurs : **perte de clients clés** (AIRONE : -81 % de CA), **concurrence du PET**, **dépendance aux matières premières importées (60 % des coûts)**, **suspension de la cote BRVM depuis janvier 2024** et **rachat par Sonoco Products Company finalisé en décembre 2024**, qui pourrait entraîner une réorganisation et un risque de dilution. La politique de dividende est **nulle (0 FCFA en 2023 comme en 2022)**, la trésorerie (3,35 milliards FCFA) étant conservée pour financer la relance (objectif CA 2024 : 32 milliards FCFA, +18 %). **Conclusion fondamentale :** la solidité financière s'est nettement dégradée en 2023 (chute du résultat net de -74 %, marge nette divisée par 3,6), et si le rachat par Sonoco et la croissance des bouchons couronnes (+61 % en volume) offrent des leviers, les risques opérationnels, la suspension de cote et l'absence de dividende justifient une **grande prudence** — la recommandation fondamentale est **CONSERVER sous surveillance**, avec un profil de risque élevé.</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contrasté et globalement défavorable à court terme. **Sur la valorisation (Partie 0)**, les ratios ne sont pas calculables, mais la capitalisation de 37,66 milliards FCFA et un PER implicite très bas (~2,9x sur la base du BPA 2023) pourraient suggérer une sous-évaluation — à condition que les bénéfices se maintiennent, ce qui est loin d'être acquis. **Sur le comportement du cours (Partie 1)**, la tendance est baissière (-16,94 % sur 100 jours, -1,64 % en dernière séance), la volatilité annualisée de 47,2 % est élevée, le kurtosis leptokurtique (1,652) signale un risque de pics et le skewness positif (0,558) confirme la pression vendeuse — des statistiques **préoccupantes**. **Sur le plan technique (Partie 2)**, tous les indicateurs sont indisponibles, empêchant toute convergence ; seule la lecture du cours penche vers la baisse, sans signal de retournement. **Sur les fondamentaux (Partie 3)**, les rapports 2022 et T1 2023 étaient solides, mais le rapport annuel 2023 révèle un **effondrement du résultat net (-74 %)**, une marge nette à 3,6 %, un dividende nul et une suspension de cote — la dégradation est réelle et les perspectives 2024 (objectif CA +18 %) restent à confirmer. **Les prédictions IA (J+1 à J+10)** ne sont pas disponibles, ce qui prive la conclusion d'un signal de court terme supplémentaire. **Recommandation finale : CONSERVER (avec vigilance accrue)**, car la convergence est défavorable (cours baissier, volatilité élevée, fondamentaux 2023 dégradés, technique muette) mais la potentielle sous-évaluation et le levier Sonoco interdisent une vente précipitée. Le **niveau de confiance est Moyen** (données techniques manquantes, divergence entre rapports) et le **niveau de risque global est Élevé** (volatilité 47,2 %, suspension de cote, dépendance clients, absence de dividende). L'**horizon optimal est le moyen terme (3-12 mois)**, le temps de vérifier l'exécution du plan de relance 2024 et la levée de la suspension de cote, avec un suivi rapproché des indicateurs clés (marge nette, CA, dette/EBITDA, flottant).</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1211.93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5,156 titres</w:t>
            </w:r>
          </w:p>
        </w:tc>
        <w:tc>
          <w:tcPr>
            <w:tcW w:type="dxa" w:w="2268"/>
            <w:shd w:fill="FFF2CC" w:val="clear"/>
          </w:tcPr>
          <w:p>
            <w:r>
              <w:rPr>
                <w:b/>
                <w:color w:val="503200"/>
                <w:sz w:val="16"/>
              </w:rPr>
              <w:t xml:space="preserve">Cours actuel : </w:t>
            </w:r>
            <w:r>
              <w:rPr>
                <w:color w:val="000000"/>
                <w:sz w:val="17"/>
              </w:rPr>
              <w:t>38,955 FCFA</w:t>
            </w:r>
          </w:p>
          <w:p>
            <w:r>
              <w:rPr>
                <w:b/>
                <w:color w:val="503200"/>
                <w:sz w:val="16"/>
              </w:rPr>
              <w:t xml:space="preserve">Var. 100 jours : </w:t>
            </w:r>
            <w:r>
              <w:rPr>
                <w:b/>
                <w:color w:val="007800"/>
                <w:sz w:val="17"/>
              </w:rPr>
              <w:t>+5.45%</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36,940 FCFA</w:t>
            </w:r>
          </w:p>
          <w:p>
            <w:r>
              <w:rPr>
                <w:b/>
                <w:color w:val="503200"/>
                <w:sz w:val="16"/>
              </w:rPr>
              <w:t xml:space="preserve">Volatilité ann. : </w:t>
            </w:r>
            <w:r>
              <w:rPr>
                <w:color w:val="000000"/>
                <w:sz w:val="17"/>
              </w:rPr>
              <w:t>20.9%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1.59% (Faible) — μ=38,520 FCFA, σ=611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β=0.4454 (Défensif) — Cov=0.000034, Var(idx)=0.000077, ρ=0.296,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σ_j=1.31%/j (Stable) — Vol. annualisée≈20.9%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82781"/>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37,924</w:t>
            </w:r>
          </w:p>
        </w:tc>
        <w:tc>
          <w:tcPr>
            <w:tcW w:type="dxa" w:w="1440"/>
            <w:shd w:fill="FAFAFA" w:val="clear"/>
          </w:tcPr>
          <w:p>
            <w:r>
              <w:rPr>
                <w:b/>
                <w:sz w:val="17"/>
              </w:rPr>
              <w:t>38,749</w:t>
            </w:r>
          </w:p>
        </w:tc>
        <w:tc>
          <w:tcPr>
            <w:tcW w:type="dxa" w:w="1440"/>
            <w:shd w:fill="FAFAFA" w:val="clear"/>
          </w:tcPr>
          <w:p>
            <w:r>
              <w:rPr>
                <w:sz w:val="17"/>
              </w:rPr>
              <w:t>39,574</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37,515</w:t>
            </w:r>
          </w:p>
        </w:tc>
        <w:tc>
          <w:tcPr>
            <w:tcW w:type="dxa" w:w="1440"/>
            <w:shd w:fill="FAFAFA" w:val="clear"/>
          </w:tcPr>
          <w:p>
            <w:r>
              <w:rPr>
                <w:b/>
                <w:sz w:val="17"/>
              </w:rPr>
              <w:t>38,680</w:t>
            </w:r>
          </w:p>
        </w:tc>
        <w:tc>
          <w:tcPr>
            <w:tcW w:type="dxa" w:w="1440"/>
            <w:shd w:fill="FAFAFA" w:val="clear"/>
          </w:tcPr>
          <w:p>
            <w:r>
              <w:rPr>
                <w:sz w:val="17"/>
              </w:rPr>
              <w:t>39,845</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37,186</w:t>
            </w:r>
          </w:p>
        </w:tc>
        <w:tc>
          <w:tcPr>
            <w:tcW w:type="dxa" w:w="1440"/>
            <w:shd w:fill="FAFAFA" w:val="clear"/>
          </w:tcPr>
          <w:p>
            <w:r>
              <w:rPr>
                <w:b/>
                <w:sz w:val="17"/>
              </w:rPr>
              <w:t>38,610</w:t>
            </w:r>
          </w:p>
        </w:tc>
        <w:tc>
          <w:tcPr>
            <w:tcW w:type="dxa" w:w="1440"/>
            <w:shd w:fill="FAFAFA" w:val="clear"/>
          </w:tcPr>
          <w:p>
            <w:r>
              <w:rPr>
                <w:sz w:val="17"/>
              </w:rPr>
              <w:t>40,034</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2026-10-23</w:t>
            </w:r>
          </w:p>
        </w:tc>
        <w:tc>
          <w:tcPr>
            <w:tcW w:type="dxa" w:w="1440"/>
            <w:shd w:fill="FAFAFA" w:val="clear"/>
          </w:tcPr>
          <w:p>
            <w:r>
              <w:rPr>
                <w:sz w:val="17"/>
              </w:rPr>
              <w:t>36,901</w:t>
            </w:r>
          </w:p>
        </w:tc>
        <w:tc>
          <w:tcPr>
            <w:tcW w:type="dxa" w:w="1440"/>
            <w:shd w:fill="FAFAFA" w:val="clear"/>
          </w:tcPr>
          <w:p>
            <w:r>
              <w:rPr>
                <w:b/>
                <w:sz w:val="17"/>
              </w:rPr>
              <w:t>38,542</w:t>
            </w:r>
          </w:p>
        </w:tc>
        <w:tc>
          <w:tcPr>
            <w:tcW w:type="dxa" w:w="1440"/>
            <w:shd w:fill="FAFAFA" w:val="clear"/>
          </w:tcPr>
          <w:p>
            <w:r>
              <w:rPr>
                <w:sz w:val="17"/>
              </w:rPr>
              <w:t>40,184</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2026-10-26</w:t>
            </w:r>
          </w:p>
        </w:tc>
        <w:tc>
          <w:tcPr>
            <w:tcW w:type="dxa" w:w="1440"/>
            <w:shd w:fill="FAFAFA" w:val="clear"/>
          </w:tcPr>
          <w:p>
            <w:r>
              <w:rPr>
                <w:sz w:val="17"/>
              </w:rPr>
              <w:t>36,645</w:t>
            </w:r>
          </w:p>
        </w:tc>
        <w:tc>
          <w:tcPr>
            <w:tcW w:type="dxa" w:w="1440"/>
            <w:shd w:fill="FAFAFA" w:val="clear"/>
          </w:tcPr>
          <w:p>
            <w:r>
              <w:rPr>
                <w:b/>
                <w:sz w:val="17"/>
              </w:rPr>
              <w:t>38,478</w:t>
            </w:r>
          </w:p>
        </w:tc>
        <w:tc>
          <w:tcPr>
            <w:tcW w:type="dxa" w:w="1440"/>
            <w:shd w:fill="FAFAFA" w:val="clear"/>
          </w:tcPr>
          <w:p>
            <w:r>
              <w:rPr>
                <w:sz w:val="17"/>
              </w:rPr>
              <w:t>40,310</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2026-10-27</w:t>
            </w:r>
          </w:p>
        </w:tc>
        <w:tc>
          <w:tcPr>
            <w:tcW w:type="dxa" w:w="1440"/>
            <w:shd w:fill="FAFAFA" w:val="clear"/>
          </w:tcPr>
          <w:p>
            <w:r>
              <w:rPr>
                <w:sz w:val="17"/>
              </w:rPr>
              <w:t>36,411</w:t>
            </w:r>
          </w:p>
        </w:tc>
        <w:tc>
          <w:tcPr>
            <w:tcW w:type="dxa" w:w="1440"/>
            <w:shd w:fill="FAFAFA" w:val="clear"/>
          </w:tcPr>
          <w:p>
            <w:r>
              <w:rPr>
                <w:b/>
                <w:sz w:val="17"/>
              </w:rPr>
              <w:t>38,415</w:t>
            </w:r>
          </w:p>
        </w:tc>
        <w:tc>
          <w:tcPr>
            <w:tcW w:type="dxa" w:w="1440"/>
            <w:shd w:fill="FAFAFA" w:val="clear"/>
          </w:tcPr>
          <w:p>
            <w:r>
              <w:rPr>
                <w:sz w:val="17"/>
              </w:rPr>
              <w:t>40,419</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2026-10-28</w:t>
            </w:r>
          </w:p>
        </w:tc>
        <w:tc>
          <w:tcPr>
            <w:tcW w:type="dxa" w:w="1440"/>
            <w:shd w:fill="FAFAFA" w:val="clear"/>
          </w:tcPr>
          <w:p>
            <w:r>
              <w:rPr>
                <w:sz w:val="17"/>
              </w:rPr>
              <w:t>36,192</w:t>
            </w:r>
          </w:p>
        </w:tc>
        <w:tc>
          <w:tcPr>
            <w:tcW w:type="dxa" w:w="1440"/>
            <w:shd w:fill="FAFAFA" w:val="clear"/>
          </w:tcPr>
          <w:p>
            <w:r>
              <w:rPr>
                <w:b/>
                <w:sz w:val="17"/>
              </w:rPr>
              <w:t>38,353</w:t>
            </w:r>
          </w:p>
        </w:tc>
        <w:tc>
          <w:tcPr>
            <w:tcW w:type="dxa" w:w="1440"/>
            <w:shd w:fill="FAFAFA" w:val="clear"/>
          </w:tcPr>
          <w:p>
            <w:r>
              <w:rPr>
                <w:sz w:val="17"/>
              </w:rPr>
              <w:t>40,514</w:t>
            </w:r>
          </w:p>
        </w:tc>
        <w:tc>
          <w:tcPr>
            <w:tcW w:type="dxa" w:w="1440"/>
            <w:shd w:fill="FAFAFA" w:val="clear"/>
          </w:tcPr>
          <w:p>
            <w:r>
              <w:rPr>
                <w:b/>
                <w:color w:val="C00000"/>
                <w:sz w:val="17"/>
              </w:rPr>
              <w:t>-1.5%</w:t>
            </w:r>
          </w:p>
        </w:tc>
      </w:tr>
      <w:tr>
        <w:tc>
          <w:tcPr>
            <w:tcW w:type="dxa" w:w="1440"/>
            <w:shd w:fill="FAFAFA" w:val="clear"/>
          </w:tcPr>
          <w:p>
            <w:r>
              <w:rPr>
                <w:sz w:val="17"/>
              </w:rPr>
              <w:t>J+8  Moyenne</w:t>
            </w:r>
          </w:p>
        </w:tc>
        <w:tc>
          <w:tcPr>
            <w:tcW w:type="dxa" w:w="1440"/>
            <w:shd w:fill="FAFAFA" w:val="clear"/>
          </w:tcPr>
          <w:p>
            <w:r>
              <w:rPr>
                <w:sz w:val="17"/>
              </w:rPr>
              <w:t>2026-10-29</w:t>
            </w:r>
          </w:p>
        </w:tc>
        <w:tc>
          <w:tcPr>
            <w:tcW w:type="dxa" w:w="1440"/>
            <w:shd w:fill="FAFAFA" w:val="clear"/>
          </w:tcPr>
          <w:p>
            <w:r>
              <w:rPr>
                <w:sz w:val="17"/>
              </w:rPr>
              <w:t>35,986</w:t>
            </w:r>
          </w:p>
        </w:tc>
        <w:tc>
          <w:tcPr>
            <w:tcW w:type="dxa" w:w="1440"/>
            <w:shd w:fill="FAFAFA" w:val="clear"/>
          </w:tcPr>
          <w:p>
            <w:r>
              <w:rPr>
                <w:b/>
                <w:sz w:val="17"/>
              </w:rPr>
              <w:t>38,293</w:t>
            </w:r>
          </w:p>
        </w:tc>
        <w:tc>
          <w:tcPr>
            <w:tcW w:type="dxa" w:w="1440"/>
            <w:shd w:fill="FAFAFA" w:val="clear"/>
          </w:tcPr>
          <w:p>
            <w:r>
              <w:rPr>
                <w:sz w:val="17"/>
              </w:rPr>
              <w:t>40,600</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2026-10-30</w:t>
            </w:r>
          </w:p>
        </w:tc>
        <w:tc>
          <w:tcPr>
            <w:tcW w:type="dxa" w:w="1440"/>
            <w:shd w:fill="FAFAFA" w:val="clear"/>
          </w:tcPr>
          <w:p>
            <w:r>
              <w:rPr>
                <w:sz w:val="17"/>
              </w:rPr>
              <w:t>35,791</w:t>
            </w:r>
          </w:p>
        </w:tc>
        <w:tc>
          <w:tcPr>
            <w:tcW w:type="dxa" w:w="1440"/>
            <w:shd w:fill="FAFAFA" w:val="clear"/>
          </w:tcPr>
          <w:p>
            <w:r>
              <w:rPr>
                <w:b/>
                <w:sz w:val="17"/>
              </w:rPr>
              <w:t>38,234</w:t>
            </w:r>
          </w:p>
        </w:tc>
        <w:tc>
          <w:tcPr>
            <w:tcW w:type="dxa" w:w="1440"/>
            <w:shd w:fill="FAFAFA" w:val="clear"/>
          </w:tcPr>
          <w:p>
            <w:r>
              <w:rPr>
                <w:sz w:val="17"/>
              </w:rPr>
              <w:t>40,677</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2026-11-02</w:t>
            </w:r>
          </w:p>
        </w:tc>
        <w:tc>
          <w:tcPr>
            <w:tcW w:type="dxa" w:w="1440"/>
            <w:shd w:fill="FFDCE0" w:val="clear"/>
          </w:tcPr>
          <w:p>
            <w:r>
              <w:rPr>
                <w:sz w:val="17"/>
              </w:rPr>
              <w:t>35,605</w:t>
            </w:r>
          </w:p>
        </w:tc>
        <w:tc>
          <w:tcPr>
            <w:tcW w:type="dxa" w:w="1440"/>
            <w:shd w:fill="FFDCE0" w:val="clear"/>
          </w:tcPr>
          <w:p>
            <w:r>
              <w:rPr>
                <w:b/>
                <w:sz w:val="17"/>
              </w:rPr>
              <w:t>38,176</w:t>
            </w:r>
          </w:p>
        </w:tc>
        <w:tc>
          <w:tcPr>
            <w:tcW w:type="dxa" w:w="1440"/>
            <w:shd w:fill="FFDCE0" w:val="clear"/>
          </w:tcPr>
          <w:p>
            <w:r>
              <w:rPr>
                <w:sz w:val="17"/>
              </w:rPr>
              <w:t>40,747</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 SGBC (Société Générale Côte d'Ivoire)</w:t>
        <w:br/>
        <w:t>### BRVM | Secteur Bancaire | Cours : 38 955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1 211,93 milliards FCFA, SGBC s'impose comme l'une des plus grandes capitalisations de la BRVM, reflet de son statut de banque leader en Côte d'Ivoire. Le BPA de 3 258 FCFA/action signifie que chaque titre génère un bénéfice net de plus de 3 200 FCFA, un niveau élevé qui traduit la forte rentabilité de l'établissement. Le PER de 12,0x se situe dans la fourchette haute de la moyenne BRVM (~8-12x), indiquant que les investisseurs paient un prix modéré mais non bon marché pour les bénéfices, cohérent avec la qualité du dossier. Le P/B de 2,45x montre que le marché valorise l'action à près de 2,5 fois sa valeur comptable, accordant une prime de croissance justifiée par un ROE supérieur à 20%. En revanche, l'EV/EBITDA de 24,7x apparaît très exigeant (&gt;15x), signalant que la valeur d'entreprise intègre déjà une forte anticipation de résultats — un point de vigilance pour la marge de sécurité de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+5,45%, avec une dernière séance en léger repli de -0,13%, le cours s'établissant à 38 955 FCFA. Le range de trading est resserré, entre un plus bas de 36 940 FCFA et un plus haut de 39 300 FCFA, soit une amplitude de seulement 6,4% — signe d'une tendance haussière régulière et sans à-coups majeurs. La moyenne (38 520 FCFA) est légèrement inférieure à la médiane (38 870 FCFA), tandis que le mode se situe à 39 000 FCFA : cet écart traduit une distribution légèrement asymétrique, confirmée par un skewness de -0,886 (asymétrie négative, avec davantage de journées de cours élevés mais quelques décrochages ponctuels). L'écart-type de 614 FCFA et un coefficient de variation de seulement 1,6% révèlent une dispersion très faible du cours, gage de stabilité. Le kurtosis de -0,131 (mésokurtique) indique une distribution proche de la normale, sans risque marqué de pics extrêmes. Enfin, la volatilité annualisée de 20,9% positionne le titre dans la catégorie des valeurs à volatilité modérée (15-30%), adaptée à un profil d'investisseur recherchant stabilité et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(38 840,25 FCFA) et la MM50 (38 705,0 FCFA) se situent toutes deux sous le cours actuel (38 955 FCFA), avec une MM20 légèrement au-dessus de la MM50 — configuration haussière classique. Le cours évoluant au-dessus de ses deux moyennes, la dynamique de fond reste positive, ce qui justifie la décision d'**Achat**.</w:t>
      </w:r>
    </w:p>
    <w:p>
      <w:pPr>
        <w:spacing w:after="120" w:line="276" w:lineRule="auto"/>
      </w:pPr>
      <w:r>
        <w:t>**Bandes de Bollinger** : Le cours (38 955 FCFA) se situe dans la partie haute de la bande, entre la borne inférieure (38 148,15 FCFA) et la borne supérieure (39 532,35 FCFA), sans en approcher l'extrémité. L'étroitesse des bandes confirme la faible volatilité récente ; le titre n'étant ni suracheté ni survendu au sens des bandes, la décision est **Neutre**.</w:t>
      </w:r>
    </w:p>
    <w:p>
      <w:pPr>
        <w:spacing w:after="120" w:line="276" w:lineRule="auto"/>
      </w:pPr>
      <w:r>
        <w:t>**MACD** : La valeur du MACD (122,399) est légèrement inférieure à son signal (128,611), ce qui traduit une divergence baissière naissante et un momentum en perte de vitesse. Cette configuration, bien que marginale, suggère une consolidation à court terme et justifie la décision de **Vente** (prise de profit tactique).</w:t>
      </w:r>
    </w:p>
    <w:p>
      <w:pPr>
        <w:spacing w:after="120" w:line="276" w:lineRule="auto"/>
      </w:pPr>
      <w:r>
        <w:t>**RSI** : À 68,687, le RSI se situe juste sous le seuil de surachat (70), dans une zone neutre haute. Le titre conserve de la vigueur sans être techniquement épuisé, mais la proximité du seuil appelle à la prudence ; la décision reste **Neutre**.</w:t>
      </w:r>
    </w:p>
    <w:p>
      <w:pPr>
        <w:spacing w:after="120" w:line="276" w:lineRule="auto"/>
      </w:pPr>
      <w:r>
        <w:t>**Stochastique** : Le %K (18,333) est nettement inférieur au %D (56,111), avec un %K en zone de survente (&lt;20) — configuration qui précède souvent un rebond technique. Ce croisement favorable, bien que divergent du MACD, justifie la décision d'**Achat** sur ce seul indicateur.</w:t>
      </w:r>
    </w:p>
    <w:p>
      <w:pPr>
        <w:spacing w:after="120" w:line="276" w:lineRule="auto"/>
      </w:pPr>
      <w:r>
        <w:t>**Conclusion technique** : Les signaux sont mixtes — les moyennes mobiles et le stochastique plaident pour l'achat, tandis que le MACD et la proximité du RSI en zone haute invitent à la prudence. Le titre évolue dans un couloir étroit et stable, sans tension extrême. La convergence partielle vers un scénario de consolidation latérale avant poursuite de la hausse domine, avec un biais légèrement positif tant que le cours reste au-dessus de la MM50 (38 705 FCFA).</w:t>
      </w:r>
    </w:p>
    <w:p>
      <w:pPr>
        <w:spacing w:after="120" w:line="276" w:lineRule="auto"/>
      </w:pPr>
      <w:r>
        <w:t>---</w:t>
      </w:r>
    </w:p>
    <w:p>
      <w:pPr>
        <w:spacing w:after="120" w:line="276" w:lineRule="auto"/>
      </w:pPr>
      <w:r>
        <w:t>## PARTIE 3 : ANALYSE FONDAMENTALE</w:t>
      </w:r>
    </w:p>
    <w:p>
      <w:pPr>
        <w:spacing w:after="120" w:line="276" w:lineRule="auto"/>
      </w:pPr>
      <w:r>
        <w:t>Les états financiers de l'exercice 2025 (rapport publié le 17 avril 2026) confirment la solidité structurelle de SGBC : le Produit Net Bancaire s'établit à 276 048 millions FCFA (+4,9% sur un an), pour un résultat net de 101 352 millions FCFA (+0,1%, quasi-stable). La rentabilité reste excellente avec un ROE de 20,47% (&gt;15% = excellent) et un ROA de 2,69%, tandis que le coefficient d'exploitation de 38,75% place la banque parmi les plus efficaces du secteur (&lt;60% = efficace, &lt;50% = excellente). Le bilan affiche un total de 3 769 milliards FCFA (+4,3%), avec des dépôts clientèle de 2 907,7 milliards FCFA contre des créances clientèle de 2 546,3 milliards FCFA, soit un ratio crédits/dépôts de 87,6% en amélioration — signe d'une transformation maîtrisée. Le coût du risque progresse néanmoins de +29,2% (46 829 M FCFA) avec un taux de NPL à 8,0% et une couverture de 82%, point de vigilance majeur. Les rapports trimestriels récents nuancent la trajectoire : le T1 2026 (publié le 30 avril 2026) affiche un PNB en repli de -1% et un résultat net en baisse de -11% (23 976 M FCFA), sous l'effet d'investissements (rénovation du siège) et d'une migration digitale ; le S1 2026 (publié le 27 août 2026) montre une stabilisation avec un PNB de 134 059 M FCFA (+1,6%) et un résultat net de 53 350 M FCFA (+0,5%), le coefficient d'exploitation s'améliorant à 36,7% et le ratio de solvabilité atteignant 17,6% (seuil réglementaire 12,5%). On estime ainsi que l'exercice 2026 devrait clôturer sur une croissance modérée du PNB (ordre de +2 à +3%) et un résultat net stable, la normalisation des coûts d'investissement devant soutenir la rentabilité en 2027. La politique de dividende reste généreuse (2 606 FCFA/action proposé au titre de 2025, soit un taux de distribution de 80%), offrant un rendement attractif au cours actuel. En conclusion, SGBC demeure un dossier fondamentalement solide (ROE &gt;20%, solvabilité robuste, dividende élevé), mais la stagnation du résultat net et la hausse du coût du risque limitent le potentiel de revalorisation à court terme — d'où une recommandation fondamentale de **Conserver**.</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dessine un profil cohérent de valeur de rendement stable. Sur le plan de la **valorisation**, le PER de 12,0x et le P/B de 2,45x traduisent une valorisation raisonnable mais non décotée, tandis que l'EV/EBITDA de 24,7x intègre déjà une prime exigeante — le titre n'est donc ni sous-évalué ni franchement surévalué. Le **comportement du cours** est rassurant : tendance haussière régulière (+5,45% sur 100 jours), volatilité modérée (20,9%), dispersion très faible (CV 1,6%) et distribution proche de la normale (kurtosis -0,131), malgré une asymétrie négative (-0,886) signalant quelques décrochages ponctuels. Les **signaux techniques** sont partagés : MM haussières et stochastique en survente plaident pour l'achat, mais le MACD baissier et le RSI proche de 70 invitent à la prudence — configuration de consolidation latérale plutôt que de retournement. Les **fondamentaux** confirment la solidité (ROE 20,47%, coefficient d'exploitation 38,75%, solvabilité 17,6%, dividende 80%) mais alertent sur la stagnation du résultat net (+0,1% en 2025, +0,5% au S1 2026) et la hausse du coût du risque (+29,2%). Enfin, les **prédictions IA** anticipent une légère érosion du cours sur 10 jours (de 38 749 à 38 478 FCFA, soit -1,2%), ce qui contredit le biais haussier des moyennes mobiles mais confirme le scénario de consolidation technique suggéré par le MACD. Face à cette convergence mitigée — valorisation correcte, technique neutre, fondamentaux solides mais sans catalyseur, prédictions légèrement baissières — la recommandation finale est **CONSERVER**. Le niveau de confiance est **Moyen** (signaux divergents entre technique et fondamental) et le niveau de risque global **Faible à Moyen** (faible volatilité, bilan robuste, mais sensibilité au coût du risque). L'horizon d'investissement optimal est le **moyen à long terme (6 mois à plus d'un an)**, le temps que la normalisation des investissements 2025-2026 et la finalisation de la migration digitale se traduisent dans les résultats, avec un rendement attendu porté principalement par le dividende (rendement estimé autour de 6,7% au cours actuel de 38 955 FCFA pour un DPA de 2 606 FCFA). Un passage à l'ACHAT serait justifié en cas d'inflexion confirmée du coût du risque et d'accélération du PNB au-delà de +3%.</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137.03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4,963 titres</w:t>
            </w:r>
          </w:p>
        </w:tc>
        <w:tc>
          <w:tcPr>
            <w:tcW w:type="dxa" w:w="2268"/>
            <w:shd w:fill="FFF2CC" w:val="clear"/>
          </w:tcPr>
          <w:p>
            <w:r>
              <w:rPr>
                <w:b/>
                <w:color w:val="503200"/>
                <w:sz w:val="16"/>
              </w:rPr>
              <w:t xml:space="preserve">Cours actuel : </w:t>
            </w:r>
            <w:r>
              <w:rPr>
                <w:color w:val="000000"/>
                <w:sz w:val="17"/>
              </w:rPr>
              <w:t>2,175 FCFA</w:t>
            </w:r>
          </w:p>
          <w:p>
            <w:r>
              <w:rPr>
                <w:b/>
                <w:color w:val="503200"/>
                <w:sz w:val="16"/>
              </w:rPr>
              <w:t xml:space="preserve">Var. 100 jours : </w:t>
            </w:r>
            <w:r>
              <w:rPr>
                <w:b/>
                <w:color w:val="007800"/>
                <w:sz w:val="17"/>
              </w:rPr>
              <w:t>+13.58%</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1,915 FCFA</w:t>
            </w:r>
          </w:p>
          <w:p>
            <w:r>
              <w:rPr>
                <w:b/>
                <w:color w:val="503200"/>
                <w:sz w:val="16"/>
              </w:rPr>
              <w:t xml:space="preserve">Volatilité ann. : </w:t>
            </w:r>
            <w:r>
              <w:rPr>
                <w:color w:val="000000"/>
                <w:sz w:val="17"/>
              </w:rPr>
              <w:t>41.8%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9.12% (Moyenne) — μ=2,282 FCFA, σ=208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β=0.9975 (Neutre (suit le marché)) — Cov=0.000077, Var(idx)=0.000077, ρ=0.331,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0906"/>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2,054</w:t>
            </w:r>
          </w:p>
        </w:tc>
        <w:tc>
          <w:tcPr>
            <w:tcW w:type="dxa" w:w="1440"/>
            <w:shd w:fill="FAFAFA" w:val="clear"/>
          </w:tcPr>
          <w:p>
            <w:r>
              <w:rPr>
                <w:b/>
                <w:sz w:val="17"/>
              </w:rPr>
              <w:t>2,188</w:t>
            </w:r>
          </w:p>
        </w:tc>
        <w:tc>
          <w:tcPr>
            <w:tcW w:type="dxa" w:w="1440"/>
            <w:shd w:fill="FAFAFA" w:val="clear"/>
          </w:tcPr>
          <w:p>
            <w:r>
              <w:rPr>
                <w:sz w:val="17"/>
              </w:rPr>
              <w:t>2,321</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2,005</w:t>
            </w:r>
          </w:p>
        </w:tc>
        <w:tc>
          <w:tcPr>
            <w:tcW w:type="dxa" w:w="1440"/>
            <w:shd w:fill="FAFAFA" w:val="clear"/>
          </w:tcPr>
          <w:p>
            <w:r>
              <w:rPr>
                <w:b/>
                <w:sz w:val="17"/>
              </w:rPr>
              <w:t>2,194</w:t>
            </w:r>
          </w:p>
        </w:tc>
        <w:tc>
          <w:tcPr>
            <w:tcW w:type="dxa" w:w="1440"/>
            <w:shd w:fill="FAFAFA" w:val="clear"/>
          </w:tcPr>
          <w:p>
            <w:r>
              <w:rPr>
                <w:sz w:val="17"/>
              </w:rPr>
              <w:t>2,383</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1,968</w:t>
            </w:r>
          </w:p>
        </w:tc>
        <w:tc>
          <w:tcPr>
            <w:tcW w:type="dxa" w:w="1440"/>
            <w:shd w:fill="FAFAFA" w:val="clear"/>
          </w:tcPr>
          <w:p>
            <w:r>
              <w:rPr>
                <w:b/>
                <w:sz w:val="17"/>
              </w:rPr>
              <w:t>2,200</w:t>
            </w:r>
          </w:p>
        </w:tc>
        <w:tc>
          <w:tcPr>
            <w:tcW w:type="dxa" w:w="1440"/>
            <w:shd w:fill="FAFAFA" w:val="clear"/>
          </w:tcPr>
          <w:p>
            <w:r>
              <w:rPr>
                <w:sz w:val="17"/>
              </w:rPr>
              <w:t>2,432</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1,937</w:t>
            </w:r>
          </w:p>
        </w:tc>
        <w:tc>
          <w:tcPr>
            <w:tcW w:type="dxa" w:w="1440"/>
            <w:shd w:fill="FAFAFA" w:val="clear"/>
          </w:tcPr>
          <w:p>
            <w:r>
              <w:rPr>
                <w:b/>
                <w:sz w:val="17"/>
              </w:rPr>
              <w:t>2,205</w:t>
            </w:r>
          </w:p>
        </w:tc>
        <w:tc>
          <w:tcPr>
            <w:tcW w:type="dxa" w:w="1440"/>
            <w:shd w:fill="FAFAFA" w:val="clear"/>
          </w:tcPr>
          <w:p>
            <w:r>
              <w:rPr>
                <w:sz w:val="17"/>
              </w:rPr>
              <w:t>2,474</w:t>
            </w:r>
          </w:p>
        </w:tc>
        <w:tc>
          <w:tcPr>
            <w:tcW w:type="dxa" w:w="1440"/>
            <w:shd w:fill="FAFAFA" w:val="clear"/>
          </w:tcPr>
          <w:p>
            <w:r>
              <w:rPr>
                <w:b/>
                <w:color w:val="008000"/>
                <w:sz w:val="17"/>
              </w:rPr>
              <w:t>+1.4%</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1,909</w:t>
            </w:r>
          </w:p>
        </w:tc>
        <w:tc>
          <w:tcPr>
            <w:tcW w:type="dxa" w:w="1440"/>
            <w:shd w:fill="FAFAFA" w:val="clear"/>
          </w:tcPr>
          <w:p>
            <w:r>
              <w:rPr>
                <w:b/>
                <w:sz w:val="17"/>
              </w:rPr>
              <w:t>2,210</w:t>
            </w:r>
          </w:p>
        </w:tc>
        <w:tc>
          <w:tcPr>
            <w:tcW w:type="dxa" w:w="1440"/>
            <w:shd w:fill="FAFAFA" w:val="clear"/>
          </w:tcPr>
          <w:p>
            <w:r>
              <w:rPr>
                <w:sz w:val="17"/>
              </w:rPr>
              <w:t>2,511</w:t>
            </w:r>
          </w:p>
        </w:tc>
        <w:tc>
          <w:tcPr>
            <w:tcW w:type="dxa" w:w="1440"/>
            <w:shd w:fill="FAFAFA" w:val="clear"/>
          </w:tcPr>
          <w:p>
            <w:r>
              <w:rPr>
                <w:b/>
                <w:color w:val="008000"/>
                <w:sz w:val="17"/>
              </w:rPr>
              <w:t>+1.6%</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1,884</w:t>
            </w:r>
          </w:p>
        </w:tc>
        <w:tc>
          <w:tcPr>
            <w:tcW w:type="dxa" w:w="1440"/>
            <w:shd w:fill="FAFAFA" w:val="clear"/>
          </w:tcPr>
          <w:p>
            <w:r>
              <w:rPr>
                <w:b/>
                <w:sz w:val="17"/>
              </w:rPr>
              <w:t>2,214</w:t>
            </w:r>
          </w:p>
        </w:tc>
        <w:tc>
          <w:tcPr>
            <w:tcW w:type="dxa" w:w="1440"/>
            <w:shd w:fill="FAFAFA" w:val="clear"/>
          </w:tcPr>
          <w:p>
            <w:r>
              <w:rPr>
                <w:sz w:val="17"/>
              </w:rPr>
              <w:t>2,544</w:t>
            </w:r>
          </w:p>
        </w:tc>
        <w:tc>
          <w:tcPr>
            <w:tcW w:type="dxa" w:w="1440"/>
            <w:shd w:fill="FAFAFA" w:val="clear"/>
          </w:tcPr>
          <w:p>
            <w:r>
              <w:rPr>
                <w:b/>
                <w:color w:val="008000"/>
                <w:sz w:val="17"/>
              </w:rPr>
              <w:t>+1.8%</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1,860</w:t>
            </w:r>
          </w:p>
        </w:tc>
        <w:tc>
          <w:tcPr>
            <w:tcW w:type="dxa" w:w="1440"/>
            <w:shd w:fill="FAFAFA" w:val="clear"/>
          </w:tcPr>
          <w:p>
            <w:r>
              <w:rPr>
                <w:b/>
                <w:sz w:val="17"/>
              </w:rPr>
              <w:t>2,218</w:t>
            </w:r>
          </w:p>
        </w:tc>
        <w:tc>
          <w:tcPr>
            <w:tcW w:type="dxa" w:w="1440"/>
            <w:shd w:fill="FAFAFA" w:val="clear"/>
          </w:tcPr>
          <w:p>
            <w:r>
              <w:rPr>
                <w:sz w:val="17"/>
              </w:rPr>
              <w:t>2,575</w:t>
            </w:r>
          </w:p>
        </w:tc>
        <w:tc>
          <w:tcPr>
            <w:tcW w:type="dxa" w:w="1440"/>
            <w:shd w:fill="FAFAFA"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1,838</w:t>
            </w:r>
          </w:p>
        </w:tc>
        <w:tc>
          <w:tcPr>
            <w:tcW w:type="dxa" w:w="1440"/>
            <w:shd w:fill="C6EFCE" w:val="clear"/>
          </w:tcPr>
          <w:p>
            <w:r>
              <w:rPr>
                <w:b/>
                <w:sz w:val="17"/>
              </w:rPr>
              <w:t>2,221</w:t>
            </w:r>
          </w:p>
        </w:tc>
        <w:tc>
          <w:tcPr>
            <w:tcW w:type="dxa" w:w="1440"/>
            <w:shd w:fill="C6EFCE" w:val="clear"/>
          </w:tcPr>
          <w:p>
            <w:r>
              <w:rPr>
                <w:sz w:val="17"/>
              </w:rPr>
              <w:t>2,603</w:t>
            </w:r>
          </w:p>
        </w:tc>
        <w:tc>
          <w:tcPr>
            <w:tcW w:type="dxa" w:w="1440"/>
            <w:shd w:fill="C6EFCE" w:val="clear"/>
          </w:tcPr>
          <w:p>
            <w:r>
              <w:rPr>
                <w:b/>
                <w:color w:val="008000"/>
                <w:sz w:val="17"/>
              </w:rPr>
              <w:t>+2.1%</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1,817</w:t>
            </w:r>
          </w:p>
        </w:tc>
        <w:tc>
          <w:tcPr>
            <w:tcW w:type="dxa" w:w="1440"/>
            <w:shd w:fill="C6EFCE" w:val="clear"/>
          </w:tcPr>
          <w:p>
            <w:r>
              <w:rPr>
                <w:b/>
                <w:sz w:val="17"/>
              </w:rPr>
              <w:t>2,224</w:t>
            </w:r>
          </w:p>
        </w:tc>
        <w:tc>
          <w:tcPr>
            <w:tcW w:type="dxa" w:w="1440"/>
            <w:shd w:fill="C6EFCE" w:val="clear"/>
          </w:tcPr>
          <w:p>
            <w:r>
              <w:rPr>
                <w:sz w:val="17"/>
              </w:rPr>
              <w:t>2,630</w:t>
            </w:r>
          </w:p>
        </w:tc>
        <w:tc>
          <w:tcPr>
            <w:tcW w:type="dxa" w:w="1440"/>
            <w:shd w:fill="C6EFCE" w:val="clear"/>
          </w:tcPr>
          <w:p>
            <w:r>
              <w:rPr>
                <w:b/>
                <w:color w:val="008000"/>
                <w:sz w:val="17"/>
              </w:rPr>
              <w:t>+2.2%</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1,798</w:t>
            </w:r>
          </w:p>
        </w:tc>
        <w:tc>
          <w:tcPr>
            <w:tcW w:type="dxa" w:w="1440"/>
            <w:shd w:fill="C6EFCE" w:val="clear"/>
          </w:tcPr>
          <w:p>
            <w:r>
              <w:rPr>
                <w:b/>
                <w:sz w:val="17"/>
              </w:rPr>
              <w:t>2,227</w:t>
            </w:r>
          </w:p>
        </w:tc>
        <w:tc>
          <w:tcPr>
            <w:tcW w:type="dxa" w:w="1440"/>
            <w:shd w:fill="C6EFCE" w:val="clear"/>
          </w:tcPr>
          <w:p>
            <w:r>
              <w:rPr>
                <w:sz w:val="17"/>
              </w:rPr>
              <w:t>2,655</w:t>
            </w:r>
          </w:p>
        </w:tc>
        <w:tc>
          <w:tcPr>
            <w:tcW w:type="dxa" w:w="1440"/>
            <w:shd w:fill="C6EFCE" w:val="clear"/>
          </w:tcPr>
          <w:p>
            <w:r>
              <w:rPr>
                <w:b/>
                <w:color w:val="008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137,03 milliards FCFA, SHEC s'inscrit parmi les valeurs moyennes de la cote BRVM, sans atteindre le rang des grandes capitalisations bancaires ou télécoms. Le BPA de 96 FCFA/action signifie que chaque titre génère près de 96 FCFA de bénéfice net, un niveau modeste au regard du cours actuel de 2 175 FCFA. Le PER de 22,7x traduit une valorisation nettement supérieure à la moyenne BRVM (~8-12x), signalant que le marché anticipe une croissance ou intègre une prime de qualité — mais expose le titre à un risque de correction si les bénéfices ne suivent pas. Le P/B de 5,05x confirme cette exigence : le marché paie plus de cinq fois la valeur comptable des fonds propres (27,16 Mds FCFA), une prime élevée pour un distributeur pétrolier à faible marge. Enfin, l'EV/EBITDA de 12,5x, dans la fourchette haute (10-15x), suggère que la valeur d'entreprise intègre déjà une bonne part de la capacité opérationnelle, laissant peu de marge d'appréciation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variation totale positive de +13,58%, malgré un repli de -0,68% lors de la dernière séance, portant le cours à 2 175 FCFA. Le titre a évolué dans un range large de 1 065 FCFA, entre un plus bas de 1 915 FCFA et un plus haut de 2 980 FCFA, témoignant d'une réelle amplitude de trading. La tendance générale reste haussière sur la période, mais le cours actuel se situe désormais sous sa moyenne (2 282 FCFA) et sa médiane (2 202 FCFA), signe d'un essoufflement récent. Les statistiques descriptives révèlent une distribution asymétrique : la moyenne (2 282 FCFA) dépasse la médiane (2 202 FCFA) et le mode (2 200 FCFA), cohérent avec un skewness positif de 1,258 indiquant davantage de journées sous la moyenne — le titre a connu des pics hauts isolés plutôt qu'une progression régulière. L'écart-type de 209 FCFA (CV de 9,2%) traduit une dispersion modérée autour de la moyenne, mais le kurtosis de 2,000 (leptokurtique) signale des queues épaisses et un risque de pics brutaux, donc une volatilité irrégulière. La volatilité annualisée de 41,8% classe SHEC parmi les titres à volatilité élevée (&gt;30%), ce qui exige une tolérance au risque importante et plaide pour des positions prudentes.</w:t>
      </w:r>
    </w:p>
    <w:p>
      <w:pPr>
        <w:spacing w:after="120" w:line="276" w:lineRule="auto"/>
      </w:pPr>
      <w:r>
        <w:t>---</w:t>
      </w:r>
    </w:p>
    <w:p>
      <w:pPr>
        <w:spacing w:after="120" w:line="276" w:lineRule="auto"/>
      </w:pPr>
      <w:r>
        <w:t>## PARTIE 2 : ANALYSE TECHNIQUE DÉTAILLÉE</w:t>
      </w:r>
    </w:p>
    <w:p>
      <w:pPr>
        <w:spacing w:after="120" w:line="276" w:lineRule="auto"/>
      </w:pPr>
      <w:r>
        <w:t>**Moyennes Mobiles** : La MM20 (2 335 FCFA) et la MM50 (2 419,7 FCFA) se situent toutes deux au-dessus du cours actuel (2 175 FCFA), configurant une structure baissière de court et moyen terme. La MM20 étant elle-même sous la MM50, la pression vendeuse domine, ce qui justifie la décision technique « Vente ».</w:t>
      </w:r>
    </w:p>
    <w:p>
      <w:pPr>
        <w:spacing w:after="120" w:line="276" w:lineRule="auto"/>
      </w:pPr>
      <w:r>
        <w:t>**Bandes de Bollinger** : Le cours (2 175 FCFA) évolue dans la moitié basse de la bande, entre la borne inférieure (1 973,5 FCFA) et la borne supérieure (2 696,5 FCFA), sans franchissement extrême. Cette position centrale-basse, avec un cours proche de la borne inférieure sans la toucher, traduit une volatilité contenue et une absence de signal directionnel fort, d'où la décision « Neutre ».</w:t>
      </w:r>
    </w:p>
    <w:p>
      <w:pPr>
        <w:spacing w:after="120" w:line="276" w:lineRule="auto"/>
      </w:pPr>
      <w:r>
        <w:t>**MACD** : La valeur du MACD (-86,47) est inférieure à son signal (-69,16), avec un histogramme négatif qui confirme un momentum baissier persistant. La divergence négative entre les deux lignes valide la décision « Vente », le titre n'ayant pas encore amorcé de retournement haussier.</w:t>
      </w:r>
    </w:p>
    <w:p>
      <w:pPr>
        <w:spacing w:after="120" w:line="276" w:lineRule="auto"/>
      </w:pPr>
      <w:r>
        <w:t>**RSI** : À 21,33, le RSI se situe nettement sous le seuil de survente (30), signalant un titre techniquement survendu et une possible zone de rebond. Cette configuration justifie la décision « Achat » à contre-courant, bien qu'un RSI aussi bas traduise d'abord une pression vendeuse intense.</w:t>
      </w:r>
    </w:p>
    <w:p>
      <w:pPr>
        <w:spacing w:after="120" w:line="276" w:lineRule="auto"/>
      </w:pPr>
      <w:r>
        <w:t>**Stochastique** : Avec %K et %D tous deux à 0,0, l'indicateur est au plancher absolu, en zone de survente extrême. Un tel niveau précède souvent un rebond technique, ce qui explique la décision « Achat », mais l'absence de croisement haussier visible invite à attendre une confirmation.</w:t>
      </w:r>
    </w:p>
    <w:p>
      <w:pPr>
        <w:spacing w:after="120" w:line="276" w:lineRule="auto"/>
      </w:pPr>
      <w:r>
        <w:t>**Conclusion technique** : Les indicateurs présentent une divergence classique : les moyennes mobiles et le MACD confirment une tendance baissière de fond, tandis que le RSI (21,3) et le stochastique (0,0) signalent une survente extrême propice à un rebond technique. Les Bandes de Bollinger restent neutres, sans signal de rupture. Cette configuration suggère un titre en fin de correction baissière, où un rebond à court terme est plausible mais non encore confirmé — la prudence reste de mise tant que le cours n'aura pas reconquis la MM20 (2 335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SHEC a réalisé un chiffre d'affaires de 604,98 milliards FCFA, en très légère hausse de +0,71% seulement, traduisant une stagnation commerciale. Le résultat net s'établit à 6,03 milliards FCFA, soit une marge nette très faible de 0,9964%, caractéristique du secteur de distribution pétrolière aval. La rentabilité des fonds propres (ROE) atteint néanmoins 22,20%, un niveau excellent (&gt;15%), tandis que le ROA reste modeste à 3,11% en raison de la forte rotation des actifs (312,55%). **Adapté au secteur ENTREPRISE** : les délais clients (23,27 jours) et fournisseurs (35,47 jours) sont maîtrisés, avec un BFR de 15,32 Mds FCFA et une durée de stockage très courte (7,47 jours), signe d'une gestion opérationnelle efficace. Cependant, la structure financière est fragile : autonomie financière de seulement 14,03% (seuil sain &gt;30%), trésorerie nette très négative à -65,26 Mds FCFA, et un fonds de roulement de -49,85 Mds FCFA, exposant la société à un risque de liquidité. **Estimations issues des rapports** : le rapport du S1 2026 (publié en 2026) indique un CA de 305 038 M FCFA en baisse de 1%, mais un résultat d'exploitation en hausse de 17% à 6 133 M FCFA grâce au butane, avec un résultat net de 3 016 M FCFA (marge nette 0,99%) — on peut donc estimer que l'exercice 2026 devrait maintenir une rentabilité stable malgré un CA légèrement en repli. Le rapport annuel 2025 (daté 2026) confirme un dividende brut proposé de 6,09 Mds FCFA, soit environ 1 933 FCFA/action, un taux de distribution de 101% supérieur au résultat net, financé par le report à nouveau — généreux mais fragilisant l'autofinancement. **Recommandation fondamentale** : société bénéficiaire et bien gérée opérationnellement (ROE 22%, délais maîtrisés), mais structure financière tendue (trésorerie négative, endettement) et croissance atone ; profil de rendement défensif avec des risques de liquidité à surveiller.</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dessine un tableau contrasté. **Valorisation (Partie 0)** : le PER de 22,7x, le P/B de 5,05x et l'EV/EBITDA de 12,5x indiquent une surévaluation relative par rapport aux standards BRVM, le marché intégrant déjà une prime de qualité qui limite le potentiel de hausse. **Comportement du cours (Partie 1)** : la tendance haussière de +13,58% sur 100 jours s'essouffle, avec un cours sous sa moyenne et une volatilité élevée de 41,8%, un kurtosis leptokurtique et un skewness positif signalant des pics irréguliers — profil préoccupant pour un investisseur averse au risque. **Signaux techniques (Partie 2)** : divergence entre la tendance baissière (MM, MACD) et la survente extrême (RSI 21,3, stochastique 0,0), suggérant un rebond technique possible mais non confirmé. **Fondamentaux (Partie 3)** : ROE solide de 22,20% et gestion opérationnelle efficace, mais marge nette de 1%, trésorerie nette de -65,26 Mds FCFA et distribution de dividende à 101% fragilisent la structure. **Prédictions IA (J+1 à J+10)** : la trajectoire projetée (2 188 → 2 210 FCFA) anticipe une légère reprise de +1,6%, cohérente avec le rebond technique attendu mais sans conviction forte. **Recommandation finale : CONSERVER** — la convergence est partielle : la surévaluation et la fragilité financière plaident pour la prudence, tandis que la survente technique et le dividende attractif soutiennent le titre. Le niveau de confiance est **Moyen** (signaux contradictoires entre technique et fondamental), le risque global est **Élevé** (volatilité 41,8%, trésorerie négative, valorisation exigeante), et l'horizon optimal est le **moyen terme (3-12 mois)**, en attendant la confirmation du rebond technique et l'amélioration de la structure financière avant tout renforcement.</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11,545 titres</w:t>
            </w:r>
          </w:p>
        </w:tc>
        <w:tc>
          <w:tcPr>
            <w:tcW w:type="dxa" w:w="2268"/>
            <w:shd w:fill="FFF2CC" w:val="clear"/>
          </w:tcPr>
          <w:p>
            <w:r>
              <w:rPr>
                <w:b/>
                <w:color w:val="503200"/>
                <w:sz w:val="16"/>
              </w:rPr>
              <w:t xml:space="preserve">Cours actuel : </w:t>
            </w:r>
            <w:r>
              <w:rPr>
                <w:color w:val="000000"/>
                <w:sz w:val="17"/>
              </w:rPr>
              <w:t>8,725 FCFA</w:t>
            </w:r>
          </w:p>
          <w:p>
            <w:r>
              <w:rPr>
                <w:b/>
                <w:color w:val="503200"/>
                <w:sz w:val="16"/>
              </w:rPr>
              <w:t xml:space="preserve">Var. 100 jours : </w:t>
            </w:r>
            <w:r>
              <w:rPr>
                <w:b/>
                <w:color w:val="007800"/>
                <w:sz w:val="17"/>
              </w:rPr>
              <w:t>+11.79%</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7,805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2.85% (Faible) — μ=8,958 FCFA, σ=255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β=0.6995 (Défensif) — Cov=0.000054, Var(idx)=0.000077, ρ=0.341,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11,545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090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8,403</w:t>
            </w:r>
          </w:p>
        </w:tc>
        <w:tc>
          <w:tcPr>
            <w:tcW w:type="dxa" w:w="1440"/>
            <w:shd w:fill="FAFAFA" w:val="clear"/>
          </w:tcPr>
          <w:p>
            <w:r>
              <w:rPr>
                <w:b/>
                <w:sz w:val="17"/>
              </w:rPr>
              <w:t>8,665</w:t>
            </w:r>
          </w:p>
        </w:tc>
        <w:tc>
          <w:tcPr>
            <w:tcW w:type="dxa" w:w="1440"/>
            <w:shd w:fill="FAFAFA" w:val="clear"/>
          </w:tcPr>
          <w:p>
            <w:r>
              <w:rPr>
                <w:sz w:val="17"/>
              </w:rPr>
              <w:t>8,928</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8,247</w:t>
            </w:r>
          </w:p>
        </w:tc>
        <w:tc>
          <w:tcPr>
            <w:tcW w:type="dxa" w:w="1440"/>
            <w:shd w:fill="FAFAFA" w:val="clear"/>
          </w:tcPr>
          <w:p>
            <w:r>
              <w:rPr>
                <w:b/>
                <w:sz w:val="17"/>
              </w:rPr>
              <w:t>8,616</w:t>
            </w:r>
          </w:p>
        </w:tc>
        <w:tc>
          <w:tcPr>
            <w:tcW w:type="dxa" w:w="1440"/>
            <w:shd w:fill="FAFAFA" w:val="clear"/>
          </w:tcPr>
          <w:p>
            <w:r>
              <w:rPr>
                <w:sz w:val="17"/>
              </w:rPr>
              <w:t>8,986</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8,121</w:t>
            </w:r>
          </w:p>
        </w:tc>
        <w:tc>
          <w:tcPr>
            <w:tcW w:type="dxa" w:w="1440"/>
            <w:shd w:fill="FAFAFA" w:val="clear"/>
          </w:tcPr>
          <w:p>
            <w:r>
              <w:rPr>
                <w:b/>
                <w:sz w:val="17"/>
              </w:rPr>
              <w:t>8,571</w:t>
            </w:r>
          </w:p>
        </w:tc>
        <w:tc>
          <w:tcPr>
            <w:tcW w:type="dxa" w:w="1440"/>
            <w:shd w:fill="FAFAFA" w:val="clear"/>
          </w:tcPr>
          <w:p>
            <w:r>
              <w:rPr>
                <w:sz w:val="17"/>
              </w:rPr>
              <w:t>9,021</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2026-10-23</w:t>
            </w:r>
          </w:p>
        </w:tc>
        <w:tc>
          <w:tcPr>
            <w:tcW w:type="dxa" w:w="1440"/>
            <w:shd w:fill="FFDCE0" w:val="clear"/>
          </w:tcPr>
          <w:p>
            <w:r>
              <w:rPr>
                <w:sz w:val="17"/>
              </w:rPr>
              <w:t>8,012</w:t>
            </w:r>
          </w:p>
        </w:tc>
        <w:tc>
          <w:tcPr>
            <w:tcW w:type="dxa" w:w="1440"/>
            <w:shd w:fill="FFDCE0" w:val="clear"/>
          </w:tcPr>
          <w:p>
            <w:r>
              <w:rPr>
                <w:b/>
                <w:sz w:val="17"/>
              </w:rPr>
              <w:t>8,529</w:t>
            </w:r>
          </w:p>
        </w:tc>
        <w:tc>
          <w:tcPr>
            <w:tcW w:type="dxa" w:w="1440"/>
            <w:shd w:fill="FFDCE0" w:val="clear"/>
          </w:tcPr>
          <w:p>
            <w:r>
              <w:rPr>
                <w:sz w:val="17"/>
              </w:rPr>
              <w:t>9,046</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2026-10-26</w:t>
            </w:r>
          </w:p>
        </w:tc>
        <w:tc>
          <w:tcPr>
            <w:tcW w:type="dxa" w:w="1440"/>
            <w:shd w:fill="FFDCE0" w:val="clear"/>
          </w:tcPr>
          <w:p>
            <w:r>
              <w:rPr>
                <w:sz w:val="17"/>
              </w:rPr>
              <w:t>7,915</w:t>
            </w:r>
          </w:p>
        </w:tc>
        <w:tc>
          <w:tcPr>
            <w:tcW w:type="dxa" w:w="1440"/>
            <w:shd w:fill="FFDCE0" w:val="clear"/>
          </w:tcPr>
          <w:p>
            <w:r>
              <w:rPr>
                <w:b/>
                <w:sz w:val="17"/>
              </w:rPr>
              <w:t>8,491</w:t>
            </w:r>
          </w:p>
        </w:tc>
        <w:tc>
          <w:tcPr>
            <w:tcW w:type="dxa" w:w="1440"/>
            <w:shd w:fill="FFDCE0" w:val="clear"/>
          </w:tcPr>
          <w:p>
            <w:r>
              <w:rPr>
                <w:sz w:val="17"/>
              </w:rPr>
              <w:t>9,066</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2026-10-27</w:t>
            </w:r>
          </w:p>
        </w:tc>
        <w:tc>
          <w:tcPr>
            <w:tcW w:type="dxa" w:w="1440"/>
            <w:shd w:fill="FFDCE0" w:val="clear"/>
          </w:tcPr>
          <w:p>
            <w:r>
              <w:rPr>
                <w:sz w:val="17"/>
              </w:rPr>
              <w:t>7,827</w:t>
            </w:r>
          </w:p>
        </w:tc>
        <w:tc>
          <w:tcPr>
            <w:tcW w:type="dxa" w:w="1440"/>
            <w:shd w:fill="FFDCE0" w:val="clear"/>
          </w:tcPr>
          <w:p>
            <w:r>
              <w:rPr>
                <w:b/>
                <w:sz w:val="17"/>
              </w:rPr>
              <w:t>8,454</w:t>
            </w:r>
          </w:p>
        </w:tc>
        <w:tc>
          <w:tcPr>
            <w:tcW w:type="dxa" w:w="1440"/>
            <w:shd w:fill="FFDCE0" w:val="clear"/>
          </w:tcPr>
          <w:p>
            <w:r>
              <w:rPr>
                <w:sz w:val="17"/>
              </w:rPr>
              <w:t>9,082</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2026-10-28</w:t>
            </w:r>
          </w:p>
        </w:tc>
        <w:tc>
          <w:tcPr>
            <w:tcW w:type="dxa" w:w="1440"/>
            <w:shd w:fill="FFDCE0" w:val="clear"/>
          </w:tcPr>
          <w:p>
            <w:r>
              <w:rPr>
                <w:sz w:val="17"/>
              </w:rPr>
              <w:t>7,745</w:t>
            </w:r>
          </w:p>
        </w:tc>
        <w:tc>
          <w:tcPr>
            <w:tcW w:type="dxa" w:w="1440"/>
            <w:shd w:fill="FFDCE0" w:val="clear"/>
          </w:tcPr>
          <w:p>
            <w:r>
              <w:rPr>
                <w:b/>
                <w:sz w:val="17"/>
              </w:rPr>
              <w:t>8,421</w:t>
            </w:r>
          </w:p>
        </w:tc>
        <w:tc>
          <w:tcPr>
            <w:tcW w:type="dxa" w:w="1440"/>
            <w:shd w:fill="FFDCE0" w:val="clear"/>
          </w:tcPr>
          <w:p>
            <w:r>
              <w:rPr>
                <w:sz w:val="17"/>
              </w:rPr>
              <w:t>9,096</w:t>
            </w:r>
          </w:p>
        </w:tc>
        <w:tc>
          <w:tcPr>
            <w:tcW w:type="dxa" w:w="1440"/>
            <w:shd w:fill="FFDCE0" w:val="clear"/>
          </w:tcPr>
          <w:p>
            <w:r>
              <w:rPr>
                <w:b/>
                <w:color w:val="C00000"/>
                <w:sz w:val="17"/>
              </w:rPr>
              <w:t>-3.5%</w:t>
            </w:r>
          </w:p>
        </w:tc>
      </w:tr>
      <w:tr>
        <w:tc>
          <w:tcPr>
            <w:tcW w:type="dxa" w:w="1440"/>
            <w:shd w:fill="FFDCE0" w:val="clear"/>
          </w:tcPr>
          <w:p>
            <w:r>
              <w:rPr>
                <w:sz w:val="17"/>
              </w:rPr>
              <w:t>J+8  Moyenne</w:t>
            </w:r>
          </w:p>
        </w:tc>
        <w:tc>
          <w:tcPr>
            <w:tcW w:type="dxa" w:w="1440"/>
            <w:shd w:fill="FFDCE0" w:val="clear"/>
          </w:tcPr>
          <w:p>
            <w:r>
              <w:rPr>
                <w:sz w:val="17"/>
              </w:rPr>
              <w:t>2026-10-29</w:t>
            </w:r>
          </w:p>
        </w:tc>
        <w:tc>
          <w:tcPr>
            <w:tcW w:type="dxa" w:w="1440"/>
            <w:shd w:fill="FFDCE0" w:val="clear"/>
          </w:tcPr>
          <w:p>
            <w:r>
              <w:rPr>
                <w:sz w:val="17"/>
              </w:rPr>
              <w:t>7,670</w:t>
            </w:r>
          </w:p>
        </w:tc>
        <w:tc>
          <w:tcPr>
            <w:tcW w:type="dxa" w:w="1440"/>
            <w:shd w:fill="FFDCE0" w:val="clear"/>
          </w:tcPr>
          <w:p>
            <w:r>
              <w:rPr>
                <w:b/>
                <w:sz w:val="17"/>
              </w:rPr>
              <w:t>8,389</w:t>
            </w:r>
          </w:p>
        </w:tc>
        <w:tc>
          <w:tcPr>
            <w:tcW w:type="dxa" w:w="1440"/>
            <w:shd w:fill="FFDCE0" w:val="clear"/>
          </w:tcPr>
          <w:p>
            <w:r>
              <w:rPr>
                <w:sz w:val="17"/>
              </w:rPr>
              <w:t>9,108</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2026-10-30</w:t>
            </w:r>
          </w:p>
        </w:tc>
        <w:tc>
          <w:tcPr>
            <w:tcW w:type="dxa" w:w="1440"/>
            <w:shd w:fill="FFDCE0" w:val="clear"/>
          </w:tcPr>
          <w:p>
            <w:r>
              <w:rPr>
                <w:sz w:val="17"/>
              </w:rPr>
              <w:t>7,598</w:t>
            </w:r>
          </w:p>
        </w:tc>
        <w:tc>
          <w:tcPr>
            <w:tcW w:type="dxa" w:w="1440"/>
            <w:shd w:fill="FFDCE0" w:val="clear"/>
          </w:tcPr>
          <w:p>
            <w:r>
              <w:rPr>
                <w:b/>
                <w:sz w:val="17"/>
              </w:rPr>
              <w:t>8,358</w:t>
            </w:r>
          </w:p>
        </w:tc>
        <w:tc>
          <w:tcPr>
            <w:tcW w:type="dxa" w:w="1440"/>
            <w:shd w:fill="FFDCE0" w:val="clear"/>
          </w:tcPr>
          <w:p>
            <w:r>
              <w:rPr>
                <w:sz w:val="17"/>
              </w:rPr>
              <w:t>9,118</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2026-11-02</w:t>
            </w:r>
          </w:p>
        </w:tc>
        <w:tc>
          <w:tcPr>
            <w:tcW w:type="dxa" w:w="1440"/>
            <w:shd w:fill="FFDCE0" w:val="clear"/>
          </w:tcPr>
          <w:p>
            <w:r>
              <w:rPr>
                <w:sz w:val="17"/>
              </w:rPr>
              <w:t>7,531</w:t>
            </w:r>
          </w:p>
        </w:tc>
        <w:tc>
          <w:tcPr>
            <w:tcW w:type="dxa" w:w="1440"/>
            <w:shd w:fill="FFDCE0" w:val="clear"/>
          </w:tcPr>
          <w:p>
            <w:r>
              <w:rPr>
                <w:b/>
                <w:sz w:val="17"/>
              </w:rPr>
              <w:t>8,330</w:t>
            </w:r>
          </w:p>
        </w:tc>
        <w:tc>
          <w:tcPr>
            <w:tcW w:type="dxa" w:w="1440"/>
            <w:shd w:fill="FFDCE0" w:val="clear"/>
          </w:tcPr>
          <w:p>
            <w:r>
              <w:rPr>
                <w:sz w:val="17"/>
              </w:rPr>
              <w:t>9,128</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 RAPPORT D'ANALYSE FINANCIÈRE — SIBC (Société Ivoirienne de Banque)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SIBC s'établit à **872,50 milliards FCFA**, un niveau qui la place parmi les valeurs les plus capitalisées de la cote BRVM, témoignant de son statut de banque de référence dans l'UEMOA. Le BPA de **556 FCFA/action** traduit un bénéfice solide par titre, cohérent avec la rentabilité élevée de l'établissement. Le PER de **15,7x** se situe au-dessus de la moyenne BRVM (~8-12x), signalant que les investisseurs paient une prime pour la qualité des bénéfices, sans toutefois atteindre des niveaux excessifs. Le P/B de **4,26x** (&gt;4x) révèle une valorisation exigeante : le marché valorise la banque à plus de quatre fois sa valeur comptable, ce qui intègre déjà une forte anticipation de rentabilité future (ROE de 27,16%). Enfin, l'EV/EBITDA de **14,6x** (fourchette 10-15x) confirme une valorisation élevée de la capacité opérationnelle, cohérente avec le positionnement premium du titre sur le marché régional.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**variation totale de +11,79%**, avec une dernière séance stable (**J-1 : +0,00%**) à **8 725 FCFA**. Le range de trading s'étend de **7 805 FCFA** (plus bas) à **9 500 FCFA** (plus haut), soit une amplitude de près de 22%, traduisant une tendance générale haussière mais avec des phases de correction marquées. La **moyenne (8 958 FCFA)** est légèrement supérieure à la **médiane (8 995 FCFA)**, tandis que le **mode (9 000 FCFA)** se situe au-dessus des deux — cette configuration indique une distribution asymétrique avec concentration des cours autour de 9 000 FCFA avant le repli récent. L'**écart-type de 257 FCFA (CV=2,9%)** révèle une dispersion très faible du cours, caractéristique d'un titre peu agité au quotidien. Le **kurtosis de 3,093** (leptokurtique) signale des queues épaisses et un risque de pics de volatilité, tandis que le **skewness de -1,046** (asymétrie négative) indique que les journées se situent plus souvent au-dessus de la moyenne, avec quelques journées de forte baisse qui tirent la distribution vers le bas. La **volatilité annualisée de 28,5%** classe le titre en zone **modérée (15-30%)**, acceptable pour une valeur bancaire de qualité.</w:t>
      </w:r>
    </w:p>
    <w:p>
      <w:pPr>
        <w:spacing w:after="120" w:line="276" w:lineRule="auto"/>
      </w:pPr>
      <w:r>
        <w:t>---</w:t>
      </w:r>
    </w:p>
    <w:p>
      <w:pPr>
        <w:spacing w:after="120" w:line="276" w:lineRule="auto"/>
      </w:pPr>
      <w:r>
        <w:t>## PARTIE 2 : ANALYSE TECHNIQUE DÉTAILLÉE</w:t>
      </w:r>
    </w:p>
    <w:p>
      <w:pPr>
        <w:spacing w:after="120" w:line="276" w:lineRule="auto"/>
      </w:pPr>
      <w:r>
        <w:t>**Moyennes Mobiles :** La MM20 (**8 911,75 FCFA**) et la MM50 (**9 087,50 FCFA**) se situent toutes deux au-dessus du cours actuel (8 725 FCFA), avec une MM20 inférieure à la MM50 — configuration baissière de court terme. Le cours évoluant sous ses deux moyennes, la décision technique est **Vente**, confirmant une pression vendeuse persistante.</w:t>
      </w:r>
    </w:p>
    <w:p>
      <w:pPr>
        <w:spacing w:after="120" w:line="276" w:lineRule="auto"/>
      </w:pPr>
      <w:r>
        <w:t>**Bandes de Bollinger :** Le cours (8 725 FCFA) se situe dans la moitié inférieure de la bande, entre la borne inférieure (**8 516,07 FCFA**) et la borne supérieure (**9 307,43 FCFA**), sans franchissement des extrêmes. Cette position centrale-basse traduit une volatilité contenue et une absence de signal directionnel fort, justifiant la décision **Neutre**.</w:t>
      </w:r>
    </w:p>
    <w:p>
      <w:pPr>
        <w:spacing w:after="120" w:line="276" w:lineRule="auto"/>
      </w:pPr>
      <w:r>
        <w:t>**MACD :** La valeur du MACD (**-97,264**) est inférieure à sa ligne de signal (**-80,846**), avec un histogramme négatif — le momentum est clairement baissier et la divergence négative persiste. La décision **Vente** est cohérente avec cette configuration de pression baissière non résolue.</w:t>
      </w:r>
    </w:p>
    <w:p>
      <w:pPr>
        <w:spacing w:after="120" w:line="276" w:lineRule="auto"/>
      </w:pPr>
      <w:r>
        <w:t>**RSI :** À **37,156**, le RSI se situe dans la zone neutre basse (30-70), sans atteindre la zone de survente (&lt;30). Le titre n'est ni survendu ni suracheté, mais la proximité de la zone de survente suggère une pression vendeuse modérée, justifiant la décision **Neutre**.</w:t>
      </w:r>
    </w:p>
    <w:p>
      <w:pPr>
        <w:spacing w:after="120" w:line="276" w:lineRule="auto"/>
      </w:pPr>
      <w:r>
        <w:t>**Stochastique :** Le %K (**5,435**) est très bas et inférieur au %D (**18,116**), signalant une situation de **survente marquée** avec un potentiel rebond technique. Le croisement %K sous %D en zone extrême basse justifie la décision **Achat** — c'est le seul indicateur clairement positif du dispositif technique.</w:t>
      </w:r>
    </w:p>
    <w:p>
      <w:pPr>
        <w:spacing w:after="120" w:line="276" w:lineRule="auto"/>
      </w:pPr>
      <w:r>
        <w:t>**Conclusion technique :** Le dispositif technique est majoritairement baissier (MM en Vente, MACD en Vente), avec un RSI et des Bollinger neutres, mais le Stochastique en survente extrême (%K=5,4) suggère un possible rebond à court terme. La convergence n'est pas acquise : le titre évolue sous ses moyennes avec un momentum négatif, mais la survente stochastique plaide pour une stabilisation voire un rebond technique. Prudence donc, avec un biais baissier dominant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SIBC affiche un **PNB de 108,663 milliards FCFA** et un **résultat net de 55,623 milliards FCFA**, soit une **marge nette exceptionnelle de 51,19%**. Le **ROE de 27,16%** (&gt;15% = excellent) et le **ROA de 2,96%** confirment une rentabilité parmi les meilleures du secteur. Le **coefficient d'exploitation de 38,59%** (&lt;60% = banque efficace, &lt;50% = excellente) témoigne d'une maîtrise opérationnelle remarquable. Le **coût du risque** (provisions de 14,124 Mds FCFA rapportées aux charges financières de 16,320 Mds) apparaît élevé, signalant un risque de crédit à surveiller. La structure de bilan est solide : **dépôts clientèle de 1 503,441 Mds FCFA** contre **créances clientèle de 1 226,720 Mds FCFA**, soit un ratio de transformation de 81,6% — sain pour une banque. L'**autonomie financière de 10,88%** est faible (norme &gt;30%), mais le **ratio de solvabilité** reste confortable selon les rapports. La **couverture des intérêts de 408,9%** traduit une capacité bénéficiaire largement suffisante pour absorber les charges.</w:t>
      </w:r>
    </w:p>
    <w:p>
      <w:pPr>
        <w:spacing w:after="120" w:line="276" w:lineRule="auto"/>
      </w:pPr>
      <w:r>
        <w:t>**Estimations basées sur les rapports trimestriels :** Selon le **rapport S1 2026 (analysé le 29/09/2026)**, le PNB semestriel atteint **56,592 Mds FCFA (+4,2%)** et le résultat net **32,140 Mds FCFA (+9,3%)**, avec un coût du risque en forte baisse (-75,3% à 287 M FCFA) — excellente nouvelle pour la qualité du portefeuille. Le **rapport T1 2026 (analysé le 07/05/2026)** confirme la dynamique : PNB de 27,7 Mds (+4%), résultat net de 15,2 Mds (+11%), marge nette de 54,9%. Sur cette base, on estime que l'exercice 2026 devrait dépasser les 110 Mds FCFA de PNB et approcher 65 Mds FCFA de résultat net, prolongeant la croissance. Le **rapport annuel 2024** rappelle un dividende de **375 FCFA/action** (rendement ~10,55% au cours de fin 2024), mais aucune information sur le dividende 2025/2026 n'est disponible à ce stade — point de vigilance pour le rendement actionnaire.</w:t>
      </w:r>
    </w:p>
    <w:p>
      <w:pPr>
        <w:spacing w:after="120" w:line="276" w:lineRule="auto"/>
      </w:pPr>
      <w:r>
        <w:t>**Recommandation fondamentale :** Les fondamentaux sont **solides et en amélioration** (croissance du PNB, résultat net en hausse, coût du risque maîtrisé, efficacité opérationnelle excellente). Les risques résident dans la faible autonomie financière, le coût du risque historique élevé et l'absence de visibilité sur le dividende. La recommandation fondamentale est **CONSERVER avec biais positif**, avec un potentiel de passage à ACHAT si la publication annuelle confirme la tendance et clarifie la distribution.</w:t>
      </w:r>
    </w:p>
    <w:p>
      <w:pPr>
        <w:spacing w:after="120" w:line="276" w:lineRule="auto"/>
      </w:pPr>
      <w:r>
        <w:t>---</w:t>
      </w:r>
    </w:p>
    <w:p>
      <w:pPr>
        <w:spacing w:after="120" w:line="276" w:lineRule="auto"/>
      </w:pPr>
      <w:r>
        <w:t>## PARTIE 4 : CONCLUSION D'INVESTISSEMENT</w:t>
      </w:r>
    </w:p>
    <w:p>
      <w:pPr>
        <w:spacing w:after="120" w:line="276" w:lineRule="auto"/>
      </w:pPr>
      <w:r>
        <w:t>La **valorisation (Partie 0)** indique un titre premium : PER de 15,7x (au-dessus de la moyenne BRVM), P/B de 4,26x et EV/EBITDA de 14,6x traduisent une **surévaluation relative** qui intègre déjà la qualité des bénéfices — le potentiel de hausse immédiat est donc limité. Le **comportement du cours (Partie 1)** est haussier sur 100 jours (+11,79%) mais avec une volatilité modérée (28,5%) et un skewness négatif (-1,046) signalant un risque de pics baissiers ; le kurtosis leptokurtique (3,093) confirme ce risque de mouvements extrêmes. Les **signaux techniques (Partie 2)** sont majoritairement baissiers (MM en Vente, MACD en Vente), avec un RSI neutre et un Stochastique en survente extrême (%K=5,4) qui pourrait offrir un rebond technique — mais la convergence n'est pas acquise. Les **fondamentaux (Partie 3)** sont excellents : ROE de 27,16%, coefficient d'exploitation de 38,59%, résultat net 2025 de 55,623 Mds FCFA et croissance confirmée par les rapports S1 2026 (+9,3% de résultat net) et T1 2026 (+11%). Les **prédictions IA (J+1 à J+10)** anticipent une **dérive baissière continue** de 8 665 à 8 491 FCFA, soit -2,7% sur 10 jours ouvrables — cette trajectoire **confirme les signaux techniques baissiers** (MM, MACD) et contredit le rebond stochastique. **Synthèse :** la convergence est baissière à court terme (technique + prédictions), mais les fondamentaux solides et la valorisation premium créent une divergence. **Recommandation finale : CONSERVER** — le titre est fondamentalement solide mais techniquement sous pression et valorisé sans marge de sécurité. **Niveau de confiance : Moyen** (divergence technique/fondamental). **Niveau de risque : Moyen** (volatilité modérée, valorisation exigeante, prédictions baissières). **Horizon optimal : moyen terme (3-12 mois)**, en attendant la publication annuelle 2026 et la clarification du dividende pour confirmer le passage à ACHAT.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34.2/100 → Moyen</w:t>
      </w:r>
    </w:p>
    <w:p>
      <w:pPr>
        <w:spacing w:before="40" w:after="80"/>
      </w:pPr>
      <w:r>
        <w:rPr>
          <w:rFonts w:ascii="Courier New" w:hAnsi="Courier New"/>
          <w:color w:val="825A00"/>
          <w:sz w:val="18"/>
        </w:rPr>
        <w:t>██████░░░░░░░░░░░░░░  34.2/100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β=-1.2138 (Contre-cyclique) — Cov=-0.000049, Var(idx)=0.000040, ρ=-0.197, n=77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52/100  (Moyen)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 SICOR (SICC) —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avec une liquidité structurellement faible (120 titres échangés en moyenne par jour). Les ratios de valorisation classiques (BPA, PER, P/B, EV/EBITDA) ne sont pas calculables en l'état, faute de données financières structurées exploitables et de bénéfice par action consolidé fiable dans la base. Cette absence de ratios empêche toute lecture directe de sous- ou surévaluation par rapport au PER moyen de la BRVM (8-12x) ; l'investisseur doit donc s'appuyer sur l'analyse fondamentale narrative (Partie 3) et sur le comportement du cours pour apprécier la valorisation implicite, sachant que le cours actuel de 8 400 FCFA intègre déjà une forte anticipation de redressement.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SICC affiche une performance spectaculaire de +95,35 %, quasi-doublement de sa valeur, même si la dernière séance marque une légère consolidation de -1,12 % à 8 400 FCFA. Le range de trading est très large, du plus bas de 3 985 FCFA au plus haut de 10 200 FCFA, soit un amplitude de plus de 155 % qui traduit une tendance nettement haussière mais heurtée. Les statistiques descriptives confirment cette asymétrie : la moyenne (5 815 FCFA) est supérieure à la médiane (5 022 FCFA), signe d'une distribution tirée vers le haut par les récents pics, tandis que le skewness positif de 0,913 indique que la majorité des séances se sont déroulées sous la moyenne, les gains étant concentrés sur quelques journées explosives. L'écart-type de 1 813 FCFA et le coefficient de variation de 31,2 % traduisent une dispersion élevée du cours autour de sa tendance, et le kurtosis de -0,630 (mésokurtique) suggère une distribution proche de la normale, sans pics extrêmes atypiques. La volatilité annualisée de 58,2 % place clairement le titre dans la catégorie des valeurs à volatilité élevée (&gt;30 %), ce qui impose une gestion du risque prudente et des tailles de position réduites.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calculables (valeurs non disponibles), ce qui prive l'analyse du repère de tendance de court et moyen terme. En l'absence de ces moyennes, la décision technique reste indéterminée et l'investisseur doit se rabattre sur l'analyse du range et de la volatilité pour situer le cours.</w:t>
      </w:r>
    </w:p>
    <w:p>
      <w:pPr>
        <w:spacing w:after="120" w:line="276" w:lineRule="auto"/>
      </w:pPr>
      <w:r>
        <w:t>**Bandes de Bollinger** : Les bornes supérieure et inférieure ne sont pas disponibles, empêchant d'évaluer la position relative du cours (8 400 FCFA) par rapport à sa moyenne mobile et à l'enveloppe de volatilité. La décision reste donc neutre faute de signal exploitable.</w:t>
      </w:r>
    </w:p>
    <w:p>
      <w:pPr>
        <w:spacing w:after="120" w:line="276" w:lineRule="auto"/>
      </w:pPr>
      <w:r>
        <w:t>**MACD** : La valeur du MACD et sa ligne de signal ne sont pas renseignées, rendant impossible l'analyse de la divergence de momentum. Aucune décision ne peut être tirée de cet indicateur en l'état.</w:t>
      </w:r>
    </w:p>
    <w:p>
      <w:pPr>
        <w:spacing w:after="120" w:line="276" w:lineRule="auto"/>
      </w:pPr>
      <w:r>
        <w:t>**RSI** : Le RSI n'est pas disponible ; on ne peut donc statuer sur une zone de surachat (&gt;70) ou de survente (&lt;30). Compte tenu de la hausse de +95 % sur 100 jours, un RSI élevé serait néanmoins plausible, ce qui inviterait à la prudence sur les points d'entrée.</w:t>
      </w:r>
    </w:p>
    <w:p>
      <w:pPr>
        <w:spacing w:after="120" w:line="276" w:lineRule="auto"/>
      </w:pPr>
      <w:r>
        <w:t>**Stochastique** : Les %K et %D ne sont pas calculés, privant l'analyse du croisement de momentum de court terme. La décision reste neutre.</w:t>
      </w:r>
    </w:p>
    <w:p>
      <w:pPr>
        <w:spacing w:after="120" w:line="276" w:lineRule="auto"/>
      </w:pPr>
      <w:r>
        <w:t>**Conclusion technique** : L'ensemble des indicateurs techniques étant indisponibles (MM, Bollinger, MACD, RSI, Stochastique), aucune convergence ou divergence ne peut être établie. Seule la lecture statistique du cours (Partie 1) reste exploitable : tendance haussière puissante mais volatilité très élevée (58,2 %) et skewness positif suggérant une consolidation possible après le pic de 10 200 FCFA. La prudence technique est de mise, faute de confirmation par les oscillateurs.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officiels disponibles, issus des rapports annuels SICOR (exercices 2015 à 2023, analysés entre 2024 et 2026), dessinent une trajectoire heurtée. En 2015, le chiffre d'affaires s'établit à environ 434,87 millions FCFA pour un résultat net de 68,24 millions FCFA (marge nette 15,7 %) ; en 2016, le CA grimpe à 1 936,64 millions FCFA mais la société plonge dans une perte nette de -348,99 millions FCFA avec des capitaux propres négatifs de -2 324,84 millions FCFA et une trésorerie négative de -182,94 millions FCFA — situation qualifiée de « vendre » par l'analyse source. L'exercice 2017 marque un rebond (CA 1,56 milliard FCFA, résultat net 100,57 millions FCFA, marge 6,44 %), puis 2021 dégage un bénéfice de 119,23 millions FCFA (marge 8,6 %). L'année 2022 est un coup d'arrêt : CA de 1 138,17 millions FCFA (-17,58 %), perte nette de -39,95 millions FCFA (marge -3,51 %), effondrement des ventes d'huile de coprah (-64 %) et dettes fiscales en hausse (+11,48 %). En 2023, le CA chute encore à 701,09 millions FCFA (-38,4 %) mais la société renoue avec un bénéfice net de +19,25 millions FCFA (marge 2,75 %) grâce à une réduction drastique des charges (-43,68 %) et au transfert de 50 % du personnel vers la filiale SIPAL ; les pertes cumulées restent toutefois à 689,86 millions FCFA, interdisant tout dividende (aucune distribution depuis 2017, conformément à l'Acte Uniforme OHADA). Le rapport le plus récent (exercice 2024, analysé le 06/09/2026) confirme la poursuite de la restructuration, et l'avis de convocation à l'AGO du 22 mai 2026 pour approbation des comptes 2024 témoigne d'une gouvernance active. La recommandation fondamentale est donc **CONSERVER avec vigilance** : retour à la profitabilité fragile en 2023, structure financière encore sous tension (découverts bancaires multipliés, dépendance à l'actionnaire majoritaire DEVACO à 70,44 %), mais potentiel de redressement réel si la maîtrise des coûts et la diversification (noix de coco, tourteaux) se confirment — les rapports datant d'avant 2025, ils doivent être lus comme un historique de redressement et non comme une photographie actuelle.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impose une lecture contrastée. La valorisation (Partie 0) reste aveugle faute de ratios calculables, mais la capitalisation de 5,04 milliards FCFA pour un titre ayant doublé en 100 jours suggère que le marché a déjà intégré une large part du redressement. Le comportement du cours (Partie 1) est spectaculaire (+95,35 %) mais préoccupant par sa volatilité annualisée de 58,2 %, son skewness positif (gains concentrés sur peu de séances) et la consolidation de -1,12 % en dernière séance après le pic de 10 200 FCFA. Les signaux techniques (Partie 2) sont totalement indisponibles, ce qui constitue un angle mort majeur et empêche toute confirmation de la tendance par les oscillateurs. Les fondamentaux (Partie 3) montrent un retour à la profitabilité en 2023 (+19,25 millions FCFA) mais une fragilité persistante (CA en baisse de 38,4 %, pertes cumulées de 689,86 millions FCFA, absence de dividende depuis 2017) et des rapports datant d'avant 2025. Enfin, aucune prédiction IA n'est disponible pour J+1 à J+10, ce qui prive la conclusion d'un signal de court terme. Face à cette convergence partielle — dynamique de cours puissante mais fondamentaux fragiles et technique muette — la recommandation finale est **CONSERVER**, avec un niveau de confiance **Moyen** (absence d'indicateurs techniques et de prédictions) et un niveau de risque global **Élevé** (volatilité 58,2 %, liquidité faible, historique de pertes). L'horizon optimal est le **moyen terme (3-12 mois)**, le temps que les comptes 2024/2025 confirment la durabilité du redressement et que les indicateurs techniques se reconstituent ; un renforcement ne serait justifié qu'en cas de consolidation vers la zone des 5 000-6 000 FCFA (proche de la médiane statistique) avec confirmation fondamentale.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5,349 titres</w:t>
            </w:r>
          </w:p>
        </w:tc>
        <w:tc>
          <w:tcPr>
            <w:tcW w:type="dxa" w:w="2268"/>
            <w:shd w:fill="FFF2CC" w:val="clear"/>
          </w:tcPr>
          <w:p>
            <w:r>
              <w:rPr>
                <w:b/>
                <w:color w:val="503200"/>
                <w:sz w:val="16"/>
              </w:rPr>
              <w:t xml:space="preserve">Cours actuel : </w:t>
            </w:r>
            <w:r>
              <w:rPr>
                <w:color w:val="000000"/>
                <w:sz w:val="17"/>
              </w:rPr>
              <w:t>1,780 FCFA</w:t>
            </w:r>
          </w:p>
          <w:p>
            <w:r>
              <w:rPr>
                <w:b/>
                <w:color w:val="503200"/>
                <w:sz w:val="16"/>
              </w:rPr>
              <w:t xml:space="preserve">Var. 100 jours : </w:t>
            </w:r>
            <w:r>
              <w:rPr>
                <w:b/>
                <w:color w:val="B40000"/>
                <w:sz w:val="17"/>
              </w:rPr>
              <w:t>-38.09%</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1,780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12.38% (Moyenne) — μ=2,336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β=0.5126 (Défensif) — Cov=0.000040, Var(idx)=0.000077, ρ=0.131,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0906"/>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2026-10-20</w:t>
            </w:r>
          </w:p>
        </w:tc>
        <w:tc>
          <w:tcPr>
            <w:tcW w:type="dxa" w:w="1440"/>
            <w:shd w:fill="C6EFCE" w:val="clear"/>
          </w:tcPr>
          <w:p>
            <w:r>
              <w:rPr>
                <w:sz w:val="17"/>
              </w:rPr>
              <w:t>1,735</w:t>
            </w:r>
          </w:p>
        </w:tc>
        <w:tc>
          <w:tcPr>
            <w:tcW w:type="dxa" w:w="1440"/>
            <w:shd w:fill="C6EFCE" w:val="clear"/>
          </w:tcPr>
          <w:p>
            <w:r>
              <w:rPr>
                <w:b/>
                <w:sz w:val="17"/>
              </w:rPr>
              <w:t>1,825</w:t>
            </w:r>
          </w:p>
        </w:tc>
        <w:tc>
          <w:tcPr>
            <w:tcW w:type="dxa" w:w="1440"/>
            <w:shd w:fill="C6EFCE" w:val="clear"/>
          </w:tcPr>
          <w:p>
            <w:r>
              <w:rPr>
                <w:sz w:val="17"/>
              </w:rPr>
              <w:t>1,916</w:t>
            </w:r>
          </w:p>
        </w:tc>
        <w:tc>
          <w:tcPr>
            <w:tcW w:type="dxa" w:w="1440"/>
            <w:shd w:fill="C6EFCE" w:val="clear"/>
          </w:tcPr>
          <w:p>
            <w:r>
              <w:rPr>
                <w:b/>
                <w:color w:val="008000"/>
                <w:sz w:val="17"/>
              </w:rPr>
              <w:t>+2.6%</w:t>
            </w:r>
          </w:p>
        </w:tc>
      </w:tr>
      <w:tr>
        <w:tc>
          <w:tcPr>
            <w:tcW w:type="dxa" w:w="1440"/>
            <w:shd w:fill="C6EFCE" w:val="clear"/>
          </w:tcPr>
          <w:p>
            <w:r>
              <w:rPr>
                <w:sz w:val="17"/>
              </w:rPr>
              <w:t>J+2  ⭐</w:t>
            </w:r>
          </w:p>
        </w:tc>
        <w:tc>
          <w:tcPr>
            <w:tcW w:type="dxa" w:w="1440"/>
            <w:shd w:fill="C6EFCE" w:val="clear"/>
          </w:tcPr>
          <w:p>
            <w:r>
              <w:rPr>
                <w:sz w:val="17"/>
              </w:rPr>
              <w:t>2026-10-21</w:t>
            </w:r>
          </w:p>
        </w:tc>
        <w:tc>
          <w:tcPr>
            <w:tcW w:type="dxa" w:w="1440"/>
            <w:shd w:fill="C6EFCE" w:val="clear"/>
          </w:tcPr>
          <w:p>
            <w:r>
              <w:rPr>
                <w:sz w:val="17"/>
              </w:rPr>
              <w:t>1,696</w:t>
            </w:r>
          </w:p>
        </w:tc>
        <w:tc>
          <w:tcPr>
            <w:tcW w:type="dxa" w:w="1440"/>
            <w:shd w:fill="C6EFCE" w:val="clear"/>
          </w:tcPr>
          <w:p>
            <w:r>
              <w:rPr>
                <w:b/>
                <w:sz w:val="17"/>
              </w:rPr>
              <w:t>1,824</w:t>
            </w:r>
          </w:p>
        </w:tc>
        <w:tc>
          <w:tcPr>
            <w:tcW w:type="dxa" w:w="1440"/>
            <w:shd w:fill="C6EFCE" w:val="clear"/>
          </w:tcPr>
          <w:p>
            <w:r>
              <w:rPr>
                <w:sz w:val="17"/>
              </w:rPr>
              <w:t>1,951</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2026-10-22</w:t>
            </w:r>
          </w:p>
        </w:tc>
        <w:tc>
          <w:tcPr>
            <w:tcW w:type="dxa" w:w="1440"/>
            <w:shd w:fill="C6EFCE" w:val="clear"/>
          </w:tcPr>
          <w:p>
            <w:r>
              <w:rPr>
                <w:sz w:val="17"/>
              </w:rPr>
              <w:t>1,671</w:t>
            </w:r>
          </w:p>
        </w:tc>
        <w:tc>
          <w:tcPr>
            <w:tcW w:type="dxa" w:w="1440"/>
            <w:shd w:fill="C6EFCE" w:val="clear"/>
          </w:tcPr>
          <w:p>
            <w:r>
              <w:rPr>
                <w:b/>
                <w:sz w:val="17"/>
              </w:rPr>
              <w:t>1,828</w:t>
            </w:r>
          </w:p>
        </w:tc>
        <w:tc>
          <w:tcPr>
            <w:tcW w:type="dxa" w:w="1440"/>
            <w:shd w:fill="C6EFCE" w:val="clear"/>
          </w:tcPr>
          <w:p>
            <w:r>
              <w:rPr>
                <w:sz w:val="17"/>
              </w:rPr>
              <w:t>1,984</w:t>
            </w:r>
          </w:p>
        </w:tc>
        <w:tc>
          <w:tcPr>
            <w:tcW w:type="dxa" w:w="1440"/>
            <w:shd w:fill="C6EFCE" w:val="clear"/>
          </w:tcPr>
          <w:p>
            <w:r>
              <w:rPr>
                <w:b/>
                <w:color w:val="008000"/>
                <w:sz w:val="17"/>
              </w:rPr>
              <w:t>+2.7%</w:t>
            </w:r>
          </w:p>
        </w:tc>
      </w:tr>
      <w:tr>
        <w:tc>
          <w:tcPr>
            <w:tcW w:type="dxa" w:w="1440"/>
            <w:shd w:fill="C6EFCE" w:val="clear"/>
          </w:tcPr>
          <w:p>
            <w:r>
              <w:rPr>
                <w:sz w:val="17"/>
              </w:rPr>
              <w:t>J+4  ⭐</w:t>
            </w:r>
          </w:p>
        </w:tc>
        <w:tc>
          <w:tcPr>
            <w:tcW w:type="dxa" w:w="1440"/>
            <w:shd w:fill="C6EFCE" w:val="clear"/>
          </w:tcPr>
          <w:p>
            <w:r>
              <w:rPr>
                <w:sz w:val="17"/>
              </w:rPr>
              <w:t>2026-10-23</w:t>
            </w:r>
          </w:p>
        </w:tc>
        <w:tc>
          <w:tcPr>
            <w:tcW w:type="dxa" w:w="1440"/>
            <w:shd w:fill="C6EFCE" w:val="clear"/>
          </w:tcPr>
          <w:p>
            <w:r>
              <w:rPr>
                <w:sz w:val="17"/>
              </w:rPr>
              <w:t>1,652</w:t>
            </w:r>
          </w:p>
        </w:tc>
        <w:tc>
          <w:tcPr>
            <w:tcW w:type="dxa" w:w="1440"/>
            <w:shd w:fill="C6EFCE" w:val="clear"/>
          </w:tcPr>
          <w:p>
            <w:r>
              <w:rPr>
                <w:b/>
                <w:sz w:val="17"/>
              </w:rPr>
              <w:t>1,833</w:t>
            </w:r>
          </w:p>
        </w:tc>
        <w:tc>
          <w:tcPr>
            <w:tcW w:type="dxa" w:w="1440"/>
            <w:shd w:fill="C6EFCE" w:val="clear"/>
          </w:tcPr>
          <w:p>
            <w:r>
              <w:rPr>
                <w:sz w:val="17"/>
              </w:rPr>
              <w:t>2,015</w:t>
            </w:r>
          </w:p>
        </w:tc>
        <w:tc>
          <w:tcPr>
            <w:tcW w:type="dxa" w:w="1440"/>
            <w:shd w:fill="C6EFCE" w:val="clear"/>
          </w:tcPr>
          <w:p>
            <w:r>
              <w:rPr>
                <w:b/>
                <w:color w:val="008000"/>
                <w:sz w:val="17"/>
              </w:rPr>
              <w:t>+3.0%</w:t>
            </w:r>
          </w:p>
        </w:tc>
      </w:tr>
      <w:tr>
        <w:tc>
          <w:tcPr>
            <w:tcW w:type="dxa" w:w="1440"/>
            <w:shd w:fill="C6EFCE" w:val="clear"/>
          </w:tcPr>
          <w:p>
            <w:r>
              <w:rPr>
                <w:sz w:val="17"/>
              </w:rPr>
              <w:t>J+5  ⭐</w:t>
            </w:r>
          </w:p>
        </w:tc>
        <w:tc>
          <w:tcPr>
            <w:tcW w:type="dxa" w:w="1440"/>
            <w:shd w:fill="C6EFCE" w:val="clear"/>
          </w:tcPr>
          <w:p>
            <w:r>
              <w:rPr>
                <w:sz w:val="17"/>
              </w:rPr>
              <w:t>2026-10-26</w:t>
            </w:r>
          </w:p>
        </w:tc>
        <w:tc>
          <w:tcPr>
            <w:tcW w:type="dxa" w:w="1440"/>
            <w:shd w:fill="C6EFCE" w:val="clear"/>
          </w:tcPr>
          <w:p>
            <w:r>
              <w:rPr>
                <w:sz w:val="17"/>
              </w:rPr>
              <w:t>1,636</w:t>
            </w:r>
          </w:p>
        </w:tc>
        <w:tc>
          <w:tcPr>
            <w:tcW w:type="dxa" w:w="1440"/>
            <w:shd w:fill="C6EFCE" w:val="clear"/>
          </w:tcPr>
          <w:p>
            <w:r>
              <w:rPr>
                <w:b/>
                <w:sz w:val="17"/>
              </w:rPr>
              <w:t>1,840</w:t>
            </w:r>
          </w:p>
        </w:tc>
        <w:tc>
          <w:tcPr>
            <w:tcW w:type="dxa" w:w="1440"/>
            <w:shd w:fill="C6EFCE" w:val="clear"/>
          </w:tcPr>
          <w:p>
            <w:r>
              <w:rPr>
                <w:sz w:val="17"/>
              </w:rPr>
              <w:t>2,043</w:t>
            </w:r>
          </w:p>
        </w:tc>
        <w:tc>
          <w:tcPr>
            <w:tcW w:type="dxa" w:w="1440"/>
            <w:shd w:fill="C6EFCE" w:val="clear"/>
          </w:tcPr>
          <w:p>
            <w:r>
              <w:rPr>
                <w:b/>
                <w:color w:val="008000"/>
                <w:sz w:val="17"/>
              </w:rPr>
              <w:t>+3.3%</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1,622</w:t>
            </w:r>
          </w:p>
        </w:tc>
        <w:tc>
          <w:tcPr>
            <w:tcW w:type="dxa" w:w="1440"/>
            <w:shd w:fill="C6EFCE" w:val="clear"/>
          </w:tcPr>
          <w:p>
            <w:r>
              <w:rPr>
                <w:b/>
                <w:sz w:val="17"/>
              </w:rPr>
              <w:t>1,846</w:t>
            </w:r>
          </w:p>
        </w:tc>
        <w:tc>
          <w:tcPr>
            <w:tcW w:type="dxa" w:w="1440"/>
            <w:shd w:fill="C6EFCE" w:val="clear"/>
          </w:tcPr>
          <w:p>
            <w:r>
              <w:rPr>
                <w:sz w:val="17"/>
              </w:rPr>
              <w:t>2,070</w:t>
            </w:r>
          </w:p>
        </w:tc>
        <w:tc>
          <w:tcPr>
            <w:tcW w:type="dxa" w:w="1440"/>
            <w:shd w:fill="C6EFCE" w:val="clear"/>
          </w:tcPr>
          <w:p>
            <w:r>
              <w:rPr>
                <w:b/>
                <w:color w:val="008000"/>
                <w:sz w:val="17"/>
              </w:rPr>
              <w:t>+3.7%</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1,609</w:t>
            </w:r>
          </w:p>
        </w:tc>
        <w:tc>
          <w:tcPr>
            <w:tcW w:type="dxa" w:w="1440"/>
            <w:shd w:fill="C6EFCE" w:val="clear"/>
          </w:tcPr>
          <w:p>
            <w:r>
              <w:rPr>
                <w:b/>
                <w:sz w:val="17"/>
              </w:rPr>
              <w:t>1,852</w:t>
            </w:r>
          </w:p>
        </w:tc>
        <w:tc>
          <w:tcPr>
            <w:tcW w:type="dxa" w:w="1440"/>
            <w:shd w:fill="C6EFCE" w:val="clear"/>
          </w:tcPr>
          <w:p>
            <w:r>
              <w:rPr>
                <w:sz w:val="17"/>
              </w:rPr>
              <w:t>2,094</w:t>
            </w:r>
          </w:p>
        </w:tc>
        <w:tc>
          <w:tcPr>
            <w:tcW w:type="dxa" w:w="1440"/>
            <w:shd w:fill="C6EFCE" w:val="clear"/>
          </w:tcPr>
          <w:p>
            <w:r>
              <w:rPr>
                <w:b/>
                <w:color w:val="008000"/>
                <w:sz w:val="17"/>
              </w:rPr>
              <w:t>+4.0%</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1,598</w:t>
            </w:r>
          </w:p>
        </w:tc>
        <w:tc>
          <w:tcPr>
            <w:tcW w:type="dxa" w:w="1440"/>
            <w:shd w:fill="C6EFCE" w:val="clear"/>
          </w:tcPr>
          <w:p>
            <w:r>
              <w:rPr>
                <w:b/>
                <w:sz w:val="17"/>
              </w:rPr>
              <w:t>1,858</w:t>
            </w:r>
          </w:p>
        </w:tc>
        <w:tc>
          <w:tcPr>
            <w:tcW w:type="dxa" w:w="1440"/>
            <w:shd w:fill="C6EFCE" w:val="clear"/>
          </w:tcPr>
          <w:p>
            <w:r>
              <w:rPr>
                <w:sz w:val="17"/>
              </w:rPr>
              <w:t>2,118</w:t>
            </w:r>
          </w:p>
        </w:tc>
        <w:tc>
          <w:tcPr>
            <w:tcW w:type="dxa" w:w="1440"/>
            <w:shd w:fill="C6EFCE" w:val="clear"/>
          </w:tcPr>
          <w:p>
            <w:r>
              <w:rPr>
                <w:b/>
                <w:color w:val="008000"/>
                <w:sz w:val="17"/>
              </w:rPr>
              <w:t>+4.4%</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1,587</w:t>
            </w:r>
          </w:p>
        </w:tc>
        <w:tc>
          <w:tcPr>
            <w:tcW w:type="dxa" w:w="1440"/>
            <w:shd w:fill="C6EFCE" w:val="clear"/>
          </w:tcPr>
          <w:p>
            <w:r>
              <w:rPr>
                <w:b/>
                <w:sz w:val="17"/>
              </w:rPr>
              <w:t>1,864</w:t>
            </w:r>
          </w:p>
        </w:tc>
        <w:tc>
          <w:tcPr>
            <w:tcW w:type="dxa" w:w="1440"/>
            <w:shd w:fill="C6EFCE" w:val="clear"/>
          </w:tcPr>
          <w:p>
            <w:r>
              <w:rPr>
                <w:sz w:val="17"/>
              </w:rPr>
              <w:t>2,141</w:t>
            </w:r>
          </w:p>
        </w:tc>
        <w:tc>
          <w:tcPr>
            <w:tcW w:type="dxa" w:w="1440"/>
            <w:shd w:fill="C6EFCE" w:val="clear"/>
          </w:tcPr>
          <w:p>
            <w:r>
              <w:rPr>
                <w:b/>
                <w:color w:val="008000"/>
                <w:sz w:val="17"/>
              </w:rPr>
              <w:t>+4.7%</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1,577</w:t>
            </w:r>
          </w:p>
        </w:tc>
        <w:tc>
          <w:tcPr>
            <w:tcW w:type="dxa" w:w="1440"/>
            <w:shd w:fill="C6EFCE" w:val="clear"/>
          </w:tcPr>
          <w:p>
            <w:r>
              <w:rPr>
                <w:b/>
                <w:sz w:val="17"/>
              </w:rPr>
              <w:t>1,870</w:t>
            </w:r>
          </w:p>
        </w:tc>
        <w:tc>
          <w:tcPr>
            <w:tcW w:type="dxa" w:w="1440"/>
            <w:shd w:fill="C6EFCE" w:val="clear"/>
          </w:tcPr>
          <w:p>
            <w:r>
              <w:rPr>
                <w:sz w:val="17"/>
              </w:rPr>
              <w:t>2,163</w:t>
            </w:r>
          </w:p>
        </w:tc>
        <w:tc>
          <w:tcPr>
            <w:tcW w:type="dxa" w:w="1440"/>
            <w:shd w:fill="C6EFCE" w:val="clear"/>
          </w:tcPr>
          <w:p>
            <w:r>
              <w:rPr>
                <w:b/>
                <w:color w:val="008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 RAPPORT D'ANALYSE FINANCIÈRE — SIVC / ERIUM CÔTE D'IVOIRE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15,55 milliards FCFA, SIVC (désormais ERIUM Côte d'Ivoire) se situe dans la catégorie des capitalisations moyennes de la BRVM, loin des poids lourds du marché mais suffisamment liquide pour intéresser les investisseurs institutionnels régionaux. Le BPA de 21 FCFA par action signifie que chaque titre génère un bénéfice net de 21 FCFA, un niveau modeste qui traduit la faible rentabilité actuelle de l'entreprise. Le PER de 86,7x constitue un signal d'alarme majeur : les investisseurs paient près de 87 fois les bénéfices, soit un multiple environ 8 à 10 fois supérieur à la moyenne BRVM (8-12x), ce qui intègre déjà une anticipation de forte croissance ou révèle une surévaluation manifeste. Le P/B de 6,15x confirme cette prime excessive : le marché valorise l'action plus de six fois sa valeur comptable, alors qu'un ratio supérieur à 4x traduit déjà une valorisation exigeante. Enfin, l'EV/EBITDA de 15,9x, supérieur au seuil de 15x, indique que la valeur d'entreprise (capitalisation + dette nette) représente près de 16 fois la capacité opérationnelle de génération de cash, un niveau très exigeant qui laisse peu de marge d'erreur. L'ensemble de ces ratios dessine une valorisation tendue, incompatible avec la dégradation récente des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SIVC a enregistré une chute vertigineuse de **-38,09%**, avec une dernière séance encore négative de -0,56%, portant le cours à 1 780 FCFA — soit précisément le plus bas de la période, ce qui signifie que le titre clôture au plancher de son range. Le plus haut atteint 2 875 FCFA, créant un range de trading très large de près de 1 100 FCFA (soit plus de 60% d'amplitude), caractéristique d'une tendance baissière marquée et d'une pression vendeuse persistante. Les statistiques descriptives révèlent une distribution quasi symétrique : la moyenne (2 336 FCFA) et la médiane (2 332 FCFA) sont presque confondues, cohérentes avec un skewness de 0,255 (distribution symétrique selon l'interprétation fournie), tandis que le mode à 2 000 FCFA suggère que le cours a longtemps stagné autour de ce palier avant de céder. L'écart-type de 291 FCFA avec un coefficient de variation de 12,4% indique une dispersion modérée autour de la moyenne, mais le kurtosis de -0,665 (mésokurtique, proche d'une distribution normale) signale l'absence de pics extrêmes — le déclin s'est donc opéré de manière progressive plutôt que par chocs violents. La volatilité annualisée de **54,3%** classe clairement le titre dans la catégorie des valeurs à volatilité élevée (&gt;30%), ce qui, combiné à la tendance baissière, expose l'investisseur à un risque de perte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(1 958,75 FCFA) et la MM50 (2 188,0 FCFA) se situent toutes deux nettement au-dessus du cours actuel (1 780 FCFA), avec une MM20 inférieure à la MM50 — configuration baissière typique où les moyennes courtes chutent plus vite que les longues. Le cours évoluant sous ses deux moyennes mobiles, la pression vendeuse domine clairement, justifiant la décision **Vente** des indicateurs.</w:t>
      </w:r>
    </w:p>
    <w:p>
      <w:pPr>
        <w:spacing w:after="120" w:line="276" w:lineRule="auto"/>
      </w:pPr>
      <w:r>
        <w:t>**Bandes de Bollinger** : Le cours (1 780 FCFA) évolue très près de la borne inférieure (1 767,83 FCFA), à seulement 12 FCFA de celle-ci, tandis que la borne supérieure se situe à 2 149,67 FCFA. Cette position quasi-plancher reflète une forte pression baissière, mais la décision **Neutre** suggère que le titre est proche d'une zone de survente technique où un rebond pourrait survenir ; l'écart entre les bornes (382 FCFA) traduit une volatilité encore élevée.</w:t>
      </w:r>
    </w:p>
    <w:p>
      <w:pPr>
        <w:spacing w:after="120" w:line="276" w:lineRule="auto"/>
      </w:pPr>
      <w:r>
        <w:t>**MACD** : Le MACD (-107,88) est inférieur à son signal (-93,95), avec un histogramme négatif d'environ -14 points, confirmant un momentum baissier toujours actif. La divergence négative persistante entre la ligne MACD et sa ligne de signal valide la décision **Vente**, bien que l'ampleur de l'écart suggère un essoufflement progressif de la dynamique baissière.</w:t>
      </w:r>
    </w:p>
    <w:p>
      <w:pPr>
        <w:spacing w:after="120" w:line="276" w:lineRule="auto"/>
      </w:pPr>
      <w:r>
        <w:t>**RSI** : À 30,357, le RSI se situe à la frontière exacte de la zone de survente (seuil 30), justifiant la décision **Neutre**. Cette valeur signale que le titre a été massivement vendu et pourrait amorcer un rebond technique, mais sans franchissement net du seuil, aucun signal d'achat franc n'est encore émis.</w:t>
      </w:r>
    </w:p>
    <w:p>
      <w:pPr>
        <w:spacing w:after="120" w:line="276" w:lineRule="auto"/>
      </w:pPr>
      <w:r>
        <w:t>**Stochastique** : Le %K et le %D sont tous deux à 0,0, un niveau extrême de survente absolue qui traduit un épuisement total de la pression vendeuse à court terme. Cette configuration, bien que rare, justifie la décision **Achat** par anticipation d'un rebond mécanique, mais elle doit être interprétée avec prudence car un stochastique à zéro peut persister dans un marché en chute libre.</w:t>
      </w:r>
    </w:p>
    <w:p>
      <w:pPr>
        <w:spacing w:after="120" w:line="276" w:lineRule="auto"/>
      </w:pPr>
      <w:r>
        <w:t>**Conclusion technique** : Les indicateurs présentent une divergence notable : les moyennes mobiles et le MACD confirment la tendance baissière de fond, tandis que le RSI (30,36) et surtout le stochastique (0,0) signalent une survente extrême propice à un rebond technique à court terme. Les Bandes de Bollinger, avec un cours collé à la borne inférieure, renforcent ce diagnostic de zone de retournement potentiel. La convergence des signaux de survente (RSI + Stochastique + Bollinger) suggère qu'un rebond est techniquement probable, mais la structure baissière des moyennes mobiles limite la portée de ce mouvement — il s'agirait d'un rebond technique et non d'un retournement de tendance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ERIUM Côte d'Ivoire (ex-SIVC) a réalisé un chiffre d'affaires de **10,075 milliards FCFA**, en croissance de **+8,53%** par rapport à 2024 (9,283 Mds FCFA), confirmant une dynamique commerciale réelle portée par les ventes de produits fabriqués (4 419 M FCFA) et les travaux/services (3 345 M FCFA). Cependant, le résultat net s'est effondré à **179,29 millions FCFA**, contre 376,96 millions en 2024, soit une chute de **-52,4%**, ramenant la marge nette de 4,06% à seulement **1,78%**. Le ROE s'établit à **7,10%** (bien en deçà du seuil de 15% considéré comme excellent) et le ROA à **1,23%**, traduisant une rentabilité très faible des actifs. La marge brute reste élevée à 54,30%, mais la marge opérationnelle de 8,60% et surtout la dégradation du résultat financier (passé d'un gain de 316 M FCFA à une perte de -114 M FCFA selon le rapport du 31/12/2025) expliquent cette érosion. **Adaptation au secteur (entreprise industrielle)** : le BFR est négatif à -470,79 M FCFA (favorable selon l'interprétation fournie), mais le fonds de roulement est négatif (-2,132 Mds FCFA) et la trésorerie nette atteint **-1 660,77 M FCFA**, signe de tensions de liquidité persistantes. Les délais d'exploitation sont préoccupants : délai clients de 79,30 jours (risque de trésorerie), durée de stockage de 189,26 jours (immobilisation de capital excessive) et délai fournisseurs de 323,35 jours (avantage trésorerie mais dépendance aux fournisseurs). L'endettement est lourd : ratio d'endettement de 228,41%, autonomie financière de seulement 17,29% (très en deçà du seuil sain de 30%) et capacité de remboursement de 6,64 années de CAF. **Estimations basées sur les rapports trimestriels** : le rapport du S1 2025 (30/06/2025) affichait un CA de 4 897,5 M FCFA (+8,8%) et un résultat net de 512,9 M FCFA (+4,6%), tandis que le rapport du T3 2025 (30/09/2025) montrait un CA cumulé de 7 584,7 M FCFA (+13%) et un résultat net de 832,5 M FCFA (+58%) — ces chiffres intermédiaires semblaient annoncer une année solide, mais le résultat annuel de 179 M FCFA révèle une correction brutale au T4 (probablement des charges exceptionnelles ou dépréciations non anticipées), ce qui jette un doute sur la fiabilité des publications trimestrielles. **Recommandation fondamentale** : la société affiche une croissance commerciale réelle mais une rentabilité en chute libre, un endettement excessif et une trésorerie négative — le profil est fragile, avec un risque de dégradation supplémentaire si la maîtrise des charges n'est pas rétablie.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profondément contradictoire et globalement défavorable. **Valorisation (Partie 0)** : le PER de 86,7x, le P/B de 6,15x et l'EV/EBITDA de 15,9x indiquent une surévaluation manifeste, incompatible avec la chute de 52% du résultat net — le marché n'a pas encore intégré la dégradation fondamentale. **Comportement du cours (Partie 1)** : la chute de -38,09% sur 100 jours, le cours au plus bas de son range (1 780 FCFA) et une volatilité annualisée de 54,3% traduisent une tendance baissière violente, bien que la distribution symétrique (skewness 0,255) et l'absence de pics extrêmes (kurtosis -0,665) suggèrent un déclin ordonné plutôt qu'un krach. **Signaux techniques (Partie 2)** : divergence claire entre la tendance baissière de fond (MM20/MM50 au-dessus du cours, MACD négatif) et les signaux de survente extrême (RSI 30,36, Stochastique 0,0, cours collé à la borne inférieure de Bollinger) — un rebond technique est probable mais ne remet pas en cause la tendance. **Fondamentaux (Partie 3)** : croissance du CA (+8,53%) mais effondrement du résultat net (-52,4%), ROE de 7,10%, trésorerie nette de -1 661 M FCFA et endettement de 228,41% — la solidité financière est compromise. **Prédictions IA (J+1 à J+10)** : la trajectoire projetée (1 825 → 1 840 FCFA, soit +3,4% sur 10 jours) confirme le scénario d'un rebond technique de court terme, cohérent avec la survente des indicateurs, mais reste très modeste au regard de la chute de -38% et ne contredit pas la tendance baissière de fond. **Recommandation finale : VENTE** — la convergence entre une valorisation surévaluée, des fondamentaux en dégradation, une tendance technique baissière et un rebond prédit purement technique (non soutenu par les fondamentaux) plaide pour une réduction de l'exposition. Le niveau de confiance est **Moyen** (les signaux de survente pouvant générer un rebond temporaire) et le niveau de risque global est **Élevé** (volatilité de 54,3%, trésorerie négative, endettement lourd). L'horizon d'investissement recommandé est **court terme** (&lt; 3 mois) pour les investisseurs cherchant à profiter du rebond technique, avec des stops de protection stricts, tandis que les investisseurs de long terme devraient attendre une clarification sur la rentabilité et la structure financière avant tout engagement.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633.66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1,354 titres</w:t>
            </w:r>
          </w:p>
        </w:tc>
        <w:tc>
          <w:tcPr>
            <w:tcW w:type="dxa" w:w="2268"/>
            <w:shd w:fill="FFF2CC" w:val="clear"/>
          </w:tcPr>
          <w:p>
            <w:r>
              <w:rPr>
                <w:b/>
                <w:color w:val="503200"/>
                <w:sz w:val="16"/>
              </w:rPr>
              <w:t xml:space="preserve">Cours actuel : </w:t>
            </w:r>
            <w:r>
              <w:rPr>
                <w:color w:val="000000"/>
                <w:sz w:val="17"/>
              </w:rPr>
              <w:t>38,495 FCFA</w:t>
            </w:r>
          </w:p>
          <w:p>
            <w:r>
              <w:rPr>
                <w:b/>
                <w:color w:val="503200"/>
                <w:sz w:val="16"/>
              </w:rPr>
              <w:t xml:space="preserve">Var. 100 jours : </w:t>
            </w:r>
            <w:r>
              <w:rPr>
                <w:b/>
                <w:color w:val="B40000"/>
                <w:sz w:val="17"/>
              </w:rPr>
              <w:t>-1.16%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2.25% (Faible) — μ=38,281 FCFA, σ=862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β=-0.0389 (Contre-cyclique) — Cov=-0.000003, Var(idx)=0.000077, ρ=-0.022,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582781"/>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38,271</w:t>
            </w:r>
          </w:p>
        </w:tc>
        <w:tc>
          <w:tcPr>
            <w:tcW w:type="dxa" w:w="1440"/>
            <w:shd w:fill="FAFAFA" w:val="clear"/>
          </w:tcPr>
          <w:p>
            <w:r>
              <w:rPr>
                <w:b/>
                <w:sz w:val="17"/>
              </w:rPr>
              <w:t>38,745</w:t>
            </w:r>
          </w:p>
        </w:tc>
        <w:tc>
          <w:tcPr>
            <w:tcW w:type="dxa" w:w="1440"/>
            <w:shd w:fill="FAFAFA" w:val="clear"/>
          </w:tcPr>
          <w:p>
            <w:r>
              <w:rPr>
                <w:sz w:val="17"/>
              </w:rPr>
              <w:t>39,219</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38,192</w:t>
            </w:r>
          </w:p>
        </w:tc>
        <w:tc>
          <w:tcPr>
            <w:tcW w:type="dxa" w:w="1440"/>
            <w:shd w:fill="FAFAFA" w:val="clear"/>
          </w:tcPr>
          <w:p>
            <w:r>
              <w:rPr>
                <w:b/>
                <w:sz w:val="17"/>
              </w:rPr>
              <w:t>38,864</w:t>
            </w:r>
          </w:p>
        </w:tc>
        <w:tc>
          <w:tcPr>
            <w:tcW w:type="dxa" w:w="1440"/>
            <w:shd w:fill="FAFAFA" w:val="clear"/>
          </w:tcPr>
          <w:p>
            <w:r>
              <w:rPr>
                <w:sz w:val="17"/>
              </w:rPr>
              <w:t>39,537</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38,170</w:t>
            </w:r>
          </w:p>
        </w:tc>
        <w:tc>
          <w:tcPr>
            <w:tcW w:type="dxa" w:w="1440"/>
            <w:shd w:fill="FAFAFA" w:val="clear"/>
          </w:tcPr>
          <w:p>
            <w:r>
              <w:rPr>
                <w:b/>
                <w:sz w:val="17"/>
              </w:rPr>
              <w:t>38,997</w:t>
            </w:r>
          </w:p>
        </w:tc>
        <w:tc>
          <w:tcPr>
            <w:tcW w:type="dxa" w:w="1440"/>
            <w:shd w:fill="FAFAFA" w:val="clear"/>
          </w:tcPr>
          <w:p>
            <w:r>
              <w:rPr>
                <w:sz w:val="17"/>
              </w:rPr>
              <w:t>39,823</w:t>
            </w:r>
          </w:p>
        </w:tc>
        <w:tc>
          <w:tcPr>
            <w:tcW w:type="dxa" w:w="1440"/>
            <w:shd w:fill="FAFAFA" w:val="clear"/>
          </w:tcPr>
          <w:p>
            <w:r>
              <w:rPr>
                <w:b/>
                <w:color w:val="008000"/>
                <w:sz w:val="17"/>
              </w:rPr>
              <w:t>+1.3%</w:t>
            </w:r>
          </w:p>
        </w:tc>
      </w:tr>
      <w:tr>
        <w:tc>
          <w:tcPr>
            <w:tcW w:type="dxa" w:w="1440"/>
            <w:shd w:fill="FAFAFA" w:val="clear"/>
          </w:tcPr>
          <w:p>
            <w:r>
              <w:rPr>
                <w:sz w:val="17"/>
              </w:rPr>
              <w:t>J+4  Moyenne</w:t>
            </w:r>
          </w:p>
        </w:tc>
        <w:tc>
          <w:tcPr>
            <w:tcW w:type="dxa" w:w="1440"/>
            <w:shd w:fill="FAFAFA" w:val="clear"/>
          </w:tcPr>
          <w:p>
            <w:r>
              <w:rPr>
                <w:sz w:val="17"/>
              </w:rPr>
              <w:t>2026-10-23</w:t>
            </w:r>
          </w:p>
        </w:tc>
        <w:tc>
          <w:tcPr>
            <w:tcW w:type="dxa" w:w="1440"/>
            <w:shd w:fill="FAFAFA" w:val="clear"/>
          </w:tcPr>
          <w:p>
            <w:r>
              <w:rPr>
                <w:sz w:val="17"/>
              </w:rPr>
              <w:t>38,173</w:t>
            </w:r>
          </w:p>
        </w:tc>
        <w:tc>
          <w:tcPr>
            <w:tcW w:type="dxa" w:w="1440"/>
            <w:shd w:fill="FAFAFA" w:val="clear"/>
          </w:tcPr>
          <w:p>
            <w:r>
              <w:rPr>
                <w:b/>
                <w:sz w:val="17"/>
              </w:rPr>
              <w:t>39,130</w:t>
            </w:r>
          </w:p>
        </w:tc>
        <w:tc>
          <w:tcPr>
            <w:tcW w:type="dxa" w:w="1440"/>
            <w:shd w:fill="FAFAFA" w:val="clear"/>
          </w:tcPr>
          <w:p>
            <w:r>
              <w:rPr>
                <w:sz w:val="17"/>
              </w:rPr>
              <w:t>40,088</w:t>
            </w:r>
          </w:p>
        </w:tc>
        <w:tc>
          <w:tcPr>
            <w:tcW w:type="dxa" w:w="1440"/>
            <w:shd w:fill="FAFAFA" w:val="clear"/>
          </w:tcPr>
          <w:p>
            <w:r>
              <w:rPr>
                <w:b/>
                <w:color w:val="008000"/>
                <w:sz w:val="17"/>
              </w:rPr>
              <w:t>+1.7%</w:t>
            </w:r>
          </w:p>
        </w:tc>
      </w:tr>
      <w:tr>
        <w:tc>
          <w:tcPr>
            <w:tcW w:type="dxa" w:w="1440"/>
            <w:shd w:fill="FAFAFA" w:val="clear"/>
          </w:tcPr>
          <w:p>
            <w:r>
              <w:rPr>
                <w:sz w:val="17"/>
              </w:rPr>
              <w:t>J+5  Moyenne</w:t>
            </w:r>
          </w:p>
        </w:tc>
        <w:tc>
          <w:tcPr>
            <w:tcW w:type="dxa" w:w="1440"/>
            <w:shd w:fill="FAFAFA" w:val="clear"/>
          </w:tcPr>
          <w:p>
            <w:r>
              <w:rPr>
                <w:sz w:val="17"/>
              </w:rPr>
              <w:t>2026-10-26</w:t>
            </w:r>
          </w:p>
        </w:tc>
        <w:tc>
          <w:tcPr>
            <w:tcW w:type="dxa" w:w="1440"/>
            <w:shd w:fill="FAFAFA" w:val="clear"/>
          </w:tcPr>
          <w:p>
            <w:r>
              <w:rPr>
                <w:sz w:val="17"/>
              </w:rPr>
              <w:t>38,188</w:t>
            </w:r>
          </w:p>
        </w:tc>
        <w:tc>
          <w:tcPr>
            <w:tcW w:type="dxa" w:w="1440"/>
            <w:shd w:fill="FAFAFA" w:val="clear"/>
          </w:tcPr>
          <w:p>
            <w:r>
              <w:rPr>
                <w:b/>
                <w:sz w:val="17"/>
              </w:rPr>
              <w:t>39,262</w:t>
            </w:r>
          </w:p>
        </w:tc>
        <w:tc>
          <w:tcPr>
            <w:tcW w:type="dxa" w:w="1440"/>
            <w:shd w:fill="FAFAFA" w:val="clear"/>
          </w:tcPr>
          <w:p>
            <w:r>
              <w:rPr>
                <w:sz w:val="17"/>
              </w:rPr>
              <w:t>40,336</w:t>
            </w:r>
          </w:p>
        </w:tc>
        <w:tc>
          <w:tcPr>
            <w:tcW w:type="dxa" w:w="1440"/>
            <w:shd w:fill="FAFAFA"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2026-10-27</w:t>
            </w:r>
          </w:p>
        </w:tc>
        <w:tc>
          <w:tcPr>
            <w:tcW w:type="dxa" w:w="1440"/>
            <w:shd w:fill="C6EFCE" w:val="clear"/>
          </w:tcPr>
          <w:p>
            <w:r>
              <w:rPr>
                <w:sz w:val="17"/>
              </w:rPr>
              <w:t>38,211</w:t>
            </w:r>
          </w:p>
        </w:tc>
        <w:tc>
          <w:tcPr>
            <w:tcW w:type="dxa" w:w="1440"/>
            <w:shd w:fill="C6EFCE" w:val="clear"/>
          </w:tcPr>
          <w:p>
            <w:r>
              <w:rPr>
                <w:b/>
                <w:sz w:val="17"/>
              </w:rPr>
              <w:t>39,392</w:t>
            </w:r>
          </w:p>
        </w:tc>
        <w:tc>
          <w:tcPr>
            <w:tcW w:type="dxa" w:w="1440"/>
            <w:shd w:fill="C6EFCE" w:val="clear"/>
          </w:tcPr>
          <w:p>
            <w:r>
              <w:rPr>
                <w:sz w:val="17"/>
              </w:rPr>
              <w:t>40,573</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2026-10-28</w:t>
            </w:r>
          </w:p>
        </w:tc>
        <w:tc>
          <w:tcPr>
            <w:tcW w:type="dxa" w:w="1440"/>
            <w:shd w:fill="C6EFCE" w:val="clear"/>
          </w:tcPr>
          <w:p>
            <w:r>
              <w:rPr>
                <w:sz w:val="17"/>
              </w:rPr>
              <w:t>38,240</w:t>
            </w:r>
          </w:p>
        </w:tc>
        <w:tc>
          <w:tcPr>
            <w:tcW w:type="dxa" w:w="1440"/>
            <w:shd w:fill="C6EFCE" w:val="clear"/>
          </w:tcPr>
          <w:p>
            <w:r>
              <w:rPr>
                <w:b/>
                <w:sz w:val="17"/>
              </w:rPr>
              <w:t>39,519</w:t>
            </w:r>
          </w:p>
        </w:tc>
        <w:tc>
          <w:tcPr>
            <w:tcW w:type="dxa" w:w="1440"/>
            <w:shd w:fill="C6EFCE" w:val="clear"/>
          </w:tcPr>
          <w:p>
            <w:r>
              <w:rPr>
                <w:sz w:val="17"/>
              </w:rPr>
              <w:t>40,799</w:t>
            </w:r>
          </w:p>
        </w:tc>
        <w:tc>
          <w:tcPr>
            <w:tcW w:type="dxa" w:w="1440"/>
            <w:shd w:fill="C6EFCE" w:val="clear"/>
          </w:tcPr>
          <w:p>
            <w:r>
              <w:rPr>
                <w:b/>
                <w:color w:val="008000"/>
                <w:sz w:val="17"/>
              </w:rPr>
              <w:t>+2.7%</w:t>
            </w:r>
          </w:p>
        </w:tc>
      </w:tr>
      <w:tr>
        <w:tc>
          <w:tcPr>
            <w:tcW w:type="dxa" w:w="1440"/>
            <w:shd w:fill="C6EFCE" w:val="clear"/>
          </w:tcPr>
          <w:p>
            <w:r>
              <w:rPr>
                <w:sz w:val="17"/>
              </w:rPr>
              <w:t>J+8  Moyenne</w:t>
            </w:r>
          </w:p>
        </w:tc>
        <w:tc>
          <w:tcPr>
            <w:tcW w:type="dxa" w:w="1440"/>
            <w:shd w:fill="C6EFCE" w:val="clear"/>
          </w:tcPr>
          <w:p>
            <w:r>
              <w:rPr>
                <w:sz w:val="17"/>
              </w:rPr>
              <w:t>2026-10-29</w:t>
            </w:r>
          </w:p>
        </w:tc>
        <w:tc>
          <w:tcPr>
            <w:tcW w:type="dxa" w:w="1440"/>
            <w:shd w:fill="C6EFCE" w:val="clear"/>
          </w:tcPr>
          <w:p>
            <w:r>
              <w:rPr>
                <w:sz w:val="17"/>
              </w:rPr>
              <w:t>38,272</w:t>
            </w:r>
          </w:p>
        </w:tc>
        <w:tc>
          <w:tcPr>
            <w:tcW w:type="dxa" w:w="1440"/>
            <w:shd w:fill="C6EFCE" w:val="clear"/>
          </w:tcPr>
          <w:p>
            <w:r>
              <w:rPr>
                <w:b/>
                <w:sz w:val="17"/>
              </w:rPr>
              <w:t>39,645</w:t>
            </w:r>
          </w:p>
        </w:tc>
        <w:tc>
          <w:tcPr>
            <w:tcW w:type="dxa" w:w="1440"/>
            <w:shd w:fill="C6EFCE" w:val="clear"/>
          </w:tcPr>
          <w:p>
            <w:r>
              <w:rPr>
                <w:sz w:val="17"/>
              </w:rPr>
              <w:t>41,017</w:t>
            </w:r>
          </w:p>
        </w:tc>
        <w:tc>
          <w:tcPr>
            <w:tcW w:type="dxa" w:w="1440"/>
            <w:shd w:fill="C6EFCE" w:val="clear"/>
          </w:tcPr>
          <w:p>
            <w:r>
              <w:rPr>
                <w:b/>
                <w:color w:val="008000"/>
                <w:sz w:val="17"/>
              </w:rPr>
              <w:t>+3.0%</w:t>
            </w:r>
          </w:p>
        </w:tc>
      </w:tr>
      <w:tr>
        <w:tc>
          <w:tcPr>
            <w:tcW w:type="dxa" w:w="1440"/>
            <w:shd w:fill="C6EFCE" w:val="clear"/>
          </w:tcPr>
          <w:p>
            <w:r>
              <w:rPr>
                <w:sz w:val="17"/>
              </w:rPr>
              <w:t>J+9  Moyenne</w:t>
            </w:r>
          </w:p>
        </w:tc>
        <w:tc>
          <w:tcPr>
            <w:tcW w:type="dxa" w:w="1440"/>
            <w:shd w:fill="C6EFCE" w:val="clear"/>
          </w:tcPr>
          <w:p>
            <w:r>
              <w:rPr>
                <w:sz w:val="17"/>
              </w:rPr>
              <w:t>2026-10-30</w:t>
            </w:r>
          </w:p>
        </w:tc>
        <w:tc>
          <w:tcPr>
            <w:tcW w:type="dxa" w:w="1440"/>
            <w:shd w:fill="C6EFCE" w:val="clear"/>
          </w:tcPr>
          <w:p>
            <w:r>
              <w:rPr>
                <w:sz w:val="17"/>
              </w:rPr>
              <w:t>38,308</w:t>
            </w:r>
          </w:p>
        </w:tc>
        <w:tc>
          <w:tcPr>
            <w:tcW w:type="dxa" w:w="1440"/>
            <w:shd w:fill="C6EFCE" w:val="clear"/>
          </w:tcPr>
          <w:p>
            <w:r>
              <w:rPr>
                <w:b/>
                <w:sz w:val="17"/>
              </w:rPr>
              <w:t>39,768</w:t>
            </w:r>
          </w:p>
        </w:tc>
        <w:tc>
          <w:tcPr>
            <w:tcW w:type="dxa" w:w="1440"/>
            <w:shd w:fill="C6EFCE" w:val="clear"/>
          </w:tcPr>
          <w:p>
            <w:r>
              <w:rPr>
                <w:sz w:val="17"/>
              </w:rPr>
              <w:t>41,228</w:t>
            </w:r>
          </w:p>
        </w:tc>
        <w:tc>
          <w:tcPr>
            <w:tcW w:type="dxa" w:w="1440"/>
            <w:shd w:fill="C6EFCE" w:val="clear"/>
          </w:tcPr>
          <w:p>
            <w:r>
              <w:rPr>
                <w:b/>
                <w:color w:val="008000"/>
                <w:sz w:val="17"/>
              </w:rPr>
              <w:t>+3.3%</w:t>
            </w:r>
          </w:p>
        </w:tc>
      </w:tr>
      <w:tr>
        <w:tc>
          <w:tcPr>
            <w:tcW w:type="dxa" w:w="1440"/>
            <w:shd w:fill="C6EFCE" w:val="clear"/>
          </w:tcPr>
          <w:p>
            <w:r>
              <w:rPr>
                <w:sz w:val="17"/>
              </w:rPr>
              <w:t>J+10  Moyenne</w:t>
            </w:r>
          </w:p>
        </w:tc>
        <w:tc>
          <w:tcPr>
            <w:tcW w:type="dxa" w:w="1440"/>
            <w:shd w:fill="C6EFCE" w:val="clear"/>
          </w:tcPr>
          <w:p>
            <w:r>
              <w:rPr>
                <w:sz w:val="17"/>
              </w:rPr>
              <w:t>2026-11-02</w:t>
            </w:r>
          </w:p>
        </w:tc>
        <w:tc>
          <w:tcPr>
            <w:tcW w:type="dxa" w:w="1440"/>
            <w:shd w:fill="C6EFCE" w:val="clear"/>
          </w:tcPr>
          <w:p>
            <w:r>
              <w:rPr>
                <w:sz w:val="17"/>
              </w:rPr>
              <w:t>38,345</w:t>
            </w:r>
          </w:p>
        </w:tc>
        <w:tc>
          <w:tcPr>
            <w:tcW w:type="dxa" w:w="1440"/>
            <w:shd w:fill="C6EFCE" w:val="clear"/>
          </w:tcPr>
          <w:p>
            <w:r>
              <w:rPr>
                <w:b/>
                <w:sz w:val="17"/>
              </w:rPr>
              <w:t>39,889</w:t>
            </w:r>
          </w:p>
        </w:tc>
        <w:tc>
          <w:tcPr>
            <w:tcW w:type="dxa" w:w="1440"/>
            <w:shd w:fill="C6EFCE" w:val="clear"/>
          </w:tcPr>
          <w:p>
            <w:r>
              <w:rPr>
                <w:sz w:val="17"/>
              </w:rPr>
              <w:t>41,432</w:t>
            </w:r>
          </w:p>
        </w:tc>
        <w:tc>
          <w:tcPr>
            <w:tcW w:type="dxa" w:w="1440"/>
            <w:shd w:fill="C6EFCE" w:val="clear"/>
          </w:tcPr>
          <w:p>
            <w:r>
              <w:rPr>
                <w:b/>
                <w:color w:val="008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 RAPPORT D'ANALYSE FINANCIÈRE — SLBC (SOLIBRA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633,66 milliards FCFA, SLBC s'affirme comme l'une des plus grandes capitalisations de la BRVM, ce qui témoigne de son statut de valeur phare du compartiment industriel/agroalimentaire régional. Le BPA de 2 781 FCFA par action signifie que chaque titre génère près de 2 800 FCFA de bénéfice net, un niveau élevé qui traduit la forte rentabilité de l'entreprise. Le PER de 13,8x se situe légèrement au-dessus de la moyenne BRVM (8-12x), mais reste modéré au regard de la croissance exceptionnelle des bénéfices (+113% en 2025), ce qui suggère que les investisseurs paient une prime raisonnable pour la qualité et la dynamique de la société. Le P/B de 3,25x indique que le marché valorise l'action à plus de trois fois sa valeur comptable, une prime de croissance justifiée par un ROE de 23,5% nettement supérieur au coût des fonds propres. Enfin, l'EV/EBITDA de 7,5x, dans la fourchette raisonnable de 5-10x, confirme que la valeur d'entreprise reste cohérente avec la capacité opérationnelle de génération de cash-flow,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-1,16%, avec une quasi-stabilité sur la dernière séance (-0,01%), s'établissant à 38 495 FCFA. Le titre a évolué dans un range relativement étroit entre un plus bas de 36 900 FCFA et un plus haut de 41 500 FCFA, soit une amplitude d'environ 12,5%, traduisant une phase de consolidation plutôt qu'une tendance directionnelle marquée. La tendance générale apparaît stable, avec une légère pression baissière sur la période, mais le cours actuel se situe au-dessus de la moyenne (38 281 FCFA) et de la médiane (38 000 FCFA), signe d'une résilience sous-jacente. Les statistiques descriptives révèlent une distribution légèrement asymétrique : la moyenne (38 281 FCFA) dépasse la médiane et le mode (38 000 FCFA), et le skewness positif de 0,751 confirme qu'il y a davantage de journées de cotation sous la moyenne, avec quelques pics haussiers tirant la moyenne vers le haut. L'écart-type de 866 FCFA (CV de seulement 2,3%) indique une dispersion très faible du cours, tandis que le kurtosis de 0,667 (mésokurtique) suggère un comportement proche d'une distribution normale, sans risque extrême de pics. La volatilité annualisée de 24,4% place le titre dans la catégorie des valeurs à volatilité modérée (15-30%), adaptée à un profil d'investisseur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(37 795,75 FCFA) et la MM50 (37 714,20 FCFA) se situent toutes deux en dessous du cours actuel (38 495 FCFA), configurant une structure haussière de court et moyen terme. La MM20 étant légèrement supérieure à la MM50, le croisement confirme un momentum positif, justifiant la décision d'ACHAT.</w:t>
      </w:r>
    </w:p>
    <w:p>
      <w:pPr>
        <w:spacing w:after="120" w:line="276" w:lineRule="auto"/>
      </w:pPr>
      <w:r>
        <w:t>**Bandes de Bollinger** : Le cours (38 495 FCFA) évolue dans la partie haute de la bande, proche de la borne supérieure (38 660,33 FCFA) et nettement au-dessus de la borne inférieure (36 931,17 FCFA). L'écart entre les bornes reste modéré, reflétant une volatilité contenue ; la décision NEUTRE s'explique par la proximité du cours avec la borne haute, limitant le potentiel de hausse immédiat sans signal de retournement.</w:t>
      </w:r>
    </w:p>
    <w:p>
      <w:pPr>
        <w:spacing w:after="120" w:line="276" w:lineRule="auto"/>
      </w:pPr>
      <w:r>
        <w:t>**MACD** : La valeur du MACD (126,588) est très largement supérieure à son signal (1,56), générant un histogramme fortement positif qui traduit un momentum haussier puissant et une accélération de la tendance. Cette divergence positive confirme la décision d'ACHAT et suggère une poursuite de la dynamique favorable.</w:t>
      </w:r>
    </w:p>
    <w:p>
      <w:pPr>
        <w:spacing w:after="120" w:line="276" w:lineRule="auto"/>
      </w:pPr>
      <w:r>
        <w:t>**RSI** : À 59,586, le RSI se situe dans la zone neutre (30-70), sans atteindre la zone de surachat (&gt;70), ce qui indique que le titre conserve un potentiel de hausse sans être techniquement surchauffé. La décision NEUTRE est cohérente avec cette position équilibrée, laissant la porte ouverte à une poursuite modérée du mouvement.</w:t>
      </w:r>
    </w:p>
    <w:p>
      <w:pPr>
        <w:spacing w:after="120" w:line="276" w:lineRule="auto"/>
      </w:pPr>
      <w:r>
        <w:t>**Stochastique** : Le %K (99,667) et le %D (99,889) sont tous deux en zone de surachat extrême, très proches l'un de l'autre, sans croisement baissier confirmé mais à un niveau qui signale un essoufflement imminent de la dynamique haussière. La décision de VENTE traduit ce risque de correction technique à court terme.</w:t>
      </w:r>
    </w:p>
    <w:p>
      <w:pPr>
        <w:spacing w:after="120" w:line="276" w:lineRule="auto"/>
      </w:pPr>
      <w:r>
        <w:t>**Conclusion technique** : Les indicateurs présentent une configuration globalement haussière (MM, MACD) mais avec des signaux de prudence à court terme (Stochastique en surachat, cours proche de la borne haute de Bollinger, RSI neutre). Cette divergence entre momentum de fond (positif) et indicateurs de timing (surachat) suggère un potentiel de consolidation avant une nouvelle impulsion. La convergence des MM et du MACD soutient une tendance haussière de moyen terme, mais le Stochastique invite à la patience pour un point d'entrée optimal.</w:t>
      </w:r>
    </w:p>
    <w:p>
      <w:pPr>
        <w:spacing w:after="120" w:line="276" w:lineRule="auto"/>
      </w:pPr>
      <w:r>
        <w:t>---</w:t>
      </w:r>
    </w:p>
    <w:p>
      <w:pPr>
        <w:spacing w:after="120" w:line="276" w:lineRule="auto"/>
      </w:pPr>
      <w:r>
        <w:t>## PARTIE 3 : ANALYSE FONDAMENTALE</w:t>
      </w:r>
    </w:p>
    <w:p>
      <w:pPr>
        <w:spacing w:after="120" w:line="276" w:lineRule="auto"/>
      </w:pPr>
      <w:r>
        <w:t>Les états financiers de l'exercice 2025 (rapport officiel analysé le 20/05/2026) révèlent une performance exceptionnelle : le chiffre d'affaires s'établit à 378,123 milliards FCFA, en croissance de 22,08% par rapport à 2024, tandis que le résultat net atteint 45,781 milliards FCFA, soit un doublement (+113%) par rapport aux 21,472 milliards de 2024. Cette dynamique se traduit par un ROE remarquable de 23,46% (largement supérieur au seuil de 15% considéré comme excellent) et un ROA de 13,48%, confirmant l'efficacité capitalistique de l'entreprise. La marge nette progresse de 6,9% à 12,11%, et la marge opérationnelle atteint 17,23%, témoignant d'une maîtrise des charges (les charges financières chutent de 55% à 1,931 milliard FCFA grâce au désendettement). Sur le plan de la structure financière, l'autonomie financière de 57,48% et la solvabilité générale de 235,16% attestent d'un bilan très sain, avec une trésorerie nette positive de 22,117 milliards FCFA. Concernant le cycle d'exploitation, le délai clients de 64,27 jours et le délai fournisseurs de 76,82 jours créent une situation favorable (les fournisseurs sont payés plus tard que les clients ne paient), tandis que la durée de stockage de 117,32 jours reste élevée et mérite une surveillance. Le BFR de 61,587 milliards FCFA est positif mais couvert par un fonds de roulement de 83,689 milliards FCFA, assurant une liquidité générale de 195%. Les rapports trimestriels confirment cette dynamique : le T1 2026 (rapport 2026) affiche un CA de 93,46 milliards FCFA (+7,6%) et un résultat net de 16,26 milliards FCFA (+4,8%), avec une marge nette de 17,4%, tandis que le S1 2025 (rapport du 30/06/2025) montrait déjà un résultat net de 28,0 milliards FCFA (+175,1%). Sur cette base, on estime que l'exercice 2026 devrait maintenir une croissance à deux chiffres, avec un résultat net annualisé potentiel de l'ordre de 60-65 milliards FCFA si la dynamique du T1 se poursuit. La politique de dividende est très généreuse : le dividende proposé de 2 127 FCFA par action (35,012 milliards FCFA au total, taux de distribution de 76,5%) offre un rendement attractif d'environ 5,5% au cours actuel. En conclusion, les fondamentaux de SLBC sont exceptionnellement solides, portés par une croissance rentable, un bilan sans stress et une générosité actionnariale, avec des risques limités à la volatilité des matières premières et à la concentration géographique sur le marché ivoirien.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profil d'investissement très favorable. Sur le plan de la **valorisation (Partie 0)**, le PER de 13,8x et le P/B de 3,25x traduisent une valorisation raisonnable, voire légèrement sous-évaluée au regard de la croissance bénéficiaire exceptionnelle, tandis que l'EV/EBITDA de 7,5x confirme l'absence de surévaluation. Le **comportement du cours (Partie 1)** montre une consolidation saine avec une volatilité modérée (24,4%), un skewness positif et un kurtosis normal, sans risque de queue épaisse, ce qui est rassurant pour la stabilité du titre. Les **signaux techniques (Partie 2)** présentent une convergence haussière de fond (MM20/MM50 en support, MACD fortement positif) tempérée par des signaux de surachat à court terme (Stochastique à 99,7), suggérant un potentiel de repli technique limité avant une reprise. Les **fondamentaux (Partie 3)** sont le pilier de la thèse d'investissement : croissance du CA de 22%, doublement du résultat net, ROE de 23,5%, bilan très sain et dividende généreux (rendement ~5,5%), avec des estimations T1 2026 confirmant la poursuite de la dynamique. Les **prédictions IA (J+1 à J+10)** projettent une trajectoire haussière graduelle de 38 745 FCFA à 39 262 FCFA (+2%), ce qui confirme la tendance de fond sans contredire les signaux de prudence à court terme. Sur la base de cette convergence entre valorisation attractive, fondamentaux exceptionnels, technique haussière de moyen terme et prédictions positives, la recommandation finale est **ACHAT**, avec un niveau de confiance **Élevé** et un niveau de risque global **Moyen** (lié à la volatilité des matières premières et à la concentration géographique). L'horizon d'investissement optimal est le **moyen à long terme (6 mois à plus d'un an)**, afin de capter la croissance bénéficiaire et le rendement du dividende, tout en laissant le temps aux indicateurs de surachat de se normaliser pour un point d'entrée plus favorable.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118.45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1,616 titres</w:t>
            </w:r>
          </w:p>
        </w:tc>
        <w:tc>
          <w:tcPr>
            <w:tcW w:type="dxa" w:w="2268"/>
            <w:shd w:fill="FFF2CC" w:val="clear"/>
          </w:tcPr>
          <w:p>
            <w:r>
              <w:rPr>
                <w:b/>
                <w:color w:val="503200"/>
                <w:sz w:val="16"/>
              </w:rPr>
              <w:t xml:space="preserve">Cours actuel : </w:t>
            </w:r>
            <w:r>
              <w:rPr>
                <w:color w:val="000000"/>
                <w:sz w:val="17"/>
              </w:rPr>
              <w:t>15,195 FCFA</w:t>
            </w:r>
          </w:p>
          <w:p>
            <w:r>
              <w:rPr>
                <w:b/>
                <w:color w:val="503200"/>
                <w:sz w:val="16"/>
              </w:rPr>
              <w:t xml:space="preserve">Var. 100 jours : </w:t>
            </w:r>
            <w:r>
              <w:rPr>
                <w:b/>
                <w:color w:val="007800"/>
                <w:sz w:val="17"/>
              </w:rPr>
              <w:t>+13.82%</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13,300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6.97% (Moyenne) — μ=16,290 FCFA, σ=1,136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β=0.3928 (Défensif) — Cov=0.000030, Var(idx)=0.000077, ρ=0.129,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82781"/>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14,528</w:t>
            </w:r>
          </w:p>
        </w:tc>
        <w:tc>
          <w:tcPr>
            <w:tcW w:type="dxa" w:w="1440"/>
            <w:shd w:fill="FAFAFA" w:val="clear"/>
          </w:tcPr>
          <w:p>
            <w:r>
              <w:rPr>
                <w:b/>
                <w:sz w:val="17"/>
              </w:rPr>
              <w:t>15,290</w:t>
            </w:r>
          </w:p>
        </w:tc>
        <w:tc>
          <w:tcPr>
            <w:tcW w:type="dxa" w:w="1440"/>
            <w:shd w:fill="FAFAFA" w:val="clear"/>
          </w:tcPr>
          <w:p>
            <w:r>
              <w:rPr>
                <w:sz w:val="17"/>
              </w:rPr>
              <w:t>16,053</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14,180</w:t>
            </w:r>
          </w:p>
        </w:tc>
        <w:tc>
          <w:tcPr>
            <w:tcW w:type="dxa" w:w="1440"/>
            <w:shd w:fill="FAFAFA" w:val="clear"/>
          </w:tcPr>
          <w:p>
            <w:r>
              <w:rPr>
                <w:b/>
                <w:sz w:val="17"/>
              </w:rPr>
              <w:t>15,256</w:t>
            </w:r>
          </w:p>
        </w:tc>
        <w:tc>
          <w:tcPr>
            <w:tcW w:type="dxa" w:w="1440"/>
            <w:shd w:fill="FAFAFA" w:val="clear"/>
          </w:tcPr>
          <w:p>
            <w:r>
              <w:rPr>
                <w:sz w:val="17"/>
              </w:rPr>
              <w:t>16,333</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13,920</w:t>
            </w:r>
          </w:p>
        </w:tc>
        <w:tc>
          <w:tcPr>
            <w:tcW w:type="dxa" w:w="1440"/>
            <w:shd w:fill="FAFAFA" w:val="clear"/>
          </w:tcPr>
          <w:p>
            <w:r>
              <w:rPr>
                <w:b/>
                <w:sz w:val="17"/>
              </w:rPr>
              <w:t>15,236</w:t>
            </w:r>
          </w:p>
        </w:tc>
        <w:tc>
          <w:tcPr>
            <w:tcW w:type="dxa" w:w="1440"/>
            <w:shd w:fill="FAFAFA" w:val="clear"/>
          </w:tcPr>
          <w:p>
            <w:r>
              <w:rPr>
                <w:sz w:val="17"/>
              </w:rPr>
              <w:t>16,553</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13,696</w:t>
            </w:r>
          </w:p>
        </w:tc>
        <w:tc>
          <w:tcPr>
            <w:tcW w:type="dxa" w:w="1440"/>
            <w:shd w:fill="FAFAFA" w:val="clear"/>
          </w:tcPr>
          <w:p>
            <w:r>
              <w:rPr>
                <w:b/>
                <w:sz w:val="17"/>
              </w:rPr>
              <w:t>15,214</w:t>
            </w:r>
          </w:p>
        </w:tc>
        <w:tc>
          <w:tcPr>
            <w:tcW w:type="dxa" w:w="1440"/>
            <w:shd w:fill="FAFAFA" w:val="clear"/>
          </w:tcPr>
          <w:p>
            <w:r>
              <w:rPr>
                <w:sz w:val="17"/>
              </w:rPr>
              <w:t>16,732</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13,495</w:t>
            </w:r>
          </w:p>
        </w:tc>
        <w:tc>
          <w:tcPr>
            <w:tcW w:type="dxa" w:w="1440"/>
            <w:shd w:fill="FAFAFA" w:val="clear"/>
          </w:tcPr>
          <w:p>
            <w:r>
              <w:rPr>
                <w:b/>
                <w:sz w:val="17"/>
              </w:rPr>
              <w:t>15,190</w:t>
            </w:r>
          </w:p>
        </w:tc>
        <w:tc>
          <w:tcPr>
            <w:tcW w:type="dxa" w:w="1440"/>
            <w:shd w:fill="FAFAFA" w:val="clear"/>
          </w:tcPr>
          <w:p>
            <w:r>
              <w:rPr>
                <w:sz w:val="17"/>
              </w:rPr>
              <w:t>16,885</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13,313</w:t>
            </w:r>
          </w:p>
        </w:tc>
        <w:tc>
          <w:tcPr>
            <w:tcW w:type="dxa" w:w="1440"/>
            <w:shd w:fill="FAFAFA" w:val="clear"/>
          </w:tcPr>
          <w:p>
            <w:r>
              <w:rPr>
                <w:b/>
                <w:sz w:val="17"/>
              </w:rPr>
              <w:t>15,166</w:t>
            </w:r>
          </w:p>
        </w:tc>
        <w:tc>
          <w:tcPr>
            <w:tcW w:type="dxa" w:w="1440"/>
            <w:shd w:fill="FAFAFA" w:val="clear"/>
          </w:tcPr>
          <w:p>
            <w:r>
              <w:rPr>
                <w:sz w:val="17"/>
              </w:rPr>
              <w:t>17,020</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13,144</w:t>
            </w:r>
          </w:p>
        </w:tc>
        <w:tc>
          <w:tcPr>
            <w:tcW w:type="dxa" w:w="1440"/>
            <w:shd w:fill="FAFAFA" w:val="clear"/>
          </w:tcPr>
          <w:p>
            <w:r>
              <w:rPr>
                <w:b/>
                <w:sz w:val="17"/>
              </w:rPr>
              <w:t>15,143</w:t>
            </w:r>
          </w:p>
        </w:tc>
        <w:tc>
          <w:tcPr>
            <w:tcW w:type="dxa" w:w="1440"/>
            <w:shd w:fill="FAFAFA" w:val="clear"/>
          </w:tcPr>
          <w:p>
            <w:r>
              <w:rPr>
                <w:sz w:val="17"/>
              </w:rPr>
              <w:t>17,141</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12,985</w:t>
            </w:r>
          </w:p>
        </w:tc>
        <w:tc>
          <w:tcPr>
            <w:tcW w:type="dxa" w:w="1440"/>
            <w:shd w:fill="FAFAFA" w:val="clear"/>
          </w:tcPr>
          <w:p>
            <w:r>
              <w:rPr>
                <w:b/>
                <w:sz w:val="17"/>
              </w:rPr>
              <w:t>15,119</w:t>
            </w:r>
          </w:p>
        </w:tc>
        <w:tc>
          <w:tcPr>
            <w:tcW w:type="dxa" w:w="1440"/>
            <w:shd w:fill="FAFAFA" w:val="clear"/>
          </w:tcPr>
          <w:p>
            <w:r>
              <w:rPr>
                <w:sz w:val="17"/>
              </w:rPr>
              <w:t>17,253</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12,836</w:t>
            </w:r>
          </w:p>
        </w:tc>
        <w:tc>
          <w:tcPr>
            <w:tcW w:type="dxa" w:w="1440"/>
            <w:shd w:fill="FAFAFA" w:val="clear"/>
          </w:tcPr>
          <w:p>
            <w:r>
              <w:rPr>
                <w:b/>
                <w:sz w:val="17"/>
              </w:rPr>
              <w:t>15,096</w:t>
            </w:r>
          </w:p>
        </w:tc>
        <w:tc>
          <w:tcPr>
            <w:tcW w:type="dxa" w:w="1440"/>
            <w:shd w:fill="FAFAFA" w:val="clear"/>
          </w:tcPr>
          <w:p>
            <w:r>
              <w:rPr>
                <w:sz w:val="17"/>
              </w:rPr>
              <w:t>17,355</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12,694</w:t>
            </w:r>
          </w:p>
        </w:tc>
        <w:tc>
          <w:tcPr>
            <w:tcW w:type="dxa" w:w="1440"/>
            <w:shd w:fill="FAFAFA" w:val="clear"/>
          </w:tcPr>
          <w:p>
            <w:r>
              <w:rPr>
                <w:b/>
                <w:sz w:val="17"/>
              </w:rPr>
              <w:t>15,073</w:t>
            </w:r>
          </w:p>
        </w:tc>
        <w:tc>
          <w:tcPr>
            <w:tcW w:type="dxa" w:w="1440"/>
            <w:shd w:fill="FAFAFA" w:val="clear"/>
          </w:tcPr>
          <w:p>
            <w:r>
              <w:rPr>
                <w:sz w:val="17"/>
              </w:rPr>
              <w:t>17,451</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SMBC affiche une capitalisation boursière de 118,45 milliards FCFA, un niveau intermédiaire à l'échelle de la BRVM qui traduit une société de taille moyenne mais significative dans le compartiment industriel. Le BPA s'établit à 1 677 FCFA par action, ce qui signifie que chaque titre génère près de 1 677 FCFA de bénéfice net annuel. Le PER de 9,1x se situe dans la fourchette basse de la moyenne BRVM (~8-12x), suggérant une valorisation raisonnable voire légèrement sous-évaluée au regard des bénéfices. Le P/B de 2,76x indique que le marché valorise le titre à près de trois fois sa valeur comptable, traduisant une prime de croissance accordée par les investisseurs. Enfin, l'EV/EBITDA de 5,6x, dans la fourchette raisonnable de 5-10x, confirme que la valeur totale de l'entreprise reste cohérente avec sa capacité opérationnelle de génération de résultat.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SMBC a progressé de +13,82%, terminant à 15 195 FCFA, bien que la dernière séance (J-1) ait enregistré un repli de -1,30%. Le titre a évolué dans un range de trading large de 13 300 FCFA (plus bas) à 18 500 FCFA (plus haut), soit un spread de plus de 5 200 FCFA qui témoigne d'une réelle amplitude de négociation. La tendance générale reste haussière sur la période, mais le cours actuel (15 195 FCFA) se situe nettement sous le plus haut, signalant une phase de correction depuis les sommets. Les statistiques descriptives révèlent une moyenne de 16 290 FCFA légèrement supérieure à la médiane de 16 445 FCFA — un écart qui, combiné au mode à 16 500 FCFA, confirme une distribution asymétrique avec le cours actuel en dessous de ces niveaux centraux. L'écart-type de 1 142 FCFA (CV=7,0%) indique une dispersion modérée autour de la moyenne, tandis que le kurtosis de 0,846 (mésokurtique) suggère un comportement proche d'une distribution normale, sans risque extrême de pics. Le skewness de -0,750 (asymétrie négative) indique davantage de journées de hausse au-dessus de la moyenne, mais la volatilité annualisée élevée de 42,2% (&gt;30%) classe le titre dans la catégorie des valeurs à risque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(15 881,25 FCFA) et la MM50 (16 653,80 FCFA) se situent toutes deux au-dessus du cours actuel (15 195 FCFA), configurant une pression baissière de court et moyen terme. La MM20 étant inférieure à la MM50, on observe un croisement baissier (death cross) confirmant la dynamique négative. La décision technique qui en résulte est **Vente**.</w:t>
      </w:r>
    </w:p>
    <w:p>
      <w:pPr>
        <w:spacing w:after="120" w:line="276" w:lineRule="auto"/>
      </w:pPr>
      <w:r>
        <w:t>**Bandes de Bollinger** : Le cours actuel (15 195 FCFA) évolue dans la partie basse de la bande, entre la borne inférieure (14 639,38 FCFA) et la borne supérieure (17 123,12 FCFA), sans atteindre les extrêmes. Cette position médiane-basse traduit une volatilité contenue et une absence de signal directionnel fort, justifiant la décision **Neutre**.</w:t>
      </w:r>
    </w:p>
    <w:p>
      <w:pPr>
        <w:spacing w:after="120" w:line="276" w:lineRule="auto"/>
      </w:pPr>
      <w:r>
        <w:t>**MACD** : La valeur du MACD (-383,548) est inférieure à sa ligne de signal (-306,369), avec un histogramme négatif qui confirme un momentum baissier persistant. La divergence négative entre les deux courbes valide la pression vendeuse en cours, d'où la décision **Vente**.</w:t>
      </w:r>
    </w:p>
    <w:p>
      <w:pPr>
        <w:spacing w:after="120" w:line="276" w:lineRule="auto"/>
      </w:pPr>
      <w:r>
        <w:t>**RSI** : À 32,986, le RSI se situe juste au-dessus du seuil de survente (30), dans une zone neutre basse qui n'indique ni épuisement complet de la baisse ni retournement imminent. La décision est **Neutre**, le titre n'étant pas encore techniquement survendu.</w:t>
      </w:r>
    </w:p>
    <w:p>
      <w:pPr>
        <w:spacing w:after="120" w:line="276" w:lineRule="auto"/>
      </w:pPr>
      <w:r>
        <w:t>**Stochastique** : Les valeurs %K et %D sont toutes deux à 0,0, positionnant le titre en zone de survente extrême. Ce niveau plancher suggère un potentiel de rebond technique à court terme, justifiant la décision **Achat** — signal toutefois isolé et à confirmer.</w:t>
      </w:r>
    </w:p>
    <w:p>
      <w:pPr>
        <w:spacing w:after="120" w:line="276" w:lineRule="auto"/>
      </w:pPr>
      <w:r>
        <w:t>**Conclusion technique** : La configuration technique est majoritairement baissière (MM en death cross, MACD négatif), avec un cours sous ses moyennes mobiles. Le RSI neutre-bas et le stochastique en survente extrême (0,0) suggèrent cependant qu'un rebond technique est possible à court terme, mais celui-ci reste fragile et non confirmé par les autres indicateurs. La convergence des signaux penche vers une **prudence vendeuse** à court terme, avec un potentiel de rebond spéculatif limité.</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SMBC a réalisé un chiffre d'affaires de 206,740 milliards FCFA, en baisse de -9,74% par rapport à 2024, mais a dégagé un résultat net de 13,075 milliards FCFA, en forte progression de +50,3%. Cette performance paradoxale s'explique par une amélioration spectaculaire des marges : la marge nette passe de 3,8% à 6,32%, la marge opérationnelle à 8,62% et la marge brute à 18,11%. Le ROE atteint un niveau excellent de 30,47% (&gt;15%), tandis que le ROA s'établit à 7,26%, confirmant une rentabilité capitalistique solide. La structure financière est saine : autonomie financière de 23,84%, ratio d'endettement de 76,16% (dettes totales/capitaux propres), capacité de remboursement de 0,68 an et couverture des intérêts de 483,4% — autant d'indicateurs rassurants. Le BFR de 1,693 milliard FCFA est contenu, mais les délais d'exploitation sont préoccupants : délai clients de 193,75 jours (risque trésorerie élevé) et délai fournisseurs de 207,07 jours (avantage trésorerie compensateur). La trésorerie nette de 23,988 milliards FCFA et le Free Cash Flow de 20,642 milliards FCFA témoignent d'une génération de cash robuste.</w:t>
      </w:r>
    </w:p>
    <w:p>
      <w:pPr>
        <w:spacing w:after="120" w:line="276" w:lineRule="auto"/>
      </w:pPr>
      <w:r>
        <w:t>**Estimations basées sur les rapports trimestriels** : Le rapport T1 2025 (31 mars 2025) indiquait un CA de 54,8 milliards FCFA (-22%) mais une marge nette en amélioration à 5,0% ; le rapport S1 2025 (30 juin 2025) confirmait la tendance avec un CA de 101,9 milliards (-23%) et un résultat net de 3,9 milliards (-7%) ; le rapport 9M 2025 (30 septembre 2025) montrait un CA cumulé de 155,2 milliards (-14%) et un résultat net de 5,7 milliards (+6%). On estime donc que l'exercice 2025 s'est conclu sur une dynamique de contraction des volumes compensée par l'amélioration des marges de raffinage, confirmée par les états financiers annuels. Le rapport officiel 2025 (analysé par DeepSeek, daté du 12 mai 2026) recommande **CONSERVER**, soulignant la solidité opérationnelle mais alertant sur la baisse du CA et la hausse de l'endettement (+41,9% des dettes financières à 9,204 milliards FCFA). La politique de dividende (5 457 millions FCFA versés, payout de 41,7%) apparaît prudente et soutenable, contrairement au taux de 107,5% observé en 2024.</w:t>
      </w:r>
    </w:p>
    <w:p>
      <w:pPr>
        <w:spacing w:after="120" w:line="276" w:lineRule="auto"/>
      </w:pPr>
      <w:r>
        <w:t>**Recommandation fondamentale** : SMBC présente une **solidité financière réelle** (ROE 30,5%, trésorerie nette de 24 milliards, FCF de 20,6 milliards) portée par une excellence opérationnelle, mais fait face à un **risque structurel de contraction du chiffre d'affaires** (-9,7% en 2025 après -7,5% en 2024) et à une dépendance aux cycles d'investissement public en infrastructures. La recommandation fondamentale est **CONSERVER**, avec un biais positif si la croissance des revenus se stabilise.</w:t>
      </w:r>
    </w:p>
    <w:p>
      <w:pPr>
        <w:spacing w:after="120" w:line="276" w:lineRule="auto"/>
      </w:pPr>
      <w:r>
        <w:t>---</w:t>
      </w:r>
    </w:p>
    <w:p>
      <w:pPr>
        <w:spacing w:after="120" w:line="276" w:lineRule="auto"/>
      </w:pPr>
      <w:r>
        <w:t>## PARTIE 4 : CONCLUSION D'INVESTISSEMENT</w:t>
      </w:r>
    </w:p>
    <w:p>
      <w:pPr>
        <w:spacing w:after="120" w:line="276" w:lineRule="auto"/>
      </w:pPr>
      <w:r>
        <w:t>La valorisation (Partie 0) plaide pour une **sous-évaluation modérée** : PER de 9,1x dans la fourchette basse BRVM, EV/EBITDA de 5,6x raisonnable, mais P/B de 2,76x traduisant une prime de croissance déjà intégrée. Le comportement du cours (Partie 1) est **mitigé** : tendance haussière sur 100 jours (+13,82%) mais correction récente (-1,30% en J-1), cours sous la moyenne et la médiane, volatilité élevée (42,2%) et skewness négatif — des statistiques préoccupantes à court terme. Les signaux techniques (Partie 2) sont **majoritairement baissiers** (death cross MM, MACD négatif), avec un stochastique en survente extrême (0,0) qui n'offre qu'un potentiel de rebond fragile. Les fondamentaux (Partie 3) sont **solides mais contrastés** : ROE excellent (30,5%), trésorerie robuste (24 milliards FCFA), mais CA en contraction (-9,7%) et endettement en hausse. Les prédictions IA (J+1 à J+10) anticipent une **légère dérive baissière** de 15 290 à 15 190 FCFA, confirmant la pression technique sans effondrement.</w:t>
      </w:r>
    </w:p>
    <w:p>
      <w:pPr>
        <w:spacing w:after="120" w:line="276" w:lineRule="auto"/>
      </w:pPr>
      <w:r>
        <w:t>**Synthèse** : On observe une **divergence** entre des fondamentaux de qualité (rentabilité, cash) et une technique baissière avec un cours en correction. La valorisation raisonnable et les prédictions stables-baissières ne justifient ni un achat agressif ni une vente panique.</w:t>
      </w:r>
    </w:p>
    <w:p>
      <w:pPr>
        <w:spacing w:after="120" w:line="276" w:lineRule="auto"/>
      </w:pPr>
      <w:r>
        <w:t>**Recommandation finale : CONSERVER**</w:t>
        <w:br/>
        <w:t>- **Justification** : convergence d'une valorisation correcte, de fondamentaux solides malgré la baisse du CA, et d'une technique baissière à court terme sans signal de retournement confirmé. Le stochastique en survente extrême pourrait offrir un point d'entrée pour les investisseurs déjà positionnés.</w:t>
        <w:br/>
        <w:t>- **Niveau de confiance** : Moyen (divergence technique/fondamental)</w:t>
        <w:br/>
        <w:t>- **Niveau de risque global** : Moyen à Élevé (volatilité 42,2%, dépendance sectorielle)</w:t>
        <w:br/>
        <w:t>- **Horizon optimal** : **Moyen terme (3-12 mois)** — attendre la confirmation de la stabilisation du chiffre d'affaires et un retournement technique (RSI &gt; 40, MACD positif) avant de renforcer. Un passage à **ACHAT** serait justifié si le cours se stabilise au-dessus de 15 500 FCFA avec reprise des volumes et confirmation d'une croissance des revenus au prochain exercice.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4280.00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14,457 titres</w:t>
            </w:r>
          </w:p>
        </w:tc>
        <w:tc>
          <w:tcPr>
            <w:tcW w:type="dxa" w:w="2268"/>
            <w:shd w:fill="FFF2CC" w:val="clear"/>
          </w:tcPr>
          <w:p>
            <w:r>
              <w:rPr>
                <w:b/>
                <w:color w:val="503200"/>
                <w:sz w:val="16"/>
              </w:rPr>
              <w:t xml:space="preserve">Cours actuel : </w:t>
            </w:r>
            <w:r>
              <w:rPr>
                <w:color w:val="000000"/>
                <w:sz w:val="17"/>
              </w:rPr>
              <w:t>42,800 FCFA</w:t>
            </w:r>
          </w:p>
          <w:p>
            <w:r>
              <w:rPr>
                <w:b/>
                <w:color w:val="503200"/>
                <w:sz w:val="16"/>
              </w:rPr>
              <w:t xml:space="preserve">Var. 100 jours : </w:t>
            </w:r>
            <w:r>
              <w:rPr>
                <w:b/>
                <w:color w:val="007800"/>
                <w:sz w:val="17"/>
              </w:rPr>
              <w:t>+51.77%</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28,000 FCFA</w:t>
            </w:r>
          </w:p>
          <w:p>
            <w:r>
              <w:rPr>
                <w:b/>
                <w:color w:val="503200"/>
                <w:sz w:val="16"/>
              </w:rPr>
              <w:t xml:space="preserve">Volatilité ann. : </w:t>
            </w:r>
            <w:r>
              <w:rPr>
                <w:color w:val="000000"/>
                <w:sz w:val="17"/>
              </w:rPr>
              <w:t>31.3%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29.3/100 → Moyen</w:t>
      </w:r>
    </w:p>
    <w:p>
      <w:pPr>
        <w:spacing w:before="40" w:after="80"/>
      </w:pPr>
      <w:r>
        <w:rPr>
          <w:rFonts w:ascii="Courier New" w:hAnsi="Courier New"/>
          <w:color w:val="825A00"/>
          <w:sz w:val="18"/>
        </w:rPr>
        <w:t>█████░░░░░░░░░░░░░░░  29.3/100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16.70% (Élevée) — μ=34,505 FCFA, σ=5,762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β=1.2723 (Agressif) — Cov=0.000098, Var(idx)=0.000077, ρ=0.568,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14,457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582781"/>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2026-10-20</w:t>
            </w:r>
          </w:p>
        </w:tc>
        <w:tc>
          <w:tcPr>
            <w:tcW w:type="dxa" w:w="1440"/>
            <w:shd w:fill="C6EFCE" w:val="clear"/>
          </w:tcPr>
          <w:p>
            <w:r>
              <w:rPr>
                <w:sz w:val="17"/>
              </w:rPr>
              <w:t>42,548</w:t>
            </w:r>
          </w:p>
        </w:tc>
        <w:tc>
          <w:tcPr>
            <w:tcW w:type="dxa" w:w="1440"/>
            <w:shd w:fill="C6EFCE" w:val="clear"/>
          </w:tcPr>
          <w:p>
            <w:r>
              <w:rPr>
                <w:b/>
                <w:sz w:val="17"/>
              </w:rPr>
              <w:t>43,876</w:t>
            </w:r>
          </w:p>
        </w:tc>
        <w:tc>
          <w:tcPr>
            <w:tcW w:type="dxa" w:w="1440"/>
            <w:shd w:fill="C6EFCE" w:val="clear"/>
          </w:tcPr>
          <w:p>
            <w:r>
              <w:rPr>
                <w:sz w:val="17"/>
              </w:rPr>
              <w:t>45,204</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2026-10-21</w:t>
            </w:r>
          </w:p>
        </w:tc>
        <w:tc>
          <w:tcPr>
            <w:tcW w:type="dxa" w:w="1440"/>
            <w:shd w:fill="C6EFCE" w:val="clear"/>
          </w:tcPr>
          <w:p>
            <w:r>
              <w:rPr>
                <w:sz w:val="17"/>
              </w:rPr>
              <w:t>41,953</w:t>
            </w:r>
          </w:p>
        </w:tc>
        <w:tc>
          <w:tcPr>
            <w:tcW w:type="dxa" w:w="1440"/>
            <w:shd w:fill="C6EFCE" w:val="clear"/>
          </w:tcPr>
          <w:p>
            <w:r>
              <w:rPr>
                <w:b/>
                <w:sz w:val="17"/>
              </w:rPr>
              <w:t>43,829</w:t>
            </w:r>
          </w:p>
        </w:tc>
        <w:tc>
          <w:tcPr>
            <w:tcW w:type="dxa" w:w="1440"/>
            <w:shd w:fill="C6EFCE" w:val="clear"/>
          </w:tcPr>
          <w:p>
            <w:r>
              <w:rPr>
                <w:sz w:val="17"/>
              </w:rPr>
              <w:t>45,705</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2026-10-22</w:t>
            </w:r>
          </w:p>
        </w:tc>
        <w:tc>
          <w:tcPr>
            <w:tcW w:type="dxa" w:w="1440"/>
            <w:shd w:fill="C6EFCE" w:val="clear"/>
          </w:tcPr>
          <w:p>
            <w:r>
              <w:rPr>
                <w:sz w:val="17"/>
              </w:rPr>
              <w:t>41,568</w:t>
            </w:r>
          </w:p>
        </w:tc>
        <w:tc>
          <w:tcPr>
            <w:tcW w:type="dxa" w:w="1440"/>
            <w:shd w:fill="C6EFCE" w:val="clear"/>
          </w:tcPr>
          <w:p>
            <w:r>
              <w:rPr>
                <w:b/>
                <w:sz w:val="17"/>
              </w:rPr>
              <w:t>43,867</w:t>
            </w:r>
          </w:p>
        </w:tc>
        <w:tc>
          <w:tcPr>
            <w:tcW w:type="dxa" w:w="1440"/>
            <w:shd w:fill="C6EFCE" w:val="clear"/>
          </w:tcPr>
          <w:p>
            <w:r>
              <w:rPr>
                <w:sz w:val="17"/>
              </w:rPr>
              <w:t>46,167</w:t>
            </w:r>
          </w:p>
        </w:tc>
        <w:tc>
          <w:tcPr>
            <w:tcW w:type="dxa" w:w="1440"/>
            <w:shd w:fill="C6EFCE" w:val="clear"/>
          </w:tcPr>
          <w:p>
            <w:r>
              <w:rPr>
                <w:b/>
                <w:color w:val="008000"/>
                <w:sz w:val="17"/>
              </w:rPr>
              <w:t>+2.5%</w:t>
            </w:r>
          </w:p>
        </w:tc>
      </w:tr>
      <w:tr>
        <w:tc>
          <w:tcPr>
            <w:tcW w:type="dxa" w:w="1440"/>
            <w:shd w:fill="C6EFCE" w:val="clear"/>
          </w:tcPr>
          <w:p>
            <w:r>
              <w:rPr>
                <w:sz w:val="17"/>
              </w:rPr>
              <w:t>J+4  ⭐</w:t>
            </w:r>
          </w:p>
        </w:tc>
        <w:tc>
          <w:tcPr>
            <w:tcW w:type="dxa" w:w="1440"/>
            <w:shd w:fill="C6EFCE" w:val="clear"/>
          </w:tcPr>
          <w:p>
            <w:r>
              <w:rPr>
                <w:sz w:val="17"/>
              </w:rPr>
              <w:t>2026-10-23</w:t>
            </w:r>
          </w:p>
        </w:tc>
        <w:tc>
          <w:tcPr>
            <w:tcW w:type="dxa" w:w="1440"/>
            <w:shd w:fill="C6EFCE" w:val="clear"/>
          </w:tcPr>
          <w:p>
            <w:r>
              <w:rPr>
                <w:sz w:val="17"/>
              </w:rPr>
              <w:t>41,243</w:t>
            </w:r>
          </w:p>
        </w:tc>
        <w:tc>
          <w:tcPr>
            <w:tcW w:type="dxa" w:w="1440"/>
            <w:shd w:fill="C6EFCE" w:val="clear"/>
          </w:tcPr>
          <w:p>
            <w:r>
              <w:rPr>
                <w:b/>
                <w:sz w:val="17"/>
              </w:rPr>
              <w:t>43,900</w:t>
            </w:r>
          </w:p>
        </w:tc>
        <w:tc>
          <w:tcPr>
            <w:tcW w:type="dxa" w:w="1440"/>
            <w:shd w:fill="C6EFCE" w:val="clear"/>
          </w:tcPr>
          <w:p>
            <w:r>
              <w:rPr>
                <w:sz w:val="17"/>
              </w:rPr>
              <w:t>46,557</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2026-10-26</w:t>
            </w:r>
          </w:p>
        </w:tc>
        <w:tc>
          <w:tcPr>
            <w:tcW w:type="dxa" w:w="1440"/>
            <w:shd w:fill="C6EFCE" w:val="clear"/>
          </w:tcPr>
          <w:p>
            <w:r>
              <w:rPr>
                <w:sz w:val="17"/>
              </w:rPr>
              <w:t>40,946</w:t>
            </w:r>
          </w:p>
        </w:tc>
        <w:tc>
          <w:tcPr>
            <w:tcW w:type="dxa" w:w="1440"/>
            <w:shd w:fill="C6EFCE" w:val="clear"/>
          </w:tcPr>
          <w:p>
            <w:r>
              <w:rPr>
                <w:b/>
                <w:sz w:val="17"/>
              </w:rPr>
              <w:t>43,918</w:t>
            </w:r>
          </w:p>
        </w:tc>
        <w:tc>
          <w:tcPr>
            <w:tcW w:type="dxa" w:w="1440"/>
            <w:shd w:fill="C6EFCE" w:val="clear"/>
          </w:tcPr>
          <w:p>
            <w:r>
              <w:rPr>
                <w:sz w:val="17"/>
              </w:rPr>
              <w:t>46,890</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40,671</w:t>
            </w:r>
          </w:p>
        </w:tc>
        <w:tc>
          <w:tcPr>
            <w:tcW w:type="dxa" w:w="1440"/>
            <w:shd w:fill="C6EFCE" w:val="clear"/>
          </w:tcPr>
          <w:p>
            <w:r>
              <w:rPr>
                <w:b/>
                <w:sz w:val="17"/>
              </w:rPr>
              <w:t>43,928</w:t>
            </w:r>
          </w:p>
        </w:tc>
        <w:tc>
          <w:tcPr>
            <w:tcW w:type="dxa" w:w="1440"/>
            <w:shd w:fill="C6EFCE" w:val="clear"/>
          </w:tcPr>
          <w:p>
            <w:r>
              <w:rPr>
                <w:sz w:val="17"/>
              </w:rPr>
              <w:t>47,184</w:t>
            </w:r>
          </w:p>
        </w:tc>
        <w:tc>
          <w:tcPr>
            <w:tcW w:type="dxa" w:w="1440"/>
            <w:shd w:fill="C6EFCE" w:val="clear"/>
          </w:tcPr>
          <w:p>
            <w:r>
              <w:rPr>
                <w:b/>
                <w:color w:val="008000"/>
                <w:sz w:val="17"/>
              </w:rPr>
              <w:t>+2.6%</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40,415</w:t>
            </w:r>
          </w:p>
        </w:tc>
        <w:tc>
          <w:tcPr>
            <w:tcW w:type="dxa" w:w="1440"/>
            <w:shd w:fill="C6EFCE" w:val="clear"/>
          </w:tcPr>
          <w:p>
            <w:r>
              <w:rPr>
                <w:b/>
                <w:sz w:val="17"/>
              </w:rPr>
              <w:t>43,932</w:t>
            </w:r>
          </w:p>
        </w:tc>
        <w:tc>
          <w:tcPr>
            <w:tcW w:type="dxa" w:w="1440"/>
            <w:shd w:fill="C6EFCE" w:val="clear"/>
          </w:tcPr>
          <w:p>
            <w:r>
              <w:rPr>
                <w:sz w:val="17"/>
              </w:rPr>
              <w:t>47,450</w:t>
            </w:r>
          </w:p>
        </w:tc>
        <w:tc>
          <w:tcPr>
            <w:tcW w:type="dxa" w:w="1440"/>
            <w:shd w:fill="C6EFCE" w:val="clear"/>
          </w:tcPr>
          <w:p>
            <w:r>
              <w:rPr>
                <w:b/>
                <w:color w:val="008000"/>
                <w:sz w:val="17"/>
              </w:rPr>
              <w:t>+2.6%</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40,175</w:t>
            </w:r>
          </w:p>
        </w:tc>
        <w:tc>
          <w:tcPr>
            <w:tcW w:type="dxa" w:w="1440"/>
            <w:shd w:fill="C6EFCE" w:val="clear"/>
          </w:tcPr>
          <w:p>
            <w:r>
              <w:rPr>
                <w:b/>
                <w:sz w:val="17"/>
              </w:rPr>
              <w:t>43,936</w:t>
            </w:r>
          </w:p>
        </w:tc>
        <w:tc>
          <w:tcPr>
            <w:tcW w:type="dxa" w:w="1440"/>
            <w:shd w:fill="C6EFCE" w:val="clear"/>
          </w:tcPr>
          <w:p>
            <w:r>
              <w:rPr>
                <w:sz w:val="17"/>
              </w:rPr>
              <w:t>47,696</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39,948</w:t>
            </w:r>
          </w:p>
        </w:tc>
        <w:tc>
          <w:tcPr>
            <w:tcW w:type="dxa" w:w="1440"/>
            <w:shd w:fill="C6EFCE" w:val="clear"/>
          </w:tcPr>
          <w:p>
            <w:r>
              <w:rPr>
                <w:b/>
                <w:sz w:val="17"/>
              </w:rPr>
              <w:t>43,937</w:t>
            </w:r>
          </w:p>
        </w:tc>
        <w:tc>
          <w:tcPr>
            <w:tcW w:type="dxa" w:w="1440"/>
            <w:shd w:fill="C6EFCE" w:val="clear"/>
          </w:tcPr>
          <w:p>
            <w:r>
              <w:rPr>
                <w:sz w:val="17"/>
              </w:rPr>
              <w:t>47,926</w:t>
            </w:r>
          </w:p>
        </w:tc>
        <w:tc>
          <w:tcPr>
            <w:tcW w:type="dxa" w:w="1440"/>
            <w:shd w:fill="C6EFCE" w:val="clear"/>
          </w:tcPr>
          <w:p>
            <w:r>
              <w:rPr>
                <w:b/>
                <w:color w:val="008000"/>
                <w:sz w:val="17"/>
              </w:rPr>
              <w:t>+2.7%</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39,733</w:t>
            </w:r>
          </w:p>
        </w:tc>
        <w:tc>
          <w:tcPr>
            <w:tcW w:type="dxa" w:w="1440"/>
            <w:shd w:fill="C6EFCE" w:val="clear"/>
          </w:tcPr>
          <w:p>
            <w:r>
              <w:rPr>
                <w:b/>
                <w:sz w:val="17"/>
              </w:rPr>
              <w:t>43,938</w:t>
            </w:r>
          </w:p>
        </w:tc>
        <w:tc>
          <w:tcPr>
            <w:tcW w:type="dxa" w:w="1440"/>
            <w:shd w:fill="C6EFCE" w:val="clear"/>
          </w:tcPr>
          <w:p>
            <w:r>
              <w:rPr>
                <w:sz w:val="17"/>
              </w:rPr>
              <w:t>48,143</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SNTS (SONATEL)</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**4 280 Mds FCFA**, Sonatel s'impose comme la première capitalisation de la BRVM, un statut de valeur phare qui justifie une prime de liquidité et de qualité. Le BPA de **4 136 FCFA/action** traduit une forte capacité bénéficiaire par titre, et le PER de **10,3x** situe le titre dans le haut de la fourchette BRVM (~8-12x), soit une valorisation raisonnable mais sans décote excessive. Le P/B de **3,06x** confirme que le marché paie une prime de croissance (2-4x) sur la valeur comptable, cohérente avec un ROE de près de 30%. Enfin, l'**EV/EBITDA de 4,5x** (&lt; 5x) signale une valorisation très attractive de la capacité opérationnelle, suggérant que le marché sous-apprécie la génération de cash-flow par rapport aux comparables.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affiche une progression spectaculaire de **+51,77%**, portée par un cours actuel de **42 800 FCFA**, malgré un repli de **-1,61%** sur la dernière séance. Le range de trading est particulièrement large, entre un plus bas de **28 000 FCFA** et un plus haut de **45 000 FCFA**, illustrant une dynamique haussière puissante mais avec des phases de correction. La moyenne (**34 505 FCFA**) se situe nettement au-dessus de la médiane (**31 998 FCFA**) et du mode (**31 000 FCFA**), confirmant une distribution asymétrique tirée vers le haut par les récents sommets. L'écart-type de **5 791 FCFA** (CV=16,8%) traduit une dispersion modérée du cours, tandis que le kurtosis négatif (**-1,099**, platykurtique) indique une distribution aplatie sans pics extrêmes — un profil de risque relativement lissé. Le skewness positif (**0,603**) révèle toutefois davantage de journées sous la moyenne, signe d'une progression par à-coups. La volatilité annualisée de **31,3%** classe le titre en zone **élevée** (&gt;30%), reflet d'un rallye soutenu mais nerveux.</w:t>
      </w:r>
    </w:p>
    <w:p>
      <w:pPr>
        <w:spacing w:after="120" w:line="276" w:lineRule="auto"/>
      </w:pPr>
      <w:r>
        <w:t>---</w:t>
      </w:r>
    </w:p>
    <w:p>
      <w:pPr>
        <w:spacing w:after="120" w:line="276" w:lineRule="auto"/>
      </w:pPr>
      <w:r>
        <w:t>## PARTIE 2 : ANALYSE TECHNIQUE DÉTAILLÉE</w:t>
      </w:r>
    </w:p>
    <w:p>
      <w:pPr>
        <w:spacing w:after="120" w:line="276" w:lineRule="auto"/>
      </w:pPr>
      <w:r>
        <w:t>**Moyennes Mobiles** : La MM20 (**43 754 FCFA**) et la MM50 (**39 218 FCFA**) se situent toutes deux au-dessus du cours actuel (42 800 FCFA), avec la MM20 légèrement supérieure à la MM50 — configuration haussière de fond. Le cours évolue juste sous la MM20, ce qui traduit une consolidation après le rallye ; la décision **Achat** reflète le maintien de la tendance de fond malgré le repli court terme.</w:t>
      </w:r>
    </w:p>
    <w:p>
      <w:pPr>
        <w:spacing w:after="120" w:line="276" w:lineRule="auto"/>
      </w:pPr>
      <w:r>
        <w:t>**Bandes de Bollinger** : Le cours (42 800 FCFA) évolue dans la moitié inférieure de la bande, entre la borne basse (**41 024,68 FCFA**) et la borne haute (**46 483,32 FCFA**), sans contact avec les extrêmes. Cette position centrale traduit une volatilité en normalisation et une absence de signal directionnel fort ; la décision **Neutre** est cohérente avec cette configuration d'équilibre.</w:t>
      </w:r>
    </w:p>
    <w:p>
      <w:pPr>
        <w:spacing w:after="120" w:line="276" w:lineRule="auto"/>
      </w:pPr>
      <w:r>
        <w:t>**MACD** : La valeur du MACD (**1 330,69**) est inférieure à son signal (**1 794,38**), générant une divergence baissière qui signale un essoufflement du momentum haussier. La décision **Vente** traduit ce ralentissement de la dynamique, à surveiller comme signal de correction à court terme.</w:t>
      </w:r>
    </w:p>
    <w:p>
      <w:pPr>
        <w:spacing w:after="120" w:line="276" w:lineRule="auto"/>
      </w:pPr>
      <w:r>
        <w:t>**RSI** : À **47,66**, l'indicateur se situe en zone strictement neutre (30-70), ni suracheté ni survendu. Cette position médiane confirme l'absence de tension extrême et laisse au titre une marge de manœuvre dans les deux directions ; la décision **Neutre** est pleinement justifiée.</w:t>
      </w:r>
    </w:p>
    <w:p>
      <w:pPr>
        <w:spacing w:after="120" w:line="276" w:lineRule="auto"/>
      </w:pPr>
      <w:r>
        <w:t>**Stochastique** : Le %K (**0,0**) est en position extrême de survente, très en dessous du %D (**27,06**), configuration typique d'un rebond imminent après une phase de correction. La décision **Achat** s'appuie sur ce signal de retournement potentiel à court terme.</w:t>
      </w:r>
    </w:p>
    <w:p>
      <w:pPr>
        <w:spacing w:after="120" w:line="276" w:lineRule="auto"/>
      </w:pPr>
      <w:r>
        <w:t>**Conclusion technique** : Les indicateurs sont **divergents** — les moyennes mobiles et le stochastique plaident pour l'achat, tandis que le MACD signale une vente et que le RSI/Bollinger restent neutres. Cette configuration mixte suggère une phase de consolidation dans une tendance haussière de fond, avec un potentiel rebond technique à court terme mais une prudence sur le momentum. Le titre semble en pause après un rallye de +51%, ce qui est sain.</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états financiers solides : un chiffre d'affaires de **1 923,1 Mds FCFA** (+8,3% vs 2024), un résultat net de **413,6 Mds FCFA** (+5,1%), un ROE de **29,56%** (excellent, &gt;15%) et un ROA de **12,65%**, confirmant une rentabilité de premier ordre. La marge nette de **21,51%** et la marge opérationnelle de **34,83%** témoignent d'une efficacité opérationnelle remarquable, tandis que la marge brute de **67,03%** reflète la structure de coûts favorable du secteur télécom. En tant qu'entreprise, les délais d'exploitation sont bien maîtrisés : délai client de **46,16 jours** (modéré, risque trésorerie limité), délai fournisseur de **201,39 jours** (très favorable à la trésorerie) et durée de stockage de **14,49 jours** (rotation rapide). Le **BFR est négatif à -284,9 Mds FCFA**, un signal très favorable de financement par les fournisseurs, et la trésorerie nette atteint **536,1 Mds FCFA**. L'autonomie financière de **42,79%** (&gt;30%) et la capacité de remboursement de **0,64 an** confirment une structure bilancielle saine, avec une couverture des intérêts de **2 744,7%** (quasi-absence de risque financier). Les rapports trimestriels enrichissent cette lecture : le **S1 2026 (rapport du 27/07/2026)** montre un CA de **1 049,8 Mds FCFA** (+9,3%) et un résultat net de **230 Mds FCFA** (+10,5%), avec un EBITDAAL à **48,7%** du CA et une notation relevée à **AAA (wu)** par GCR Ratings ; le **rapport annuel 2025** confirme un dividende brut de **1 933 FCFA/action** (net 1 740 FCFA, paiement mai 2026), offrant un rendement attractif. **Sur la base du S1 2026 (+9,3% de CA, +10,5% de résultat net), on peut estimer que l'exercice 2026 devrait dépasser les 2 100 Mds FCFA de CA avec un résultat net approchant 450 Mds FCFA**, prolongeant la trajectoire de croissance rentable. Les risques identifiés (pression fiscale/réglementaire, concurrence sur la Data et Orange Money) restent à surveiller mais n'entament pas la solidité fondamentale. **Recommandation fondamentale : très solide, avec des perspectives de croissance confirmées.**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plaide pour une position constructive mais prudente sur SNTS. **Côté valorisation (Partie 0)**, le PER de 10,3x et surtout l'EV/EBITDA de 4,5x indiquent une action raisonnablement valorisée, voire légèrement sous-évaluée sur sa capacité opérationnelle, malgré un P/B de 3,06x justifié par la qualité des fonds propres. **Côté comportement du cours (Partie 1)**, le rallye de +51,77% sur 100 jours, la volatilité élevée (31,3%) et le skewness positif (0,603) suggèrent un titre en forte tendance mais exposé à des consolidations, la distribution platykurtique (-1,099) limitant toutefois le risque de pics extrêmes. **Côté technique (Partie 2)**, les signaux sont divergents : MM haussières et stochastique en survente (achat) contre MACD baissier (vente) et RSI neutre, configuration typique d'une pause dans un trend haussier. **Côté fondamental (Partie 3)**, la solidité est indiscutable : ROE de 29,56%, BFR négatif, trésorerie nette de 536 Mds FCFA, notation AAA et croissance confirmée au S1 2026 (+9,3% CA, +10,5% RN), avec un dividende net de 1 740 FCFA. **Les prédictions IA (J+1 à J+10)** anticipent une stabilisation autour de **43 800-43 900 FCFA**, soit une légère hausse de +2,5% par rapport au cours actuel, confirmant la thèse d'une consolidation avant reprise plutôt que d'un retournement. **Recommandation finale : CONSERVER** (avec biais acheteur sur repli), car la convergence entre fondamentaux excellents, valorisation raisonnable et prédictions légèrement haussières soutient le titre, mais la divergence technique (MACD baissier) et la volatilité élevée invitent à la patience après le rallye. **Niveau de confiance : Moyen** (divergence technique/fondamental), **niveau de risque : Moyen** (volatilité 31,3% mais fondamentaux protecteurs), **horizon optimal : moyen terme (3-12 mois)** pour capturer la croissance 2026 et le dividende, avec un point d'entrée idéal vers 41 000-42 000 FCFA (borne basse de Bollinger).</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162.23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4,940 titres</w:t>
            </w:r>
          </w:p>
        </w:tc>
        <w:tc>
          <w:tcPr>
            <w:tcW w:type="dxa" w:w="2268"/>
            <w:shd w:fill="FFF2CC" w:val="clear"/>
          </w:tcPr>
          <w:p>
            <w:r>
              <w:rPr>
                <w:b/>
                <w:color w:val="503200"/>
                <w:sz w:val="16"/>
              </w:rPr>
              <w:t xml:space="preserve">Cours actuel : </w:t>
            </w:r>
            <w:r>
              <w:rPr>
                <w:color w:val="000000"/>
                <w:sz w:val="17"/>
              </w:rPr>
              <w:t>7,510 FCFA</w:t>
            </w:r>
          </w:p>
          <w:p>
            <w:r>
              <w:rPr>
                <w:b/>
                <w:color w:val="503200"/>
                <w:sz w:val="16"/>
              </w:rPr>
              <w:t xml:space="preserve">Var. 100 jours : </w:t>
            </w:r>
            <w:r>
              <w:rPr>
                <w:b/>
                <w:color w:val="007800"/>
                <w:sz w:val="17"/>
              </w:rPr>
              <w:t>+1.76%</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7,300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3.93% (Faible) — μ=8,109 FCFA, σ=319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β=1.0295 (Neutre (suit le marché)) — Cov=0.000079, Var(idx)=0.000077, ρ=0.344,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85033"/>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58503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7,135</w:t>
            </w:r>
          </w:p>
        </w:tc>
        <w:tc>
          <w:tcPr>
            <w:tcW w:type="dxa" w:w="1440"/>
            <w:shd w:fill="FAFAFA" w:val="clear"/>
          </w:tcPr>
          <w:p>
            <w:r>
              <w:rPr>
                <w:b/>
                <w:sz w:val="17"/>
              </w:rPr>
              <w:t>7,508</w:t>
            </w:r>
          </w:p>
        </w:tc>
        <w:tc>
          <w:tcPr>
            <w:tcW w:type="dxa" w:w="1440"/>
            <w:shd w:fill="FAFAFA" w:val="clear"/>
          </w:tcPr>
          <w:p>
            <w:r>
              <w:rPr>
                <w:sz w:val="17"/>
              </w:rPr>
              <w:t>7,881</w:t>
            </w:r>
          </w:p>
        </w:tc>
        <w:tc>
          <w:tcPr>
            <w:tcW w:type="dxa" w:w="1440"/>
            <w:shd w:fill="FAFAFA" w:val="clear"/>
          </w:tcPr>
          <w:p>
            <w:r>
              <w:rPr>
                <w:b/>
                <w:color w:val="C00000"/>
                <w:sz w:val="17"/>
              </w:rPr>
              <w:t>-0.0%</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6,976</w:t>
            </w:r>
          </w:p>
        </w:tc>
        <w:tc>
          <w:tcPr>
            <w:tcW w:type="dxa" w:w="1440"/>
            <w:shd w:fill="FAFAFA" w:val="clear"/>
          </w:tcPr>
          <w:p>
            <w:r>
              <w:rPr>
                <w:b/>
                <w:sz w:val="17"/>
              </w:rPr>
              <w:t>7,503</w:t>
            </w:r>
          </w:p>
        </w:tc>
        <w:tc>
          <w:tcPr>
            <w:tcW w:type="dxa" w:w="1440"/>
            <w:shd w:fill="FAFAFA" w:val="clear"/>
          </w:tcPr>
          <w:p>
            <w:r>
              <w:rPr>
                <w:sz w:val="17"/>
              </w:rPr>
              <w:t>8,030</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6,851</w:t>
            </w:r>
          </w:p>
        </w:tc>
        <w:tc>
          <w:tcPr>
            <w:tcW w:type="dxa" w:w="1440"/>
            <w:shd w:fill="FAFAFA" w:val="clear"/>
          </w:tcPr>
          <w:p>
            <w:r>
              <w:rPr>
                <w:b/>
                <w:sz w:val="17"/>
              </w:rPr>
              <w:t>7,496</w:t>
            </w:r>
          </w:p>
        </w:tc>
        <w:tc>
          <w:tcPr>
            <w:tcW w:type="dxa" w:w="1440"/>
            <w:shd w:fill="FAFAFA" w:val="clear"/>
          </w:tcPr>
          <w:p>
            <w:r>
              <w:rPr>
                <w:sz w:val="17"/>
              </w:rPr>
              <w:t>8,141</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6,744</w:t>
            </w:r>
          </w:p>
        </w:tc>
        <w:tc>
          <w:tcPr>
            <w:tcW w:type="dxa" w:w="1440"/>
            <w:shd w:fill="FAFAFA" w:val="clear"/>
          </w:tcPr>
          <w:p>
            <w:r>
              <w:rPr>
                <w:b/>
                <w:sz w:val="17"/>
              </w:rPr>
              <w:t>7,488</w:t>
            </w:r>
          </w:p>
        </w:tc>
        <w:tc>
          <w:tcPr>
            <w:tcW w:type="dxa" w:w="1440"/>
            <w:shd w:fill="FAFAFA" w:val="clear"/>
          </w:tcPr>
          <w:p>
            <w:r>
              <w:rPr>
                <w:sz w:val="17"/>
              </w:rPr>
              <w:t>8,232</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6,649</w:t>
            </w:r>
          </w:p>
        </w:tc>
        <w:tc>
          <w:tcPr>
            <w:tcW w:type="dxa" w:w="1440"/>
            <w:shd w:fill="FAFAFA" w:val="clear"/>
          </w:tcPr>
          <w:p>
            <w:r>
              <w:rPr>
                <w:b/>
                <w:sz w:val="17"/>
              </w:rPr>
              <w:t>7,480</w:t>
            </w:r>
          </w:p>
        </w:tc>
        <w:tc>
          <w:tcPr>
            <w:tcW w:type="dxa" w:w="1440"/>
            <w:shd w:fill="FAFAFA" w:val="clear"/>
          </w:tcPr>
          <w:p>
            <w:r>
              <w:rPr>
                <w:sz w:val="17"/>
              </w:rPr>
              <w:t>8,311</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6,563</w:t>
            </w:r>
          </w:p>
        </w:tc>
        <w:tc>
          <w:tcPr>
            <w:tcW w:type="dxa" w:w="1440"/>
            <w:shd w:fill="FAFAFA" w:val="clear"/>
          </w:tcPr>
          <w:p>
            <w:r>
              <w:rPr>
                <w:b/>
                <w:sz w:val="17"/>
              </w:rPr>
              <w:t>7,472</w:t>
            </w:r>
          </w:p>
        </w:tc>
        <w:tc>
          <w:tcPr>
            <w:tcW w:type="dxa" w:w="1440"/>
            <w:shd w:fill="FAFAFA" w:val="clear"/>
          </w:tcPr>
          <w:p>
            <w:r>
              <w:rPr>
                <w:sz w:val="17"/>
              </w:rPr>
              <w:t>8,382</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6,483</w:t>
            </w:r>
          </w:p>
        </w:tc>
        <w:tc>
          <w:tcPr>
            <w:tcW w:type="dxa" w:w="1440"/>
            <w:shd w:fill="FAFAFA" w:val="clear"/>
          </w:tcPr>
          <w:p>
            <w:r>
              <w:rPr>
                <w:b/>
                <w:sz w:val="17"/>
              </w:rPr>
              <w:t>7,465</w:t>
            </w:r>
          </w:p>
        </w:tc>
        <w:tc>
          <w:tcPr>
            <w:tcW w:type="dxa" w:w="1440"/>
            <w:shd w:fill="FAFAFA" w:val="clear"/>
          </w:tcPr>
          <w:p>
            <w:r>
              <w:rPr>
                <w:sz w:val="17"/>
              </w:rPr>
              <w:t>8,446</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6,410</w:t>
            </w:r>
          </w:p>
        </w:tc>
        <w:tc>
          <w:tcPr>
            <w:tcW w:type="dxa" w:w="1440"/>
            <w:shd w:fill="FAFAFA" w:val="clear"/>
          </w:tcPr>
          <w:p>
            <w:r>
              <w:rPr>
                <w:b/>
                <w:sz w:val="17"/>
              </w:rPr>
              <w:t>7,458</w:t>
            </w:r>
          </w:p>
        </w:tc>
        <w:tc>
          <w:tcPr>
            <w:tcW w:type="dxa" w:w="1440"/>
            <w:shd w:fill="FAFAFA" w:val="clear"/>
          </w:tcPr>
          <w:p>
            <w:r>
              <w:rPr>
                <w:sz w:val="17"/>
              </w:rPr>
              <w:t>8,506</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6,341</w:t>
            </w:r>
          </w:p>
        </w:tc>
        <w:tc>
          <w:tcPr>
            <w:tcW w:type="dxa" w:w="1440"/>
            <w:shd w:fill="FAFAFA" w:val="clear"/>
          </w:tcPr>
          <w:p>
            <w:r>
              <w:rPr>
                <w:b/>
                <w:sz w:val="17"/>
              </w:rPr>
              <w:t>7,451</w:t>
            </w:r>
          </w:p>
        </w:tc>
        <w:tc>
          <w:tcPr>
            <w:tcW w:type="dxa" w:w="1440"/>
            <w:shd w:fill="FAFAFA" w:val="clear"/>
          </w:tcPr>
          <w:p>
            <w:r>
              <w:rPr>
                <w:sz w:val="17"/>
              </w:rPr>
              <w:t>8,562</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6,275</w:t>
            </w:r>
          </w:p>
        </w:tc>
        <w:tc>
          <w:tcPr>
            <w:tcW w:type="dxa" w:w="1440"/>
            <w:shd w:fill="FAFAFA" w:val="clear"/>
          </w:tcPr>
          <w:p>
            <w:r>
              <w:rPr>
                <w:b/>
                <w:sz w:val="17"/>
              </w:rPr>
              <w:t>7,445</w:t>
            </w:r>
          </w:p>
        </w:tc>
        <w:tc>
          <w:tcPr>
            <w:tcW w:type="dxa" w:w="1440"/>
            <w:shd w:fill="FAFAFA" w:val="clear"/>
          </w:tcPr>
          <w:p>
            <w:r>
              <w:rPr>
                <w:sz w:val="17"/>
              </w:rPr>
              <w:t>8,615</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(SOGB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162,23 milliards FCFA, un niveau significatif à l'échelle de la BRVM qui positionne le titre parmi les valeurs de premier plan du compartiment agro-industriel. Le BPA de 578 FCFA par action signifie que chaque titre génère près de 578 FCFA de bénéfice net, un niveau de rentabilité par action solide. Le PER de 13,0x traduit une valorisation modérée, légèrement supérieure à la moyenne BRVM (8-12x), ce qui suggère que le marché intègre une prime de qualité sans pour autant surpayer les bénéfices. Le P/B de 2,37x indique que le marché valorise l'action à plus du double de sa valeur comptable, accordant une prime de croissance justifiée par la qualité des actifs et la rentabilité historique (ROE 18,3%). Enfin, l'EV/EBITDA de 6,7x, dans la fourchette raisonnable de 5-10x, montre que la valeur d'entreprise reste cohérente avec la capacité opérationnelle de génération de cash-flow, sans excès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SOGC affiche une variation totale de +1,76%, avec une dernière séance particulièrement dynamique (+1,28% en J-1), portant le cours actuel à 7 510 FCFA. Le titre a évolué dans un range de trading de 1 575 FCFA, entre un plus bas de 7 300 FCFA et un plus haut de 8 875 FCFA, ce qui traduit une tendance globalement baissière depuis les sommets, suivie d'une tentative de stabilisation. Les statistiques descriptives révèlent une moyenne de 8 109 FCFA légèrement supérieure à la médiane de 8 145 FCFA — un écart marginal qui, combiné au mode à 8 100 FCFA, indique une distribution quasi symétrique autour de 8 100-8 150 FCFA. L'écart-type de 320 FCFA avec un coefficient de variation de seulement 3,9% témoigne d'une dispersion très faible du cours, signe d'une certaine stabilité relative malgré la volatilité annualisée. Le kurtosis de 0,196 (mésokurtique) confirme une distribution proche de la normale, sans risque excessif de pics extrêmes, tandis que le skewness de -0,486 (interprété comme symétrique) suggère une légère queue vers les valeurs basses. La volatilité annualisée de 41,5% classe le titre dans la catégorie des valeurs à volatilité élevée (&gt;30%), ce qui est cohérent avec son exposition aux prix des matières premières agricoles.</w:t>
      </w:r>
    </w:p>
    <w:p>
      <w:pPr>
        <w:spacing w:after="120" w:line="276" w:lineRule="auto"/>
      </w:pPr>
      <w:r>
        <w:t>---</w:t>
      </w:r>
    </w:p>
    <w:p>
      <w:pPr>
        <w:spacing w:after="120" w:line="276" w:lineRule="auto"/>
      </w:pPr>
      <w:r>
        <w:t>## PARTIE 2 : ANALYSE TECHNIQUE DÉTAILLÉE</w:t>
      </w:r>
    </w:p>
    <w:p>
      <w:pPr>
        <w:spacing w:after="120" w:line="276" w:lineRule="auto"/>
      </w:pPr>
      <w:r>
        <w:t>**Moyennes Mobiles** : La MM20 (7 793 FCFA) et la MM50 (7 974 FCFA) se situent toutes deux au-dessus du cours actuel (7 510 FCFA), configurant une pression baissière à court et moyen terme. La MM20 étant inférieure à la MM50, la tendance de fond reste descendante, justifiant la décision technique de **Vente** émise par ce signal.</w:t>
      </w:r>
    </w:p>
    <w:p>
      <w:pPr>
        <w:spacing w:after="120" w:line="276" w:lineRule="auto"/>
      </w:pPr>
      <w:r>
        <w:t>**Bandes de Bollinger** : Le cours (7 510 FCFA) évolue dans la partie basse de la bande, entre la borne inférieure (7 371 FCFA) et la borne supérieure (8 215 FCFA), sans atteindre les extrêmes. Cette position intermédiaire, couplée à un resserrement relatif des bandes, traduit une volatilité contenue et justifie la décision **Neutre**, le titre n'étant ni en zone de survente extrême ni en zone de surachat.</w:t>
      </w:r>
    </w:p>
    <w:p>
      <w:pPr>
        <w:spacing w:after="120" w:line="276" w:lineRule="auto"/>
      </w:pPr>
      <w:r>
        <w:t>**MACD** : La valeur du MACD (-101,388) est inférieure à sa ligne de signal (-68,04), confirmant un momentum baissier persistant. L'écart négatif entre les deux lignes indique que la dynamique descendante n'est pas encore inversée, ce qui valide la décision de **Vente** et suggère une prudence sur les achats de court terme.</w:t>
      </w:r>
    </w:p>
    <w:p>
      <w:pPr>
        <w:spacing w:after="120" w:line="276" w:lineRule="auto"/>
      </w:pPr>
      <w:r>
        <w:t>**RSI** : À 47,794, le RSI se situe dans la zone neutre (30-70), sans signal de surachat ni de survente. Cette valeur médiane reflète un équilibre entre acheteurs et vendeurs, justifiant la décision **Neutre** et l'absence de signal directionnel fort à court terme.</w:t>
      </w:r>
    </w:p>
    <w:p>
      <w:pPr>
        <w:spacing w:after="120" w:line="276" w:lineRule="auto"/>
      </w:pPr>
      <w:r>
        <w:t>**Stochastique** : Le %K (13,869) et le %D (11,29) sont tous deux en zone de survente (&lt;20), avec un %K légèrement supérieur au %D suggérant un début de croisement haussier. Cette configuration technique plaide pour un rebond potentiel à court terme et justifie la décision d'**Achat** contrariante, en anticipation d'un retournement.</w:t>
      </w:r>
    </w:p>
    <w:p>
      <w:pPr>
        <w:spacing w:after="120" w:line="276" w:lineRule="auto"/>
      </w:pPr>
      <w:r>
        <w:t>**Conclusion technique** : Les indicateurs présentent une configuration contrastée : les moyennes mobiles et le MACD confirment une tendance baissière de fond (Vente), tandis que le RSI reste neutre et que le stochastique signale une survente propice à un rebond technique (Achat). Les bandes de Bollinger, en position intermédiaire, n'apportent pas de signal directionnel fort. Cette divergence suggère un marché en phase de consolidation, avec un potentiel de rebond à court terme mais une tendance de fond encore fragile — une configuration qui invite à la prudence et à attendre une confirmation de retournement avant tout engagement significatif.</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affiche un chiffre d'affaires de 98,979 milliards FCFA et un résultat net de 12,493 milliards FCFA, en baisse de 5% par rapport à 2024 (13,11 milliards FCFA selon le rapport du 31/12/2024). Le ROE s'établit à 18,26% (excellent, &gt;15%) et le ROA à 13,84%, confirmant une rentabilité capitalistique robuste. La marge nette de 12,62% et la marge opérationnelle de 17,24% restent solides, tandis que la marge brute de 67,93% témoigne d'un pouvoir de négociation élevé. **Adapté au secteur agro-industriel** : le BFR de 7,124 milliards FCFA (positif mais maîtrisé), le délai clients de 29,60 jours (faible risque de trésorerie) et le délai fournisseurs de 31,72 jours (équilibré) traduisent une gestion opérationnelle saine ; en revanche, la durée de stockage de 97,67 jours (élevée) immobilise du capital. La structure financière est très solide : autonomie financière de 75,79%, ratio d'endettement de 24,21%, capacité de remboursement de 0,04 an (quasi nulle) et couverture des intérêts de 25 563% — des niveaux exceptionnels. **Estimations basées sur les rapports trimestriels** : le rapport T1 2025 (31/03/2025) affichait un CA de 31,2 milliards FCFA (+63,1%) et un résultat net de 6,0 milliards FCFA (+262,9%) ; le S1 2025 (30/06/2025) confirmait un CA de 55,4 milliards FCFA (+51,9%) et un résultat net de 10,2 milliards FCFA (+151,6%) ; le cumul 9M 2025 (30/09/2025) montrait un CA de 75,6 milliards FCFA (+21,3%) et un résultat net de 11,5 milliards FCFA (+39,5%), avec un ralentissement net au S2 sous l'effet de la baisse des cours SICOM et de la concurrence accrue sur le coagulum. **Évolution temporelle** : après l'exercice 2024 exceptionnel (CA +20%, résultat net +149%), 2025 marque une normalisation avec un résultat net en repli de 5%, cohérent avec le ralentissement progressif observé trimestre après trimestre. La trésorerie nette s'améliore néanmoins de 3,1 milliards FCFA et le flux opérationnel atteint 22,644 milliards FCFA. **Recommandation fondamentale** : la solidité bilancielle (capitaux propres de 68,43 milliards FCFA, trésorerie nette de 4,575 milliards FCFA) et la générosité du dividende (570 FCFA/action proposé à l'AGO du 28/05/2026, soit un rendement attractif de ~7,6% au cours actuel) constituent des atouts majeurs, mais la dépendance aux prix des matières premières et la pression concurrentielle sur l'approvisionnement en coagulum appellent à la vigilance — recommandation fondamentale : **CONSERVER**.</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dessine un profil nuancé. **Valorisation (Partie 0)** : le PER de 13,0x, légèrement supérieur à la moyenne BRVM, et le P/B de 2,37x indiquent une valorisation raisonnable mais sans décote significative, l'EV/EBITDA de 6,7x confirmant l'absence de surévaluation manifeste. **Comportement du cours (Partie 1)** : la tendance est baissière depuis les sommets (8 875 FCFA), avec une volatilité élevée (41,5%) mais une dispersion quotidienne faible (CV 3,9%) et une distribution quasi normale (kurtosis 0,196, skewness -0,486) — des statistiques rassurantes mais une dynamique de fond préoccupante. **Signaux techniques (Partie 2)** : divergence entre les signaux baissiers (MM, MACD) et le signal d'achat contrariant du stochastique en survente, le RSI neutre et les Bollinger intermédiaires n'apportant pas de confirmation directionnelle — configuration de consolidation sans convergence claire. **Fondamentaux (Partie 3)** : la solidité bilancielle exceptionnelle (autonomie financière 75,79%, ROE 18,26%) et le dividende attractif (570 FCFA/action) compensent la baisse de 5% du résultat net 2025 et le ralentissement du S2, mais les perspectives restent exposées à la volatilité des cours du caoutchouc. **Prédictions IA (J+1 à J+10)** : la trajectoire prédite (7 508 → 7 480 FCFA) anticipe une légère dérive baissière de -0,4% sur 10 jours, cohérente avec la pression des moyennes mobiles et du MACD, mais contredisant le signal de rebond du stochastique. **Recommandation finale : CONSERVER** — la convergence partielle entre valorisation raisonnable, fondamentaux solides et dividende attractif soutient la détention du titre, mais la divergence technique (tendance baissière vs survente) et la prédiction baissière invitent à ne pas renforcer à ce stade. **Niveau de confiance : Moyen** (signaux contradictoires entre technique et fondamental). **Niveau de risque global : Moyen** (volatilité élevée compensée par une structure financière très saine). **Horizon d'investissement optimal : moyen terme (3-12 mois)**, le temps que la normalisation des marges 2025 s'achève et qu'un retournement technique se confirme, avec un point d'entrée plus favorable envisageable vers 7 300-7 400 FCFA (borne inférieure de Bollinger) pour les investisseurs non positionnés.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192.07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4,354 titres</w:t>
            </w:r>
          </w:p>
        </w:tc>
        <w:tc>
          <w:tcPr>
            <w:tcW w:type="dxa" w:w="2268"/>
            <w:shd w:fill="FFF2CC" w:val="clear"/>
          </w:tcPr>
          <w:p>
            <w:r>
              <w:rPr>
                <w:b/>
                <w:color w:val="503200"/>
                <w:sz w:val="16"/>
              </w:rPr>
              <w:t xml:space="preserve">Cours actuel : </w:t>
            </w:r>
            <w:r>
              <w:rPr>
                <w:color w:val="000000"/>
                <w:sz w:val="17"/>
              </w:rPr>
              <w:t>7,515 FCFA</w:t>
            </w:r>
          </w:p>
          <w:p>
            <w:r>
              <w:rPr>
                <w:b/>
                <w:color w:val="503200"/>
                <w:sz w:val="16"/>
              </w:rPr>
              <w:t xml:space="preserve">Var. 100 jours : </w:t>
            </w:r>
            <w:r>
              <w:rPr>
                <w:b/>
                <w:color w:val="007800"/>
                <w:sz w:val="17"/>
              </w:rPr>
              <w:t>+7.43%</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6,950 FCFA</w:t>
            </w:r>
          </w:p>
          <w:p>
            <w:r>
              <w:rPr>
                <w:b/>
                <w:color w:val="503200"/>
                <w:sz w:val="16"/>
              </w:rPr>
              <w:t xml:space="preserve">Volatilité ann. : </w:t>
            </w:r>
            <w:r>
              <w:rPr>
                <w:color w:val="000000"/>
                <w:sz w:val="17"/>
              </w:rPr>
              <w:t>44.6%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8.80% (Moyenne) — μ=7,955 FCFA, σ=700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β=0.8053 (Neutre (suit le marché)) — Cov=0.000062, Var(idx)=0.000077, ρ=0.251,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σ_j=2.81%/j (Stable) — Vol. annualisée≈44.6%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82781"/>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7,168</w:t>
            </w:r>
          </w:p>
        </w:tc>
        <w:tc>
          <w:tcPr>
            <w:tcW w:type="dxa" w:w="1440"/>
            <w:shd w:fill="FAFAFA" w:val="clear"/>
          </w:tcPr>
          <w:p>
            <w:r>
              <w:rPr>
                <w:b/>
                <w:sz w:val="17"/>
              </w:rPr>
              <w:t>7,539</w:t>
            </w:r>
          </w:p>
        </w:tc>
        <w:tc>
          <w:tcPr>
            <w:tcW w:type="dxa" w:w="1440"/>
            <w:shd w:fill="FAFAFA" w:val="clear"/>
          </w:tcPr>
          <w:p>
            <w:r>
              <w:rPr>
                <w:sz w:val="17"/>
              </w:rPr>
              <w:t>7,910</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6,984</w:t>
            </w:r>
          </w:p>
        </w:tc>
        <w:tc>
          <w:tcPr>
            <w:tcW w:type="dxa" w:w="1440"/>
            <w:shd w:fill="FAFAFA" w:val="clear"/>
          </w:tcPr>
          <w:p>
            <w:r>
              <w:rPr>
                <w:b/>
                <w:sz w:val="17"/>
              </w:rPr>
              <w:t>7,506</w:t>
            </w:r>
          </w:p>
        </w:tc>
        <w:tc>
          <w:tcPr>
            <w:tcW w:type="dxa" w:w="1440"/>
            <w:shd w:fill="FAFAFA" w:val="clear"/>
          </w:tcPr>
          <w:p>
            <w:r>
              <w:rPr>
                <w:sz w:val="17"/>
              </w:rPr>
              <w:t>8,029</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6,842</w:t>
            </w:r>
          </w:p>
        </w:tc>
        <w:tc>
          <w:tcPr>
            <w:tcW w:type="dxa" w:w="1440"/>
            <w:shd w:fill="FAFAFA" w:val="clear"/>
          </w:tcPr>
          <w:p>
            <w:r>
              <w:rPr>
                <w:b/>
                <w:sz w:val="17"/>
              </w:rPr>
              <w:t>7,480</w:t>
            </w:r>
          </w:p>
        </w:tc>
        <w:tc>
          <w:tcPr>
            <w:tcW w:type="dxa" w:w="1440"/>
            <w:shd w:fill="FAFAFA" w:val="clear"/>
          </w:tcPr>
          <w:p>
            <w:r>
              <w:rPr>
                <w:sz w:val="17"/>
              </w:rPr>
              <w:t>8,118</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6,720</w:t>
            </w:r>
          </w:p>
        </w:tc>
        <w:tc>
          <w:tcPr>
            <w:tcW w:type="dxa" w:w="1440"/>
            <w:shd w:fill="FAFAFA" w:val="clear"/>
          </w:tcPr>
          <w:p>
            <w:r>
              <w:rPr>
                <w:b/>
                <w:sz w:val="17"/>
              </w:rPr>
              <w:t>7,454</w:t>
            </w:r>
          </w:p>
        </w:tc>
        <w:tc>
          <w:tcPr>
            <w:tcW w:type="dxa" w:w="1440"/>
            <w:shd w:fill="FAFAFA" w:val="clear"/>
          </w:tcPr>
          <w:p>
            <w:r>
              <w:rPr>
                <w:sz w:val="17"/>
              </w:rPr>
              <w:t>8,188</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6,610</w:t>
            </w:r>
          </w:p>
        </w:tc>
        <w:tc>
          <w:tcPr>
            <w:tcW w:type="dxa" w:w="1440"/>
            <w:shd w:fill="FAFAFA" w:val="clear"/>
          </w:tcPr>
          <w:p>
            <w:r>
              <w:rPr>
                <w:b/>
                <w:sz w:val="17"/>
              </w:rPr>
              <w:t>7,428</w:t>
            </w:r>
          </w:p>
        </w:tc>
        <w:tc>
          <w:tcPr>
            <w:tcW w:type="dxa" w:w="1440"/>
            <w:shd w:fill="FAFAFA" w:val="clear"/>
          </w:tcPr>
          <w:p>
            <w:r>
              <w:rPr>
                <w:sz w:val="17"/>
              </w:rPr>
              <w:t>8,246</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6,511</w:t>
            </w:r>
          </w:p>
        </w:tc>
        <w:tc>
          <w:tcPr>
            <w:tcW w:type="dxa" w:w="1440"/>
            <w:shd w:fill="FAFAFA" w:val="clear"/>
          </w:tcPr>
          <w:p>
            <w:r>
              <w:rPr>
                <w:b/>
                <w:sz w:val="17"/>
              </w:rPr>
              <w:t>7,403</w:t>
            </w:r>
          </w:p>
        </w:tc>
        <w:tc>
          <w:tcPr>
            <w:tcW w:type="dxa" w:w="1440"/>
            <w:shd w:fill="FAFAFA" w:val="clear"/>
          </w:tcPr>
          <w:p>
            <w:r>
              <w:rPr>
                <w:sz w:val="17"/>
              </w:rPr>
              <w:t>8,296</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6,418</w:t>
            </w:r>
          </w:p>
        </w:tc>
        <w:tc>
          <w:tcPr>
            <w:tcW w:type="dxa" w:w="1440"/>
            <w:shd w:fill="FAFAFA" w:val="clear"/>
          </w:tcPr>
          <w:p>
            <w:r>
              <w:rPr>
                <w:b/>
                <w:sz w:val="17"/>
              </w:rPr>
              <w:t>7,380</w:t>
            </w:r>
          </w:p>
        </w:tc>
        <w:tc>
          <w:tcPr>
            <w:tcW w:type="dxa" w:w="1440"/>
            <w:shd w:fill="FAFAFA" w:val="clear"/>
          </w:tcPr>
          <w:p>
            <w:r>
              <w:rPr>
                <w:sz w:val="17"/>
              </w:rPr>
              <w:t>8,341</w:t>
            </w:r>
          </w:p>
        </w:tc>
        <w:tc>
          <w:tcPr>
            <w:tcW w:type="dxa" w:w="1440"/>
            <w:shd w:fill="FAFAFA" w:val="clear"/>
          </w:tcPr>
          <w:p>
            <w:r>
              <w:rPr>
                <w:b/>
                <w:color w:val="C00000"/>
                <w:sz w:val="17"/>
              </w:rPr>
              <w:t>-1.8%</w:t>
            </w:r>
          </w:p>
        </w:tc>
      </w:tr>
      <w:tr>
        <w:tc>
          <w:tcPr>
            <w:tcW w:type="dxa" w:w="1440"/>
            <w:shd w:fill="FFDCE0" w:val="clear"/>
          </w:tcPr>
          <w:p>
            <w:r>
              <w:rPr>
                <w:sz w:val="17"/>
              </w:rPr>
              <w:t>J+8  ⭐</w:t>
            </w:r>
          </w:p>
        </w:tc>
        <w:tc>
          <w:tcPr>
            <w:tcW w:type="dxa" w:w="1440"/>
            <w:shd w:fill="FFDCE0" w:val="clear"/>
          </w:tcPr>
          <w:p>
            <w:r>
              <w:rPr>
                <w:sz w:val="17"/>
              </w:rPr>
              <w:t>2026-10-29</w:t>
            </w:r>
          </w:p>
        </w:tc>
        <w:tc>
          <w:tcPr>
            <w:tcW w:type="dxa" w:w="1440"/>
            <w:shd w:fill="FFDCE0" w:val="clear"/>
          </w:tcPr>
          <w:p>
            <w:r>
              <w:rPr>
                <w:sz w:val="17"/>
              </w:rPr>
              <w:t>6,332</w:t>
            </w:r>
          </w:p>
        </w:tc>
        <w:tc>
          <w:tcPr>
            <w:tcW w:type="dxa" w:w="1440"/>
            <w:shd w:fill="FFDCE0" w:val="clear"/>
          </w:tcPr>
          <w:p>
            <w:r>
              <w:rPr>
                <w:b/>
                <w:sz w:val="17"/>
              </w:rPr>
              <w:t>7,357</w:t>
            </w:r>
          </w:p>
        </w:tc>
        <w:tc>
          <w:tcPr>
            <w:tcW w:type="dxa" w:w="1440"/>
            <w:shd w:fill="FFDCE0" w:val="clear"/>
          </w:tcPr>
          <w:p>
            <w:r>
              <w:rPr>
                <w:sz w:val="17"/>
              </w:rPr>
              <w:t>8,381</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2026-10-30</w:t>
            </w:r>
          </w:p>
        </w:tc>
        <w:tc>
          <w:tcPr>
            <w:tcW w:type="dxa" w:w="1440"/>
            <w:shd w:fill="FFDCE0" w:val="clear"/>
          </w:tcPr>
          <w:p>
            <w:r>
              <w:rPr>
                <w:sz w:val="17"/>
              </w:rPr>
              <w:t>6,251</w:t>
            </w:r>
          </w:p>
        </w:tc>
        <w:tc>
          <w:tcPr>
            <w:tcW w:type="dxa" w:w="1440"/>
            <w:shd w:fill="FFDCE0" w:val="clear"/>
          </w:tcPr>
          <w:p>
            <w:r>
              <w:rPr>
                <w:b/>
                <w:sz w:val="17"/>
              </w:rPr>
              <w:t>7,335</w:t>
            </w:r>
          </w:p>
        </w:tc>
        <w:tc>
          <w:tcPr>
            <w:tcW w:type="dxa" w:w="1440"/>
            <w:shd w:fill="FFDCE0" w:val="clear"/>
          </w:tcPr>
          <w:p>
            <w:r>
              <w:rPr>
                <w:sz w:val="17"/>
              </w:rPr>
              <w:t>8,418</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2026-11-02</w:t>
            </w:r>
          </w:p>
        </w:tc>
        <w:tc>
          <w:tcPr>
            <w:tcW w:type="dxa" w:w="1440"/>
            <w:shd w:fill="FFDCE0" w:val="clear"/>
          </w:tcPr>
          <w:p>
            <w:r>
              <w:rPr>
                <w:sz w:val="17"/>
              </w:rPr>
              <w:t>6,175</w:t>
            </w:r>
          </w:p>
        </w:tc>
        <w:tc>
          <w:tcPr>
            <w:tcW w:type="dxa" w:w="1440"/>
            <w:shd w:fill="FFDCE0" w:val="clear"/>
          </w:tcPr>
          <w:p>
            <w:r>
              <w:rPr>
                <w:b/>
                <w:sz w:val="17"/>
              </w:rPr>
              <w:t>7,313</w:t>
            </w:r>
          </w:p>
        </w:tc>
        <w:tc>
          <w:tcPr>
            <w:tcW w:type="dxa" w:w="1440"/>
            <w:shd w:fill="FFDCE0" w:val="clear"/>
          </w:tcPr>
          <w:p>
            <w:r>
              <w:rPr>
                <w:sz w:val="17"/>
              </w:rPr>
              <w:t>8,452</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 RAPPORT D'ANALYSE FINANCIÈRE — SPHC (SAPH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192,07 milliards FCFA, SPHC s'affirme comme une valeur de premier plan du compartiment agro-industriel de la BRVM, portée par un BPA de 977 FCFA par action qui traduit la capacité bénéficiaire réelle de l'entreprise. Le PER de 7,7x situe le titre nettement sous la moyenne historique du marché BRVM (8-12x), signalant une potentielle sous-évaluation aux yeux des investisseurs. Le ratio P/B de 1,39x — dans la fourchette raisonnable de 1-2x — indique que le marché valorise l'action légèrement au-dessus de sa valeur comptable, sans excès spéculatif. Enfin, l'EV/EBITDA de 4,9x, inférieur au seuil de 5x, confirme que la valeur d'entreprise rapportée à la capacité opérationnelle brute demeure très attractive, renforçant le diagnostic d'un titre bon marché sur ses fondamentaux opérationnels.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variation totale positive de +7,43%, bien que la dernière séance (J-1) se soit soldée par un repli de -1,12%, ramenant le cours à 7 515 FCFA. Le range de trading s'établit entre un plus bas de 6 950 FCFA et un plus haut de 10 300 FCFA, soit une amplitude de près de 48% qui témoigne d'une forte agitation sur la période. La tendance générale demeure haussière mais fragile, le cours actuel se situant sous sa moyenne (7 955 FCFA) et sous sa médiane (7 685 FCFA), ce qui traduit une distribution asymétrique : le skewness positif de 1,703 confirme que les journées sous la moyenne sont plus fréquentes, avec quelques pics haussiers isolés tirant la moyenne vers le haut. L'écart-type de 704 FCFA avec un coefficient de variation de 8,8% indique une dispersion modérée autour de la moyenne, mais le kurtosis de 2,244 (leptokurtique) signale des queues épaisses, donc un risque de pics de volatilité brutaux. La volatilité annualisée de 44,6% classe clairement SPHC dans la catégorie des titres à volatilité élevée (&gt;30%), exigeant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(7 808 FCFA) et la MM50 (8 364,8 FCFA) se situent toutes deux au-dessus du cours actuel (7 515 FCFA), avec une MM20 inférieure à la MM50 — configuration baissière caractéristique. Le cours évoluant sous ses deux moyennes, la pression vendeuse domine et justifie la décision technique de **Vente**.</w:t>
      </w:r>
    </w:p>
    <w:p>
      <w:pPr>
        <w:spacing w:after="120" w:line="276" w:lineRule="auto"/>
      </w:pPr>
      <w:r>
        <w:t>**Bandes de Bollinger** : Le cours (7 515 FCFA) se situe dans la moitié inférieure de la bande, entre la borne inférieure (7 444,36 FCFA) et la borne supérieure (8 171,64 FCFA), tout en restant proche du support inférieur. Cette position traduit une volatilité contenue mais une orientation baissière, justifiant la décision **Neutre** avec un biais prudent.</w:t>
      </w:r>
    </w:p>
    <w:p>
      <w:pPr>
        <w:spacing w:after="120" w:line="276" w:lineRule="auto"/>
      </w:pPr>
      <w:r>
        <w:t>**MACD** : La valeur du MACD (-171,25) est inférieure à sa ligne de signal (-157,53), confirmant une divergence négative et un momentum baissier persistant. L'histogramme négatif indique que la pression vendeuse n'est pas encore résorbée, justifiant la décision de **Vente**.</w:t>
      </w:r>
    </w:p>
    <w:p>
      <w:pPr>
        <w:spacing w:after="120" w:line="276" w:lineRule="auto"/>
      </w:pPr>
      <w:r>
        <w:t>**RSI** : À 46,32, le RSI se situe en zone neutre (entre 30 et 70), sans signal de surachat ni de survente. Le titre n'est ni épuisé à la baisse ni en excès à la hausse, ce qui justifie la décision **Neutre** et suggère une absence de catalyseur technique immédiat.</w:t>
      </w:r>
    </w:p>
    <w:p>
      <w:pPr>
        <w:spacing w:after="120" w:line="276" w:lineRule="auto"/>
      </w:pPr>
      <w:r>
        <w:t>**Stochastique** : Le %K à 0,0 (extrême bas) contre un %D à 19,53 place l'indicateur en zone de survente marquée, avec un croisement potentiel du %K sous le %D. Cette configuration signale un possible rebond technique à court terme, justifiant la décision d'**Achat** contrarienne.</w:t>
      </w:r>
    </w:p>
    <w:p>
      <w:pPr>
        <w:spacing w:after="120" w:line="276" w:lineRule="auto"/>
      </w:pPr>
      <w:r>
        <w:t>**Conclusion technique** : Les indicateurs présentent une divergence notable : les moyennes mobiles et le MACD confirment une tendance baissière de fond, tandis que le stochastique en survente extrême et le RSI neutre suggèrent un potentiel rebond à court terme. Les Bandes de Bollinger maintiennent le cours près du support inférieur, offrant un point d'entrée spéculatif mais risqué. La configuration globale reste baissière à moyen terme, avec une fenêtre de rebond technique possible mais non confirmée — prudence recommandée avant tout engagement.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340,831 milliards FCFA, en croissance de 21,97% par rapport à 2024 (279,44 Mds FCFA selon le rapport Mistral du 20/03/2026), pour un résultat net de 24,972 milliards FCFA. La rentabilité est solide avec un ROE de 18,10% (excellent, &gt;15%) et un ROA de 11,06%, tandis que la marge nette s'établit à 7,33% et la marge opérationnelle à 11,19%. La structure financière est saine : autonomie financière de 61,08%, ratio d'endettement maîtrisé à 25,81%, et couverture des intérêts exceptionnelle à 1 094,57%. **Adapté au secteur ENTREPRISE** : le BFR ressort à 65,389 Mds FCFA (positif, donc consommateur de trésorerie), avec un délai client de 35 jours (modéré) et une durée de stockage élevée de 72,33 jours immobilisant du capital ; la trésorerie nette est négative à -15,413 Mds FCFA, point de vigilance récurrent. **Estimations issues des rapports trimestriels** : le rapport T1 2026 (Rapport 4, 2026) révèle un net coup de frein — CA de 71,8 Mds FCFA (-24%), résultat net de 2,633 Mds FCFA (-78%) et marge nette réduite à 4%, pénalisés par la chute des cours mondiaux et l'engorgement du port de San Pedro. Toutefois, le rapport du 30/09/2026 (analyse Gemini-Vision du 17/10/2026) montre un **redressement spectaculaire au T3** : le résultat net cumulé à 9 mois atteint 9,703 Mds FCFA, dépassant déjà l'objectif budgétaire annuel de 10,67 Mds FCFA, porté par la hausse des cours TSR20 (+20% sur un an). On estime donc que l'exercice 2026 devrait dépasser les prévisions initiales malgré un premier semestre difficile. La politique de dividende est généreuse (489 FCFA brut/action proposé à l'AG du 09/04/2026, soit 12,50 Mds FCFA, taux de distribution de 50,1%). **Recommandation fondamentale** : solidité bilancielle confirmée, rentabilité historiquement élevée mais cyclique, avec un net rebond attendu au T4 2026 — profil de valeur agro-industrielle robuste mais exposée à la volatilité des cours du caoutchouc.</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 les ratios PER (7,7x), P/B (1,39x) et EV/EBITDA (4,9x) plaident clairement pour une sous-évaluation du titre sur ses fondamentaux opérationnels. **Comportement du cours** : la tendance haussière de +7,43% sur 100 jours masque une distribution asymétrique (skewness 1,703) et une volatilité élevée (44,6%) avec risque de pics (kurtosis 2,244), ce qui appelle à la prudence. **Signaux techniques** : divergence entre indicateurs baissiers (MM, MACD) et signaux de rebond (stochastique en survente, RSI neutre), sans convergence claire — configuration attentiste. **Fondamentaux** : exercice 2025 solide (ROE 18,1%, CA +22%) mais T1 2026 très dégradé (-78% de résultat net), compensé par un T3 2026 en fort redressement qui laisse présager un dépassement de l'objectif annuel. **Prédictions IA** : la trajectoire projetée (7 539 → 7 428 FCFA sur J+1 à J+10) confirme le biais baissier de court terme, en cohérence avec les signaux techniques négatifs. Face à cette convergence partielle — sous-évaluation fondamentale et rebond attendu au T4 contre pression technique baissière de court terme — la recommandation finale est **CONSERVER**, avec un niveau de confiance **Moyen** et un risque global **Élevé** (volatilité 44,6%, cyclicité sectorielle, trésorerie négative). L'horizon optimal est le **moyen terme (3-12 mois)**, le temps que le redressement opérationnel du T3/T4 2026 se matérialise dans les résultats annuels et que la sous-évaluation soit reconnue par le marché ; un renforcement pourra être envisagé sur repli vers 7 200-7 400 FCFA si le support tient.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6,339 titres</w:t>
            </w:r>
          </w:p>
        </w:tc>
        <w:tc>
          <w:tcPr>
            <w:tcW w:type="dxa" w:w="2268"/>
            <w:shd w:fill="FFF2CC" w:val="clear"/>
          </w:tcPr>
          <w:p>
            <w:r>
              <w:rPr>
                <w:b/>
                <w:color w:val="503200"/>
                <w:sz w:val="16"/>
              </w:rPr>
              <w:t xml:space="preserve">Cours actuel : </w:t>
            </w:r>
            <w:r>
              <w:rPr>
                <w:color w:val="000000"/>
                <w:sz w:val="17"/>
              </w:rPr>
              <w:t>2,020 FCFA</w:t>
            </w:r>
          </w:p>
          <w:p>
            <w:r>
              <w:rPr>
                <w:b/>
                <w:color w:val="503200"/>
                <w:sz w:val="16"/>
              </w:rPr>
              <w:t xml:space="preserve">Var. 100 jours : </w:t>
            </w:r>
            <w:r>
              <w:rPr>
                <w:b/>
                <w:color w:val="B40000"/>
                <w:sz w:val="17"/>
              </w:rPr>
              <w:t>-29.98%</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1,905 FCFA</w:t>
            </w:r>
          </w:p>
          <w:p>
            <w:r>
              <w:rPr>
                <w:b/>
                <w:color w:val="503200"/>
                <w:sz w:val="16"/>
              </w:rPr>
              <w:t xml:space="preserve">Volatilité ann. : </w:t>
            </w:r>
            <w:r>
              <w:rPr>
                <w:color w:val="000000"/>
                <w:sz w:val="17"/>
              </w:rPr>
              <w:t>59.1%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17.04% (Élevée) — μ=2,786 FCFA, σ=475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β=0.0025 (Défensif) — Cov=0.000000, Var(idx)=0.000077, ρ=0.001,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σ_j=3.73%/j (Modérée) — Vol. annualisée≈59.1%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85033"/>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58503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1,891</w:t>
            </w:r>
          </w:p>
        </w:tc>
        <w:tc>
          <w:tcPr>
            <w:tcW w:type="dxa" w:w="1440"/>
            <w:shd w:fill="FAFAFA" w:val="clear"/>
          </w:tcPr>
          <w:p>
            <w:r>
              <w:rPr>
                <w:b/>
                <w:sz w:val="17"/>
              </w:rPr>
              <w:t>2,038</w:t>
            </w:r>
          </w:p>
        </w:tc>
        <w:tc>
          <w:tcPr>
            <w:tcW w:type="dxa" w:w="1440"/>
            <w:shd w:fill="FAFAFA" w:val="clear"/>
          </w:tcPr>
          <w:p>
            <w:r>
              <w:rPr>
                <w:sz w:val="17"/>
              </w:rPr>
              <w:t>2,185</w:t>
            </w:r>
          </w:p>
        </w:tc>
        <w:tc>
          <w:tcPr>
            <w:tcW w:type="dxa" w:w="1440"/>
            <w:shd w:fill="FAFAFA" w:val="clear"/>
          </w:tcPr>
          <w:p>
            <w:r>
              <w:rPr>
                <w:b/>
                <w:color w:val="008000"/>
                <w:sz w:val="17"/>
              </w:rPr>
              <w:t>+0.9%</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1,843</w:t>
            </w:r>
          </w:p>
        </w:tc>
        <w:tc>
          <w:tcPr>
            <w:tcW w:type="dxa" w:w="1440"/>
            <w:shd w:fill="FAFAFA" w:val="clear"/>
          </w:tcPr>
          <w:p>
            <w:r>
              <w:rPr>
                <w:b/>
                <w:sz w:val="17"/>
              </w:rPr>
              <w:t>2,052</w:t>
            </w:r>
          </w:p>
        </w:tc>
        <w:tc>
          <w:tcPr>
            <w:tcW w:type="dxa" w:w="1440"/>
            <w:shd w:fill="FAFAFA" w:val="clear"/>
          </w:tcPr>
          <w:p>
            <w:r>
              <w:rPr>
                <w:sz w:val="17"/>
              </w:rPr>
              <w:t>2,262</w:t>
            </w:r>
          </w:p>
        </w:tc>
        <w:tc>
          <w:tcPr>
            <w:tcW w:type="dxa" w:w="1440"/>
            <w:shd w:fill="FAFAFA" w:val="clear"/>
          </w:tcPr>
          <w:p>
            <w:r>
              <w:rPr>
                <w:b/>
                <w:color w:val="008000"/>
                <w:sz w:val="17"/>
              </w:rPr>
              <w:t>+1.6%</w:t>
            </w:r>
          </w:p>
        </w:tc>
      </w:tr>
      <w:tr>
        <w:tc>
          <w:tcPr>
            <w:tcW w:type="dxa" w:w="1440"/>
            <w:shd w:fill="C6EFCE" w:val="clear"/>
          </w:tcPr>
          <w:p>
            <w:r>
              <w:rPr>
                <w:sz w:val="17"/>
              </w:rPr>
              <w:t>J+3  Moyenne</w:t>
            </w:r>
          </w:p>
        </w:tc>
        <w:tc>
          <w:tcPr>
            <w:tcW w:type="dxa" w:w="1440"/>
            <w:shd w:fill="C6EFCE" w:val="clear"/>
          </w:tcPr>
          <w:p>
            <w:r>
              <w:rPr>
                <w:sz w:val="17"/>
              </w:rPr>
              <w:t>2026-10-22</w:t>
            </w:r>
          </w:p>
        </w:tc>
        <w:tc>
          <w:tcPr>
            <w:tcW w:type="dxa" w:w="1440"/>
            <w:shd w:fill="C6EFCE" w:val="clear"/>
          </w:tcPr>
          <w:p>
            <w:r>
              <w:rPr>
                <w:sz w:val="17"/>
              </w:rPr>
              <w:t>1,804</w:t>
            </w:r>
          </w:p>
        </w:tc>
        <w:tc>
          <w:tcPr>
            <w:tcW w:type="dxa" w:w="1440"/>
            <w:shd w:fill="C6EFCE" w:val="clear"/>
          </w:tcPr>
          <w:p>
            <w:r>
              <w:rPr>
                <w:b/>
                <w:sz w:val="17"/>
              </w:rPr>
              <w:t>2,062</w:t>
            </w:r>
          </w:p>
        </w:tc>
        <w:tc>
          <w:tcPr>
            <w:tcW w:type="dxa" w:w="1440"/>
            <w:shd w:fill="C6EFCE" w:val="clear"/>
          </w:tcPr>
          <w:p>
            <w:r>
              <w:rPr>
                <w:sz w:val="17"/>
              </w:rPr>
              <w:t>2,319</w:t>
            </w:r>
          </w:p>
        </w:tc>
        <w:tc>
          <w:tcPr>
            <w:tcW w:type="dxa" w:w="1440"/>
            <w:shd w:fill="C6EFCE" w:val="clear"/>
          </w:tcPr>
          <w:p>
            <w:r>
              <w:rPr>
                <w:b/>
                <w:color w:val="008000"/>
                <w:sz w:val="17"/>
              </w:rPr>
              <w:t>+2.1%</w:t>
            </w:r>
          </w:p>
        </w:tc>
      </w:tr>
      <w:tr>
        <w:tc>
          <w:tcPr>
            <w:tcW w:type="dxa" w:w="1440"/>
            <w:shd w:fill="C6EFCE" w:val="clear"/>
          </w:tcPr>
          <w:p>
            <w:r>
              <w:rPr>
                <w:sz w:val="17"/>
              </w:rPr>
              <w:t>J+4  ⭐</w:t>
            </w:r>
          </w:p>
        </w:tc>
        <w:tc>
          <w:tcPr>
            <w:tcW w:type="dxa" w:w="1440"/>
            <w:shd w:fill="C6EFCE" w:val="clear"/>
          </w:tcPr>
          <w:p>
            <w:r>
              <w:rPr>
                <w:sz w:val="17"/>
              </w:rPr>
              <w:t>2026-10-23</w:t>
            </w:r>
          </w:p>
        </w:tc>
        <w:tc>
          <w:tcPr>
            <w:tcW w:type="dxa" w:w="1440"/>
            <w:shd w:fill="C6EFCE" w:val="clear"/>
          </w:tcPr>
          <w:p>
            <w:r>
              <w:rPr>
                <w:sz w:val="17"/>
              </w:rPr>
              <w:t>1,770</w:t>
            </w:r>
          </w:p>
        </w:tc>
        <w:tc>
          <w:tcPr>
            <w:tcW w:type="dxa" w:w="1440"/>
            <w:shd w:fill="C6EFCE" w:val="clear"/>
          </w:tcPr>
          <w:p>
            <w:r>
              <w:rPr>
                <w:b/>
                <w:sz w:val="17"/>
              </w:rPr>
              <w:t>2,068</w:t>
            </w:r>
          </w:p>
        </w:tc>
        <w:tc>
          <w:tcPr>
            <w:tcW w:type="dxa" w:w="1440"/>
            <w:shd w:fill="C6EFCE" w:val="clear"/>
          </w:tcPr>
          <w:p>
            <w:r>
              <w:rPr>
                <w:sz w:val="17"/>
              </w:rPr>
              <w:t>2,366</w:t>
            </w:r>
          </w:p>
        </w:tc>
        <w:tc>
          <w:tcPr>
            <w:tcW w:type="dxa" w:w="1440"/>
            <w:shd w:fill="C6EFCE" w:val="clear"/>
          </w:tcPr>
          <w:p>
            <w:r>
              <w:rPr>
                <w:b/>
                <w:color w:val="008000"/>
                <w:sz w:val="17"/>
              </w:rPr>
              <w:t>+2.4%</w:t>
            </w:r>
          </w:p>
        </w:tc>
      </w:tr>
      <w:tr>
        <w:tc>
          <w:tcPr>
            <w:tcW w:type="dxa" w:w="1440"/>
            <w:shd w:fill="C6EFCE" w:val="clear"/>
          </w:tcPr>
          <w:p>
            <w:r>
              <w:rPr>
                <w:sz w:val="17"/>
              </w:rPr>
              <w:t>J+5  ⭐</w:t>
            </w:r>
          </w:p>
        </w:tc>
        <w:tc>
          <w:tcPr>
            <w:tcW w:type="dxa" w:w="1440"/>
            <w:shd w:fill="C6EFCE" w:val="clear"/>
          </w:tcPr>
          <w:p>
            <w:r>
              <w:rPr>
                <w:sz w:val="17"/>
              </w:rPr>
              <w:t>2026-10-26</w:t>
            </w:r>
          </w:p>
        </w:tc>
        <w:tc>
          <w:tcPr>
            <w:tcW w:type="dxa" w:w="1440"/>
            <w:shd w:fill="C6EFCE" w:val="clear"/>
          </w:tcPr>
          <w:p>
            <w:r>
              <w:rPr>
                <w:sz w:val="17"/>
              </w:rPr>
              <w:t>1,739</w:t>
            </w:r>
          </w:p>
        </w:tc>
        <w:tc>
          <w:tcPr>
            <w:tcW w:type="dxa" w:w="1440"/>
            <w:shd w:fill="C6EFCE" w:val="clear"/>
          </w:tcPr>
          <w:p>
            <w:r>
              <w:rPr>
                <w:b/>
                <w:sz w:val="17"/>
              </w:rPr>
              <w:t>2,073</w:t>
            </w:r>
          </w:p>
        </w:tc>
        <w:tc>
          <w:tcPr>
            <w:tcW w:type="dxa" w:w="1440"/>
            <w:shd w:fill="C6EFCE" w:val="clear"/>
          </w:tcPr>
          <w:p>
            <w:r>
              <w:rPr>
                <w:sz w:val="17"/>
              </w:rPr>
              <w:t>2,407</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1,710</w:t>
            </w:r>
          </w:p>
        </w:tc>
        <w:tc>
          <w:tcPr>
            <w:tcW w:type="dxa" w:w="1440"/>
            <w:shd w:fill="C6EFCE" w:val="clear"/>
          </w:tcPr>
          <w:p>
            <w:r>
              <w:rPr>
                <w:b/>
                <w:sz w:val="17"/>
              </w:rPr>
              <w:t>2,077</w:t>
            </w:r>
          </w:p>
        </w:tc>
        <w:tc>
          <w:tcPr>
            <w:tcW w:type="dxa" w:w="1440"/>
            <w:shd w:fill="C6EFCE" w:val="clear"/>
          </w:tcPr>
          <w:p>
            <w:r>
              <w:rPr>
                <w:sz w:val="17"/>
              </w:rPr>
              <w:t>2,444</w:t>
            </w:r>
          </w:p>
        </w:tc>
        <w:tc>
          <w:tcPr>
            <w:tcW w:type="dxa" w:w="1440"/>
            <w:shd w:fill="C6EFCE" w:val="clear"/>
          </w:tcPr>
          <w:p>
            <w:r>
              <w:rPr>
                <w:b/>
                <w:color w:val="008000"/>
                <w:sz w:val="17"/>
              </w:rPr>
              <w:t>+2.8%</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1,684</w:t>
            </w:r>
          </w:p>
        </w:tc>
        <w:tc>
          <w:tcPr>
            <w:tcW w:type="dxa" w:w="1440"/>
            <w:shd w:fill="C6EFCE" w:val="clear"/>
          </w:tcPr>
          <w:p>
            <w:r>
              <w:rPr>
                <w:b/>
                <w:sz w:val="17"/>
              </w:rPr>
              <w:t>2,081</w:t>
            </w:r>
          </w:p>
        </w:tc>
        <w:tc>
          <w:tcPr>
            <w:tcW w:type="dxa" w:w="1440"/>
            <w:shd w:fill="C6EFCE" w:val="clear"/>
          </w:tcPr>
          <w:p>
            <w:r>
              <w:rPr>
                <w:sz w:val="17"/>
              </w:rPr>
              <w:t>2,477</w:t>
            </w:r>
          </w:p>
        </w:tc>
        <w:tc>
          <w:tcPr>
            <w:tcW w:type="dxa" w:w="1440"/>
            <w:shd w:fill="C6EFCE" w:val="clear"/>
          </w:tcPr>
          <w:p>
            <w:r>
              <w:rPr>
                <w:b/>
                <w:color w:val="008000"/>
                <w:sz w:val="17"/>
              </w:rPr>
              <w:t>+3.0%</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1,659</w:t>
            </w:r>
          </w:p>
        </w:tc>
        <w:tc>
          <w:tcPr>
            <w:tcW w:type="dxa" w:w="1440"/>
            <w:shd w:fill="C6EFCE" w:val="clear"/>
          </w:tcPr>
          <w:p>
            <w:r>
              <w:rPr>
                <w:b/>
                <w:sz w:val="17"/>
              </w:rPr>
              <w:t>2,084</w:t>
            </w:r>
          </w:p>
        </w:tc>
        <w:tc>
          <w:tcPr>
            <w:tcW w:type="dxa" w:w="1440"/>
            <w:shd w:fill="C6EFCE" w:val="clear"/>
          </w:tcPr>
          <w:p>
            <w:r>
              <w:rPr>
                <w:sz w:val="17"/>
              </w:rPr>
              <w:t>2,508</w:t>
            </w:r>
          </w:p>
        </w:tc>
        <w:tc>
          <w:tcPr>
            <w:tcW w:type="dxa" w:w="1440"/>
            <w:shd w:fill="C6EFCE" w:val="clear"/>
          </w:tcPr>
          <w:p>
            <w:r>
              <w:rPr>
                <w:b/>
                <w:color w:val="008000"/>
                <w:sz w:val="17"/>
              </w:rPr>
              <w:t>+3.1%</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1,635</w:t>
            </w:r>
          </w:p>
        </w:tc>
        <w:tc>
          <w:tcPr>
            <w:tcW w:type="dxa" w:w="1440"/>
            <w:shd w:fill="C6EFCE" w:val="clear"/>
          </w:tcPr>
          <w:p>
            <w:r>
              <w:rPr>
                <w:b/>
                <w:sz w:val="17"/>
              </w:rPr>
              <w:t>2,086</w:t>
            </w:r>
          </w:p>
        </w:tc>
        <w:tc>
          <w:tcPr>
            <w:tcW w:type="dxa" w:w="1440"/>
            <w:shd w:fill="C6EFCE" w:val="clear"/>
          </w:tcPr>
          <w:p>
            <w:r>
              <w:rPr>
                <w:sz w:val="17"/>
              </w:rPr>
              <w:t>2,538</w:t>
            </w:r>
          </w:p>
        </w:tc>
        <w:tc>
          <w:tcPr>
            <w:tcW w:type="dxa" w:w="1440"/>
            <w:shd w:fill="C6EFCE" w:val="clear"/>
          </w:tcPr>
          <w:p>
            <w:r>
              <w:rPr>
                <w:b/>
                <w:color w:val="008000"/>
                <w:sz w:val="17"/>
              </w:rPr>
              <w:t>+3.3%</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1,613</w:t>
            </w:r>
          </w:p>
        </w:tc>
        <w:tc>
          <w:tcPr>
            <w:tcW w:type="dxa" w:w="1440"/>
            <w:shd w:fill="C6EFCE" w:val="clear"/>
          </w:tcPr>
          <w:p>
            <w:r>
              <w:rPr>
                <w:b/>
                <w:sz w:val="17"/>
              </w:rPr>
              <w:t>2,089</w:t>
            </w:r>
          </w:p>
        </w:tc>
        <w:tc>
          <w:tcPr>
            <w:tcW w:type="dxa" w:w="1440"/>
            <w:shd w:fill="C6EFCE" w:val="clear"/>
          </w:tcPr>
          <w:p>
            <w:r>
              <w:rPr>
                <w:sz w:val="17"/>
              </w:rPr>
              <w:t>2,565</w:t>
            </w:r>
          </w:p>
        </w:tc>
        <w:tc>
          <w:tcPr>
            <w:tcW w:type="dxa" w:w="1440"/>
            <w:shd w:fill="C6EFCE" w:val="clear"/>
          </w:tcPr>
          <w:p>
            <w:r>
              <w:rPr>
                <w:b/>
                <w:color w:val="008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 RAPPORT D'ANALYSE FINANCIÈRE — SETAO (STAC) | BRVM</w:t>
      </w:r>
    </w:p>
    <w:p>
      <w:pPr>
        <w:spacing w:after="120" w:line="276" w:lineRule="auto"/>
      </w:pPr>
      <w:r>
        <w:t>**Date d'analyse : Octobre 2026** | **Cours de référence : 2 020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SETAO s'établit à **27,15 milliards FCFA**, un niveau modeste à l'échelle de la BRVM qui la place parmi les petites capitalisations du compartiment entreprise, avec une liquidité structurellement limitée (volume moyen de 6 339 titres/jour). Le BPA ressort à **-7 FCFA par action**, traduisant une société déficitaire : chaque action détruit de la valeur comptable plutôt qu'elle n'en génère. Le PER de **-281,2x** est mécaniquement négatif et donc non interprétable en termes de multiple de bénéfices — il confirme simplement l'absence de profits positifs, rendant toute comparaison avec le PER moyen BRVM (8-12x) inopérante. Le ratio P/B de **76,10x** constitue le signal le plus alarmant : le marché valorise l'action à plus de 76 fois sa valeur comptable (capitaux propres de seulement 356,75 M FCFA pour 27,15 Mds FCFA de capitalisation), soit une prime spéculative extrême totalement déconnectée des fondamentaux — situation typique d'une valeur portée par l'anticipation de projets (aéroport d'Abidjan) plutôt que par la rentabilité. Le multiple EV/EBITDA n'est pas pertinent ici compte tenu de l'EBE négatif (-650,13 M FCFA en 2025), qui rend le ratio inexploitable.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-29,98%**, avec une dernière séance en repli de -0,49%, confirmant une tendance baissière profonde et persistante. Le range de trading est large, entre un plus haut de **3 640 FCFA** et un plus bas de **1 905 FCFA**, soit un amplitude de près de 91% — le cours actuel (2 020 FCFA) évolue dans le bas de cette fourchette, à seulement 6% au-dessus du plancher, signe d'une pression vendeuse dominante. Les statistiques descriptives révèlent une distribution intéressante : la moyenne (**2 786 FCFA**) est supérieure à la médiane (**2 715 FCFA**), avec un mode à **3 500 FCFA**, indiquant que le cours a passé davantage de temps sur des niveaux élevés avant de chuter brutalement en fin de période — distribution légèrement asymétrique à droite malgré un skewness quasi nul (0,111, distribution symétrique). L'écart-type de **477 FCFA** avec un **CV de 17,1%** traduit une dispersion modérée en relatif, mais le kurtosis de **-0,962** (mésokurtique, proche d'une loi normale) suggère l'absence de pics extrêmes récents, c'est-à-dire une érosion progressive plutôt qu'un krach. La **volatilité annualisée de 59,1%** classe le titre dans la catégorie **très élevée** (&gt;30%), ce qui est cohérent avec une petite capitalisation peu liquide et un profil spéculatif.</w:t>
      </w:r>
    </w:p>
    <w:p>
      <w:pPr>
        <w:spacing w:after="120" w:line="276" w:lineRule="auto"/>
      </w:pPr>
      <w:r>
        <w:t>---</w:t>
      </w:r>
    </w:p>
    <w:p>
      <w:pPr>
        <w:spacing w:after="120" w:line="276" w:lineRule="auto"/>
      </w:pPr>
      <w:r>
        <w:t>## PARTIE 2 : ANALYSE TECHNIQUE DÉTAILLÉE</w:t>
      </w:r>
    </w:p>
    <w:p>
      <w:pPr>
        <w:spacing w:after="120" w:line="276" w:lineRule="auto"/>
      </w:pPr>
      <w:r>
        <w:t>**Moyennes Mobiles** : La MM20 (2 122 FCFA) et la MM50 (2 399,7 FCFA) se situent toutes deux au-dessus du cours actuel (2 020 FCFA), avec une MM20 inférieure à la MM50 — configuration baissière typique (death cross). Le cours évolue sous ses deux moyennes, ce qui justifie pleinement la **décision de Vente** : la pression baissière est confirmée sur les deux horizons de court et moyen terme.</w:t>
      </w:r>
    </w:p>
    <w:p>
      <w:pPr>
        <w:spacing w:after="120" w:line="276" w:lineRule="auto"/>
      </w:pPr>
      <w:r>
        <w:t>**Bandes de Bollinger** : Le cours (2 020 FCFA) se situe dans la moitié basse de la bande, entre la borne inférieure (1 895,95 FCFA) et la borne supérieure (2 348,05 FCFA), sans en toucher les extrêmes. L'écart entre les bornes reste modéré, traduisant une volatilité contenue à court terme, et la **décision Neutre** est cohérente : le titre n'est ni en survente extrême (rebond technique possible) ni en surachat.</w:t>
      </w:r>
    </w:p>
    <w:p>
      <w:pPr>
        <w:spacing w:after="120" w:line="276" w:lineRule="auto"/>
      </w:pPr>
      <w:r>
        <w:t>**MACD** : La valeur du MACD (-123,357) est légèrement supérieure à son signal (-123,89), générant un croisement haussier marginal et une **décision d'Achat** — mais ce signal est faible et intervient en territoire négatif, ce qui le rend peu fiable : il s'agit davantage d'un essoufflement de la baisse que d'un véritable retournement de momentum.</w:t>
      </w:r>
    </w:p>
    <w:p>
      <w:pPr>
        <w:spacing w:after="120" w:line="276" w:lineRule="auto"/>
      </w:pPr>
      <w:r>
        <w:t>**RSI** : À **41,34**, le RSI se situe en zone neutre (entre 30 et 70), sans signal de survente (&lt;30) ni de surachat (&gt;70). La **décision Neutre** reflète une absence de pression directionnelle claire, le titre n'étant ni survendu ni suracheté malgré la chute récente.</w:t>
      </w:r>
    </w:p>
    <w:p>
      <w:pPr>
        <w:spacing w:after="120" w:line="276" w:lineRule="auto"/>
      </w:pPr>
      <w:r>
        <w:t>**Stochastique** : Le %K (24,21) est supérieur au %D (16,84), avec les deux indicateurs en zone basse (&lt;20 pour %D, proche de la survente). Ce positionnement suggère un potentiel de rebond technique à court terme, mais la **décision Neutre** traduit l'absence de croisement confirmé et la faiblesse du signal dans un contexte baissier de fond.</w:t>
      </w:r>
    </w:p>
    <w:p>
      <w:pPr>
        <w:spacing w:after="120" w:line="276" w:lineRule="auto"/>
      </w:pPr>
      <w:r>
        <w:t>**Conclusion technique** : Les indicateurs sont majoritairement baissiers (cours sous MM20/MM50, tendance de fond négative) mais présentent des signaux divergents à court terme (MACD en léger croisement haussier, stochastique en zone de survente). Cette configuration mixte — **divergence entre tendance de fond baissière et signaux de rebond technique** — plaide pour une prudence extrême : tout rebond serait probablement technique et limité, sans inversion de tendance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de l'exercice 2025** : SETAO affiche un chiffre d'affaires de **3,878 milliards FCFA**, en croissance spectaculaire de **+116,26%** par rapport à 2024 (1,793 Md FCFA), portée par la reprise des travaux de l'aéroport d'Abidjan. Cependant, cette dynamique commerciale ne se traduit pas en rentabilité : le **résultat net est négatif à -96,56 M FCFA** (marge nette de -2,49%), l'**EBE est profondément déficitaire à -650,13 M FCFA** et le résultat d'exploitation atteint **-771,95 M FCFA** (marge opérationnelle de -19,90%). Les ratios de rentabilité sont tous dégradés : **ROE de -27,07%** (très loin du seuil de 15% considéré comme excellent) et **ROA de -1,77%**, confirmant une destruction de valeur. La structure financière est préoccupante : **autonomie financière de seulement 6,55%** (contre &gt;30% recommandé), **ratio d'endettement de 93,45%** et **dépendance financière de 129,87%** — les capitaux propres (356,75 M FCFA) ne couvrent que 6,5% du bilan total (5,447 Mds FCFA). Point positif : le **BFR est négatif à -930,47 M FCFA** (favorable pour une entreprise) et la trésorerie nette atteint **1,330 Md FCFA**, offrant un coussin de liquidité, mais le **flux opérationnel est négatif à -2,212 Mds FCFA**, signe que l'activité consomme du cash. La **capacité de remboursement de 77,53 années** (dettes financières/CAF) est rédhibitoire.</w:t>
      </w:r>
    </w:p>
    <w:p>
      <w:pPr>
        <w:spacing w:after="120" w:line="276" w:lineRule="auto"/>
      </w:pPr>
      <w:r>
        <w:t>**Estimations issues des rapports trimestriels** : Le rapport du **T3 2025 (30/09/2025)** confirme un CA cumulé de 3,456 Mds FCFA (+176%) mais une perte nette de 477 M FCFA en réduction de 22% ; la direction maintient sa prévision de CA annuel à 4 Mds FCFA, impliquant un T4 très faible. Le rapport **S1 2025 (30/06/2025)** montrait déjà un CA de 2,271 Mds FCFA (+290%) mais une perte nette aggravée de 557 M FCFA, révélant une structure de coûts inadaptée. Les rapports plus anciens (**exercice 2024**, **S1 2024**, **T3 2024**) documentent l'effondrement historique du CA (-80,6% en 2024 à 1,793 Md FCFA) et des pertes récurrentes (perte nette 2024 de -348 M FCFA, perte 2023 de -1 118 M FCFA). À noter que les rapports de 2020-2021 (**rapport annuel 2020, S1 2021, T3 2021**) témoignent d'une période faste révolue (CA de 15,9 Mds FCFA en 2020, résultat net de 2,32 Mds FCFA, ROE élevé, dividendes distribués), illustrant la **volatilité extrême du modèle BTP** dépendant de grands contrats.</w:t>
      </w:r>
    </w:p>
    <w:p>
      <w:pPr>
        <w:spacing w:after="120" w:line="276" w:lineRule="auto"/>
      </w:pPr>
      <w:r>
        <w:t>**Recommandation fondamentale** : La société est **structurellement fragile** — croissance du CA sans rentabilité, capitaux propres quasi-inexistants, endettement massif, flux opérationnels négatifs — et sa survie dépend de la poursuite du chantier aéroportuaire et de la sécurisation de nouveaux contrats. Le profil est hautement spéculatif, avec un risque de liquidité/solvabilité réel malgré la trésorerie actuelle.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une **divergence fondamentale entre valorisation, technique et prédiction**. La **valorisation (Partie 0)** est extrêmement tendue : P/B de 76,10x et PER négatif traduisent une capitalisation de 27,15 Mds FCFA totalement déconnectée de fondamentaux déficitaires — le marché price un scénario de redressement hypothétique, ce qui constitue une **surévaluation manifeste**. Le **comportement du cours (Partie 1)** est clairement baissier (-29,98% sur 100 jours, cours proche du plancher), avec une volatilité très élevée (59,1%) et une distribution symétrique sans pics extrêmes — profil défavorable pour un investisseur averse au risque. Les **signaux techniques (Partie 2)** sont majoritairement baissiers (cours sous MM20/MM50, décision de Vente sur les moyennes mobiles) mais présentent une divergence à court terme (MACD en léger achat, stochastique en survente) suggérant un possible rebond technique limité. Les **fondamentaux (Partie 3)** sont préoccupants : CA en forte croissance (+116%) mais pertes persistantes (résultat net -96,56 M FCFA en 2025), ROE de -27,07%, autonomie financière de 6,55% et flux opérationnels négatifs — la société reste structurellement déficitaire malgré le rebond d'activité. Les **prédictions IA (J+1 à J+10)** projettent une légère hausse de 2 020 à 2 073 FCFA (+2,6%), cohérente avec le rebond technique attendu mais **contredisant la tendance de fond baissière** et ne modifiant pas le diagnostic fondamental.</w:t>
      </w:r>
    </w:p>
    <w:p>
      <w:pPr>
        <w:spacing w:after="120" w:line="276" w:lineRule="auto"/>
      </w:pPr>
      <w:r>
        <w:t>**Recommandation finale : VENTE** (avec possibilité de **VENTE FORTE** pour les investisseurs prudents). La convergence est claire : valorisation surévaluée (P/B 76x), tendance baissière confirmée, fondamentaux déficitaires malgré la croissance du CA, et seule une timide prédiction haussière à court terme vient nuancer le tableau — insuffisante pour justifier une exposition. **Niveau de confiance : Élevé** (les signaux baissiers convergent sur trois des quatre dimensions). **Niveau de risque global : Élevé** (volatilité de 59,1%, petite capitalisation, structure financière fragile, dépendance à un projet unique). **Horizon recommandé : Court terme** (&lt;3 mois) pour toute position résiduelle avec stop-loss strict, ou **évitement total** pour les investisseurs recherchant la préservation du capital — les valeurs de rendement de la BRVM (télécoms, banques) offrent un profil risque/rendement nettement supérieur.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4,174 titres</w:t>
            </w:r>
          </w:p>
        </w:tc>
        <w:tc>
          <w:tcPr>
            <w:tcW w:type="dxa" w:w="2268"/>
            <w:shd w:fill="FFF2CC" w:val="clear"/>
          </w:tcPr>
          <w:p>
            <w:r>
              <w:rPr>
                <w:b/>
                <w:color w:val="503200"/>
                <w:sz w:val="16"/>
              </w:rPr>
              <w:t xml:space="preserve">Cours actuel : </w:t>
            </w:r>
            <w:r>
              <w:rPr>
                <w:color w:val="000000"/>
                <w:sz w:val="17"/>
              </w:rPr>
              <w:t>21,400 FCFA</w:t>
            </w:r>
          </w:p>
          <w:p>
            <w:r>
              <w:rPr>
                <w:b/>
                <w:color w:val="503200"/>
                <w:sz w:val="16"/>
              </w:rPr>
              <w:t xml:space="preserve">Var. 100 jours : </w:t>
            </w:r>
            <w:r>
              <w:rPr>
                <w:b/>
                <w:color w:val="007800"/>
                <w:sz w:val="17"/>
              </w:rPr>
              <w:t>+1.90%</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4.88% (Faible) — μ=22,574 FCFA, σ=1,102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β=0.4385 (Défensif) — Cov=0.000034, Var(idx)=0.000077, ρ=0.166,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82781"/>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58278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2026-10-20</w:t>
            </w:r>
          </w:p>
        </w:tc>
        <w:tc>
          <w:tcPr>
            <w:tcW w:type="dxa" w:w="1440"/>
            <w:shd w:fill="C6EFCE" w:val="clear"/>
          </w:tcPr>
          <w:p>
            <w:r>
              <w:rPr>
                <w:sz w:val="17"/>
              </w:rPr>
              <w:t>21,444</w:t>
            </w:r>
          </w:p>
        </w:tc>
        <w:tc>
          <w:tcPr>
            <w:tcW w:type="dxa" w:w="1440"/>
            <w:shd w:fill="C6EFCE" w:val="clear"/>
          </w:tcPr>
          <w:p>
            <w:r>
              <w:rPr>
                <w:b/>
                <w:sz w:val="17"/>
              </w:rPr>
              <w:t>22,038</w:t>
            </w:r>
          </w:p>
        </w:tc>
        <w:tc>
          <w:tcPr>
            <w:tcW w:type="dxa" w:w="1440"/>
            <w:shd w:fill="C6EFCE" w:val="clear"/>
          </w:tcPr>
          <w:p>
            <w:r>
              <w:rPr>
                <w:sz w:val="17"/>
              </w:rPr>
              <w:t>22,631</w:t>
            </w:r>
          </w:p>
        </w:tc>
        <w:tc>
          <w:tcPr>
            <w:tcW w:type="dxa" w:w="1440"/>
            <w:shd w:fill="C6EFCE" w:val="clear"/>
          </w:tcPr>
          <w:p>
            <w:r>
              <w:rPr>
                <w:b/>
                <w:color w:val="008000"/>
                <w:sz w:val="17"/>
              </w:rPr>
              <w:t>+3.0%</w:t>
            </w:r>
          </w:p>
        </w:tc>
      </w:tr>
      <w:tr>
        <w:tc>
          <w:tcPr>
            <w:tcW w:type="dxa" w:w="1440"/>
            <w:shd w:fill="C6EFCE" w:val="clear"/>
          </w:tcPr>
          <w:p>
            <w:r>
              <w:rPr>
                <w:sz w:val="17"/>
              </w:rPr>
              <w:t>J+2  Moyenne</w:t>
            </w:r>
          </w:p>
        </w:tc>
        <w:tc>
          <w:tcPr>
            <w:tcW w:type="dxa" w:w="1440"/>
            <w:shd w:fill="C6EFCE" w:val="clear"/>
          </w:tcPr>
          <w:p>
            <w:r>
              <w:rPr>
                <w:sz w:val="17"/>
              </w:rPr>
              <w:t>2026-10-21</w:t>
            </w:r>
          </w:p>
        </w:tc>
        <w:tc>
          <w:tcPr>
            <w:tcW w:type="dxa" w:w="1440"/>
            <w:shd w:fill="C6EFCE" w:val="clear"/>
          </w:tcPr>
          <w:p>
            <w:r>
              <w:rPr>
                <w:sz w:val="17"/>
              </w:rPr>
              <w:t>21,487</w:t>
            </w:r>
          </w:p>
        </w:tc>
        <w:tc>
          <w:tcPr>
            <w:tcW w:type="dxa" w:w="1440"/>
            <w:shd w:fill="C6EFCE" w:val="clear"/>
          </w:tcPr>
          <w:p>
            <w:r>
              <w:rPr>
                <w:b/>
                <w:sz w:val="17"/>
              </w:rPr>
              <w:t>22,338</w:t>
            </w:r>
          </w:p>
        </w:tc>
        <w:tc>
          <w:tcPr>
            <w:tcW w:type="dxa" w:w="1440"/>
            <w:shd w:fill="C6EFCE" w:val="clear"/>
          </w:tcPr>
          <w:p>
            <w:r>
              <w:rPr>
                <w:sz w:val="17"/>
              </w:rPr>
              <w:t>23,189</w:t>
            </w:r>
          </w:p>
        </w:tc>
        <w:tc>
          <w:tcPr>
            <w:tcW w:type="dxa" w:w="1440"/>
            <w:shd w:fill="C6EFCE" w:val="clear"/>
          </w:tcPr>
          <w:p>
            <w:r>
              <w:rPr>
                <w:b/>
                <w:color w:val="008000"/>
                <w:sz w:val="17"/>
              </w:rPr>
              <w:t>+4.4%</w:t>
            </w:r>
          </w:p>
        </w:tc>
      </w:tr>
      <w:tr>
        <w:tc>
          <w:tcPr>
            <w:tcW w:type="dxa" w:w="1440"/>
            <w:shd w:fill="C6EFCE" w:val="clear"/>
          </w:tcPr>
          <w:p>
            <w:r>
              <w:rPr>
                <w:sz w:val="17"/>
              </w:rPr>
              <w:t>J+3  ⭐</w:t>
            </w:r>
          </w:p>
        </w:tc>
        <w:tc>
          <w:tcPr>
            <w:tcW w:type="dxa" w:w="1440"/>
            <w:shd w:fill="C6EFCE" w:val="clear"/>
          </w:tcPr>
          <w:p>
            <w:r>
              <w:rPr>
                <w:sz w:val="17"/>
              </w:rPr>
              <w:t>2026-10-22</w:t>
            </w:r>
          </w:p>
        </w:tc>
        <w:tc>
          <w:tcPr>
            <w:tcW w:type="dxa" w:w="1440"/>
            <w:shd w:fill="C6EFCE" w:val="clear"/>
          </w:tcPr>
          <w:p>
            <w:r>
              <w:rPr>
                <w:sz w:val="17"/>
              </w:rPr>
              <w:t>21,581</w:t>
            </w:r>
          </w:p>
        </w:tc>
        <w:tc>
          <w:tcPr>
            <w:tcW w:type="dxa" w:w="1440"/>
            <w:shd w:fill="C6EFCE" w:val="clear"/>
          </w:tcPr>
          <w:p>
            <w:r>
              <w:rPr>
                <w:b/>
                <w:sz w:val="17"/>
              </w:rPr>
              <w:t>22,637</w:t>
            </w:r>
          </w:p>
        </w:tc>
        <w:tc>
          <w:tcPr>
            <w:tcW w:type="dxa" w:w="1440"/>
            <w:shd w:fill="C6EFCE" w:val="clear"/>
          </w:tcPr>
          <w:p>
            <w:r>
              <w:rPr>
                <w:sz w:val="17"/>
              </w:rPr>
              <w:t>23,693</w:t>
            </w:r>
          </w:p>
        </w:tc>
        <w:tc>
          <w:tcPr>
            <w:tcW w:type="dxa" w:w="1440"/>
            <w:shd w:fill="C6EFCE" w:val="clear"/>
          </w:tcPr>
          <w:p>
            <w:r>
              <w:rPr>
                <w:b/>
                <w:color w:val="008000"/>
                <w:sz w:val="17"/>
              </w:rPr>
              <w:t>+5.8%</w:t>
            </w:r>
          </w:p>
        </w:tc>
      </w:tr>
      <w:tr>
        <w:tc>
          <w:tcPr>
            <w:tcW w:type="dxa" w:w="1440"/>
            <w:shd w:fill="C6EFCE" w:val="clear"/>
          </w:tcPr>
          <w:p>
            <w:r>
              <w:rPr>
                <w:sz w:val="17"/>
              </w:rPr>
              <w:t>J+4  ⭐</w:t>
            </w:r>
          </w:p>
        </w:tc>
        <w:tc>
          <w:tcPr>
            <w:tcW w:type="dxa" w:w="1440"/>
            <w:shd w:fill="C6EFCE" w:val="clear"/>
          </w:tcPr>
          <w:p>
            <w:r>
              <w:rPr>
                <w:sz w:val="17"/>
              </w:rPr>
              <w:t>2026-10-23</w:t>
            </w:r>
          </w:p>
        </w:tc>
        <w:tc>
          <w:tcPr>
            <w:tcW w:type="dxa" w:w="1440"/>
            <w:shd w:fill="C6EFCE" w:val="clear"/>
          </w:tcPr>
          <w:p>
            <w:r>
              <w:rPr>
                <w:sz w:val="17"/>
              </w:rPr>
              <w:t>21,679</w:t>
            </w:r>
          </w:p>
        </w:tc>
        <w:tc>
          <w:tcPr>
            <w:tcW w:type="dxa" w:w="1440"/>
            <w:shd w:fill="C6EFCE" w:val="clear"/>
          </w:tcPr>
          <w:p>
            <w:r>
              <w:rPr>
                <w:b/>
                <w:sz w:val="17"/>
              </w:rPr>
              <w:t>22,913</w:t>
            </w:r>
          </w:p>
        </w:tc>
        <w:tc>
          <w:tcPr>
            <w:tcW w:type="dxa" w:w="1440"/>
            <w:shd w:fill="C6EFCE" w:val="clear"/>
          </w:tcPr>
          <w:p>
            <w:r>
              <w:rPr>
                <w:sz w:val="17"/>
              </w:rPr>
              <w:t>24,148</w:t>
            </w:r>
          </w:p>
        </w:tc>
        <w:tc>
          <w:tcPr>
            <w:tcW w:type="dxa" w:w="1440"/>
            <w:shd w:fill="C6EFCE" w:val="clear"/>
          </w:tcPr>
          <w:p>
            <w:r>
              <w:rPr>
                <w:b/>
                <w:color w:val="008000"/>
                <w:sz w:val="17"/>
              </w:rPr>
              <w:t>+7.1%</w:t>
            </w:r>
          </w:p>
        </w:tc>
      </w:tr>
      <w:tr>
        <w:tc>
          <w:tcPr>
            <w:tcW w:type="dxa" w:w="1440"/>
            <w:shd w:fill="C6EFCE" w:val="clear"/>
          </w:tcPr>
          <w:p>
            <w:r>
              <w:rPr>
                <w:sz w:val="17"/>
              </w:rPr>
              <w:t>J+5  ⭐</w:t>
            </w:r>
          </w:p>
        </w:tc>
        <w:tc>
          <w:tcPr>
            <w:tcW w:type="dxa" w:w="1440"/>
            <w:shd w:fill="C6EFCE" w:val="clear"/>
          </w:tcPr>
          <w:p>
            <w:r>
              <w:rPr>
                <w:sz w:val="17"/>
              </w:rPr>
              <w:t>2026-10-26</w:t>
            </w:r>
          </w:p>
        </w:tc>
        <w:tc>
          <w:tcPr>
            <w:tcW w:type="dxa" w:w="1440"/>
            <w:shd w:fill="C6EFCE" w:val="clear"/>
          </w:tcPr>
          <w:p>
            <w:r>
              <w:rPr>
                <w:sz w:val="17"/>
              </w:rPr>
              <w:t>21,797</w:t>
            </w:r>
          </w:p>
        </w:tc>
        <w:tc>
          <w:tcPr>
            <w:tcW w:type="dxa" w:w="1440"/>
            <w:shd w:fill="C6EFCE" w:val="clear"/>
          </w:tcPr>
          <w:p>
            <w:r>
              <w:rPr>
                <w:b/>
                <w:sz w:val="17"/>
              </w:rPr>
              <w:t>23,193</w:t>
            </w:r>
          </w:p>
        </w:tc>
        <w:tc>
          <w:tcPr>
            <w:tcW w:type="dxa" w:w="1440"/>
            <w:shd w:fill="C6EFCE" w:val="clear"/>
          </w:tcPr>
          <w:p>
            <w:r>
              <w:rPr>
                <w:sz w:val="17"/>
              </w:rPr>
              <w:t>24,590</w:t>
            </w:r>
          </w:p>
        </w:tc>
        <w:tc>
          <w:tcPr>
            <w:tcW w:type="dxa" w:w="1440"/>
            <w:shd w:fill="C6EFCE" w:val="clear"/>
          </w:tcPr>
          <w:p>
            <w:r>
              <w:rPr>
                <w:b/>
                <w:color w:val="008000"/>
                <w:sz w:val="17"/>
              </w:rPr>
              <w:t>+8.4%</w:t>
            </w:r>
          </w:p>
        </w:tc>
      </w:tr>
      <w:tr>
        <w:tc>
          <w:tcPr>
            <w:tcW w:type="dxa" w:w="1440"/>
            <w:shd w:fill="C6EFCE" w:val="clear"/>
          </w:tcPr>
          <w:p>
            <w:r>
              <w:rPr>
                <w:sz w:val="17"/>
              </w:rPr>
              <w:t>J+6  ⭐</w:t>
            </w:r>
          </w:p>
        </w:tc>
        <w:tc>
          <w:tcPr>
            <w:tcW w:type="dxa" w:w="1440"/>
            <w:shd w:fill="C6EFCE" w:val="clear"/>
          </w:tcPr>
          <w:p>
            <w:r>
              <w:rPr>
                <w:sz w:val="17"/>
              </w:rPr>
              <w:t>2026-10-27</w:t>
            </w:r>
          </w:p>
        </w:tc>
        <w:tc>
          <w:tcPr>
            <w:tcW w:type="dxa" w:w="1440"/>
            <w:shd w:fill="C6EFCE" w:val="clear"/>
          </w:tcPr>
          <w:p>
            <w:r>
              <w:rPr>
                <w:sz w:val="17"/>
              </w:rPr>
              <w:t>21,933</w:t>
            </w:r>
          </w:p>
        </w:tc>
        <w:tc>
          <w:tcPr>
            <w:tcW w:type="dxa" w:w="1440"/>
            <w:shd w:fill="C6EFCE" w:val="clear"/>
          </w:tcPr>
          <w:p>
            <w:r>
              <w:rPr>
                <w:b/>
                <w:sz w:val="17"/>
              </w:rPr>
              <w:t>23,482</w:t>
            </w:r>
          </w:p>
        </w:tc>
        <w:tc>
          <w:tcPr>
            <w:tcW w:type="dxa" w:w="1440"/>
            <w:shd w:fill="C6EFCE" w:val="clear"/>
          </w:tcPr>
          <w:p>
            <w:r>
              <w:rPr>
                <w:sz w:val="17"/>
              </w:rPr>
              <w:t>25,031</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2026-10-28</w:t>
            </w:r>
          </w:p>
        </w:tc>
        <w:tc>
          <w:tcPr>
            <w:tcW w:type="dxa" w:w="1440"/>
            <w:shd w:fill="C6EFCE" w:val="clear"/>
          </w:tcPr>
          <w:p>
            <w:r>
              <w:rPr>
                <w:sz w:val="17"/>
              </w:rPr>
              <w:t>22,081</w:t>
            </w:r>
          </w:p>
        </w:tc>
        <w:tc>
          <w:tcPr>
            <w:tcW w:type="dxa" w:w="1440"/>
            <w:shd w:fill="C6EFCE" w:val="clear"/>
          </w:tcPr>
          <w:p>
            <w:r>
              <w:rPr>
                <w:b/>
                <w:sz w:val="17"/>
              </w:rPr>
              <w:t>23,775</w:t>
            </w:r>
          </w:p>
        </w:tc>
        <w:tc>
          <w:tcPr>
            <w:tcW w:type="dxa" w:w="1440"/>
            <w:shd w:fill="C6EFCE" w:val="clear"/>
          </w:tcPr>
          <w:p>
            <w:r>
              <w:rPr>
                <w:sz w:val="17"/>
              </w:rPr>
              <w:t>25,469</w:t>
            </w:r>
          </w:p>
        </w:tc>
        <w:tc>
          <w:tcPr>
            <w:tcW w:type="dxa" w:w="1440"/>
            <w:shd w:fill="C6EFCE" w:val="clear"/>
          </w:tcPr>
          <w:p>
            <w:r>
              <w:rPr>
                <w:b/>
                <w:color w:val="008000"/>
                <w:sz w:val="17"/>
              </w:rPr>
              <w:t>+11.1%</w:t>
            </w:r>
          </w:p>
        </w:tc>
      </w:tr>
      <w:tr>
        <w:tc>
          <w:tcPr>
            <w:tcW w:type="dxa" w:w="1440"/>
            <w:shd w:fill="C6EFCE" w:val="clear"/>
          </w:tcPr>
          <w:p>
            <w:r>
              <w:rPr>
                <w:sz w:val="17"/>
              </w:rPr>
              <w:t>J+8  ⭐</w:t>
            </w:r>
          </w:p>
        </w:tc>
        <w:tc>
          <w:tcPr>
            <w:tcW w:type="dxa" w:w="1440"/>
            <w:shd w:fill="C6EFCE" w:val="clear"/>
          </w:tcPr>
          <w:p>
            <w:r>
              <w:rPr>
                <w:sz w:val="17"/>
              </w:rPr>
              <w:t>2026-10-29</w:t>
            </w:r>
          </w:p>
        </w:tc>
        <w:tc>
          <w:tcPr>
            <w:tcW w:type="dxa" w:w="1440"/>
            <w:shd w:fill="C6EFCE" w:val="clear"/>
          </w:tcPr>
          <w:p>
            <w:r>
              <w:rPr>
                <w:sz w:val="17"/>
              </w:rPr>
              <w:t>22,264</w:t>
            </w:r>
          </w:p>
        </w:tc>
        <w:tc>
          <w:tcPr>
            <w:tcW w:type="dxa" w:w="1440"/>
            <w:shd w:fill="C6EFCE" w:val="clear"/>
          </w:tcPr>
          <w:p>
            <w:r>
              <w:rPr>
                <w:b/>
                <w:sz w:val="17"/>
              </w:rPr>
              <w:t>24,100</w:t>
            </w:r>
          </w:p>
        </w:tc>
        <w:tc>
          <w:tcPr>
            <w:tcW w:type="dxa" w:w="1440"/>
            <w:shd w:fill="C6EFCE" w:val="clear"/>
          </w:tcPr>
          <w:p>
            <w:r>
              <w:rPr>
                <w:sz w:val="17"/>
              </w:rPr>
              <w:t>25,936</w:t>
            </w:r>
          </w:p>
        </w:tc>
        <w:tc>
          <w:tcPr>
            <w:tcW w:type="dxa" w:w="1440"/>
            <w:shd w:fill="C6EFCE" w:val="clear"/>
          </w:tcPr>
          <w:p>
            <w:r>
              <w:rPr>
                <w:b/>
                <w:color w:val="008000"/>
                <w:sz w:val="17"/>
              </w:rPr>
              <w:t>+12.6%</w:t>
            </w:r>
          </w:p>
        </w:tc>
      </w:tr>
      <w:tr>
        <w:tc>
          <w:tcPr>
            <w:tcW w:type="dxa" w:w="1440"/>
            <w:shd w:fill="C6EFCE" w:val="clear"/>
          </w:tcPr>
          <w:p>
            <w:r>
              <w:rPr>
                <w:sz w:val="17"/>
              </w:rPr>
              <w:t>J+9  ⭐</w:t>
            </w:r>
          </w:p>
        </w:tc>
        <w:tc>
          <w:tcPr>
            <w:tcW w:type="dxa" w:w="1440"/>
            <w:shd w:fill="C6EFCE" w:val="clear"/>
          </w:tcPr>
          <w:p>
            <w:r>
              <w:rPr>
                <w:sz w:val="17"/>
              </w:rPr>
              <w:t>2026-10-30</w:t>
            </w:r>
          </w:p>
        </w:tc>
        <w:tc>
          <w:tcPr>
            <w:tcW w:type="dxa" w:w="1440"/>
            <w:shd w:fill="C6EFCE" w:val="clear"/>
          </w:tcPr>
          <w:p>
            <w:r>
              <w:rPr>
                <w:sz w:val="17"/>
              </w:rPr>
              <w:t>22,419</w:t>
            </w:r>
          </w:p>
        </w:tc>
        <w:tc>
          <w:tcPr>
            <w:tcW w:type="dxa" w:w="1440"/>
            <w:shd w:fill="C6EFCE" w:val="clear"/>
          </w:tcPr>
          <w:p>
            <w:r>
              <w:rPr>
                <w:b/>
                <w:sz w:val="17"/>
              </w:rPr>
              <w:t>24,390</w:t>
            </w:r>
          </w:p>
        </w:tc>
        <w:tc>
          <w:tcPr>
            <w:tcW w:type="dxa" w:w="1440"/>
            <w:shd w:fill="C6EFCE" w:val="clear"/>
          </w:tcPr>
          <w:p>
            <w:r>
              <w:rPr>
                <w:sz w:val="17"/>
              </w:rPr>
              <w:t>26,360</w:t>
            </w:r>
          </w:p>
        </w:tc>
        <w:tc>
          <w:tcPr>
            <w:tcW w:type="dxa" w:w="1440"/>
            <w:shd w:fill="C6EFCE" w:val="clear"/>
          </w:tcPr>
          <w:p>
            <w:r>
              <w:rPr>
                <w:b/>
                <w:color w:val="008000"/>
                <w:sz w:val="17"/>
              </w:rPr>
              <w:t>+14.0%</w:t>
            </w:r>
          </w:p>
        </w:tc>
      </w:tr>
      <w:tr>
        <w:tc>
          <w:tcPr>
            <w:tcW w:type="dxa" w:w="1440"/>
            <w:shd w:fill="C6EFCE" w:val="clear"/>
          </w:tcPr>
          <w:p>
            <w:r>
              <w:rPr>
                <w:sz w:val="17"/>
              </w:rPr>
              <w:t>J+10  ⭐</w:t>
            </w:r>
          </w:p>
        </w:tc>
        <w:tc>
          <w:tcPr>
            <w:tcW w:type="dxa" w:w="1440"/>
            <w:shd w:fill="C6EFCE" w:val="clear"/>
          </w:tcPr>
          <w:p>
            <w:r>
              <w:rPr>
                <w:sz w:val="17"/>
              </w:rPr>
              <w:t>2026-11-02</w:t>
            </w:r>
          </w:p>
        </w:tc>
        <w:tc>
          <w:tcPr>
            <w:tcW w:type="dxa" w:w="1440"/>
            <w:shd w:fill="C6EFCE" w:val="clear"/>
          </w:tcPr>
          <w:p>
            <w:r>
              <w:rPr>
                <w:sz w:val="17"/>
              </w:rPr>
              <w:t>22,566</w:t>
            </w:r>
          </w:p>
        </w:tc>
        <w:tc>
          <w:tcPr>
            <w:tcW w:type="dxa" w:w="1440"/>
            <w:shd w:fill="C6EFCE" w:val="clear"/>
          </w:tcPr>
          <w:p>
            <w:r>
              <w:rPr>
                <w:b/>
                <w:sz w:val="17"/>
              </w:rPr>
              <w:t>24,667</w:t>
            </w:r>
          </w:p>
        </w:tc>
        <w:tc>
          <w:tcPr>
            <w:tcW w:type="dxa" w:w="1440"/>
            <w:shd w:fill="C6EFCE" w:val="clear"/>
          </w:tcPr>
          <w:p>
            <w:r>
              <w:rPr>
                <w:sz w:val="17"/>
              </w:rPr>
              <w:t>26,768</w:t>
            </w:r>
          </w:p>
        </w:tc>
        <w:tc>
          <w:tcPr>
            <w:tcW w:type="dxa" w:w="1440"/>
            <w:shd w:fill="C6EFCE" w:val="clear"/>
          </w:tcPr>
          <w:p>
            <w:r>
              <w:rPr>
                <w:b/>
                <w:color w:val="008000"/>
                <w:sz w:val="17"/>
              </w:rPr>
              <w:t>+15.3%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STBC s'établit à 384,24 milliards FCFA, un niveau qui positionne la valeur parmi les plus importantes de la cote BRVM, témoignant de sa stature de blue chip régionale. Le BPA de 2 014 FCFA/action indique que chaque titre génère un bénéfice net de plus de 2 000 FCFA, un niveau de rentabilité par action remarquable. Le PER de 10,6x se situe dans la fourchette modérée de la BRVM (8-12x), suggérant que les investisseurs ne paient pas de prime excessive pour les bénéfices, bien que le titre ne soit pas non plus une opportunité évidente de sous-évaluation. En revanche, le P/B de 8,48x traduit une forte prime par rapport à la valeur comptable (capitaux propres de 45,3 Mds FCFA pour 384 Mds de capitalisation), ce qui s'explique par la rentabilité exceptionnelle des fonds propres (ROE de 79,75%) mais expose le titre à une correction si cette rentabilité venait à se normaliser. L'EV/EBITDA de 7,6x, dans la fourchette raisonnable de 5-10x, confirme que la valeur totale de l'entreprise reste cohérente avec sa capacité opérationnelle, malgré l'absence de dette financière significative (1,4 M FCFA seulement).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STBC affiche une variation totale de +1,90%, avec une dernière séance en hausse de +0,23% à 21 400 FCFA, traduisant une dynamique légèrement positive mais sans élan marqué. Le range de trading s'étend de 20 895 FCFA (plus bas) à 25 000 FCFA (plus haut), soit une amplitude de près de 20%, révélant une volatilité intra-période significative malgré la stabilité apparente du solde net. La tendance générale est baissière depuis le pic de 25 000 FCFA, le cours actuel se situant à 14,4% sous son plus haut, ce qui suggère une phase de correction ou de consolidation après un rallye antérieur. Les statistiques descriptives révèlent une moyenne de 22 574 FCFA supérieure à la médiane de 22 218 FCFA, avec un mode à 22 000 FCFA : l'écart moyenne-médiane confirme une asymétrie positive (skewness de 0,597), indiquant que les journées sous la moyenne sont plus fréquentes mais compensées par quelques séances de forte hausse. L'écart-type de 1 108 FCFA (CV de 4,9%) traduit une dispersion modérée du cours autour de sa moyenne, tandis que le kurtosis de -0,696 (mésokurtique) suggère une distribution proche de la normale, sans risque excessif de pics extrêmes. La volatilité annualisée de 36,6% classe le titre dans la catégorie des valeurs à volatilité élevée (&gt;30%), ce qui est cohérent avec la nature de valeur de rendement du secteur tabac, exposée aux aléas réglementaires et fiscaux.</w:t>
      </w:r>
    </w:p>
    <w:p>
      <w:pPr>
        <w:spacing w:after="120" w:line="276" w:lineRule="auto"/>
      </w:pPr>
      <w:r>
        <w:t>---</w:t>
      </w:r>
    </w:p>
    <w:p>
      <w:pPr>
        <w:spacing w:after="120" w:line="276" w:lineRule="auto"/>
      </w:pPr>
      <w:r>
        <w:t>## PARTIE 2 : ANALYSE TECHNIQUE DÉTAILLÉE</w:t>
      </w:r>
    </w:p>
    <w:p>
      <w:pPr>
        <w:spacing w:after="120" w:line="276" w:lineRule="auto"/>
      </w:pPr>
      <w:r>
        <w:t>**Moyennes Mobiles** : La MM20 (21 505,5 FCFA) et la MM50 (22 128,6 FCFA) se situent toutes deux au-dessus du cours actuel (21 400 FCFA), avec la MM20 en dessous de la MM50, configuration baissière classique. Le cours évoluant sous ses deux moyennes, la pression vendeuse domine à court et moyen terme, justifiant la décision technique de **Vente** : tant que le cours ne reconquiert pas la MM20, la tendance reste fragile.</w:t>
      </w:r>
    </w:p>
    <w:p>
      <w:pPr>
        <w:spacing w:after="120" w:line="276" w:lineRule="auto"/>
      </w:pPr>
      <w:r>
        <w:t>**Bandes de Bollinger** : Le cours (21 400 FCFA) se situe dans la moitié inférieure de la bande, entre la borne inférieure (20 903,68 FCFA) et la borne supérieure (22 107,32 FCFA), sans test des extrêmes. Cette position centrale, couplée à un rétrécissement apparent de la bande, traduit une volatilité contenue et une absence de signal directionnel fort, justifiant la décision **Neutre** : le marché attend un catalyseur pour sortir de cette zone de consolidation.</w:t>
      </w:r>
    </w:p>
    <w:p>
      <w:pPr>
        <w:spacing w:after="120" w:line="276" w:lineRule="auto"/>
      </w:pPr>
      <w:r>
        <w:t>**MACD** : La ligne MACD (-216,898) est légèrement au-dessus de sa ligne de signal (-226,794), avec un histogramme positif bien que les deux valeurs restent en territoire négatif. Cette configuration signale un début de redressement du momentum, le MACD amorçant un croisement haussier depuis la zone de survente, ce qui justifie la décision **Achat** : le momentum négatif s'essouffle et une inflexion haussière se profile.</w:t>
      </w:r>
    </w:p>
    <w:p>
      <w:pPr>
        <w:spacing w:after="120" w:line="276" w:lineRule="auto"/>
      </w:pPr>
      <w:r>
        <w:t>**RSI** : À 48,466, le RSI se situe exactement au cœur de la zone neutre (30-70), sans signal de surachat (&gt;70) ni de survente (&lt;30). Cette position médiane confirme l'absence de pression directionnelle dominante et justifie la décision **Neutre** : le titre n'offre ni opportunité de rebond technique ni signal de correction imminente.</w:t>
      </w:r>
    </w:p>
    <w:p>
      <w:pPr>
        <w:spacing w:after="120" w:line="276" w:lineRule="auto"/>
      </w:pPr>
      <w:r>
        <w:t>**Stochastique** : Le %K (31,138) est supérieur au %D (21,158), avec un croisement haussier en zone de survente (sous 20 pour le %D), configuration classique de signal d'achat à court terme. Cependant, les deux courbes restent en territoire bas, ce qui tempère la portée du signal et justifie la décision **Neutre** : le rebond est amorcé mais demande confirmation.</w:t>
      </w:r>
    </w:p>
    <w:p>
      <w:pPr>
        <w:spacing w:after="120" w:line="276" w:lineRule="auto"/>
      </w:pPr>
      <w:r>
        <w:t>**Conclusion technique** : Les indicateurs présentent une configuration contrastée — les moyennes mobiles restent baissières (Vente), le MACD amorce un croisement haussier (Achat), tandis que le RSI, les Bandes de Bollinger et le Stochastique demeurent neutres. Cette divergence signale un marché en phase de transition, où la pression vendeuse s'essouffle sans qu'un signal d'achat franc ne soit encore validé. La prudence s'impose : seul le franchissement de la MM20 (21 505 FCFA) confirmerait un retournement de tendance.</w:t>
      </w:r>
    </w:p>
    <w:p>
      <w:pPr>
        <w:spacing w:after="120" w:line="276" w:lineRule="auto"/>
      </w:pPr>
      <w:r>
        <w:t>---</w:t>
      </w:r>
    </w:p>
    <w:p>
      <w:pPr>
        <w:spacing w:after="120" w:line="276" w:lineRule="auto"/>
      </w:pPr>
      <w:r>
        <w:t>## PARTIE 3 : ANALYSE FONDAMENTALE</w:t>
      </w:r>
    </w:p>
    <w:p>
      <w:pPr>
        <w:spacing w:after="120" w:line="276" w:lineRule="auto"/>
      </w:pPr>
      <w:r>
        <w:t>Les états financiers annuels 2025 de SITAB (exercice clos le 31 décembre 2025, rapport certifié) révèlent un chiffre d'affaires de 268,537 milliards FCFA, en croissance de 25,3% par rapport à 2024 (213,8 Mds FCFA), portée par une hausse des volumes de 5,6% et un effet prix favorable lié à la répercussion des droits d'accise. Le résultat net s'établit à 36,158 milliards FCFA, en baisse de 17,5% par rapport aux 44,2 Mds FCFA de 2024, conséquence directe du relèvement des droits d'accise de 49% à 70% en janvier 2025 et d'un contrôle fiscal. La rentabilité reste exceptionnelle avec un ROE de 79,75% (résultat net/capitaux propres de 45,337 Mds FCFA) et un ROA de 48,09%, tandis que la marge nette se comprime de 20,4% à 13,46%. La structure financière est remarquablement saine : autonomie financière de 60,3%, dépendance financière quasi nulle (0,0031%), trésorerie de 30,763 Mds FCFA et absence de dette financière significative (1,4 M FCFA). Le BFR de 5,639 Mds FCFA reste maîtrisé, avec un délai client de 42,57 jours (modéré pour le secteur) et une rotation des stocks très rapide (5,73 jours). Les rapports trimestriels 2026 confirment une dynamique contrastée : le T1 2026 (rapport publié en 2026) affiche un CA de 68,8 Mds FCFA (+12%) et des volumes en hausse de 10%, mais un résultat net stable à 9,3 Mds (-1%) sous la pression des charges ; le T2 2026 (rapport publié en 2026) montre un CA de 70,05 Mds (+1%) et un résultat net quasi stable à 8,64 Mds (-0,2%), avec une marge nette de 12,3%. Sur la base de ces tendances, on estime que l'exercice 2026 devrait clôturer avec un CA autour de 280-285 Mds FCFA et un résultat net de l'ordre de 35-37 Mds FCFA, la société parvenant à stabiliser ses marges après le choc fiscal de 2025. La politique de dividende reste généreuse (1 940 FCFA/action proposé pour 2025, soit un rendement de 9,1% au cours actuel), mais le payout de 84,9% limite la capacité de réinvestissement. En conclusion, SITAB demeure un fondamental solide — croissance du CA, rentabilité élevée, bilan sans dette — mais fait face à des risques réglementaires et fiscaux structurels qui pèsent sur la pérennité de ses marges.</w:t>
      </w:r>
    </w:p>
    <w:p>
      <w:pPr>
        <w:spacing w:after="120" w:line="276" w:lineRule="auto"/>
      </w:pPr>
      <w:r>
        <w:t>---</w:t>
      </w:r>
    </w:p>
    <w:p>
      <w:pPr>
        <w:spacing w:after="120" w:line="276" w:lineRule="auto"/>
      </w:pPr>
      <w:r>
        <w:t>## PARTIE 4 : CONCLUSION D'INVESTISSEMENT</w:t>
      </w:r>
    </w:p>
    <w:p>
      <w:pPr>
        <w:spacing w:after="120" w:line="276" w:lineRule="auto"/>
      </w:pPr>
      <w:r>
        <w:t>La valorisation de STBC présente un profil mixte : le PER de 10,6x est modéré et attractif, l'EV/EBITDA de 7,6x est raisonnable, mais le P/B de 8,48x traduit une prime exigeante qui repose entièrement sur la durabilité du ROE de 79,75% — un niveau historiquement exceptionnel et potentiellement non soutenable. Le comportement du cours sur 100 jours (+1,90%, volatilité de 36,6%, skewness positive de 0,597, kurtosis mésokurtique) révèle un titre en consolidation, sans tendance directionnelle forte, mais dont la distribution des rendements reste équilibrée et sans risque extrême. Les signaux techniques sont divergents : les moyennes mobiles restent baissières (Vente), le MACD amorce un croisement haussier (Achat), tandis que le RSI (48,5), les Bandes de Bollinger et le Stochastique demeurent neutres — configuration de transition qui appelle à la patience. Les fondamentaux 2025 (CA de 268,5 Mds FCFA, résultat net de 36,2 Mds, ROE de 79,75%, trésorerie de 30,8 Mds, zéro dette) confirment la solidité financière, mais la dégradation de la marge nette (de 20,4% à 13,46%) et les rapports 2026 (T1 et T2) montrent une stabilisation à un niveau inférieur, avec des volumes qui repartent (+10% au T1) mais des marges sous pression. Les prédictions IA (J+1 à J+10) projettent une trajectoire haussière de 22 038 à 23 193 FCFA (+8,4% sur 10 jours), ce qui contredit la tendance baissière des moyennes mobiles mais s'aligne sur le signal d'achat du MACD et le croisement haussier du Stochastique. **Recommandation finale : CONSERVER** — la convergence partielle entre valorisation modérée (PER), fondamentaux solides (bilan sans dette, ROE élevé) et signaux techniques de retournement (MACD, Stochastique) plaide pour le maintien de la position, mais l'absence de confirmation technique (cours sous MM20/MM50) et les risques réglementaires persistants interdisent un renforcement agressif. Le niveau de confiance est **Moyen** (signaux divergents), le risque global est **Moyen** (volatilité élevée mais bilan solide), et l'horizon optimal est le **moyen terme (3-12 mois)**, le temps que les résultats 2026 confirment la stabilisation des marges et que le cours reconquière ses moyennes mobiles.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181.01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6,866 titres</w:t>
            </w:r>
          </w:p>
        </w:tc>
        <w:tc>
          <w:tcPr>
            <w:tcW w:type="dxa" w:w="2268"/>
            <w:shd w:fill="FFF2CC" w:val="clear"/>
          </w:tcPr>
          <w:p>
            <w:r>
              <w:rPr>
                <w:b/>
                <w:color w:val="503200"/>
                <w:sz w:val="16"/>
              </w:rPr>
              <w:t xml:space="preserve">Cours actuel : </w:t>
            </w:r>
            <w:r>
              <w:rPr>
                <w:color w:val="000000"/>
                <w:sz w:val="17"/>
              </w:rPr>
              <w:t>2,875 FCFA</w:t>
            </w:r>
          </w:p>
          <w:p>
            <w:r>
              <w:rPr>
                <w:b/>
                <w:color w:val="503200"/>
                <w:sz w:val="16"/>
              </w:rPr>
              <w:t xml:space="preserve">Var. 100 jours : </w:t>
            </w:r>
            <w:r>
              <w:rPr>
                <w:b/>
                <w:color w:val="B40000"/>
                <w:sz w:val="17"/>
              </w:rPr>
              <w:t>-0.17%</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6.24% (Moyenne) — μ=3,033 FCFA, σ=189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β=0.1039 (Défensif) — Cov=0.000008, Var(idx)=0.000077, ρ=0.033,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0906"/>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2,754</w:t>
            </w:r>
          </w:p>
        </w:tc>
        <w:tc>
          <w:tcPr>
            <w:tcW w:type="dxa" w:w="1440"/>
            <w:shd w:fill="FAFAFA" w:val="clear"/>
          </w:tcPr>
          <w:p>
            <w:r>
              <w:rPr>
                <w:b/>
                <w:sz w:val="17"/>
              </w:rPr>
              <w:t>2,899</w:t>
            </w:r>
          </w:p>
        </w:tc>
        <w:tc>
          <w:tcPr>
            <w:tcW w:type="dxa" w:w="1440"/>
            <w:shd w:fill="FAFAFA" w:val="clear"/>
          </w:tcPr>
          <w:p>
            <w:r>
              <w:rPr>
                <w:sz w:val="17"/>
              </w:rPr>
              <w:t>3,043</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2,689</w:t>
            </w:r>
          </w:p>
        </w:tc>
        <w:tc>
          <w:tcPr>
            <w:tcW w:type="dxa" w:w="1440"/>
            <w:shd w:fill="FAFAFA" w:val="clear"/>
          </w:tcPr>
          <w:p>
            <w:r>
              <w:rPr>
                <w:b/>
                <w:sz w:val="17"/>
              </w:rPr>
              <w:t>2,893</w:t>
            </w:r>
          </w:p>
        </w:tc>
        <w:tc>
          <w:tcPr>
            <w:tcW w:type="dxa" w:w="1440"/>
            <w:shd w:fill="FAFAFA" w:val="clear"/>
          </w:tcPr>
          <w:p>
            <w:r>
              <w:rPr>
                <w:sz w:val="17"/>
              </w:rPr>
              <w:t>3,096</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2,646</w:t>
            </w:r>
          </w:p>
        </w:tc>
        <w:tc>
          <w:tcPr>
            <w:tcW w:type="dxa" w:w="1440"/>
            <w:shd w:fill="FAFAFA" w:val="clear"/>
          </w:tcPr>
          <w:p>
            <w:r>
              <w:rPr>
                <w:b/>
                <w:sz w:val="17"/>
              </w:rPr>
              <w:t>2,896</w:t>
            </w:r>
          </w:p>
        </w:tc>
        <w:tc>
          <w:tcPr>
            <w:tcW w:type="dxa" w:w="1440"/>
            <w:shd w:fill="FAFAFA" w:val="clear"/>
          </w:tcPr>
          <w:p>
            <w:r>
              <w:rPr>
                <w:sz w:val="17"/>
              </w:rPr>
              <w:t>3,146</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2,608</w:t>
            </w:r>
          </w:p>
        </w:tc>
        <w:tc>
          <w:tcPr>
            <w:tcW w:type="dxa" w:w="1440"/>
            <w:shd w:fill="FAFAFA" w:val="clear"/>
          </w:tcPr>
          <w:p>
            <w:r>
              <w:rPr>
                <w:b/>
                <w:sz w:val="17"/>
              </w:rPr>
              <w:t>2,897</w:t>
            </w:r>
          </w:p>
        </w:tc>
        <w:tc>
          <w:tcPr>
            <w:tcW w:type="dxa" w:w="1440"/>
            <w:shd w:fill="FAFAFA" w:val="clear"/>
          </w:tcPr>
          <w:p>
            <w:r>
              <w:rPr>
                <w:sz w:val="17"/>
              </w:rPr>
              <w:t>3,185</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2,573</w:t>
            </w:r>
          </w:p>
        </w:tc>
        <w:tc>
          <w:tcPr>
            <w:tcW w:type="dxa" w:w="1440"/>
            <w:shd w:fill="FAFAFA" w:val="clear"/>
          </w:tcPr>
          <w:p>
            <w:r>
              <w:rPr>
                <w:b/>
                <w:sz w:val="17"/>
              </w:rPr>
              <w:t>2,895</w:t>
            </w:r>
          </w:p>
        </w:tc>
        <w:tc>
          <w:tcPr>
            <w:tcW w:type="dxa" w:w="1440"/>
            <w:shd w:fill="FAFAFA" w:val="clear"/>
          </w:tcPr>
          <w:p>
            <w:r>
              <w:rPr>
                <w:sz w:val="17"/>
              </w:rPr>
              <w:t>3,218</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2,540</w:t>
            </w:r>
          </w:p>
        </w:tc>
        <w:tc>
          <w:tcPr>
            <w:tcW w:type="dxa" w:w="1440"/>
            <w:shd w:fill="FAFAFA" w:val="clear"/>
          </w:tcPr>
          <w:p>
            <w:r>
              <w:rPr>
                <w:b/>
                <w:sz w:val="17"/>
              </w:rPr>
              <w:t>2,893</w:t>
            </w:r>
          </w:p>
        </w:tc>
        <w:tc>
          <w:tcPr>
            <w:tcW w:type="dxa" w:w="1440"/>
            <w:shd w:fill="FAFAFA" w:val="clear"/>
          </w:tcPr>
          <w:p>
            <w:r>
              <w:rPr>
                <w:sz w:val="17"/>
              </w:rPr>
              <w:t>3,246</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2,509</w:t>
            </w:r>
          </w:p>
        </w:tc>
        <w:tc>
          <w:tcPr>
            <w:tcW w:type="dxa" w:w="1440"/>
            <w:shd w:fill="FAFAFA" w:val="clear"/>
          </w:tcPr>
          <w:p>
            <w:r>
              <w:rPr>
                <w:b/>
                <w:sz w:val="17"/>
              </w:rPr>
              <w:t>2,890</w:t>
            </w:r>
          </w:p>
        </w:tc>
        <w:tc>
          <w:tcPr>
            <w:tcW w:type="dxa" w:w="1440"/>
            <w:shd w:fill="FAFAFA" w:val="clear"/>
          </w:tcPr>
          <w:p>
            <w:r>
              <w:rPr>
                <w:sz w:val="17"/>
              </w:rPr>
              <w:t>3,271</w:t>
            </w:r>
          </w:p>
        </w:tc>
        <w:tc>
          <w:tcPr>
            <w:tcW w:type="dxa" w:w="1440"/>
            <w:shd w:fill="FAFAFA" w:val="clear"/>
          </w:tcPr>
          <w:p>
            <w:r>
              <w:rPr>
                <w:b/>
                <w:color w:val="008000"/>
                <w:sz w:val="17"/>
              </w:rPr>
              <w:t>+0.5%</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2,481</w:t>
            </w:r>
          </w:p>
        </w:tc>
        <w:tc>
          <w:tcPr>
            <w:tcW w:type="dxa" w:w="1440"/>
            <w:shd w:fill="FAFAFA" w:val="clear"/>
          </w:tcPr>
          <w:p>
            <w:r>
              <w:rPr>
                <w:b/>
                <w:sz w:val="17"/>
              </w:rPr>
              <w:t>2,887</w:t>
            </w:r>
          </w:p>
        </w:tc>
        <w:tc>
          <w:tcPr>
            <w:tcW w:type="dxa" w:w="1440"/>
            <w:shd w:fill="FAFAFA" w:val="clear"/>
          </w:tcPr>
          <w:p>
            <w:r>
              <w:rPr>
                <w:sz w:val="17"/>
              </w:rPr>
              <w:t>3,294</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2,454</w:t>
            </w:r>
          </w:p>
        </w:tc>
        <w:tc>
          <w:tcPr>
            <w:tcW w:type="dxa" w:w="1440"/>
            <w:shd w:fill="FAFAFA" w:val="clear"/>
          </w:tcPr>
          <w:p>
            <w:r>
              <w:rPr>
                <w:b/>
                <w:sz w:val="17"/>
              </w:rPr>
              <w:t>2,885</w:t>
            </w:r>
          </w:p>
        </w:tc>
        <w:tc>
          <w:tcPr>
            <w:tcW w:type="dxa" w:w="1440"/>
            <w:shd w:fill="FAFAFA" w:val="clear"/>
          </w:tcPr>
          <w:p>
            <w:r>
              <w:rPr>
                <w:sz w:val="17"/>
              </w:rPr>
              <w:t>3,316</w:t>
            </w:r>
          </w:p>
        </w:tc>
        <w:tc>
          <w:tcPr>
            <w:tcW w:type="dxa" w:w="1440"/>
            <w:shd w:fill="FAFAFA" w:val="clear"/>
          </w:tcPr>
          <w:p>
            <w:r>
              <w:rPr>
                <w:b/>
                <w:color w:val="008000"/>
                <w:sz w:val="17"/>
              </w:rPr>
              <w:t>+0.3%</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2,428</w:t>
            </w:r>
          </w:p>
        </w:tc>
        <w:tc>
          <w:tcPr>
            <w:tcW w:type="dxa" w:w="1440"/>
            <w:shd w:fill="FAFAFA" w:val="clear"/>
          </w:tcPr>
          <w:p>
            <w:r>
              <w:rPr>
                <w:b/>
                <w:sz w:val="17"/>
              </w:rPr>
              <w:t>2,882</w:t>
            </w:r>
          </w:p>
        </w:tc>
        <w:tc>
          <w:tcPr>
            <w:tcW w:type="dxa" w:w="1440"/>
            <w:shd w:fill="FAFAFA" w:val="clear"/>
          </w:tcPr>
          <w:p>
            <w:r>
              <w:rPr>
                <w:sz w:val="17"/>
              </w:rPr>
              <w:t>3,336</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 TOTALENERGIES MARKETING CÔTE D'IVOIRE (TTLC)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181,01 milliards FCFA, TTLC figure parmi les valeurs les plus capitalisées de la cote BRVM, ce qui témoigne de son statut de leader de la distribution pétrolière en Côte d'Ivoire. Le BPA de 144 FCFA par action signifie que chaque titre génère 144 FCFA de bénéfice net, un niveau correct pour un distributeur à faibles marges. Le PER de 19,9x se situe nettement au-dessus de la moyenne BRVM (~8-12x), traduisant une prime de qualité que les investisseurs acceptent de payer pour ce leader sectoriel, mais qui limite le potentiel de revalorisation à court terme. Le P/B de 5,00x confirme cette valorisation exigeante : le marché paie cinq fois la valeur comptable des fonds propres (36,2 Mds FCFA), un multiple élevé pour une activité de distribution à forte rotation mais à faible marge nette (1,54%). Enfin, l'EV/EBITDA de 10,5x, dans la fourchette haute (10-15x), indique que la valeur d'entreprise intègre déjà une bonne part de la capacité opérationnelle ; l'ensemble de ces ratios dessine une valorisation raisonnable sur les bénéfices mais tendue sur le patrimoine et l'EBITDA.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variation quasi nulle de -0,17%, mais la dernière séance a été marquée par une chute brutale de -7,26%, ramenant le cours à 2 875 FCFA. Le range de trading s'étend de 2 770 FCFA (plus bas) à 3 595 FCFA (plus haut), soit un amplitude de plus de 800 FCFA qui traduit une réelle nervosité du titre. La tendance générale est baissière sur la fin de période : le cours actuel (2 875 FCFA) se situe sous la moyenne (3 033 FCFA) et sous la médiane (2 990 FCFA), et l'écart entre moyenne et médiane — combiné à un skewness positif de 0,794 — confirme une asymétrie avec davantage de journées de cours sous la moyenne, typique d'une distribution tirée vers le bas par des séances de correction. L'écart-type de 190 FCFA (CV de 6,3%) indique une dispersion modérée autour de la moyenne, tandis que le kurtosis de -0,381 (mésokurtique) suggère un comportement proche d'une loi normale, sans pics extrêmes fréquents — un point rassurant pour la gestion du risque. La volatilité annualisée de 45,4% classe toutefois le titre dans la catégorie des valeurs à volatilité élevée (&gt;30%), ce qui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(3 050 FCFA) et la MM50 (3 171,2 FCFA) se situent toutes deux au-dessus du cours actuel (2 875 FCFA), et la MM20 est elle-même sous la MM50 — configuration baissière caractéristique. Le cours évoluant sous ses deux moyennes, la pression vendeuse domine clairement, ce qui justifie la décision **Vente**.</w:t>
      </w:r>
    </w:p>
    <w:p>
      <w:pPr>
        <w:spacing w:after="120" w:line="276" w:lineRule="auto"/>
      </w:pPr>
      <w:r>
        <w:t>**Bandes de Bollinger** : Le cours (2 875 FCFA) évolue dans la partie basse du canal, très proche de la borne inférieure (2 859,24 FCFA) et loin de la borne supérieure (3 240,76 FCFA). Cette position suggère un potentiel de rebond technique mais aussi une faiblesse persistante ; l'écart entre les bornes reflète une volatilité encore présente, justifiant la décision **Neutre**.</w:t>
      </w:r>
    </w:p>
    <w:p>
      <w:pPr>
        <w:spacing w:after="120" w:line="276" w:lineRule="auto"/>
      </w:pPr>
      <w:r>
        <w:t>**MACD** : La valeur du MACD (-48,391) est inférieure à sa ligne de signal (-44,582), avec un histogramme négatif qui confirme un momentum baissier toujours actif. L'absence de retournement visible de la divergence plaide pour la poursuite de la correction, justifiant la décision **Vente**.</w:t>
      </w:r>
    </w:p>
    <w:p>
      <w:pPr>
        <w:spacing w:after="120" w:line="276" w:lineRule="auto"/>
      </w:pPr>
      <w:r>
        <w:t>**RSI** : À 39,216, le RSI se situe dans la zone neutre basse (30-70), sans atteindre la zone de survente (&lt;30). Le titre n'est donc ni survendu ni suracheté, mais la dynamique reste faible ; la décision **Neutre** traduit l'absence de signal extrême exploitable.</w:t>
      </w:r>
    </w:p>
    <w:p>
      <w:pPr>
        <w:spacing w:after="120" w:line="276" w:lineRule="auto"/>
      </w:pPr>
      <w:r>
        <w:t>**Stochastique** : Le %K (1,493) est très bas, enfoncé en zone de survente, tandis que le %D (36,318) reste plus élevé — le croisement baissier est consommé et le %K extrême suggère un possible rebond à court terme. C'est ce qui justifie la décision **Achat** contrarienne sur cet indicateur isolé.</w:t>
      </w:r>
    </w:p>
    <w:p>
      <w:pPr>
        <w:spacing w:after="120" w:line="276" w:lineRule="auto"/>
      </w:pPr>
      <w:r>
        <w:t>**Conclusion technique** : Les indicateurs sont majoritairement baissiers (cours sous MM20/MM50, MACD négatif, Bandes de Bollinger en bas de canal), mais le Stochastique en survente extrême (%K = 1,49) et le RSI proche de 39 laissent entrevoir une possibilité de rebond technique. La convergence n'est donc pas totale : la tendance de fond reste baissière, mais un rebond de court terme n'est pas à exclure — configuration typique d'un titre en correction avancée qu'il convient d'aborder avec prudence.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TTLC a réalisé un chiffre d'affaires de 588,709 Mds FCFA, en repli de -5,21% par rapport à 2024 (621,0 Mds FCFA), pour un résultat net de 9,087 Mds FCFA, soit une marge nette de 1,54%. La rentabilité des fonds propres (ROE) atteint un niveau excellent de 25,10% (capitaux propres de 36,202 Mds FCFA), tandis que le ROA ressort à 4,82% pour un total actif de 188,472 Mds FCFA — la rotation des actifs est très élevée (312,36%), caractéristique d'un distributeur. **Adaptation au secteur (entreprise)** : le BFR est négatif (-9,662 Mds FCFA), ce qui est favorable (financement par les fournisseurs), avec un délai fournisseurs de 49,72 jours et une durée de stockage courte de 13,80 jours — signe d'une gestion logistique efficace. En revanche, la structure financière est fragile : autonomie financière de seulement 19,21% (seuil sain &gt;30%), ratio d'endettement de 90,23%, liquidité générale de 78,77% (&lt;1) et trésorerie nette négative de -21,926 Mds FCFA. **Estimations issues des rapports** : le rapport du T1 2026 (publié en 2026) montre un net redressement avec un CA de 154,392 Mds FCFA (+4,3%) et un résultat net de 2,329 Mds FCFA (+5,5%), porté par la hausse des volumes sur tous les canaux et un réseau de 182 stations ; on estime donc que l'exercice 2026 devrait renouer avec la croissance après le repli de 2025. Le rapport annuel 2025 (exercice clos 31/12/2025) confirme par ailleurs une amélioration opérationnelle (EBE +12% à 22,35 Mds, résultat d'exploitation +18% à 12,33 Mds) malgré la baisse du CA, et un dividende brut de 10 Mds FCFA représentant un payout supérieur à 100% — généreux mais potentiellement risqué au regard de la trésorerie négative. **Conclusion fondamentale** : société leader, très rentable sur ses fonds propres et bien gérée opérationnellement, mais fragilisée par un endettement élevé, une trésorerie nette négative et un payout excessif ; le redressement du T1 2026 est encourageant et plaide pour un profil **CONSERVER** avec surveillance de la soutenabilité de la distribution.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dessine un tableau contrasté. **Valorisation (Partie 0)** : le PER de 19,9x et le P/B de 5,00x traduisent une prime de qualité déjà bien intégrée, sans marge de sécurité évidente — ni sous-évaluation flagrante, ni surévaluation extrême. **Comportement du cours (Partie 1)** : la tendance récente est baissière (-7,26% en J-1, cours sous les moyennes), avec une volatilité élevée (45,4%) et un skewness positif signalant une pression vendeuse ; le kurtosis mésokurtique limite toutefois le risque de pics extrêmes. **Signaux techniques (Partie 2)** : divergence entre indicateurs de tendance (MM, MACD baissiers) et oscillateurs (Stochastique en survente extrême, RSI neutre-bas) — un rebond technique est possible mais la tendance de fond reste négative. **Fondamentaux (Partie 3)** : leader solide et très rentable (ROE 25,1%), mais structure financière tendue (autonomie 19,2%, trésorerie nette -21,9 Mds) et payout &gt;100% ; le T1 2026 (+4,3% de CA, +5,5% de résultat net) confirme un redressement à surveiller. **Prédictions IA (J+1 à J+10)** : la trajectoire projetée (2 899 → 2 895 FCFA) est légèrement haussière et stable, cohérente avec un rebond technique modéré mais sans franche accélération — elle ne contredit pas les autres signaux mais ne les confirme pas non plus fortement. **Recommandation finale : CONSERVER**, avec un **niveau de confiance Moyen** et un **risque global Moyen** (volatilité élevée + levier financier). L'horizon optimal est le **moyen terme (3-12 mois)**, le temps que le redressement du T1 2026 se confirme sur les trimestres suivants et que la soutenabilité du dividende soit clarifiée ; un investisseur déjà positionné peut conserver le titre pour son rendement, tandis qu'un nouvel entrant attendra une confirmation de la reprise des volumes et une amélioration de la trésorerie avant de se renforcer.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118.91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3,456 titres</w:t>
            </w:r>
          </w:p>
        </w:tc>
        <w:tc>
          <w:tcPr>
            <w:tcW w:type="dxa" w:w="2268"/>
            <w:shd w:fill="FFF2CC" w:val="clear"/>
          </w:tcPr>
          <w:p>
            <w:r>
              <w:rPr>
                <w:b/>
                <w:color w:val="503200"/>
                <w:sz w:val="16"/>
              </w:rPr>
              <w:t xml:space="preserve">Cours actuel : </w:t>
            </w:r>
            <w:r>
              <w:rPr>
                <w:color w:val="000000"/>
                <w:sz w:val="17"/>
              </w:rPr>
              <w:t>3,650 FCFA</w:t>
            </w:r>
          </w:p>
          <w:p>
            <w:r>
              <w:rPr>
                <w:b/>
                <w:color w:val="503200"/>
                <w:sz w:val="16"/>
              </w:rPr>
              <w:t xml:space="preserve">Var. 100 jours : </w:t>
            </w:r>
            <w:r>
              <w:rPr>
                <w:b/>
                <w:color w:val="007800"/>
                <w:sz w:val="17"/>
              </w:rPr>
              <w:t>+10.61%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6.57% (Moyenne) — μ=3,729 FCFA, σ=245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β=0.3746 (Défensif) — Cov=0.000029, Var(idx)=0.000077, ρ=0.124,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0906"/>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3,510</w:t>
            </w:r>
          </w:p>
        </w:tc>
        <w:tc>
          <w:tcPr>
            <w:tcW w:type="dxa" w:w="1440"/>
            <w:shd w:fill="FAFAFA" w:val="clear"/>
          </w:tcPr>
          <w:p>
            <w:r>
              <w:rPr>
                <w:b/>
                <w:sz w:val="17"/>
              </w:rPr>
              <w:t>3,638</w:t>
            </w:r>
          </w:p>
        </w:tc>
        <w:tc>
          <w:tcPr>
            <w:tcW w:type="dxa" w:w="1440"/>
            <w:shd w:fill="FAFAFA" w:val="clear"/>
          </w:tcPr>
          <w:p>
            <w:r>
              <w:rPr>
                <w:sz w:val="17"/>
              </w:rPr>
              <w:t>3,766</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3,449</w:t>
            </w:r>
          </w:p>
        </w:tc>
        <w:tc>
          <w:tcPr>
            <w:tcW w:type="dxa" w:w="1440"/>
            <w:shd w:fill="FAFAFA" w:val="clear"/>
          </w:tcPr>
          <w:p>
            <w:r>
              <w:rPr>
                <w:b/>
                <w:sz w:val="17"/>
              </w:rPr>
              <w:t>3,630</w:t>
            </w:r>
          </w:p>
        </w:tc>
        <w:tc>
          <w:tcPr>
            <w:tcW w:type="dxa" w:w="1440"/>
            <w:shd w:fill="FAFAFA" w:val="clear"/>
          </w:tcPr>
          <w:p>
            <w:r>
              <w:rPr>
                <w:sz w:val="17"/>
              </w:rPr>
              <w:t>3,811</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3,401</w:t>
            </w:r>
          </w:p>
        </w:tc>
        <w:tc>
          <w:tcPr>
            <w:tcW w:type="dxa" w:w="1440"/>
            <w:shd w:fill="FAFAFA" w:val="clear"/>
          </w:tcPr>
          <w:p>
            <w:r>
              <w:rPr>
                <w:b/>
                <w:sz w:val="17"/>
              </w:rPr>
              <w:t>3,622</w:t>
            </w:r>
          </w:p>
        </w:tc>
        <w:tc>
          <w:tcPr>
            <w:tcW w:type="dxa" w:w="1440"/>
            <w:shd w:fill="FAFAFA" w:val="clear"/>
          </w:tcPr>
          <w:p>
            <w:r>
              <w:rPr>
                <w:sz w:val="17"/>
              </w:rPr>
              <w:t>3,844</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3,361</w:t>
            </w:r>
          </w:p>
        </w:tc>
        <w:tc>
          <w:tcPr>
            <w:tcW w:type="dxa" w:w="1440"/>
            <w:shd w:fill="FAFAFA" w:val="clear"/>
          </w:tcPr>
          <w:p>
            <w:r>
              <w:rPr>
                <w:b/>
                <w:sz w:val="17"/>
              </w:rPr>
              <w:t>3,615</w:t>
            </w:r>
          </w:p>
        </w:tc>
        <w:tc>
          <w:tcPr>
            <w:tcW w:type="dxa" w:w="1440"/>
            <w:shd w:fill="FAFAFA" w:val="clear"/>
          </w:tcPr>
          <w:p>
            <w:r>
              <w:rPr>
                <w:sz w:val="17"/>
              </w:rPr>
              <w:t>3,870</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3,324</w:t>
            </w:r>
          </w:p>
        </w:tc>
        <w:tc>
          <w:tcPr>
            <w:tcW w:type="dxa" w:w="1440"/>
            <w:shd w:fill="FAFAFA" w:val="clear"/>
          </w:tcPr>
          <w:p>
            <w:r>
              <w:rPr>
                <w:b/>
                <w:sz w:val="17"/>
              </w:rPr>
              <w:t>3,609</w:t>
            </w:r>
          </w:p>
        </w:tc>
        <w:tc>
          <w:tcPr>
            <w:tcW w:type="dxa" w:w="1440"/>
            <w:shd w:fill="FAFAFA" w:val="clear"/>
          </w:tcPr>
          <w:p>
            <w:r>
              <w:rPr>
                <w:sz w:val="17"/>
              </w:rPr>
              <w:t>3,893</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3,291</w:t>
            </w:r>
          </w:p>
        </w:tc>
        <w:tc>
          <w:tcPr>
            <w:tcW w:type="dxa" w:w="1440"/>
            <w:shd w:fill="FAFAFA" w:val="clear"/>
          </w:tcPr>
          <w:p>
            <w:r>
              <w:rPr>
                <w:b/>
                <w:sz w:val="17"/>
              </w:rPr>
              <w:t>3,602</w:t>
            </w:r>
          </w:p>
        </w:tc>
        <w:tc>
          <w:tcPr>
            <w:tcW w:type="dxa" w:w="1440"/>
            <w:shd w:fill="FAFAFA" w:val="clear"/>
          </w:tcPr>
          <w:p>
            <w:r>
              <w:rPr>
                <w:sz w:val="17"/>
              </w:rPr>
              <w:t>3,913</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3,261</w:t>
            </w:r>
          </w:p>
        </w:tc>
        <w:tc>
          <w:tcPr>
            <w:tcW w:type="dxa" w:w="1440"/>
            <w:shd w:fill="FAFAFA" w:val="clear"/>
          </w:tcPr>
          <w:p>
            <w:r>
              <w:rPr>
                <w:b/>
                <w:sz w:val="17"/>
              </w:rPr>
              <w:t>3,596</w:t>
            </w:r>
          </w:p>
        </w:tc>
        <w:tc>
          <w:tcPr>
            <w:tcW w:type="dxa" w:w="1440"/>
            <w:shd w:fill="FAFAFA" w:val="clear"/>
          </w:tcPr>
          <w:p>
            <w:r>
              <w:rPr>
                <w:sz w:val="17"/>
              </w:rPr>
              <w:t>3,931</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3,232</w:t>
            </w:r>
          </w:p>
        </w:tc>
        <w:tc>
          <w:tcPr>
            <w:tcW w:type="dxa" w:w="1440"/>
            <w:shd w:fill="FAFAFA" w:val="clear"/>
          </w:tcPr>
          <w:p>
            <w:r>
              <w:rPr>
                <w:b/>
                <w:sz w:val="17"/>
              </w:rPr>
              <w:t>3,590</w:t>
            </w:r>
          </w:p>
        </w:tc>
        <w:tc>
          <w:tcPr>
            <w:tcW w:type="dxa" w:w="1440"/>
            <w:shd w:fill="FAFAFA" w:val="clear"/>
          </w:tcPr>
          <w:p>
            <w:r>
              <w:rPr>
                <w:sz w:val="17"/>
              </w:rPr>
              <w:t>3,948</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3,205</w:t>
            </w:r>
          </w:p>
        </w:tc>
        <w:tc>
          <w:tcPr>
            <w:tcW w:type="dxa" w:w="1440"/>
            <w:shd w:fill="FAFAFA" w:val="clear"/>
          </w:tcPr>
          <w:p>
            <w:r>
              <w:rPr>
                <w:b/>
                <w:sz w:val="17"/>
              </w:rPr>
              <w:t>3,584</w:t>
            </w:r>
          </w:p>
        </w:tc>
        <w:tc>
          <w:tcPr>
            <w:tcW w:type="dxa" w:w="1440"/>
            <w:shd w:fill="FAFAFA" w:val="clear"/>
          </w:tcPr>
          <w:p>
            <w:r>
              <w:rPr>
                <w:sz w:val="17"/>
              </w:rPr>
              <w:t>3,963</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3,180</w:t>
            </w:r>
          </w:p>
        </w:tc>
        <w:tc>
          <w:tcPr>
            <w:tcW w:type="dxa" w:w="1440"/>
            <w:shd w:fill="FAFAFA" w:val="clear"/>
          </w:tcPr>
          <w:p>
            <w:r>
              <w:rPr>
                <w:b/>
                <w:sz w:val="17"/>
              </w:rPr>
              <w:t>3,579</w:t>
            </w:r>
          </w:p>
        </w:tc>
        <w:tc>
          <w:tcPr>
            <w:tcW w:type="dxa" w:w="1440"/>
            <w:shd w:fill="FAFAFA" w:val="clear"/>
          </w:tcPr>
          <w:p>
            <w:r>
              <w:rPr>
                <w:sz w:val="17"/>
              </w:rPr>
              <w:t>3,978</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TTLS (TotalEnergies Marketing Sénégal)</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118,91 milliards FCFA, TTLS s'affirme comme une valeur de premier plan de la cote BRVM, reflétant la solidité de son leadership sur le marché sénégalais des produits pétroliers. Le BPA de 208 FCFA/action signifie que chaque titre génère un bénéfice net de 208 FCFA, tandis que le PER de 17,5x traduit une valorisation modérée mais supérieure à la moyenne BRVM (~8-12x), les investisseurs acceptant une prime pour la qualité et la stabilité de l'émetteur. Le P/B de 4,21x, nettement au-dessus de 1, indique que le marché valorise l'entreprise à plus de quatre fois sa valeur comptable — une prime exigeante qui suppose une confiance dans la capacité bénéficiaire future et la solidité des actifs immatériels (réseau de 140 stations, marque TotalEnergies). Enfin, l'EV/EBITDA de 7,4x, situé dans la fourchette raisonnable de 5-10x, suggère que la valeur d'entreprise reste cohérente avec la capacité opérationnelle de génération de cash-flow, offrant un point d'équilibre face à la cherté relative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affiche une progression totale de +10,61%, avec une dernière séance stable (variation J-1 de +0,00%), le cours se fixant à 3 650 FCFA. Le range de trading s'étend de 3 300 FCFA (plus bas) à 4 500 FCFA (plus haut), soit une amplitude de 36% qui témoigne d'une réelle dynamique haussière entrecoupée de phases de correction. La tendance générale est donc haussière, portée par la résilience opérationnelle de l'émetteur malgré la baisse du chiffre d'affaires. Les statistiques descriptives révèlent une moyenne de 3 729 FCFA légèrement supérieure à la médiane de 3 700 FCFA, avec un mode à 3 800 FCFA : l'écart moyenne-médiane, bien que faible, confirme une asymétrie positive (skewness de 0,771), indiquant davantage de journées de cotation sous la moyenne — le titre a donc connu des phases de faiblesse compensées par des pics haussiers. L'écart-type de 246 FCFA (CV de 6,6%) traduit une dispersion modérée du cours autour de sa moyenne, tandis que le kurtosis de 0,655 (mésokurtique) suggère un comportement proche d'une distribution normale, sans risque excessif de pics extrêmes. La volatilité annualisée de 42,1% positionne le titre dans la catégorie des valeurs à volatilité élevée (&gt;30%), ce qui est cohérent avec un marché frontière comme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(3 691 FCFA) et la MM50 (3 751,2 FCFA) se situent toutes deux au-dessus du cours actuel (3 650 FCFA), signalant une pression baissière de court et moyen terme. La configuration des moyennes (MM20 &lt; MM50) confirme une tendance descendante récente, justifiant la décision technique de **Vente** : le cours évolue sous ses références mobiles, ce qui plaide pour une poursuite de la correction à court terme.</w:t>
      </w:r>
    </w:p>
    <w:p>
      <w:pPr>
        <w:spacing w:after="120" w:line="276" w:lineRule="auto"/>
      </w:pPr>
      <w:r>
        <w:t>**Bandes de Bollinger :** Le cours (3 650 FCFA) se situe dans la moitié inférieure de la bande, entre la borne inférieure (3 518,87 FCFA) et la borne supérieure (3 863,13 FCFA), sans franchissement des extrêmes. Cette position centrale, couplée à un écart-type modéré, traduit une volatilité contenue et une absence de signal directionnel fort, justifiant la décision **Neutre** : le titre est en zone d'indécision, sans excès acheteur ni vendeur.</w:t>
      </w:r>
    </w:p>
    <w:p>
      <w:pPr>
        <w:spacing w:after="120" w:line="276" w:lineRule="auto"/>
      </w:pPr>
      <w:r>
        <w:t>**MACD :** La ligne MACD (-39,695) est légèrement au-dessus de sa ligne de signal (-42,002), générant un croisement haussier marginal. Ce différentiel positif, bien que faible, indique un momentum en voie d'amélioration et une possible inflexion de la tendance baissière, justifiant la décision **Achat** : le signal, précoce, suggère une reprise progressive de la dynamique.</w:t>
      </w:r>
    </w:p>
    <w:p>
      <w:pPr>
        <w:spacing w:after="120" w:line="276" w:lineRule="auto"/>
      </w:pPr>
      <w:r>
        <w:t>**RSI :** À 51,948, l'indice de force relative se situe en zone parfaitement neutre (entre 30 et 70), sans signe de surachat (&gt;70) ni de survente (&lt;30). Cette valeur médiane confirme l'équilibre entre acheteurs et vendeurs et justifie la décision **Neutre** : aucun signal d'action immédiate n'est délivré par cet oscillateur.</w:t>
      </w:r>
    </w:p>
    <w:p>
      <w:pPr>
        <w:spacing w:after="120" w:line="276" w:lineRule="auto"/>
      </w:pPr>
      <w:r>
        <w:t>**Stochastique :** Le %K (25,0) est inférieur au %D (33,333), avec un croisement baissier en zone basse (proche de la zone de survente à 20). Cette configuration signale une pression vendeuse persistante à court terme, mais la proximité de la zone de survente limite le potentiel de baisse, justifiant la décision **Neutre** : le signal baissier est contrebalancé par le risque de rebond technique.</w:t>
      </w:r>
    </w:p>
    <w:p>
      <w:pPr>
        <w:spacing w:after="120" w:line="276" w:lineRule="auto"/>
      </w:pPr>
      <w:r>
        <w:t>**Conclusion technique :** Les indicateurs présentent une configuration **mitigée et divergente** : les moyennes mobiles et le stochastique plaident pour la prudence (pression baissière), tandis que le MACD amorce un croisement haussier et que le RSI et les Bollinger restent neutres. Cette absence de convergence directionnelle suggère un marché en phase de consolidation, sans signal fort d'achat ou de vente — le titre devrait évoluer dans un range étroit (3 500-3 800 FCFA) en attendant un catalyseur.</w:t>
      </w:r>
    </w:p>
    <w:p>
      <w:pPr>
        <w:spacing w:after="120" w:line="276" w:lineRule="auto"/>
      </w:pPr>
      <w:r>
        <w:t>---</w:t>
      </w:r>
    </w:p>
    <w:p>
      <w:pPr>
        <w:spacing w:after="120" w:line="276" w:lineRule="auto"/>
      </w:pPr>
      <w:r>
        <w:t>## PARTIE 3 : ANALYSE FONDAMENTALE (SECTION CRITIQUE)</w:t>
      </w:r>
    </w:p>
    <w:p>
      <w:pPr>
        <w:spacing w:after="120" w:line="276" w:lineRule="auto"/>
      </w:pPr>
      <w:r>
        <w:t>Les états financiers consolidés de l'exercice 2025 (rapport officiel analysé le 2026-05-01) établissent un chiffre d'affaires de 455,209 milliards FCFA, en contraction de -6,13% par rapport à 2024 (484,945 milliards), et un résultat net de 6,779 milliards FCFA, soit une marge nette de 1,49%. La rentabilité des fonds propres (ROE) ressort à un niveau excellent de 24,01%, tandis que le ROA de 3,95% reflète la faible intensité capitalistique d'une activité de distribution à forte rotation (rotation des actifs de 265%). En tant qu'entreprise de distribution pétrolière, TTLS affiche un BFR négatif de -36,899 milliards FCFA — un signe très favorable de financement par les fournisseurs — avec un délai fournisseurs de 97,76 jours (nettement supérieur au délai clients de 47,43 jours), générant une trésorerie nette positive de 13,941 milliards FCFA. La structure financière reste toutefois à surveiller : l'autonomie financière de 16,44% est inférieure au seuil de 30%, et le ratio d'endettement de 52,16% traduit une dépendance aux dettes (143,539 milliards FCFA), bien que la capacité de remboursement (0,94 an) et la couverture des intérêts (485,9%) demeurent rassurantes. L'analyse des rapports trimestriels permet d'estimer la trajectoire 2026 : selon le rapport du T1 2026 (publié le 2026-05-04), le chiffre d'affaires recule de -10% à 99,9 milliards FCFA sous l'effet de la révision réglementaire des prix à la pompe, mais le résultat d'exploitation progresse de +28% (2,623 milliards) et le résultat net de +5% (1,585 milliards), la marge nette s'améliorant à 1,59% grâce aux lubrifiants. On estime donc que l'exercice 2026 devrait confirmer cette résilience opérationnelle, avec un résultat net annuel potentiellement supérieur à 6,5 milliards FCFA si la dynamique des marges se maintient. La recommandation fondamentale est de **CONSERVER** : la solidité du leader (69,1% détenu par TotalEnergies, 140 stations), la génération de free cash-flow de 17,483 milliards FCFA et la politique de dividende généreuse (7,691 milliards versés en 2025, soit un rendement estimé à ~6,5%) compensent la faiblesse structurelle des marges et les risques réglementaires.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dessine un profil **contrasté mais globalement défensif**. Sur le plan de la **valorisation (Partie 0)**, le PER de 17,5x et le P/B de 4,21x traduisent une légère surévaluation relative par rapport aux standards BRVM, tempérée par un EV/EBITDA raisonnable de 7,4x — le marché intègre déjà la prime de qualité du leader. Le **comportement du cours (Partie 1)** est favorable (+10,61% sur 100 jours, skewness positif, kurtosis normal), mais la volatilité élevée (42,1%) et la position sous les moyennes mobiles appellent à la prudence. Les **signaux techniques (Partie 2)** sont divergents : MACD haussier contre MM baissières et stochastique vendeur, dessinant une consolidation sans direction claire. Les **fondamentaux (Partie 3)** demeurent solides (ROE de 24%, BFR négatif, trésorerie nette positive, résilience du T1 2026 avec +28% de résultat d'exploitation), malgré la contraction du chiffre d'affaires et une autonomie financière limitée. Les **prédictions IA (J+1 à J+10)** anticipent une légère dérive baissière de 3 638 à 3 609 FCFA, cohérente avec la pression des moyennes mobiles mais contredisant le momentum du MACD. Face à cette convergence partielle — fondamentaux solides et valorisation correcte contre technique neutre-baissière et prédictions baissières — la recommandation finale est de **CONSERVER**, avec un **niveau de confiance moyen** et un **risque global modéré**. L'horizon d'investissement optimal est le **moyen à long terme (6-12 mois et plus)** : les investisseurs de rendement apprécieront le dividende attractif (~6,5%) et la résilience opérationnelle, tandis que les traders attendront un franchissement de la MM50 (3 751 FCFA) pour envisager une entrée. Un passage à l'**ACHAT** serait justifié si le titre revenait vers 3 500 FCFA (borne basse de Bollinger) ou si les résultats semestriels 2026 confirmaient la progression des marges.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413.71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45,050 FCFA</w:t>
            </w:r>
          </w:p>
          <w:p>
            <w:r>
              <w:rPr>
                <w:b/>
                <w:color w:val="503200"/>
                <w:sz w:val="16"/>
              </w:rPr>
              <w:t xml:space="preserve">Var. 100 jours : </w:t>
            </w:r>
            <w:r>
              <w:rPr>
                <w:b/>
                <w:color w:val="B40000"/>
                <w:sz w:val="17"/>
              </w:rPr>
              <w:t>-24.79%</w:t>
            </w:r>
          </w:p>
          <w:p>
            <w:r>
              <w:rPr>
                <w:b/>
                <w:color w:val="503200"/>
                <w:sz w:val="16"/>
              </w:rPr>
              <w:t xml:space="preserve">Plus haut 100j : </w:t>
            </w:r>
            <w:r>
              <w:rPr>
                <w:color w:val="000000"/>
                <w:sz w:val="17"/>
              </w:rPr>
              <w:t>59,900 FCFA</w:t>
            </w:r>
          </w:p>
          <w:p>
            <w:r>
              <w:rPr>
                <w:b/>
                <w:color w:val="503200"/>
                <w:sz w:val="16"/>
              </w:rPr>
              <w:t xml:space="preserve">Plus bas 100j : </w:t>
            </w:r>
            <w:r>
              <w:rPr>
                <w:color w:val="000000"/>
                <w:sz w:val="17"/>
              </w:rPr>
              <w:t>44,410 FCFA</w:t>
            </w:r>
          </w:p>
          <w:p>
            <w:r>
              <w:rPr>
                <w:b/>
                <w:color w:val="503200"/>
                <w:sz w:val="16"/>
              </w:rPr>
              <w:t xml:space="preserve">Volatilité ann. : </w:t>
            </w:r>
            <w:r>
              <w:rPr>
                <w:color w:val="000000"/>
                <w:sz w:val="17"/>
              </w:rPr>
              <w:t>55.9%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6.71% (Moyenne) — μ=53,411 FCFA, σ=3,583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β=0.6409 (Défensif) — Cov=0.000050, Var(idx)=0.000078, ρ=0.160,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2026-10-20</w:t>
            </w:r>
          </w:p>
        </w:tc>
        <w:tc>
          <w:tcPr>
            <w:tcW w:type="dxa" w:w="1440"/>
            <w:shd w:fill="FAFAFA" w:val="clear"/>
          </w:tcPr>
          <w:p>
            <w:r>
              <w:rPr>
                <w:sz w:val="17"/>
              </w:rPr>
              <w:t>42,141</w:t>
            </w:r>
          </w:p>
        </w:tc>
        <w:tc>
          <w:tcPr>
            <w:tcW w:type="dxa" w:w="1440"/>
            <w:shd w:fill="FAFAFA" w:val="clear"/>
          </w:tcPr>
          <w:p>
            <w:r>
              <w:rPr>
                <w:b/>
                <w:sz w:val="17"/>
              </w:rPr>
              <w:t>44,932</w:t>
            </w:r>
          </w:p>
        </w:tc>
        <w:tc>
          <w:tcPr>
            <w:tcW w:type="dxa" w:w="1440"/>
            <w:shd w:fill="FAFAFA" w:val="clear"/>
          </w:tcPr>
          <w:p>
            <w:r>
              <w:rPr>
                <w:sz w:val="17"/>
              </w:rPr>
              <w:t>47,723</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2026-10-21</w:t>
            </w:r>
          </w:p>
        </w:tc>
        <w:tc>
          <w:tcPr>
            <w:tcW w:type="dxa" w:w="1440"/>
            <w:shd w:fill="FAFAFA" w:val="clear"/>
          </w:tcPr>
          <w:p>
            <w:r>
              <w:rPr>
                <w:sz w:val="17"/>
              </w:rPr>
              <w:t>40,981</w:t>
            </w:r>
          </w:p>
        </w:tc>
        <w:tc>
          <w:tcPr>
            <w:tcW w:type="dxa" w:w="1440"/>
            <w:shd w:fill="FAFAFA" w:val="clear"/>
          </w:tcPr>
          <w:p>
            <w:r>
              <w:rPr>
                <w:b/>
                <w:sz w:val="17"/>
              </w:rPr>
              <w:t>44,928</w:t>
            </w:r>
          </w:p>
        </w:tc>
        <w:tc>
          <w:tcPr>
            <w:tcW w:type="dxa" w:w="1440"/>
            <w:shd w:fill="FAFAFA" w:val="clear"/>
          </w:tcPr>
          <w:p>
            <w:r>
              <w:rPr>
                <w:sz w:val="17"/>
              </w:rPr>
              <w:t>48,875</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2026-10-22</w:t>
            </w:r>
          </w:p>
        </w:tc>
        <w:tc>
          <w:tcPr>
            <w:tcW w:type="dxa" w:w="1440"/>
            <w:shd w:fill="FAFAFA" w:val="clear"/>
          </w:tcPr>
          <w:p>
            <w:r>
              <w:rPr>
                <w:sz w:val="17"/>
              </w:rPr>
              <w:t>40,115</w:t>
            </w:r>
          </w:p>
        </w:tc>
        <w:tc>
          <w:tcPr>
            <w:tcW w:type="dxa" w:w="1440"/>
            <w:shd w:fill="FAFAFA" w:val="clear"/>
          </w:tcPr>
          <w:p>
            <w:r>
              <w:rPr>
                <w:b/>
                <w:sz w:val="17"/>
              </w:rPr>
              <w:t>44,951</w:t>
            </w:r>
          </w:p>
        </w:tc>
        <w:tc>
          <w:tcPr>
            <w:tcW w:type="dxa" w:w="1440"/>
            <w:shd w:fill="FAFAFA" w:val="clear"/>
          </w:tcPr>
          <w:p>
            <w:r>
              <w:rPr>
                <w:sz w:val="17"/>
              </w:rPr>
              <w:t>49,788</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39,399</w:t>
            </w:r>
          </w:p>
        </w:tc>
        <w:tc>
          <w:tcPr>
            <w:tcW w:type="dxa" w:w="1440"/>
            <w:shd w:fill="FAFAFA" w:val="clear"/>
          </w:tcPr>
          <w:p>
            <w:r>
              <w:rPr>
                <w:b/>
                <w:sz w:val="17"/>
              </w:rPr>
              <w:t>44,988</w:t>
            </w:r>
          </w:p>
        </w:tc>
        <w:tc>
          <w:tcPr>
            <w:tcW w:type="dxa" w:w="1440"/>
            <w:shd w:fill="FAFAFA" w:val="clear"/>
          </w:tcPr>
          <w:p>
            <w:r>
              <w:rPr>
                <w:sz w:val="17"/>
              </w:rPr>
              <w:t>50,578</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38,777</w:t>
            </w:r>
          </w:p>
        </w:tc>
        <w:tc>
          <w:tcPr>
            <w:tcW w:type="dxa" w:w="1440"/>
            <w:shd w:fill="FAFAFA" w:val="clear"/>
          </w:tcPr>
          <w:p>
            <w:r>
              <w:rPr>
                <w:b/>
                <w:sz w:val="17"/>
              </w:rPr>
              <w:t>45,033</w:t>
            </w:r>
          </w:p>
        </w:tc>
        <w:tc>
          <w:tcPr>
            <w:tcW w:type="dxa" w:w="1440"/>
            <w:shd w:fill="FAFAFA" w:val="clear"/>
          </w:tcPr>
          <w:p>
            <w:r>
              <w:rPr>
                <w:sz w:val="17"/>
              </w:rPr>
              <w:t>51,288</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2026-10-27</w:t>
            </w:r>
          </w:p>
        </w:tc>
        <w:tc>
          <w:tcPr>
            <w:tcW w:type="dxa" w:w="1440"/>
            <w:shd w:fill="FAFAFA" w:val="clear"/>
          </w:tcPr>
          <w:p>
            <w:r>
              <w:rPr>
                <w:sz w:val="17"/>
              </w:rPr>
              <w:t>38,221</w:t>
            </w:r>
          </w:p>
        </w:tc>
        <w:tc>
          <w:tcPr>
            <w:tcW w:type="dxa" w:w="1440"/>
            <w:shd w:fill="FAFAFA" w:val="clear"/>
          </w:tcPr>
          <w:p>
            <w:r>
              <w:rPr>
                <w:b/>
                <w:sz w:val="17"/>
              </w:rPr>
              <w:t>45,081</w:t>
            </w:r>
          </w:p>
        </w:tc>
        <w:tc>
          <w:tcPr>
            <w:tcW w:type="dxa" w:w="1440"/>
            <w:shd w:fill="FAFAFA" w:val="clear"/>
          </w:tcPr>
          <w:p>
            <w:r>
              <w:rPr>
                <w:sz w:val="17"/>
              </w:rPr>
              <w:t>51,941</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2026-10-28</w:t>
            </w:r>
          </w:p>
        </w:tc>
        <w:tc>
          <w:tcPr>
            <w:tcW w:type="dxa" w:w="1440"/>
            <w:shd w:fill="FAFAFA" w:val="clear"/>
          </w:tcPr>
          <w:p>
            <w:r>
              <w:rPr>
                <w:sz w:val="17"/>
              </w:rPr>
              <w:t>37,714</w:t>
            </w:r>
          </w:p>
        </w:tc>
        <w:tc>
          <w:tcPr>
            <w:tcW w:type="dxa" w:w="1440"/>
            <w:shd w:fill="FAFAFA" w:val="clear"/>
          </w:tcPr>
          <w:p>
            <w:r>
              <w:rPr>
                <w:b/>
                <w:sz w:val="17"/>
              </w:rPr>
              <w:t>45,132</w:t>
            </w:r>
          </w:p>
        </w:tc>
        <w:tc>
          <w:tcPr>
            <w:tcW w:type="dxa" w:w="1440"/>
            <w:shd w:fill="FAFAFA" w:val="clear"/>
          </w:tcPr>
          <w:p>
            <w:r>
              <w:rPr>
                <w:sz w:val="17"/>
              </w:rPr>
              <w:t>52,550</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2026-10-29</w:t>
            </w:r>
          </w:p>
        </w:tc>
        <w:tc>
          <w:tcPr>
            <w:tcW w:type="dxa" w:w="1440"/>
            <w:shd w:fill="FAFAFA" w:val="clear"/>
          </w:tcPr>
          <w:p>
            <w:r>
              <w:rPr>
                <w:sz w:val="17"/>
              </w:rPr>
              <w:t>37,245</w:t>
            </w:r>
          </w:p>
        </w:tc>
        <w:tc>
          <w:tcPr>
            <w:tcW w:type="dxa" w:w="1440"/>
            <w:shd w:fill="FAFAFA" w:val="clear"/>
          </w:tcPr>
          <w:p>
            <w:r>
              <w:rPr>
                <w:b/>
                <w:sz w:val="17"/>
              </w:rPr>
              <w:t>45,184</w:t>
            </w:r>
          </w:p>
        </w:tc>
        <w:tc>
          <w:tcPr>
            <w:tcW w:type="dxa" w:w="1440"/>
            <w:shd w:fill="FAFAFA" w:val="clear"/>
          </w:tcPr>
          <w:p>
            <w:r>
              <w:rPr>
                <w:sz w:val="17"/>
              </w:rPr>
              <w:t>53,123</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2026-10-30</w:t>
            </w:r>
          </w:p>
        </w:tc>
        <w:tc>
          <w:tcPr>
            <w:tcW w:type="dxa" w:w="1440"/>
            <w:shd w:fill="FAFAFA" w:val="clear"/>
          </w:tcPr>
          <w:p>
            <w:r>
              <w:rPr>
                <w:sz w:val="17"/>
              </w:rPr>
              <w:t>36,806</w:t>
            </w:r>
          </w:p>
        </w:tc>
        <w:tc>
          <w:tcPr>
            <w:tcW w:type="dxa" w:w="1440"/>
            <w:shd w:fill="FAFAFA" w:val="clear"/>
          </w:tcPr>
          <w:p>
            <w:r>
              <w:rPr>
                <w:b/>
                <w:sz w:val="17"/>
              </w:rPr>
              <w:t>45,236</w:t>
            </w:r>
          </w:p>
        </w:tc>
        <w:tc>
          <w:tcPr>
            <w:tcW w:type="dxa" w:w="1440"/>
            <w:shd w:fill="FAFAFA" w:val="clear"/>
          </w:tcPr>
          <w:p>
            <w:r>
              <w:rPr>
                <w:sz w:val="17"/>
              </w:rPr>
              <w:t>53,667</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2026-11-02</w:t>
            </w:r>
          </w:p>
        </w:tc>
        <w:tc>
          <w:tcPr>
            <w:tcW w:type="dxa" w:w="1440"/>
            <w:shd w:fill="FAFAFA" w:val="clear"/>
          </w:tcPr>
          <w:p>
            <w:r>
              <w:rPr>
                <w:sz w:val="17"/>
              </w:rPr>
              <w:t>36,392</w:t>
            </w:r>
          </w:p>
        </w:tc>
        <w:tc>
          <w:tcPr>
            <w:tcW w:type="dxa" w:w="1440"/>
            <w:shd w:fill="FAFAFA" w:val="clear"/>
          </w:tcPr>
          <w:p>
            <w:r>
              <w:rPr>
                <w:b/>
                <w:sz w:val="17"/>
              </w:rPr>
              <w:t>45,289</w:t>
            </w:r>
          </w:p>
        </w:tc>
        <w:tc>
          <w:tcPr>
            <w:tcW w:type="dxa" w:w="1440"/>
            <w:shd w:fill="FAFAFA" w:val="clear"/>
          </w:tcPr>
          <w:p>
            <w:r>
              <w:rPr>
                <w:sz w:val="17"/>
              </w:rPr>
              <w:t>54,186</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COTE D'IVOIRE (UNLC)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**413,71 milliards FCFA**, un niveau qui place la valeur parmi les capitalisations significatives de la cote BRVM, bien que très en retrait des poids lourds comme SONATEL. Les ratios de valorisation boursière (BPA, PER, P/B, EV/EBITDA) ne sont pas calculables en l'état, faute de données financières structurées exploitables dans la base (les états financiers disponibles étant anciens et non retraités). On peut néanmoins inférer un **BPA très faible** au regard du bénéfice net 2023 de 640,3 M FCFA rapporté à un nombre d'actions estimé à environ 9,18 millions de titres (capitalisation/cours), soit un BPA de l'ordre de 70 FCFA — ce qui, au cours actuel de 45 050 FCFA, impliquerait un **PER théorique extrêmement élevé (&gt;600x)**, très supérieur à la moyenne BRVM de 8-12x, signalant une valorisation boursière déconnectée des bénéfices courants. Le P/B serait quant à lui négatif (capitaux propres négatifs de -10 658 M FCFA en 2023), ce qui traduit une valorisation de marché sans ancrage comptable positif. Ces constats imposent la plus grande prudence : le marché valorise essentiellement la marque et le potentiel de redressement, non les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UNLC affiche une **variation totale de -24,79%**, une correction sévère, tandis que la dernière séance (J-1) marque une quasi-stabilisation avec **+0,11%**. Le cours actuel de **45 050 FCFA** évolue dans un range de trading de **44 410 FCFA (plus bas) à 59 900 FCFA (plus haut)**, soit un amplitude de plus de 15 000 FCFA ; le titre se situe donc tout près de son plancher, signe d'une tendance nettement **baissière** sur la période. Les statistiques descriptives confirment ce diagnostic : la **moyenne (53 411 FCFA)** est inférieure à la **médiane (54 000 FCFA)** et au **mode (51 000 FCFA)**, avec un skewness de **-0,469** indiquant une distribution légèrement asymétrique à gauche (queue de valeurs basses), cohérente avec la pression vendeuse récente. L'**écart-type de 3 601 FCFA** pour un **CV de 6,7%** traduit une dispersion modérée du cours autour de sa moyenne, tandis que le **kurtosis de -0,213 (mésokurtique)** suggère une distribution proche de la normale, sans risque marqué de pics extrêmes. La **volatilité annualisée de 55,9%** classe le titre dans la catégorie **élevée (&gt;30%)**, reflet d'un actif spéculatif et peu liquide (volume moyen de seulement 21 titres/jour), ce qui accentue le risque d'exécution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(48 301,25 FCFA) et la MM50 (51 675,4 FCFA) se situent toutes deux **au-dessus du cours actuel** (45 050 FCFA), et la MM20 est elle-même sous la MM50 — configuration baissière caractéristique d'un marché en tendance descendante. Le cours évoluant sous ses deux moyennes, la décision technique est logiquement **Vente**, confirmant la pression baissière de fond.</w:t>
      </w:r>
    </w:p>
    <w:p>
      <w:pPr>
        <w:spacing w:after="120" w:line="276" w:lineRule="auto"/>
      </w:pPr>
      <w:r>
        <w:t>**Bandes de Bollinger** : Le cours (45 050 FCFA) se situe dans la moitié basse de la bande, entre la borne inférieure (43 454,06 FCFA) et la borne supérieure (53 148,44 FCFA), sans franchissement de seuil extrême. Cette position, proche de la borne basse sans la percer, traduit une volatilité contenue et une absence de signal directionnel fort, d'où la décision **Neutre** — le titre est en zone de consolidation basse plutôt qu'en survente technique franche.</w:t>
      </w:r>
    </w:p>
    <w:p>
      <w:pPr>
        <w:spacing w:after="120" w:line="276" w:lineRule="auto"/>
      </w:pPr>
      <w:r>
        <w:t>**MACD** : La valeur du MACD (-1 859,883) est **inférieure à son signal** (-1 569,446), avec un histogramme négatif qui matérialise un momentum baissier persistant. La divergence négative MACD-Signal confirme que la dynamique de court terme reste défavorable, justifiant la décision **Vente** malgré le niveau déjà déprimé du cours.</w:t>
      </w:r>
    </w:p>
    <w:p>
      <w:pPr>
        <w:spacing w:after="120" w:line="276" w:lineRule="auto"/>
      </w:pPr>
      <w:r>
        <w:t>**RSI** : À **30,682**, le RSI se situe juste au-dessus du seuil de survente (30), en zone **neutre basse**. Le titre n'est donc pas encore techniquement en survente extrême, mais la proximité du seuil suggère un potentiel de rebond technique limité ; la décision **Neutre** traduit cette position charnière, entre risque de poursuite baissière et amorce possible de stabilisation.</w:t>
      </w:r>
    </w:p>
    <w:p>
      <w:pPr>
        <w:spacing w:after="120" w:line="276" w:lineRule="auto"/>
      </w:pPr>
      <w:r>
        <w:t>**Stochastique** : Le %K (9,712) et le %D (6,222) sont tous deux en **zone de survente profonde (&lt;20)**, avec un %K légèrement supérieur au %D — configuration propice à un croisement haussier imminent. Cette lecture contraste avec les autres indicateurs et justifie la décision **Achat** à court terme, signalant un possible rebond technique après la correction.</w:t>
      </w:r>
    </w:p>
    <w:p>
      <w:pPr>
        <w:spacing w:after="120" w:line="276" w:lineRule="auto"/>
      </w:pPr>
      <w:r>
        <w:t>**Conclusion technique** : Les indicateurs sont **majoritairement baissiers** (MM, MACD) avec un RSI neutre-bas et des Bandes de Bollinger neutres, mais le Stochastique en survente profonde suggère un **rebond technique possible à très court terme**. La convergence n'est donc pas totale : la tendance de fond reste baissière, mais un rebond de court terme ne peut être exclu. Le profil est celui d'un titre survendu en tendance descendante, nécessitant une confirmation par le volume avant tout engagement.</w:t>
      </w:r>
    </w:p>
    <w:p>
      <w:pPr>
        <w:spacing w:after="120" w:line="276" w:lineRule="auto"/>
      </w:pPr>
      <w:r>
        <w:t>---</w:t>
      </w:r>
    </w:p>
    <w:p>
      <w:pPr>
        <w:spacing w:after="120" w:line="276" w:lineRule="auto"/>
      </w:pPr>
      <w:r>
        <w:t>## PARTIE 3 : ANALYSE FONDAMENTALE (SECTION CRITIQUE)</w:t>
      </w:r>
    </w:p>
    <w:p>
      <w:pPr>
        <w:spacing w:after="120" w:line="276" w:lineRule="auto"/>
      </w:pPr>
      <w:r>
        <w:t>Les états financiers officiels les plus récents disponibles pour UNLC portent sur l'**exercice clos le 31 décembre 2023** (rapport analysé le 15 mars 2026) : le **chiffre d'affaires s'établit à 24 336 010 000 FCFA**, strictement stable par rapport à 2022, traduisant une **absence de croissance organique**. Le **résultat net 2023 ressort à 640 334 855 FCFA**, en net redressement après la **perte massive de -6 908 362 002 FCFA en 2022** (rapport du 31 décembre 2022 analysé le 15 mars 2026), soit une marge nette de seulement **2,63%**, très inférieure à la moyenne sectorielle FMCG (5-10%). Le **résultat d'exploitation** repasse en territoire positif à **+3 340 M FCFA** (contre -6 258 M FCFA en 2022), grâce à la réduction des charges et à la hausse des produits accessoires, tandis que les frais financiers reculent à 135 M FCFA (contre 566 M FCFA). La structure financière demeure toutefois **très fragile** : les **capitaux propres sont négatifs à -10 658 M FCFA**, le **report à nouveau atteint -35 635 M FCFA**, et les **dettes financières progressent à 4 379 M FCFA** (contre 3 827 M FCFA en 2022), avec une trésorerie passive de 14 874 M FCFA signalant un risque de liquidité. Le ROE et le ROA ne sont pas significatifs en raison de capitaux propres négatifs. La politique de dividende est **suspendue** (aucun DPA en 2023, cohérent avec le bénéfice modeste et les pertes cumulées). L'historique 2021 (rapport du 31 décembre 2021) montrait un bénéfice de 6 090 M FCFA et une marge nette de 25%, illustrant la **volatilité extrême des résultats** d'un exercice à l'autre. En synthèse, la recommandation fondamentale reste **CONSERVER avec vigilance** : le redressement opérationnel de 2023 est réel mais fragile, la structure bilancielle (capitaux propres négatifs, endettement croissant) constitue un risque majeur, et aucune distribution de dividende n'est envisageable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**divergence profonde entre le marché et les fondamentaux**. Sur le plan de la **valorisation (Partie 0)**, la capitalisation de 413,71 Mds FCFA pour un bénéfice net de 640 M FCFA implique un PER théorique extrêmement élevé et un P/B négatif — le titre est **surévalué** au regard des bénéfices courants, le marché payant la marque et le potentiel de redressement plutôt que la rentabilité actuelle. Le **comportement du cours (Partie 1)** est préoccupant : correction de -24,79% sur 100 jours, cours collé au plancher (44 410 FCFA), volatilité élevée de 55,9% et liquidité très faible (21 titres/jour), avec un skewness négatif confirmant la pression vendeuse. Les **signaux techniques (Partie 2)** sont majoritairement baissiers (MM20 &lt; MM50 &lt; cours, MACD négatif), tempérés par un Stochastique en survente profonde (%K=9,7) suggérant un rebond technique de court terme — mais sans convergence franche. Les **fondamentaux (Partie 3)** demeurent fragiles malgré le redressement 2023 : capitaux propres négatifs, endettement croissant, marge nette de 2,63% et absence de dividende. Enfin, les **prédictions IA (J+1 à J+10)** anticipent une trajectoire quasi-plate et légèrement haussière (44 932 → 45 033 FCFA, soit +0,2% sur 5 séances), ce qui **contredit partiellement** le momentum baissier mais **confirme** la thèse d'une stabilisation autour de 45 000 FCFA sans rebond significatif. **Recommandation finale : CONSERVER (avec vigilance)**, avec un **niveau de confiance moyen** et un **risque global élevé** (faible liquidité, volatilité 55,9%, structure bilancielle dégradée). L'horizon optimal est le **moyen terme (3-12 mois)**, le temps de vérifier la confirmation du redressement opérationnel de 2024-2025 et une éventuelle reconstitution des capitaux propres ; un achat ne se justifierait qu'en cas de cassure confirmée au-dessus de la MM20 (48 301 FCFA) avec volumes, ou d'une chute sous 43 454 FCFA (borne basse de Bollinger) offrant un point d'entrée spéculatif.</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13,295 titres</w:t>
            </w:r>
          </w:p>
        </w:tc>
        <w:tc>
          <w:tcPr>
            <w:tcW w:type="dxa" w:w="2268"/>
            <w:shd w:fill="FFF2CC" w:val="clear"/>
          </w:tcPr>
          <w:p>
            <w:r>
              <w:rPr>
                <w:b/>
                <w:color w:val="503200"/>
                <w:sz w:val="16"/>
              </w:rPr>
              <w:t xml:space="preserve">Cours actuel : </w:t>
            </w:r>
            <w:r>
              <w:rPr>
                <w:color w:val="000000"/>
                <w:sz w:val="17"/>
              </w:rPr>
              <w:t>2,105 FCFA</w:t>
            </w:r>
          </w:p>
          <w:p>
            <w:r>
              <w:rPr>
                <w:b/>
                <w:color w:val="503200"/>
                <w:sz w:val="16"/>
              </w:rPr>
              <w:t xml:space="preserve">Var. 100 jours : </w:t>
            </w:r>
            <w:r>
              <w:rPr>
                <w:b/>
                <w:color w:val="007800"/>
                <w:sz w:val="17"/>
              </w:rPr>
              <w:t>+18.93%</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14.75% (Moyenne) — μ=2,046 FCFA, σ=302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β=0.7078 (Défensif) — Cov=0.000055, Var(idx)=0.000077, ρ=0.196,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13,295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585033"/>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58503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2026-10-20</w:t>
            </w:r>
          </w:p>
        </w:tc>
        <w:tc>
          <w:tcPr>
            <w:tcW w:type="dxa" w:w="1440"/>
            <w:shd w:fill="FAFAFA" w:val="clear"/>
          </w:tcPr>
          <w:p>
            <w:r>
              <w:rPr>
                <w:sz w:val="17"/>
              </w:rPr>
              <w:t>2,036</w:t>
            </w:r>
          </w:p>
        </w:tc>
        <w:tc>
          <w:tcPr>
            <w:tcW w:type="dxa" w:w="1440"/>
            <w:shd w:fill="FAFAFA" w:val="clear"/>
          </w:tcPr>
          <w:p>
            <w:r>
              <w:rPr>
                <w:b/>
                <w:sz w:val="17"/>
              </w:rPr>
              <w:t>2,110</w:t>
            </w:r>
          </w:p>
        </w:tc>
        <w:tc>
          <w:tcPr>
            <w:tcW w:type="dxa" w:w="1440"/>
            <w:shd w:fill="FAFAFA" w:val="clear"/>
          </w:tcPr>
          <w:p>
            <w:r>
              <w:rPr>
                <w:sz w:val="17"/>
              </w:rPr>
              <w:t>2,185</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2026-10-21</w:t>
            </w:r>
          </w:p>
        </w:tc>
        <w:tc>
          <w:tcPr>
            <w:tcW w:type="dxa" w:w="1440"/>
            <w:shd w:fill="FAFAFA" w:val="clear"/>
          </w:tcPr>
          <w:p>
            <w:r>
              <w:rPr>
                <w:sz w:val="17"/>
              </w:rPr>
              <w:t>1,991</w:t>
            </w:r>
          </w:p>
        </w:tc>
        <w:tc>
          <w:tcPr>
            <w:tcW w:type="dxa" w:w="1440"/>
            <w:shd w:fill="FAFAFA" w:val="clear"/>
          </w:tcPr>
          <w:p>
            <w:r>
              <w:rPr>
                <w:b/>
                <w:sz w:val="17"/>
              </w:rPr>
              <w:t>2,096</w:t>
            </w:r>
          </w:p>
        </w:tc>
        <w:tc>
          <w:tcPr>
            <w:tcW w:type="dxa" w:w="1440"/>
            <w:shd w:fill="FAFAFA" w:val="clear"/>
          </w:tcPr>
          <w:p>
            <w:r>
              <w:rPr>
                <w:sz w:val="17"/>
              </w:rPr>
              <w:t>2,201</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2026-10-22</w:t>
            </w:r>
          </w:p>
        </w:tc>
        <w:tc>
          <w:tcPr>
            <w:tcW w:type="dxa" w:w="1440"/>
            <w:shd w:fill="FAFAFA" w:val="clear"/>
          </w:tcPr>
          <w:p>
            <w:r>
              <w:rPr>
                <w:sz w:val="17"/>
              </w:rPr>
              <w:t>1,957</w:t>
            </w:r>
          </w:p>
        </w:tc>
        <w:tc>
          <w:tcPr>
            <w:tcW w:type="dxa" w:w="1440"/>
            <w:shd w:fill="FAFAFA" w:val="clear"/>
          </w:tcPr>
          <w:p>
            <w:r>
              <w:rPr>
                <w:b/>
                <w:sz w:val="17"/>
              </w:rPr>
              <w:t>2,085</w:t>
            </w:r>
          </w:p>
        </w:tc>
        <w:tc>
          <w:tcPr>
            <w:tcW w:type="dxa" w:w="1440"/>
            <w:shd w:fill="FAFAFA" w:val="clear"/>
          </w:tcPr>
          <w:p>
            <w:r>
              <w:rPr>
                <w:sz w:val="17"/>
              </w:rPr>
              <w:t>2,213</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2026-10-23</w:t>
            </w:r>
          </w:p>
        </w:tc>
        <w:tc>
          <w:tcPr>
            <w:tcW w:type="dxa" w:w="1440"/>
            <w:shd w:fill="FAFAFA" w:val="clear"/>
          </w:tcPr>
          <w:p>
            <w:r>
              <w:rPr>
                <w:sz w:val="17"/>
              </w:rPr>
              <w:t>1,928</w:t>
            </w:r>
          </w:p>
        </w:tc>
        <w:tc>
          <w:tcPr>
            <w:tcW w:type="dxa" w:w="1440"/>
            <w:shd w:fill="FAFAFA" w:val="clear"/>
          </w:tcPr>
          <w:p>
            <w:r>
              <w:rPr>
                <w:b/>
                <w:sz w:val="17"/>
              </w:rPr>
              <w:t>2,074</w:t>
            </w:r>
          </w:p>
        </w:tc>
        <w:tc>
          <w:tcPr>
            <w:tcW w:type="dxa" w:w="1440"/>
            <w:shd w:fill="FAFAFA" w:val="clear"/>
          </w:tcPr>
          <w:p>
            <w:r>
              <w:rPr>
                <w:sz w:val="17"/>
              </w:rPr>
              <w:t>2,221</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2026-10-26</w:t>
            </w:r>
          </w:p>
        </w:tc>
        <w:tc>
          <w:tcPr>
            <w:tcW w:type="dxa" w:w="1440"/>
            <w:shd w:fill="FAFAFA" w:val="clear"/>
          </w:tcPr>
          <w:p>
            <w:r>
              <w:rPr>
                <w:sz w:val="17"/>
              </w:rPr>
              <w:t>1,901</w:t>
            </w:r>
          </w:p>
        </w:tc>
        <w:tc>
          <w:tcPr>
            <w:tcW w:type="dxa" w:w="1440"/>
            <w:shd w:fill="FAFAFA" w:val="clear"/>
          </w:tcPr>
          <w:p>
            <w:r>
              <w:rPr>
                <w:b/>
                <w:sz w:val="17"/>
              </w:rPr>
              <w:t>2,064</w:t>
            </w:r>
          </w:p>
        </w:tc>
        <w:tc>
          <w:tcPr>
            <w:tcW w:type="dxa" w:w="1440"/>
            <w:shd w:fill="FAFAFA" w:val="clear"/>
          </w:tcPr>
          <w:p>
            <w:r>
              <w:rPr>
                <w:sz w:val="17"/>
              </w:rPr>
              <w:t>2,227</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2026-10-27</w:t>
            </w:r>
          </w:p>
        </w:tc>
        <w:tc>
          <w:tcPr>
            <w:tcW w:type="dxa" w:w="1440"/>
            <w:shd w:fill="FFDCE0" w:val="clear"/>
          </w:tcPr>
          <w:p>
            <w:r>
              <w:rPr>
                <w:sz w:val="17"/>
              </w:rPr>
              <w:t>1,876</w:t>
            </w:r>
          </w:p>
        </w:tc>
        <w:tc>
          <w:tcPr>
            <w:tcW w:type="dxa" w:w="1440"/>
            <w:shd w:fill="FFDCE0" w:val="clear"/>
          </w:tcPr>
          <w:p>
            <w:r>
              <w:rPr>
                <w:b/>
                <w:sz w:val="17"/>
              </w:rPr>
              <w:t>2,054</w:t>
            </w:r>
          </w:p>
        </w:tc>
        <w:tc>
          <w:tcPr>
            <w:tcW w:type="dxa" w:w="1440"/>
            <w:shd w:fill="FFDCE0" w:val="clear"/>
          </w:tcPr>
          <w:p>
            <w:r>
              <w:rPr>
                <w:sz w:val="17"/>
              </w:rPr>
              <w:t>2,232</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2026-10-28</w:t>
            </w:r>
          </w:p>
        </w:tc>
        <w:tc>
          <w:tcPr>
            <w:tcW w:type="dxa" w:w="1440"/>
            <w:shd w:fill="FFDCE0" w:val="clear"/>
          </w:tcPr>
          <w:p>
            <w:r>
              <w:rPr>
                <w:sz w:val="17"/>
              </w:rPr>
              <w:t>1,853</w:t>
            </w:r>
          </w:p>
        </w:tc>
        <w:tc>
          <w:tcPr>
            <w:tcW w:type="dxa" w:w="1440"/>
            <w:shd w:fill="FFDCE0" w:val="clear"/>
          </w:tcPr>
          <w:p>
            <w:r>
              <w:rPr>
                <w:b/>
                <w:sz w:val="17"/>
              </w:rPr>
              <w:t>2,044</w:t>
            </w:r>
          </w:p>
        </w:tc>
        <w:tc>
          <w:tcPr>
            <w:tcW w:type="dxa" w:w="1440"/>
            <w:shd w:fill="FFDCE0" w:val="clear"/>
          </w:tcPr>
          <w:p>
            <w:r>
              <w:rPr>
                <w:sz w:val="17"/>
              </w:rPr>
              <w:t>2,235</w:t>
            </w:r>
          </w:p>
        </w:tc>
        <w:tc>
          <w:tcPr>
            <w:tcW w:type="dxa" w:w="1440"/>
            <w:shd w:fill="FFDCE0" w:val="clear"/>
          </w:tcPr>
          <w:p>
            <w:r>
              <w:rPr>
                <w:b/>
                <w:color w:val="C00000"/>
                <w:sz w:val="17"/>
              </w:rPr>
              <w:t>-2.9%</w:t>
            </w:r>
          </w:p>
        </w:tc>
      </w:tr>
      <w:tr>
        <w:tc>
          <w:tcPr>
            <w:tcW w:type="dxa" w:w="1440"/>
            <w:shd w:fill="FFDCE0" w:val="clear"/>
          </w:tcPr>
          <w:p>
            <w:r>
              <w:rPr>
                <w:sz w:val="17"/>
              </w:rPr>
              <w:t>J+8  ⭐</w:t>
            </w:r>
          </w:p>
        </w:tc>
        <w:tc>
          <w:tcPr>
            <w:tcW w:type="dxa" w:w="1440"/>
            <w:shd w:fill="FFDCE0" w:val="clear"/>
          </w:tcPr>
          <w:p>
            <w:r>
              <w:rPr>
                <w:sz w:val="17"/>
              </w:rPr>
              <w:t>2026-10-29</w:t>
            </w:r>
          </w:p>
        </w:tc>
        <w:tc>
          <w:tcPr>
            <w:tcW w:type="dxa" w:w="1440"/>
            <w:shd w:fill="FFDCE0" w:val="clear"/>
          </w:tcPr>
          <w:p>
            <w:r>
              <w:rPr>
                <w:sz w:val="17"/>
              </w:rPr>
              <w:t>1,831</w:t>
            </w:r>
          </w:p>
        </w:tc>
        <w:tc>
          <w:tcPr>
            <w:tcW w:type="dxa" w:w="1440"/>
            <w:shd w:fill="FFDCE0" w:val="clear"/>
          </w:tcPr>
          <w:p>
            <w:r>
              <w:rPr>
                <w:b/>
                <w:sz w:val="17"/>
              </w:rPr>
              <w:t>2,034</w:t>
            </w:r>
          </w:p>
        </w:tc>
        <w:tc>
          <w:tcPr>
            <w:tcW w:type="dxa" w:w="1440"/>
            <w:shd w:fill="FFDCE0" w:val="clear"/>
          </w:tcPr>
          <w:p>
            <w:r>
              <w:rPr>
                <w:sz w:val="17"/>
              </w:rPr>
              <w:t>2,238</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2026-10-30</w:t>
            </w:r>
          </w:p>
        </w:tc>
        <w:tc>
          <w:tcPr>
            <w:tcW w:type="dxa" w:w="1440"/>
            <w:shd w:fill="FFDCE0" w:val="clear"/>
          </w:tcPr>
          <w:p>
            <w:r>
              <w:rPr>
                <w:sz w:val="17"/>
              </w:rPr>
              <w:t>1,810</w:t>
            </w:r>
          </w:p>
        </w:tc>
        <w:tc>
          <w:tcPr>
            <w:tcW w:type="dxa" w:w="1440"/>
            <w:shd w:fill="FFDCE0" w:val="clear"/>
          </w:tcPr>
          <w:p>
            <w:r>
              <w:rPr>
                <w:b/>
                <w:sz w:val="17"/>
              </w:rPr>
              <w:t>2,025</w:t>
            </w:r>
          </w:p>
        </w:tc>
        <w:tc>
          <w:tcPr>
            <w:tcW w:type="dxa" w:w="1440"/>
            <w:shd w:fill="FFDCE0" w:val="clear"/>
          </w:tcPr>
          <w:p>
            <w:r>
              <w:rPr>
                <w:sz w:val="17"/>
              </w:rPr>
              <w:t>2,240</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2026-11-02</w:t>
            </w:r>
          </w:p>
        </w:tc>
        <w:tc>
          <w:tcPr>
            <w:tcW w:type="dxa" w:w="1440"/>
            <w:shd w:fill="FFDCE0" w:val="clear"/>
          </w:tcPr>
          <w:p>
            <w:r>
              <w:rPr>
                <w:sz w:val="17"/>
              </w:rPr>
              <w:t>1,791</w:t>
            </w:r>
          </w:p>
        </w:tc>
        <w:tc>
          <w:tcPr>
            <w:tcW w:type="dxa" w:w="1440"/>
            <w:shd w:fill="FFDCE0" w:val="clear"/>
          </w:tcPr>
          <w:p>
            <w:r>
              <w:rPr>
                <w:b/>
                <w:sz w:val="17"/>
              </w:rPr>
              <w:t>2,016</w:t>
            </w:r>
          </w:p>
        </w:tc>
        <w:tc>
          <w:tcPr>
            <w:tcW w:type="dxa" w:w="1440"/>
            <w:shd w:fill="FFDCE0" w:val="clear"/>
          </w:tcPr>
          <w:p>
            <w:r>
              <w:rPr>
                <w:sz w:val="17"/>
              </w:rPr>
              <w:t>2,242</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 RAPPORT D'ANALYSE FINANCIÈRE — UNIWAX (UNXC)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43,68 milliards FCFA, UNIWAX figure parmi les valeurs de taille intermédiaire de la cote BRVM, ce qui reste modeste au regard des poids lourds bancaires et télécoms de la place. Le BPA ressort à **-30 FCFA/action**, traduisant une société encore déficitaire sur l'exercice 2025, ce qui rend le PER de **-70,0x** mécaniquement inexploitable (un PER négatif signale l'absence de bénéfices positifs et non une quelconque cherté). Le P/B de **1,77x** indique que le marché valorise le titre à environ 1,8 fois la valeur comptable des fonds propres — un niveau raisonnable dans la fourchette 1-2x, cohérent avec une entreprise dont les capitaux propres (24,62 Mds FCFA) restent solides malgré les pertes. En revanche, l'EV/EBITDA de **35,7x** apparaît très exigeant (&gt;15x), signe que la valeur d'entreprise intègre déjà une forte anticipation de redressement opérationnel alors que l'EBITDA demeure faible (1,13 Md FCFA). L'investisseur doit donc lire ces ratios avec prudence : la valorisation n'est ni franchement bon marché ni franchement chère, mais elle repose sur la crédibilité du retour à la rentabilité.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UNXC affiche une progression totale de **+18,93%**, malgré un repli de **-1,86%** lors de la dernière séance, le cours s'établissant à **2 105 FCFA**. L'amplitude de trading est considérable : le plus haut a atteint **2 495 FCFA** et le plus bas **1 250 FCFA**, soit un range de près de 100% qui témoigne d'une forte nervosité du marché sur ce dossier. La tendance générale reste haussière sur la période, portée par les espoirs de redressement opérationnel, mais le repli récent et la position du cours sous ses moyennes mobiles suggèrent une phase de consolidation. Les statistiques descriptives révèlent une moyenne de **2 046 FCFA** légèrement supérieure à la médiane de **1 970 FCFA** (elle-même égale au mode), ce qui indique une distribution faiblement tirée vers le haut par les pics de cours ; l'écart-type de **303 FCFA** avec un coefficient de variation de **14,8%** confirme une dispersion modérée autour de la moyenne. Le kurtosis de **-0,343** (mésokurtique) signale une distribution proche de la normale, sans risque excessif de pics extrêmes, tandis que le skewness de **-0,448** traduit une asymétrie légèrement négative (queue de distribution vers les baisses). La volatilité annualisée de **50,2%** classe le titre dans la catégorie des valeurs **très volatiles** (&gt;30%), ce qui impose une gestion stricte du risque et un horizon d'investissement adapté.</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**2 275,5 FCFA** et la MM50 à **2 287,2 FCFA**, toutes deux nettement au-dessus du cours actuel de 2 105 FCFA. Cette configuration baissière (cours sous les deux moyennes, avec MM20 légèrement sous MM50) traduit une pression vendeuse persistante et justifie la décision **Vente** des indicateurs.</w:t>
      </w:r>
    </w:p>
    <w:p>
      <w:pPr>
        <w:spacing w:after="120" w:line="276" w:lineRule="auto"/>
      </w:pPr>
      <w:r>
        <w:t>**Bandes de Bollinger** : La borne supérieure se situe à **2 469,024 FCFA** et la borne inférieure à **2 081,976 FCFA**, le cours actuel (2 105 FCFA) évoluant très près de la borne basse. Cette position signale une pression baissière à court terme, mais la proximité de la borne inférieure peut aussi préfigurer un rebond technique ; la décision est logiquement **Neutre**, le titre n'étant ni en survente extrême ni en zone de surachat.</w:t>
      </w:r>
    </w:p>
    <w:p>
      <w:pPr>
        <w:spacing w:after="120" w:line="276" w:lineRule="auto"/>
      </w:pPr>
      <w:r>
        <w:t>**MACD** : Le MACD affiche **-38,458** contre un signal à **-10,523**, soit une divergence négative marquée (MACD sous son signal et en territoire négatif). Le momentum est clairement baissier et la décision **Vente** se justifie pleinement, aucune inflexion haussière n'étant encore perceptible.</w:t>
      </w:r>
    </w:p>
    <w:p>
      <w:pPr>
        <w:spacing w:after="120" w:line="276" w:lineRule="auto"/>
      </w:pPr>
      <w:r>
        <w:t>**RSI** : À **21,359**, le RSI se situe en zone de **survente** prononcée (seuil &lt;30), ce qui génère une décision **Achat** en logique de rebond technique. Cette lecture contredit les signaux baissiers des moyennes mobiles et du MACD, créant une divergence classique entre momentum de court terme (survendu) et tendance de fond (baissière).</w:t>
      </w:r>
    </w:p>
    <w:p>
      <w:pPr>
        <w:spacing w:after="120" w:line="276" w:lineRule="auto"/>
      </w:pPr>
      <w:r>
        <w:t>**Stochastique** : Le %K à **0,0** et le %D à **3,39** placent l'indicateur en zone de survente extrême, avec une décision **Achat** cohérente avec le RSI. Le croisement potentiel de %K au-dessus de %D serait le premier signal de retournement à surveiller.</w:t>
      </w:r>
    </w:p>
    <w:p>
      <w:pPr>
        <w:spacing w:after="120" w:line="276" w:lineRule="auto"/>
      </w:pPr>
      <w:r>
        <w:t>**Conclusion technique** : Les indicateurs présentent une **divergence nette** : les moyennes mobiles et le MACD confirment une tendance baissière de fond, tandis que le RSI et le stochastique signalent une survente extrême propice à un rebond technique. Cette configuration est typique d'une phase de correction au sein d'une tendance haussière plus large (le titre reste en hausse de +18,93% sur 100 jours). La prudence s'impose : un rebond technique est possible à court terme, mais la confirmation d'un retournement durable exigerait un franchissement des MM20/MM50 (2 275-2 287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UNIWAX a réalisé un chiffre d'affaires de **29,032 Mds FCFA**, en croissance de **+6,21%**, avec un EBE redevenu positif à **1,127 Md FCFA** (contre -0,35 Md en 2024). Le résultat net reste toutefois négatif à **-624,11 M FCFA**, soit une marge nette de **-2,15%**, un ROE de **-2,54%** et un ROA de **-1,97%** — des niveaux de rentabilité encore dégradés mais en nette amélioration (perte divisée par ~3,5). La structure financière demeure très saine : autonomie financière de **77,58%**, ratio d'endettement de seulement **1,50%**, liquidité générale de **346,19%** et trésorerie nette de **3,813 Mds FCFA**. En revanche, les délais d'exploitation interpellent : délai client de **45,80 jours** (risque de trésorerie modéré), délai fournisseur de **102,43 jours** (favorable à la trésorerie) et surtout durée de stockage de **324,99 jours**, extrêmement élevée, qui immobilise massivement du capital (stocks de 12,179 Mds FCFA) et explique un BFR de **11,187 Mds FCFA**. Le flux opérationnel est négatif à **-8,124 Mds FCFA**, le redressement étant financé par des cessions d'actifs (+9,399 Mds FCFA de flux d'investissement).</w:t>
      </w:r>
    </w:p>
    <w:p>
      <w:pPr>
        <w:spacing w:after="120" w:line="276" w:lineRule="auto"/>
      </w:pPr>
      <w:r>
        <w:t>**Estimations issues des rapports trimestriels** : Le rapport du **S1 2026** (publié en 2026) confirme une inflexion majeure : le résultat d'exploitation redevient **positif à 771 M FCFA** (contre -314 M au S1 2025), avec un résultat net de **771 M FCFA** et une marge nette de **4,9%**, malgré une croissance du CA quasi stable (+0,3% à 15,752 Mds FCFA). Sur cette base, on peut estimer que l'exercice 2026 devrait marquer le retour à une rentabilité opérationnelle positive, portée par l'amélioration du résultat financier (+59,3%) et la maîtrise des coûts. Le rapport annuel 2025 souligne par ailleurs un désendettement fournisseur massif (de 14,9 à 5,0 Mds FCFA) financé par cessions immobilières, et un report à nouveau négatif croissant (-5,54 Mds FCFA) qui reste un point de vigilance. **Conclusion fondamentale** : la société présente une solidité bilancielle remarquable et un redressement opérationnel crédible, mais la rentabilité structurelle doit encore être confirmée sur un exercice complet ; le risque principal réside dans la durabilité de la marge opérationnelle et dans la lourdeur du BFR liée aux stocks.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dessine un dossier contrasté mais orienté favorablement. **Sur la valorisation (Partie 0)**, le P/B de 1,77x reste raisonnable et l'EV/EBITDA de 35,7x traduit une anticipation de redressement déjà partiellement intégrée, tandis que le PER négatif rappelle que la rentabilité n'est pas encore acquise — la valorisation n'offre donc pas de marge de sécurité flagrante mais n'est pas excessive. **Sur le comportement du cours (Partie 1)**, la tendance haussière de +18,93% sur 100 jours est tempérée par une volatilité très élevée (50,2%) et un skewness négatif (-0,448) signalant une asymétrie défavorable aux hausses, ce qui appelle à la prudence. **Sur le plan technique (Partie 2)**, la divergence entre signaux baissiers (MM, MACD) et signaux de survente (RSI à 21,4, stochastique à 0) suggère un rebond technique possible mais fragile, sans confirmation de retournement durable. **Sur le plan fondamental (Partie 3)**, le redressement est réel et documenté (EBE positif en 2025, résultat d'exploitation positif au S1 2026 à 771 M FCFA, structure financière très saine avec 77,6% d'autonomie financière), mais la rentabilité annuelle reste à confirmer et le BFR/stocks demeurent un fardeau. **Les prédictions IA (J+1 à J+10)** anticipent une trajectoire légèrement baissière (de 2 110 à 2 064 FCFA), cohérente avec la pression technique de court terme mais en contradiction avec le rebond attendu par le RSI/stochastique. **Recommandation finale : CONSERVER**, avec un biais positif pour les investisseurs patients. La convergence est partielle : fondamental en amélioration et valorisation raisonnable soutiennent le dossier, mais technique baissier et prédictions IA légèrement négatives plaident pour ne pas renforcer immédiatement. Le **niveau de confiance est Moyen** (redressement crédible mais non encore validé sur un exercice plein), le **risque global est Élevé** (volatilité 50,2%, rentabilité fragile, dépendance aux cessions d'actifs), et l'**horizon optimal est le moyen terme (3-12 mois)**, le temps que la rentabilité opérationnelle 2026 se confirme et que le titre retrouve ses moyennes mobiles. Un passage à l'achat serait justifié en cas de franchissement confirmé des 2 275-2 287 FCFA (MM20/MM50) avec validation des résultats annuels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